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7"/>
        <w:tblW w:w="5000" w:type="pct"/>
        <w:jc w:val="center"/>
        <w:tblLayout w:type="fixed"/>
        <w:tblCellMar>
          <w:top w:w="0" w:type="dxa"/>
          <w:left w:w="108" w:type="dxa"/>
          <w:bottom w:w="0" w:type="dxa"/>
          <w:right w:w="108" w:type="dxa"/>
        </w:tblCellMar>
      </w:tblPr>
      <w:tblGrid>
        <w:gridCol w:w="4417"/>
        <w:gridCol w:w="4417"/>
      </w:tblGrid>
      <w:tr w14:paraId="2FF88F77">
        <w:tblPrEx>
          <w:tblCellMar>
            <w:top w:w="0" w:type="dxa"/>
            <w:left w:w="108" w:type="dxa"/>
            <w:bottom w:w="0" w:type="dxa"/>
            <w:right w:w="108" w:type="dxa"/>
          </w:tblCellMar>
        </w:tblPrEx>
        <w:trPr>
          <w:trHeight w:val="23" w:hRule="atLeast"/>
          <w:jc w:val="center"/>
        </w:trPr>
        <w:tc>
          <w:tcPr>
            <w:tcW w:w="2500" w:type="pct"/>
            <w:noWrap w:val="0"/>
            <w:vAlign w:val="center"/>
          </w:tcPr>
          <w:p w14:paraId="09D36F1C">
            <w:pPr>
              <w:bidi w:val="0"/>
              <w:jc w:val="center"/>
              <w:rPr>
                <w:rFonts w:hint="eastAsia" w:ascii="宋体" w:hAnsi="宋体" w:eastAsia="宋体" w:cs="宋体"/>
                <w:b/>
                <w:bCs/>
                <w:color w:val="auto"/>
                <w:sz w:val="21"/>
                <w:szCs w:val="21"/>
                <w:u w:val="none"/>
                <w:lang w:eastAsia="zh-CN"/>
              </w:rPr>
            </w:pPr>
            <w:bookmarkStart w:id="0" w:name="_Toc21898"/>
            <w:bookmarkStart w:id="678" w:name="_GoBack"/>
            <w:bookmarkEnd w:id="678"/>
            <w:r>
              <w:rPr>
                <w:rFonts w:hint="eastAsia" w:ascii="宋体" w:hAnsi="宋体" w:eastAsia="宋体" w:cs="宋体"/>
                <w:b/>
                <w:bCs/>
                <w:color w:val="auto"/>
                <w:sz w:val="21"/>
                <w:szCs w:val="21"/>
                <w:u w:val="none"/>
                <w:lang w:eastAsia="zh-CN"/>
              </w:rPr>
              <w:drawing>
                <wp:inline distT="0" distB="0" distL="114300" distR="114300">
                  <wp:extent cx="2534285" cy="1901825"/>
                  <wp:effectExtent l="0" t="0" r="18415" b="3175"/>
                  <wp:docPr id="5" name="图片 5" descr="7356d81bfb6a68f0285ff99e28d6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356d81bfb6a68f0285ff99e28d6b8c"/>
                          <pic:cNvPicPr>
                            <a:picLocks noChangeAspect="1"/>
                          </pic:cNvPicPr>
                        </pic:nvPicPr>
                        <pic:blipFill>
                          <a:blip r:embed="rId18"/>
                          <a:stretch>
                            <a:fillRect/>
                          </a:stretch>
                        </pic:blipFill>
                        <pic:spPr>
                          <a:xfrm>
                            <a:off x="0" y="0"/>
                            <a:ext cx="2534285" cy="1901825"/>
                          </a:xfrm>
                          <a:prstGeom prst="rect">
                            <a:avLst/>
                          </a:prstGeom>
                        </pic:spPr>
                      </pic:pic>
                    </a:graphicData>
                  </a:graphic>
                </wp:inline>
              </w:drawing>
            </w:r>
          </w:p>
        </w:tc>
        <w:tc>
          <w:tcPr>
            <w:tcW w:w="2500" w:type="pct"/>
            <w:noWrap w:val="0"/>
            <w:vAlign w:val="center"/>
          </w:tcPr>
          <w:p w14:paraId="295D28CB">
            <w:pPr>
              <w:bidi w:val="0"/>
              <w:jc w:val="center"/>
              <w:rPr>
                <w:rFonts w:hint="eastAsia" w:ascii="宋体" w:hAnsi="宋体" w:eastAsia="宋体" w:cs="宋体"/>
                <w:b/>
                <w:bCs/>
                <w:color w:val="auto"/>
                <w:sz w:val="21"/>
                <w:szCs w:val="21"/>
                <w:u w:val="none"/>
                <w:lang w:eastAsia="zh-CN"/>
              </w:rPr>
            </w:pPr>
            <w:r>
              <w:rPr>
                <w:rFonts w:hint="eastAsia" w:ascii="宋体" w:hAnsi="宋体" w:eastAsia="宋体" w:cs="宋体"/>
                <w:b/>
                <w:bCs/>
                <w:color w:val="auto"/>
                <w:sz w:val="21"/>
                <w:szCs w:val="21"/>
                <w:u w:val="none"/>
                <w:lang w:eastAsia="zh-CN"/>
              </w:rPr>
              <w:drawing>
                <wp:inline distT="0" distB="0" distL="114300" distR="114300">
                  <wp:extent cx="2534285" cy="1901825"/>
                  <wp:effectExtent l="0" t="0" r="18415" b="3175"/>
                  <wp:docPr id="6" name="图片 6" descr="bbe628cfbdb39c7029ba6b197a82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be628cfbdb39c7029ba6b197a82fc7"/>
                          <pic:cNvPicPr>
                            <a:picLocks noChangeAspect="1"/>
                          </pic:cNvPicPr>
                        </pic:nvPicPr>
                        <pic:blipFill>
                          <a:blip r:embed="rId19"/>
                          <a:stretch>
                            <a:fillRect/>
                          </a:stretch>
                        </pic:blipFill>
                        <pic:spPr>
                          <a:xfrm>
                            <a:off x="0" y="0"/>
                            <a:ext cx="2534285" cy="1901825"/>
                          </a:xfrm>
                          <a:prstGeom prst="rect">
                            <a:avLst/>
                          </a:prstGeom>
                        </pic:spPr>
                      </pic:pic>
                    </a:graphicData>
                  </a:graphic>
                </wp:inline>
              </w:drawing>
            </w:r>
          </w:p>
        </w:tc>
      </w:tr>
      <w:tr w14:paraId="4251D9E6">
        <w:tblPrEx>
          <w:tblCellMar>
            <w:top w:w="0" w:type="dxa"/>
            <w:left w:w="108" w:type="dxa"/>
            <w:bottom w:w="0" w:type="dxa"/>
            <w:right w:w="108" w:type="dxa"/>
          </w:tblCellMar>
        </w:tblPrEx>
        <w:trPr>
          <w:trHeight w:val="23" w:hRule="atLeast"/>
          <w:jc w:val="center"/>
        </w:trPr>
        <w:tc>
          <w:tcPr>
            <w:tcW w:w="2500" w:type="pct"/>
            <w:noWrap w:val="0"/>
            <w:vAlign w:val="center"/>
          </w:tcPr>
          <w:p w14:paraId="5578D974">
            <w:pPr>
              <w:bidi w:val="0"/>
              <w:jc w:val="center"/>
              <w:rPr>
                <w:rFonts w:hint="default" w:ascii="宋体" w:hAnsi="宋体" w:eastAsia="宋体" w:cs="宋体"/>
                <w:b/>
                <w:bCs/>
                <w:color w:val="auto"/>
                <w:sz w:val="21"/>
                <w:szCs w:val="21"/>
                <w:u w:val="none"/>
                <w:lang w:val="en-US" w:eastAsia="zh-CN"/>
              </w:rPr>
            </w:pPr>
            <w:r>
              <w:rPr>
                <w:rFonts w:hint="eastAsia" w:ascii="宋体" w:hAnsi="宋体" w:cs="宋体"/>
                <w:b/>
                <w:bCs/>
                <w:color w:val="auto"/>
                <w:sz w:val="21"/>
                <w:szCs w:val="21"/>
                <w:u w:val="none"/>
                <w:lang w:val="en-US" w:eastAsia="zh-CN"/>
              </w:rPr>
              <w:t>MBHW6006井</w:t>
            </w:r>
          </w:p>
        </w:tc>
        <w:tc>
          <w:tcPr>
            <w:tcW w:w="2500" w:type="pct"/>
            <w:noWrap w:val="0"/>
            <w:vAlign w:val="center"/>
          </w:tcPr>
          <w:p w14:paraId="2274EF32">
            <w:pPr>
              <w:bidi w:val="0"/>
              <w:jc w:val="center"/>
              <w:rPr>
                <w:rFonts w:hint="default" w:ascii="宋体" w:hAnsi="宋体" w:eastAsia="宋体" w:cs="宋体"/>
                <w:b/>
                <w:bCs/>
                <w:color w:val="auto"/>
                <w:sz w:val="21"/>
                <w:szCs w:val="21"/>
                <w:u w:val="none"/>
                <w:lang w:val="en-US" w:eastAsia="zh-CN"/>
              </w:rPr>
            </w:pPr>
            <w:r>
              <w:rPr>
                <w:rFonts w:hint="eastAsia" w:ascii="宋体" w:hAnsi="宋体" w:cs="宋体"/>
                <w:b/>
                <w:bCs/>
                <w:color w:val="auto"/>
                <w:sz w:val="21"/>
                <w:szCs w:val="21"/>
                <w:u w:val="none"/>
                <w:lang w:val="en-US" w:eastAsia="zh-CN"/>
              </w:rPr>
              <w:t>MBHW6006井</w:t>
            </w:r>
          </w:p>
        </w:tc>
      </w:tr>
      <w:tr w14:paraId="7594140B">
        <w:tblPrEx>
          <w:tblCellMar>
            <w:top w:w="0" w:type="dxa"/>
            <w:left w:w="108" w:type="dxa"/>
            <w:bottom w:w="0" w:type="dxa"/>
            <w:right w:w="108" w:type="dxa"/>
          </w:tblCellMar>
        </w:tblPrEx>
        <w:trPr>
          <w:trHeight w:val="23" w:hRule="atLeast"/>
          <w:jc w:val="center"/>
        </w:trPr>
        <w:tc>
          <w:tcPr>
            <w:tcW w:w="2500" w:type="pct"/>
            <w:noWrap w:val="0"/>
            <w:vAlign w:val="center"/>
          </w:tcPr>
          <w:p w14:paraId="767DD8E4">
            <w:pPr>
              <w:bidi w:val="0"/>
              <w:jc w:val="center"/>
              <w:rPr>
                <w:rFonts w:hint="eastAsia" w:ascii="宋体" w:hAnsi="宋体" w:eastAsia="宋体" w:cs="宋体"/>
                <w:b/>
                <w:bCs/>
                <w:color w:val="auto"/>
                <w:sz w:val="21"/>
                <w:szCs w:val="21"/>
                <w:u w:val="none"/>
                <w:lang w:eastAsia="zh-CN"/>
              </w:rPr>
            </w:pPr>
            <w:r>
              <w:rPr>
                <w:rFonts w:hint="eastAsia" w:ascii="宋体" w:hAnsi="宋体" w:eastAsia="宋体" w:cs="宋体"/>
                <w:b/>
                <w:bCs/>
                <w:color w:val="auto"/>
                <w:sz w:val="21"/>
                <w:szCs w:val="21"/>
                <w:u w:val="none"/>
                <w:lang w:eastAsia="zh-CN"/>
              </w:rPr>
              <w:drawing>
                <wp:inline distT="0" distB="0" distL="114300" distR="114300">
                  <wp:extent cx="2534285" cy="1901825"/>
                  <wp:effectExtent l="0" t="0" r="18415" b="3175"/>
                  <wp:docPr id="8" name="图片 8" descr="6929a182e821bfc064bb2eb78539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29a182e821bfc064bb2eb785392e1"/>
                          <pic:cNvPicPr>
                            <a:picLocks noChangeAspect="1"/>
                          </pic:cNvPicPr>
                        </pic:nvPicPr>
                        <pic:blipFill>
                          <a:blip r:embed="rId20"/>
                          <a:stretch>
                            <a:fillRect/>
                          </a:stretch>
                        </pic:blipFill>
                        <pic:spPr>
                          <a:xfrm>
                            <a:off x="0" y="0"/>
                            <a:ext cx="2534285" cy="1901825"/>
                          </a:xfrm>
                          <a:prstGeom prst="rect">
                            <a:avLst/>
                          </a:prstGeom>
                        </pic:spPr>
                      </pic:pic>
                    </a:graphicData>
                  </a:graphic>
                </wp:inline>
              </w:drawing>
            </w:r>
          </w:p>
        </w:tc>
        <w:tc>
          <w:tcPr>
            <w:tcW w:w="2500" w:type="pct"/>
            <w:noWrap w:val="0"/>
            <w:vAlign w:val="center"/>
          </w:tcPr>
          <w:p w14:paraId="46785EE9">
            <w:pPr>
              <w:bidi w:val="0"/>
              <w:jc w:val="center"/>
              <w:rPr>
                <w:rFonts w:hint="eastAsia" w:ascii="宋体" w:hAnsi="宋体" w:eastAsia="宋体" w:cs="宋体"/>
                <w:b/>
                <w:bCs/>
                <w:color w:val="auto"/>
                <w:sz w:val="21"/>
                <w:szCs w:val="21"/>
                <w:u w:val="none"/>
                <w:lang w:eastAsia="zh-CN"/>
              </w:rPr>
            </w:pPr>
            <w:r>
              <w:rPr>
                <w:rFonts w:hint="eastAsia" w:ascii="宋体" w:hAnsi="宋体" w:eastAsia="宋体" w:cs="宋体"/>
                <w:b/>
                <w:bCs/>
                <w:color w:val="auto"/>
                <w:sz w:val="21"/>
                <w:szCs w:val="21"/>
                <w:u w:val="none"/>
                <w:lang w:eastAsia="zh-CN"/>
              </w:rPr>
              <w:drawing>
                <wp:inline distT="0" distB="0" distL="114300" distR="114300">
                  <wp:extent cx="2534285" cy="1901825"/>
                  <wp:effectExtent l="0" t="0" r="18415" b="3175"/>
                  <wp:docPr id="34" name="图片 34" descr="a37d552c9271ee280eb675e0f51a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37d552c9271ee280eb675e0f51aa82"/>
                          <pic:cNvPicPr>
                            <a:picLocks noChangeAspect="1"/>
                          </pic:cNvPicPr>
                        </pic:nvPicPr>
                        <pic:blipFill>
                          <a:blip r:embed="rId21"/>
                          <a:stretch>
                            <a:fillRect/>
                          </a:stretch>
                        </pic:blipFill>
                        <pic:spPr>
                          <a:xfrm>
                            <a:off x="0" y="0"/>
                            <a:ext cx="2534285" cy="1901825"/>
                          </a:xfrm>
                          <a:prstGeom prst="rect">
                            <a:avLst/>
                          </a:prstGeom>
                        </pic:spPr>
                      </pic:pic>
                    </a:graphicData>
                  </a:graphic>
                </wp:inline>
              </w:drawing>
            </w:r>
          </w:p>
        </w:tc>
      </w:tr>
      <w:tr w14:paraId="7DCE0957">
        <w:tblPrEx>
          <w:tblCellMar>
            <w:top w:w="0" w:type="dxa"/>
            <w:left w:w="108" w:type="dxa"/>
            <w:bottom w:w="0" w:type="dxa"/>
            <w:right w:w="108" w:type="dxa"/>
          </w:tblCellMar>
        </w:tblPrEx>
        <w:trPr>
          <w:trHeight w:val="23" w:hRule="atLeast"/>
          <w:jc w:val="center"/>
        </w:trPr>
        <w:tc>
          <w:tcPr>
            <w:tcW w:w="2500" w:type="pct"/>
            <w:noWrap w:val="0"/>
            <w:vAlign w:val="center"/>
          </w:tcPr>
          <w:p w14:paraId="4CF36510">
            <w:pPr>
              <w:bidi w:val="0"/>
              <w:jc w:val="center"/>
              <w:rPr>
                <w:rFonts w:hint="default" w:ascii="宋体" w:hAnsi="宋体" w:eastAsia="宋体" w:cs="宋体"/>
                <w:b/>
                <w:bCs/>
                <w:color w:val="auto"/>
                <w:sz w:val="21"/>
                <w:szCs w:val="21"/>
                <w:u w:val="none"/>
                <w:lang w:val="en-US" w:eastAsia="zh-CN"/>
              </w:rPr>
            </w:pPr>
            <w:r>
              <w:rPr>
                <w:rFonts w:hint="eastAsia" w:ascii="宋体" w:hAnsi="宋体" w:cs="宋体"/>
                <w:b/>
                <w:bCs/>
                <w:color w:val="auto"/>
                <w:sz w:val="21"/>
                <w:szCs w:val="21"/>
                <w:u w:val="none"/>
                <w:lang w:val="en-US" w:eastAsia="zh-CN"/>
              </w:rPr>
              <w:t>MBHW6008井</w:t>
            </w:r>
          </w:p>
        </w:tc>
        <w:tc>
          <w:tcPr>
            <w:tcW w:w="2500" w:type="pct"/>
            <w:noWrap w:val="0"/>
            <w:vAlign w:val="center"/>
          </w:tcPr>
          <w:p w14:paraId="4CC41E73">
            <w:pPr>
              <w:bidi w:val="0"/>
              <w:jc w:val="center"/>
              <w:rPr>
                <w:rFonts w:hint="eastAsia" w:ascii="宋体" w:hAnsi="宋体" w:eastAsia="宋体" w:cs="宋体"/>
                <w:b/>
                <w:bCs/>
                <w:color w:val="auto"/>
                <w:sz w:val="21"/>
                <w:szCs w:val="21"/>
                <w:u w:val="none"/>
                <w:lang w:val="en-US"/>
              </w:rPr>
            </w:pPr>
            <w:r>
              <w:rPr>
                <w:rFonts w:hint="eastAsia" w:ascii="宋体" w:hAnsi="宋体" w:cs="宋体"/>
                <w:b/>
                <w:bCs/>
                <w:color w:val="auto"/>
                <w:sz w:val="21"/>
                <w:szCs w:val="21"/>
                <w:u w:val="none"/>
                <w:lang w:val="en-US" w:eastAsia="zh-CN"/>
              </w:rPr>
              <w:t>MBHW6008井</w:t>
            </w:r>
          </w:p>
        </w:tc>
      </w:tr>
      <w:tr w14:paraId="4966D301">
        <w:tblPrEx>
          <w:tblCellMar>
            <w:top w:w="0" w:type="dxa"/>
            <w:left w:w="108" w:type="dxa"/>
            <w:bottom w:w="0" w:type="dxa"/>
            <w:right w:w="108" w:type="dxa"/>
          </w:tblCellMar>
        </w:tblPrEx>
        <w:trPr>
          <w:trHeight w:val="23" w:hRule="atLeast"/>
          <w:jc w:val="center"/>
        </w:trPr>
        <w:tc>
          <w:tcPr>
            <w:tcW w:w="2500" w:type="pct"/>
            <w:noWrap w:val="0"/>
            <w:vAlign w:val="center"/>
          </w:tcPr>
          <w:p w14:paraId="415421E6">
            <w:pPr>
              <w:bidi w:val="0"/>
              <w:jc w:val="center"/>
              <w:rPr>
                <w:rFonts w:hint="eastAsia" w:ascii="宋体" w:hAnsi="宋体" w:eastAsia="宋体" w:cs="宋体"/>
                <w:b/>
                <w:bCs/>
                <w:color w:val="auto"/>
                <w:sz w:val="21"/>
                <w:szCs w:val="21"/>
                <w:u w:val="none"/>
                <w:lang w:eastAsia="zh-CN"/>
              </w:rPr>
            </w:pPr>
            <w:r>
              <w:rPr>
                <w:rFonts w:hint="eastAsia" w:ascii="宋体" w:hAnsi="宋体" w:eastAsia="宋体" w:cs="宋体"/>
                <w:b/>
                <w:bCs/>
                <w:color w:val="auto"/>
                <w:sz w:val="21"/>
                <w:szCs w:val="21"/>
                <w:u w:val="none"/>
                <w:lang w:eastAsia="zh-CN"/>
              </w:rPr>
              <w:drawing>
                <wp:inline distT="0" distB="0" distL="114300" distR="114300">
                  <wp:extent cx="2534285" cy="1901825"/>
                  <wp:effectExtent l="0" t="0" r="18415" b="3175"/>
                  <wp:docPr id="36" name="图片 36" descr="5d7d78db8c98f36f36e84567f345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d7d78db8c98f36f36e84567f3458e7"/>
                          <pic:cNvPicPr>
                            <a:picLocks noChangeAspect="1"/>
                          </pic:cNvPicPr>
                        </pic:nvPicPr>
                        <pic:blipFill>
                          <a:blip r:embed="rId22"/>
                          <a:stretch>
                            <a:fillRect/>
                          </a:stretch>
                        </pic:blipFill>
                        <pic:spPr>
                          <a:xfrm>
                            <a:off x="0" y="0"/>
                            <a:ext cx="2534285" cy="1901825"/>
                          </a:xfrm>
                          <a:prstGeom prst="rect">
                            <a:avLst/>
                          </a:prstGeom>
                        </pic:spPr>
                      </pic:pic>
                    </a:graphicData>
                  </a:graphic>
                </wp:inline>
              </w:drawing>
            </w:r>
          </w:p>
        </w:tc>
        <w:tc>
          <w:tcPr>
            <w:tcW w:w="2500" w:type="pct"/>
            <w:noWrap w:val="0"/>
            <w:vAlign w:val="center"/>
          </w:tcPr>
          <w:p w14:paraId="1B2BFC42">
            <w:pPr>
              <w:bidi w:val="0"/>
              <w:jc w:val="center"/>
              <w:rPr>
                <w:rFonts w:hint="eastAsia" w:ascii="宋体" w:hAnsi="宋体" w:eastAsia="宋体" w:cs="宋体"/>
                <w:b/>
                <w:bCs/>
                <w:color w:val="auto"/>
                <w:sz w:val="21"/>
                <w:szCs w:val="21"/>
                <w:u w:val="none"/>
                <w:lang w:eastAsia="zh-CN"/>
              </w:rPr>
            </w:pPr>
            <w:r>
              <w:rPr>
                <w:rFonts w:hint="eastAsia" w:ascii="宋体" w:hAnsi="宋体" w:eastAsia="宋体" w:cs="宋体"/>
                <w:b/>
                <w:bCs/>
                <w:color w:val="auto"/>
                <w:sz w:val="21"/>
                <w:szCs w:val="21"/>
                <w:u w:val="none"/>
                <w:lang w:eastAsia="zh-CN"/>
              </w:rPr>
              <w:drawing>
                <wp:inline distT="0" distB="0" distL="114300" distR="114300">
                  <wp:extent cx="2534285" cy="1901825"/>
                  <wp:effectExtent l="0" t="0" r="18415" b="3175"/>
                  <wp:docPr id="37" name="图片 37" descr="5560c98ee4048647a32ba22ba9a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560c98ee4048647a32ba22ba9a2501"/>
                          <pic:cNvPicPr>
                            <a:picLocks noChangeAspect="1"/>
                          </pic:cNvPicPr>
                        </pic:nvPicPr>
                        <pic:blipFill>
                          <a:blip r:embed="rId23"/>
                          <a:stretch>
                            <a:fillRect/>
                          </a:stretch>
                        </pic:blipFill>
                        <pic:spPr>
                          <a:xfrm>
                            <a:off x="0" y="0"/>
                            <a:ext cx="2534285" cy="1901825"/>
                          </a:xfrm>
                          <a:prstGeom prst="rect">
                            <a:avLst/>
                          </a:prstGeom>
                        </pic:spPr>
                      </pic:pic>
                    </a:graphicData>
                  </a:graphic>
                </wp:inline>
              </w:drawing>
            </w:r>
          </w:p>
        </w:tc>
      </w:tr>
      <w:tr w14:paraId="398660F0">
        <w:tblPrEx>
          <w:tblCellMar>
            <w:top w:w="0" w:type="dxa"/>
            <w:left w:w="108" w:type="dxa"/>
            <w:bottom w:w="0" w:type="dxa"/>
            <w:right w:w="108" w:type="dxa"/>
          </w:tblCellMar>
        </w:tblPrEx>
        <w:trPr>
          <w:trHeight w:val="23" w:hRule="atLeast"/>
          <w:jc w:val="center"/>
        </w:trPr>
        <w:tc>
          <w:tcPr>
            <w:tcW w:w="2500" w:type="pct"/>
            <w:noWrap w:val="0"/>
            <w:vAlign w:val="center"/>
          </w:tcPr>
          <w:p w14:paraId="51AE37D0">
            <w:pPr>
              <w:bidi w:val="0"/>
              <w:jc w:val="center"/>
              <w:rPr>
                <w:rFonts w:hint="default" w:ascii="宋体" w:hAnsi="宋体" w:eastAsia="宋体" w:cs="宋体"/>
                <w:b/>
                <w:bCs/>
                <w:color w:val="auto"/>
                <w:sz w:val="21"/>
                <w:szCs w:val="21"/>
                <w:u w:val="none"/>
                <w:lang w:val="en-US"/>
              </w:rPr>
            </w:pPr>
            <w:r>
              <w:rPr>
                <w:rFonts w:hint="eastAsia" w:ascii="宋体" w:hAnsi="宋体" w:cs="宋体"/>
                <w:b/>
                <w:bCs/>
                <w:color w:val="auto"/>
                <w:sz w:val="21"/>
                <w:szCs w:val="21"/>
                <w:u w:val="none"/>
                <w:lang w:val="en-US" w:eastAsia="zh-CN"/>
              </w:rPr>
              <w:t>MBHW6009井</w:t>
            </w:r>
          </w:p>
        </w:tc>
        <w:tc>
          <w:tcPr>
            <w:tcW w:w="2500" w:type="pct"/>
            <w:noWrap w:val="0"/>
            <w:vAlign w:val="center"/>
          </w:tcPr>
          <w:p w14:paraId="7E281328">
            <w:pPr>
              <w:bidi w:val="0"/>
              <w:jc w:val="center"/>
              <w:rPr>
                <w:rFonts w:hint="default" w:ascii="宋体" w:hAnsi="宋体" w:eastAsia="宋体" w:cs="宋体"/>
                <w:b/>
                <w:bCs/>
                <w:color w:val="auto"/>
                <w:sz w:val="21"/>
                <w:szCs w:val="21"/>
                <w:u w:val="none"/>
                <w:lang w:val="en-US" w:eastAsia="zh-CN"/>
              </w:rPr>
            </w:pPr>
            <w:r>
              <w:rPr>
                <w:rFonts w:hint="eastAsia" w:ascii="宋体" w:hAnsi="宋体" w:cs="宋体"/>
                <w:b/>
                <w:bCs/>
                <w:color w:val="auto"/>
                <w:sz w:val="21"/>
                <w:szCs w:val="21"/>
                <w:u w:val="none"/>
                <w:lang w:val="en-US" w:eastAsia="zh-CN"/>
              </w:rPr>
              <w:t>MBHW6009井</w:t>
            </w:r>
          </w:p>
        </w:tc>
      </w:tr>
      <w:tr w14:paraId="0FC35D4C">
        <w:tblPrEx>
          <w:tblCellMar>
            <w:top w:w="0" w:type="dxa"/>
            <w:left w:w="108" w:type="dxa"/>
            <w:bottom w:w="0" w:type="dxa"/>
            <w:right w:w="108" w:type="dxa"/>
          </w:tblCellMar>
        </w:tblPrEx>
        <w:trPr>
          <w:trHeight w:val="23" w:hRule="atLeast"/>
          <w:jc w:val="center"/>
        </w:trPr>
        <w:tc>
          <w:tcPr>
            <w:tcW w:w="2500" w:type="pct"/>
            <w:noWrap w:val="0"/>
            <w:vAlign w:val="center"/>
          </w:tcPr>
          <w:p w14:paraId="336DEC55">
            <w:pPr>
              <w:bidi w:val="0"/>
              <w:jc w:val="center"/>
              <w:rPr>
                <w:rFonts w:hint="eastAsia" w:ascii="宋体" w:hAnsi="宋体" w:eastAsia="宋体" w:cs="宋体"/>
                <w:b/>
                <w:bCs/>
                <w:color w:val="auto"/>
                <w:sz w:val="21"/>
                <w:szCs w:val="21"/>
                <w:u w:val="none"/>
                <w:lang w:eastAsia="zh-CN"/>
              </w:rPr>
            </w:pPr>
            <w:r>
              <w:rPr>
                <w:rFonts w:hint="eastAsia" w:ascii="宋体" w:hAnsi="宋体" w:eastAsia="宋体" w:cs="宋体"/>
                <w:b/>
                <w:bCs/>
                <w:color w:val="auto"/>
                <w:sz w:val="21"/>
                <w:szCs w:val="21"/>
                <w:u w:val="none"/>
                <w:lang w:eastAsia="zh-CN"/>
              </w:rPr>
              <w:drawing>
                <wp:inline distT="0" distB="0" distL="114300" distR="114300">
                  <wp:extent cx="2534285" cy="1900555"/>
                  <wp:effectExtent l="0" t="0" r="18415" b="4445"/>
                  <wp:docPr id="40" name="图片 40" descr="da8a6424fe52386ce971289adc2e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a8a6424fe52386ce971289adc2eb54"/>
                          <pic:cNvPicPr>
                            <a:picLocks noChangeAspect="1"/>
                          </pic:cNvPicPr>
                        </pic:nvPicPr>
                        <pic:blipFill>
                          <a:blip r:embed="rId24"/>
                          <a:stretch>
                            <a:fillRect/>
                          </a:stretch>
                        </pic:blipFill>
                        <pic:spPr>
                          <a:xfrm>
                            <a:off x="0" y="0"/>
                            <a:ext cx="2534285" cy="1900555"/>
                          </a:xfrm>
                          <a:prstGeom prst="rect">
                            <a:avLst/>
                          </a:prstGeom>
                        </pic:spPr>
                      </pic:pic>
                    </a:graphicData>
                  </a:graphic>
                </wp:inline>
              </w:drawing>
            </w:r>
          </w:p>
        </w:tc>
        <w:tc>
          <w:tcPr>
            <w:tcW w:w="2500" w:type="pct"/>
            <w:noWrap w:val="0"/>
            <w:vAlign w:val="center"/>
          </w:tcPr>
          <w:p w14:paraId="0BBC0CCB">
            <w:pPr>
              <w:bidi w:val="0"/>
              <w:jc w:val="center"/>
              <w:rPr>
                <w:rFonts w:hint="eastAsia" w:ascii="宋体" w:hAnsi="宋体" w:eastAsia="宋体" w:cs="宋体"/>
                <w:b/>
                <w:bCs/>
                <w:color w:val="auto"/>
                <w:sz w:val="21"/>
                <w:szCs w:val="21"/>
                <w:u w:val="none"/>
                <w:lang w:eastAsia="zh-CN"/>
              </w:rPr>
            </w:pPr>
            <w:r>
              <w:rPr>
                <w:rFonts w:hint="eastAsia" w:ascii="宋体" w:hAnsi="宋体" w:eastAsia="宋体" w:cs="宋体"/>
                <w:b/>
                <w:bCs/>
                <w:color w:val="auto"/>
                <w:sz w:val="21"/>
                <w:szCs w:val="21"/>
                <w:u w:val="none"/>
                <w:lang w:eastAsia="zh-CN"/>
              </w:rPr>
              <w:drawing>
                <wp:inline distT="0" distB="0" distL="114300" distR="114300">
                  <wp:extent cx="2534285" cy="1900555"/>
                  <wp:effectExtent l="0" t="0" r="18415" b="4445"/>
                  <wp:docPr id="42" name="图片 42" descr="6d60cd9e103960b527621fea70cb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d60cd9e103960b527621fea70cb142"/>
                          <pic:cNvPicPr>
                            <a:picLocks noChangeAspect="1"/>
                          </pic:cNvPicPr>
                        </pic:nvPicPr>
                        <pic:blipFill>
                          <a:blip r:embed="rId25"/>
                          <a:stretch>
                            <a:fillRect/>
                          </a:stretch>
                        </pic:blipFill>
                        <pic:spPr>
                          <a:xfrm>
                            <a:off x="0" y="0"/>
                            <a:ext cx="2534285" cy="1900555"/>
                          </a:xfrm>
                          <a:prstGeom prst="rect">
                            <a:avLst/>
                          </a:prstGeom>
                        </pic:spPr>
                      </pic:pic>
                    </a:graphicData>
                  </a:graphic>
                </wp:inline>
              </w:drawing>
            </w:r>
          </w:p>
        </w:tc>
      </w:tr>
      <w:tr w14:paraId="14C5D582">
        <w:tblPrEx>
          <w:tblCellMar>
            <w:top w:w="0" w:type="dxa"/>
            <w:left w:w="108" w:type="dxa"/>
            <w:bottom w:w="0" w:type="dxa"/>
            <w:right w:w="108" w:type="dxa"/>
          </w:tblCellMar>
        </w:tblPrEx>
        <w:trPr>
          <w:trHeight w:val="23" w:hRule="atLeast"/>
          <w:jc w:val="center"/>
        </w:trPr>
        <w:tc>
          <w:tcPr>
            <w:tcW w:w="2500" w:type="pct"/>
            <w:tcBorders>
              <w:right w:val="single" w:color="auto" w:sz="4" w:space="0"/>
            </w:tcBorders>
            <w:noWrap w:val="0"/>
            <w:vAlign w:val="center"/>
          </w:tcPr>
          <w:p w14:paraId="4A2FDA86">
            <w:pPr>
              <w:bidi w:val="0"/>
              <w:jc w:val="center"/>
              <w:rPr>
                <w:rFonts w:hint="default" w:ascii="宋体" w:hAnsi="宋体" w:eastAsia="宋体" w:cs="宋体"/>
                <w:b/>
                <w:bCs/>
                <w:color w:val="auto"/>
                <w:sz w:val="21"/>
                <w:szCs w:val="21"/>
                <w:u w:val="none"/>
                <w:lang w:val="en-US" w:eastAsia="zh-CN"/>
              </w:rPr>
            </w:pPr>
            <w:r>
              <w:rPr>
                <w:rFonts w:hint="eastAsia" w:ascii="宋体" w:hAnsi="宋体" w:cs="宋体"/>
                <w:b/>
                <w:bCs/>
                <w:color w:val="auto"/>
                <w:sz w:val="21"/>
                <w:szCs w:val="21"/>
                <w:u w:val="none"/>
                <w:lang w:val="en-US" w:eastAsia="zh-CN"/>
              </w:rPr>
              <w:t>莫109转油站</w:t>
            </w:r>
          </w:p>
        </w:tc>
        <w:tc>
          <w:tcPr>
            <w:tcW w:w="2500" w:type="pct"/>
            <w:tcBorders>
              <w:left w:val="single" w:color="auto" w:sz="4" w:space="0"/>
            </w:tcBorders>
            <w:noWrap w:val="0"/>
            <w:vAlign w:val="center"/>
          </w:tcPr>
          <w:p w14:paraId="45B9C15C">
            <w:pPr>
              <w:bidi w:val="0"/>
              <w:jc w:val="center"/>
              <w:rPr>
                <w:rFonts w:hint="default" w:ascii="宋体" w:hAnsi="宋体" w:eastAsia="宋体" w:cs="宋体"/>
                <w:b/>
                <w:bCs/>
                <w:color w:val="auto"/>
                <w:sz w:val="21"/>
                <w:szCs w:val="21"/>
                <w:u w:val="none"/>
                <w:lang w:val="en-US" w:eastAsia="zh-CN"/>
              </w:rPr>
            </w:pPr>
            <w:r>
              <w:rPr>
                <w:rFonts w:hint="eastAsia" w:ascii="宋体" w:hAnsi="宋体" w:cs="宋体"/>
                <w:b/>
                <w:bCs/>
                <w:color w:val="auto"/>
                <w:sz w:val="21"/>
                <w:szCs w:val="21"/>
                <w:u w:val="none"/>
                <w:lang w:val="en-US" w:eastAsia="zh-CN"/>
              </w:rPr>
              <w:t>莫109转油站周边</w:t>
            </w:r>
          </w:p>
        </w:tc>
      </w:tr>
    </w:tbl>
    <w:p w14:paraId="783F2AEA">
      <w:pPr>
        <w:jc w:val="center"/>
        <w:rPr>
          <w:rFonts w:ascii="Times New Roman" w:hAnsi="Times New Roman" w:cs="Times New Roman"/>
          <w:b/>
          <w:color w:val="auto"/>
          <w:sz w:val="32"/>
          <w:szCs w:val="32"/>
          <w:u w:val="none"/>
        </w:rPr>
        <w:sectPr>
          <w:headerReference r:id="rId3" w:type="default"/>
          <w:footerReference r:id="rId4" w:type="default"/>
          <w:pgSz w:w="11906" w:h="16838"/>
          <w:pgMar w:top="1474" w:right="1474" w:bottom="1474" w:left="1814" w:header="851" w:footer="992" w:gutter="0"/>
          <w:pgBorders>
            <w:top w:val="none" w:sz="0" w:space="0"/>
            <w:left w:val="none" w:sz="0" w:space="0"/>
            <w:bottom w:val="none" w:sz="0" w:space="0"/>
            <w:right w:val="none" w:sz="0" w:space="0"/>
          </w:pgBorders>
          <w:pgNumType w:fmt="decimal" w:start="1" w:chapStyle="1" w:chapSep="emDash"/>
          <w:cols w:space="720" w:num="1"/>
          <w:docGrid w:type="linesAndChars" w:linePitch="312" w:charSpace="0"/>
        </w:sectPr>
      </w:pPr>
    </w:p>
    <w:p w14:paraId="010197EE">
      <w:pPr>
        <w:jc w:val="center"/>
        <w:rPr>
          <w:rFonts w:ascii="Times New Roman" w:hAnsi="Times New Roman" w:cs="Times New Roman"/>
          <w:b/>
          <w:color w:val="auto"/>
          <w:sz w:val="32"/>
          <w:szCs w:val="32"/>
          <w:u w:val="none"/>
        </w:rPr>
      </w:pPr>
      <w:r>
        <w:rPr>
          <w:rFonts w:hint="eastAsia" w:ascii="黑体" w:hAnsi="黑体" w:eastAsia="黑体" w:cs="黑体"/>
          <w:b/>
          <w:color w:val="auto"/>
          <w:sz w:val="32"/>
          <w:szCs w:val="32"/>
          <w:u w:val="none"/>
        </w:rPr>
        <w:t>目</w:t>
      </w:r>
      <w:r>
        <w:rPr>
          <w:rFonts w:hint="eastAsia" w:ascii="黑体" w:hAnsi="黑体" w:eastAsia="黑体" w:cs="黑体"/>
          <w:b/>
          <w:color w:val="auto"/>
          <w:sz w:val="32"/>
          <w:szCs w:val="32"/>
          <w:u w:val="none"/>
          <w:lang w:val="en-US" w:eastAsia="zh-CN"/>
        </w:rPr>
        <w:t xml:space="preserve"> </w:t>
      </w:r>
      <w:r>
        <w:rPr>
          <w:rFonts w:hint="eastAsia" w:ascii="黑体" w:hAnsi="黑体" w:eastAsia="黑体" w:cs="黑体"/>
          <w:b/>
          <w:color w:val="auto"/>
          <w:sz w:val="32"/>
          <w:szCs w:val="32"/>
          <w:u w:val="none"/>
        </w:rPr>
        <w:t>录</w:t>
      </w:r>
    </w:p>
    <w:p w14:paraId="5DB4B77D">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TOC \o "1-2" \h \u </w:instrText>
      </w:r>
      <w:r>
        <w:rPr>
          <w:rFonts w:hint="eastAsia" w:ascii="宋体" w:hAnsi="宋体" w:eastAsia="宋体" w:cs="宋体"/>
          <w:color w:val="auto"/>
          <w:sz w:val="24"/>
          <w:szCs w:val="24"/>
          <w:u w:val="none"/>
        </w:rPr>
        <w:fldChar w:fldCharType="separate"/>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_Toc27178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1</w:t>
      </w:r>
      <w:r>
        <w:rPr>
          <w:rFonts w:hint="eastAsia" w:ascii="宋体" w:hAnsi="宋体" w:eastAsia="宋体" w:cs="宋体"/>
          <w:b/>
          <w:bCs/>
          <w:color w:val="auto"/>
          <w:sz w:val="24"/>
          <w:szCs w:val="24"/>
          <w:u w:val="none"/>
          <w:lang w:val="en-US" w:eastAsia="zh-CN"/>
        </w:rPr>
        <w:t xml:space="preserve"> </w:t>
      </w:r>
      <w:r>
        <w:rPr>
          <w:rFonts w:hint="eastAsia" w:ascii="宋体" w:hAnsi="宋体" w:eastAsia="宋体" w:cs="宋体"/>
          <w:b/>
          <w:bCs/>
          <w:color w:val="auto"/>
          <w:sz w:val="24"/>
          <w:szCs w:val="24"/>
          <w:u w:val="none"/>
        </w:rPr>
        <w:t>概述</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_Toc27178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1</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3F103E12">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_Toc642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1.1 建设项目特点</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_Toc642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6AFB2B8">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_Toc32254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1.2环境影响评价的工作过程</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_Toc32254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4390C84E">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_Toc561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1.3 分析判定相关情况</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_Toc561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2E1FF81">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_Toc1303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1.4 关注的主要环境问题和环境影响</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_Toc1303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5</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CAC548A">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_Toc13211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1.5 环境影响评价的主要结论</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_Toc13211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6</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84DE177">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_Toc4440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2</w:t>
      </w:r>
      <w:r>
        <w:rPr>
          <w:rFonts w:hint="eastAsia" w:ascii="宋体" w:hAnsi="宋体" w:eastAsia="宋体" w:cs="宋体"/>
          <w:b/>
          <w:bCs/>
          <w:color w:val="auto"/>
          <w:sz w:val="24"/>
          <w:szCs w:val="24"/>
          <w:u w:val="none"/>
          <w:lang w:val="en-US" w:eastAsia="zh-CN"/>
        </w:rPr>
        <w:t xml:space="preserve"> </w:t>
      </w:r>
      <w:r>
        <w:rPr>
          <w:rFonts w:hint="eastAsia" w:ascii="宋体" w:hAnsi="宋体" w:eastAsia="宋体" w:cs="宋体"/>
          <w:b/>
          <w:bCs/>
          <w:color w:val="auto"/>
          <w:sz w:val="24"/>
          <w:szCs w:val="24"/>
          <w:u w:val="none"/>
        </w:rPr>
        <w:t>总则</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_Toc4440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7</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0F5100BD">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_Toc20337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2.1 编制依据</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_Toc20337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7</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4C07F391">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_Toc5544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2.2评价目的与原则</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_Toc5544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12</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0AC9BE2">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_Toc28202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2.3 环境影响因素和评价因子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_Toc28202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13</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2EE18EC">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_Toc7460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2.4 环境功能区划及评价标准</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_Toc7460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17</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64ED6FE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_Toc30953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2.5 评价工作等级和评价范围</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_Toc30953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22</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52B7BED3">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_Toc13550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2.6 环境保护目标</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_Toc13550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32</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28D64203">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_Toc13969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2.7 评价内容和评价重点</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_Toc13969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32</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26DD4F00">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_Toc25989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2.8 评价时段和评价方法</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_Toc25989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34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42B57D6F">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_Toc32317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3</w:t>
      </w:r>
      <w:r>
        <w:rPr>
          <w:rFonts w:hint="eastAsia" w:ascii="宋体" w:hAnsi="宋体" w:eastAsia="宋体" w:cs="宋体"/>
          <w:b/>
          <w:bCs/>
          <w:color w:val="auto"/>
          <w:sz w:val="24"/>
          <w:szCs w:val="24"/>
          <w:u w:val="none"/>
          <w:lang w:val="en-US" w:eastAsia="zh-CN"/>
        </w:rPr>
        <w:t xml:space="preserve"> </w:t>
      </w:r>
      <w:r>
        <w:rPr>
          <w:rFonts w:hint="eastAsia" w:ascii="宋体" w:hAnsi="宋体" w:eastAsia="宋体" w:cs="宋体"/>
          <w:b/>
          <w:bCs/>
          <w:color w:val="auto"/>
          <w:sz w:val="24"/>
          <w:szCs w:val="24"/>
          <w:u w:val="none"/>
        </w:rPr>
        <w:t>建设项目工程分析</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_Toc32317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35</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6851BF09">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_Toc16329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3.1 区块开发现状及环境影响回顾</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_Toc16329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35</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407C55C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_Toc8892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3.2 现有工程</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_Toc8892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36</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43198DB7">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_Toc25358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3.3 拟建工程</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_Toc25358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44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E651D4E">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_Toc1737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3.4 工程分析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_Toc1737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68</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23FEB05E">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_Toc19700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3.5 相关政策法规、规划符合性分析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_Toc19700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101</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2BF0D947">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_Toc2063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3.6 选址选线合理性分析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_Toc2063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124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2A688AF">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_Toc2271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4</w:t>
      </w:r>
      <w:r>
        <w:rPr>
          <w:rFonts w:hint="eastAsia" w:ascii="宋体" w:hAnsi="宋体" w:eastAsia="宋体" w:cs="宋体"/>
          <w:b/>
          <w:bCs/>
          <w:color w:val="auto"/>
          <w:sz w:val="24"/>
          <w:szCs w:val="24"/>
          <w:u w:val="none"/>
          <w:lang w:val="en-US" w:eastAsia="zh-CN"/>
        </w:rPr>
        <w:t xml:space="preserve"> </w:t>
      </w:r>
      <w:r>
        <w:rPr>
          <w:rFonts w:hint="eastAsia" w:ascii="宋体" w:hAnsi="宋体" w:eastAsia="宋体" w:cs="宋体"/>
          <w:b/>
          <w:bCs/>
          <w:color w:val="auto"/>
          <w:sz w:val="24"/>
          <w:szCs w:val="24"/>
          <w:u w:val="none"/>
        </w:rPr>
        <w:t>环境现状调查与评价</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_Toc2271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125</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48C30658">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_Toc7991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4.1 自然环境概况</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_Toc7991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125</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4DC23C8B">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_Toc17473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4.2 生态现状调查与评价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_Toc17473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128</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E83B09F">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_Toc17820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4.3 地下水环境现状调查与评价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_Toc17820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140</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E1472B8">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_Toc13841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4.4 地表水环境现状调查与评价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_Toc13841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144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2BD60017">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_Toc30033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4.5 土壤环境现状调查与评价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_Toc30033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144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3CA99010">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sectPr>
          <w:footerReference r:id="rId5" w:type="default"/>
          <w:pgSz w:w="11906" w:h="16838"/>
          <w:pgMar w:top="1474" w:right="1474" w:bottom="1474" w:left="1814" w:header="851" w:footer="992" w:gutter="0"/>
          <w:pgBorders>
            <w:top w:val="none" w:sz="0" w:space="0"/>
            <w:left w:val="none" w:sz="0" w:space="0"/>
            <w:bottom w:val="none" w:sz="0" w:space="0"/>
            <w:right w:val="none" w:sz="0" w:space="0"/>
          </w:pgBorders>
          <w:pgNumType w:fmt="decimal" w:start="1" w:chapStyle="1" w:chapSep="emDash"/>
          <w:cols w:space="720" w:num="1"/>
          <w:docGrid w:type="linesAndChars" w:linePitch="312" w:charSpace="0"/>
        </w:sectPr>
      </w:pPr>
    </w:p>
    <w:p w14:paraId="457AFBB9">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_Toc31526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4.6 大气环境现状调查与评价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_Toc31526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153</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42950B4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_Toc32410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4.7 声环境现状调查与评价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_Toc32410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158</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1E246925">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_Toc22101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5</w:t>
      </w:r>
      <w:r>
        <w:rPr>
          <w:rFonts w:hint="eastAsia" w:ascii="宋体" w:hAnsi="宋体" w:eastAsia="宋体" w:cs="宋体"/>
          <w:b/>
          <w:bCs/>
          <w:color w:val="auto"/>
          <w:sz w:val="24"/>
          <w:szCs w:val="24"/>
          <w:u w:val="none"/>
          <w:lang w:val="en-US" w:eastAsia="zh-CN"/>
        </w:rPr>
        <w:t xml:space="preserve"> </w:t>
      </w:r>
      <w:r>
        <w:rPr>
          <w:rFonts w:hint="eastAsia" w:ascii="宋体" w:hAnsi="宋体" w:eastAsia="宋体" w:cs="宋体"/>
          <w:b/>
          <w:bCs/>
          <w:color w:val="auto"/>
          <w:sz w:val="24"/>
          <w:szCs w:val="24"/>
          <w:u w:val="none"/>
        </w:rPr>
        <w:t>环境影响预测与评价</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_Toc22101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160</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383832FB">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_Toc1555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5.1 生态影响分析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_Toc1555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160</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46BC48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_Toc31353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5.2 地下水环境影响评价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_Toc31353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168</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60F23D51">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_Toc22802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5.3 地表水环境影响评价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_Toc22802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173</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230E503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_Toc30167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5.4 土壤环境影响评价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_Toc30167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173</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68C7958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_Toc29189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5.5 大气环境影响评价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_Toc29189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182</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3A7E80FC">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_Toc20856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5.6 声环境影响评价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_Toc20856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190</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01BD54D">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_Toc5340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5.7 固体废物影响分析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_Toc5340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195</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6A4AAF53">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_Toc19561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5.8 环境风险评价</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_Toc19561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199</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66E4177">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_Toc27592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6</w:t>
      </w:r>
      <w:r>
        <w:rPr>
          <w:rFonts w:hint="eastAsia" w:ascii="宋体" w:hAnsi="宋体" w:eastAsia="宋体" w:cs="宋体"/>
          <w:b/>
          <w:bCs/>
          <w:color w:val="auto"/>
          <w:sz w:val="24"/>
          <w:szCs w:val="24"/>
          <w:u w:val="none"/>
          <w:lang w:val="en-US" w:eastAsia="zh-CN"/>
        </w:rPr>
        <w:t xml:space="preserve"> </w:t>
      </w:r>
      <w:r>
        <w:rPr>
          <w:rFonts w:hint="eastAsia" w:ascii="宋体" w:hAnsi="宋体" w:eastAsia="宋体" w:cs="宋体"/>
          <w:b/>
          <w:bCs/>
          <w:color w:val="auto"/>
          <w:sz w:val="24"/>
          <w:szCs w:val="24"/>
          <w:u w:val="none"/>
        </w:rPr>
        <w:t>环境保护措施可行性论证</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_Toc27592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224</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0C4CE060">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_Toc6668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6.1 生态保护措施可行性论证</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_Toc6668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224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95F3045">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_Toc3786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6.2 地下水环境保护措施可行性论证</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_Toc3786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235</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166CBE05">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_Toc989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6.3 地表水环境保护措施可行性论证</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_Toc989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241</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237BF45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_Toc29934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6.4 土壤环境保护措施可行性论证</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_Toc29934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241</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9DF40A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_Toc4687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6.5 大气环境保护措施可行性论证</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_Toc4687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244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445A2EA9">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_Toc1059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6.6 声环境保护措施可行性论证</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_Toc1059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246</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3E27062C">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_Toc15794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6.7 固体废物处理措施可行性论证</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_Toc15794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247</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1831DE4">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_Toc23823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kern w:val="44"/>
          <w:sz w:val="24"/>
          <w:szCs w:val="24"/>
          <w:highlight w:val="none"/>
          <w:u w:val="none"/>
          <w:lang w:val="en-US" w:eastAsia="zh-CN" w:bidi="ar-SA"/>
        </w:rPr>
        <w:t>7 温室气体排放影响评价</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_Toc23823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253</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27FFB1C3">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_Toc28491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7.1 温室气体排放分析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_Toc28491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253</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9CE9013">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_Toc10835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7.2 减污降碳措施</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_Toc10835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260</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B2BD9B1">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_Toc7156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7.3 温室气体排放评价结论</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_Toc7156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260</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2EC6DA59">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_Toc14104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kern w:val="44"/>
          <w:sz w:val="24"/>
          <w:szCs w:val="24"/>
          <w:highlight w:val="none"/>
          <w:u w:val="none"/>
          <w:lang w:val="en-US" w:eastAsia="zh-CN" w:bidi="ar-SA"/>
        </w:rPr>
        <w:t>8 环境影响经济损益分析</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_Toc14104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261</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204D41D9">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_Toc19717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8.1 环境效益分析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_Toc19717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261</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E0082A8">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_Toc28384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8.2 社会效益分析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_Toc28384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262</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112F171">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_Toc20829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8.3 综合效益分析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_Toc20829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263</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456A29C7">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_Toc14567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8.4环境经济损益分析结论</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_Toc14567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264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FE71811">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_Toc24506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kern w:val="44"/>
          <w:sz w:val="24"/>
          <w:szCs w:val="24"/>
          <w:highlight w:val="none"/>
          <w:u w:val="none"/>
          <w:lang w:val="en-US" w:eastAsia="zh-CN" w:bidi="ar-SA"/>
        </w:rPr>
        <w:t>9.环境管理与监测计划</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_Toc24506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265</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0C582906">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sectPr>
          <w:footerReference r:id="rId6" w:type="default"/>
          <w:pgSz w:w="11906" w:h="16838"/>
          <w:pgMar w:top="1474" w:right="1474" w:bottom="1474" w:left="1814" w:header="851" w:footer="992" w:gutter="0"/>
          <w:pgBorders>
            <w:top w:val="none" w:sz="0" w:space="0"/>
            <w:left w:val="none" w:sz="0" w:space="0"/>
            <w:bottom w:val="none" w:sz="0" w:space="0"/>
            <w:right w:val="none" w:sz="0" w:space="0"/>
          </w:pgBorders>
          <w:pgNumType w:fmt="decimal" w:start="1" w:chapStyle="1" w:chapSep="emDash"/>
          <w:cols w:space="720" w:num="1"/>
          <w:docGrid w:type="linesAndChars" w:linePitch="312" w:charSpace="0"/>
        </w:sectPr>
      </w:pPr>
    </w:p>
    <w:p w14:paraId="063AAE19">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_Toc29600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9.1环境管理</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_Toc29600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265</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5D91CA8F">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_Toc31936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9.2企业环境信息披露</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_Toc31936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270</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66AC0E6">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_Toc14613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9.3污染物排放清单</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_Toc14613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271</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5A1E78A9">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_Toc19048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9.4生态环境监测</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_Toc19048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273</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283C5679">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_Toc6954 </w:instrText>
      </w:r>
      <w:r>
        <w:rPr>
          <w:rFonts w:hint="eastAsia" w:ascii="宋体" w:hAnsi="宋体" w:eastAsia="宋体" w:cs="宋体"/>
          <w:color w:val="auto"/>
          <w:sz w:val="24"/>
          <w:szCs w:val="24"/>
          <w:u w:val="none"/>
        </w:rPr>
        <w:fldChar w:fldCharType="separate"/>
      </w:r>
      <w:r>
        <w:rPr>
          <w:rFonts w:hint="eastAsia" w:ascii="宋体" w:hAnsi="宋体" w:eastAsia="宋体" w:cs="宋体"/>
          <w:bCs w:val="0"/>
          <w:color w:val="auto"/>
          <w:kern w:val="44"/>
          <w:sz w:val="24"/>
          <w:szCs w:val="24"/>
          <w:highlight w:val="none"/>
          <w:u w:val="none"/>
          <w:lang w:val="en-US" w:eastAsia="zh-CN" w:bidi="ar-SA"/>
        </w:rPr>
        <w:t>9.5环保设施“三同时”验收</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_Toc6954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274</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61E24F5C">
      <w:pPr>
        <w:pStyle w:val="25"/>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HYPERLINK \l _Toc21416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lang w:val="en-US" w:eastAsia="zh-CN"/>
        </w:rPr>
        <w:t>10 结论与建议</w:t>
      </w:r>
      <w:r>
        <w:rPr>
          <w:rFonts w:hint="eastAsia" w:ascii="宋体" w:hAnsi="宋体" w:eastAsia="宋体" w:cs="宋体"/>
          <w:b/>
          <w:bCs/>
          <w:color w:val="auto"/>
          <w:sz w:val="24"/>
          <w:szCs w:val="24"/>
          <w:u w:val="none"/>
        </w:rPr>
        <w:tab/>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u w:val="none"/>
        </w:rPr>
        <w:instrText xml:space="preserve"> PAGEREF _Toc21416 \h </w:instrText>
      </w:r>
      <w:r>
        <w:rPr>
          <w:rFonts w:hint="eastAsia" w:ascii="宋体" w:hAnsi="宋体" w:eastAsia="宋体" w:cs="宋体"/>
          <w:b/>
          <w:bCs/>
          <w:color w:val="auto"/>
          <w:sz w:val="24"/>
          <w:szCs w:val="24"/>
          <w:u w:val="none"/>
        </w:rPr>
        <w:fldChar w:fldCharType="separate"/>
      </w:r>
      <w:r>
        <w:rPr>
          <w:rFonts w:hint="eastAsia" w:ascii="宋体" w:hAnsi="宋体" w:eastAsia="宋体" w:cs="宋体"/>
          <w:b/>
          <w:bCs/>
          <w:color w:val="auto"/>
          <w:sz w:val="24"/>
          <w:szCs w:val="24"/>
          <w:u w:val="none"/>
        </w:rPr>
        <w:t>279</w:t>
      </w:r>
      <w:r>
        <w:rPr>
          <w:rFonts w:hint="eastAsia" w:ascii="宋体" w:hAnsi="宋体" w:eastAsia="宋体" w:cs="宋体"/>
          <w:b/>
          <w:bCs/>
          <w:color w:val="auto"/>
          <w:sz w:val="24"/>
          <w:szCs w:val="24"/>
          <w:u w:val="none"/>
        </w:rPr>
        <w:fldChar w:fldCharType="end"/>
      </w:r>
      <w:r>
        <w:rPr>
          <w:rFonts w:hint="eastAsia" w:ascii="宋体" w:hAnsi="宋体" w:eastAsia="宋体" w:cs="宋体"/>
          <w:b/>
          <w:bCs/>
          <w:color w:val="auto"/>
          <w:sz w:val="24"/>
          <w:szCs w:val="24"/>
          <w:u w:val="none"/>
        </w:rPr>
        <w:fldChar w:fldCharType="end"/>
      </w:r>
    </w:p>
    <w:p w14:paraId="6852F8C0">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_Toc16147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10.1 建设项目情况</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_Toc16147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279</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6D2C49B6">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_Toc16016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10.2 产业政策、选址符合性</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_Toc16016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279</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7F404972">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_Toc14730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10.3 环境质量现状</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_Toc14730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281</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264294C">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_Toc24636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10.4 污染物排放情况</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_Toc24636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282</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37C67F7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_Toc22905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10.5 主要环境影响</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_Toc22905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283</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35E60594">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_Toc18746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10.6 环境保护措施</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_Toc18746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286</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54EFEC6A">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_Toc15673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10.7 公众意见采纳情况</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_Toc15673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288</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5FFA6AED">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_Toc22117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10.8 环境影响经济损益分析</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_Toc22117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288</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FA52C9C">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_Toc11930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10.9 环境管理与监测计划</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_Toc11930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288</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37BC7D01">
      <w:pPr>
        <w:pStyle w:val="31"/>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color w:val="auto"/>
          <w:u w:val="none"/>
        </w:rPr>
      </w:pP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_Toc28987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lang w:val="en-US" w:eastAsia="zh-CN"/>
        </w:rPr>
        <w:t>10.10 项目可行性结论</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PAGEREF _Toc28987 \h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t>289</w:t>
      </w:r>
      <w:r>
        <w:rPr>
          <w:rFonts w:hint="eastAsia" w:ascii="宋体" w:hAnsi="宋体" w:eastAsia="宋体" w:cs="宋体"/>
          <w:color w:val="auto"/>
          <w:sz w:val="24"/>
          <w:szCs w:val="24"/>
          <w:u w:val="none"/>
        </w:rPr>
        <w:fldChar w:fldCharType="end"/>
      </w:r>
      <w:r>
        <w:rPr>
          <w:rFonts w:hint="eastAsia" w:ascii="宋体" w:hAnsi="宋体" w:eastAsia="宋体" w:cs="宋体"/>
          <w:color w:val="auto"/>
          <w:sz w:val="24"/>
          <w:szCs w:val="24"/>
          <w:u w:val="none"/>
        </w:rPr>
        <w:fldChar w:fldCharType="end"/>
      </w:r>
    </w:p>
    <w:p w14:paraId="07E0DD07">
      <w:pPr>
        <w:keepNext w:val="0"/>
        <w:keepLines w:val="0"/>
        <w:pageBreakBefore w:val="0"/>
        <w:widowControl w:val="0"/>
        <w:kinsoku/>
        <w:wordWrap/>
        <w:overflowPunct/>
        <w:topLinePunct w:val="0"/>
        <w:autoSpaceDE/>
        <w:autoSpaceDN/>
        <w:bidi w:val="0"/>
        <w:adjustRightInd/>
        <w:snapToGrid/>
        <w:spacing w:line="424" w:lineRule="exact"/>
        <w:textAlignment w:val="auto"/>
        <w:rPr>
          <w:rFonts w:hint="eastAsia" w:ascii="宋体" w:hAnsi="宋体" w:eastAsia="宋体" w:cs="宋体"/>
          <w:color w:val="auto"/>
          <w:sz w:val="24"/>
          <w:szCs w:val="24"/>
          <w:u w:val="none"/>
        </w:rPr>
      </w:pPr>
      <w:r>
        <w:rPr>
          <w:rFonts w:hint="eastAsia" w:ascii="宋体" w:hAnsi="宋体" w:eastAsia="宋体" w:cs="宋体"/>
          <w:color w:val="auto"/>
          <w:szCs w:val="24"/>
          <w:u w:val="none"/>
        </w:rPr>
        <w:fldChar w:fldCharType="end"/>
      </w:r>
      <w:bookmarkEnd w:id="0"/>
      <w:bookmarkStart w:id="1" w:name="_Toc749"/>
      <w:bookmarkStart w:id="2" w:name="_Toc25084"/>
      <w:bookmarkStart w:id="3" w:name="_Toc9141"/>
      <w:bookmarkStart w:id="4" w:name="_Toc29953"/>
      <w:bookmarkStart w:id="5" w:name="_Toc17746"/>
      <w:bookmarkStart w:id="6" w:name="_Toc16734"/>
      <w:bookmarkStart w:id="7" w:name="_Toc2572"/>
    </w:p>
    <w:p w14:paraId="411D21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color w:val="auto"/>
          <w:sz w:val="21"/>
          <w:szCs w:val="24"/>
          <w:u w:val="none"/>
          <w:lang w:eastAsia="zh-CN"/>
        </w:rPr>
      </w:pPr>
      <w:r>
        <w:rPr>
          <w:rFonts w:hint="default" w:ascii="Times New Roman" w:hAnsi="Times New Roman" w:cs="Times New Roman"/>
          <w:b/>
          <w:bCs/>
          <w:color w:val="auto"/>
          <w:sz w:val="24"/>
          <w:szCs w:val="24"/>
          <w:u w:val="none"/>
        </w:rPr>
        <w:t>附件</w:t>
      </w:r>
      <w:bookmarkEnd w:id="1"/>
      <w:bookmarkEnd w:id="2"/>
      <w:bookmarkEnd w:id="3"/>
      <w:bookmarkEnd w:id="4"/>
      <w:bookmarkEnd w:id="5"/>
      <w:bookmarkEnd w:id="6"/>
      <w:bookmarkEnd w:id="7"/>
      <w:r>
        <w:rPr>
          <w:rFonts w:hint="eastAsia" w:ascii="Times New Roman" w:hAnsi="Times New Roman" w:cs="Times New Roman"/>
          <w:b/>
          <w:bCs/>
          <w:color w:val="auto"/>
          <w:sz w:val="24"/>
          <w:szCs w:val="24"/>
          <w:u w:val="none"/>
          <w:lang w:eastAsia="zh-CN"/>
        </w:rPr>
        <w:t>：</w:t>
      </w:r>
    </w:p>
    <w:p w14:paraId="794538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附件1 委托书</w:t>
      </w:r>
    </w:p>
    <w:p w14:paraId="07C8DC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eastAsia="宋体" w:cs="宋体"/>
          <w:color w:val="auto"/>
          <w:sz w:val="24"/>
          <w:szCs w:val="24"/>
          <w:u w:val="none"/>
          <w:lang w:val="en-US" w:eastAsia="zh-CN"/>
        </w:rPr>
        <w:t>附件2 关于中国石油新疆油田分公司莫北油田莫116井区2011年开发建设项目环境影响报告书的批复</w:t>
      </w:r>
      <w:r>
        <w:rPr>
          <w:rFonts w:hint="eastAsia" w:ascii="宋体" w:hAnsi="宋体" w:cs="宋体"/>
          <w:color w:val="auto"/>
          <w:sz w:val="24"/>
          <w:szCs w:val="24"/>
          <w:u w:val="none"/>
          <w:lang w:val="en-US" w:eastAsia="zh-CN"/>
        </w:rPr>
        <w:t>（新环评价函〔2012〕388号）</w:t>
      </w:r>
    </w:p>
    <w:p w14:paraId="60D69D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附件3 关于中国石油新疆油田分公司莫北油田莫116井区2011年开发建设项目竣工环境环保验收合格函（新环函〔2016〕1297号）</w:t>
      </w:r>
    </w:p>
    <w:p w14:paraId="06C58A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附件4 关于中国石油新疆油田分公司莫北油田莫116井区2012年产能建设项目环境影响报告书的批复（新环评价函〔2013〕382号）</w:t>
      </w:r>
    </w:p>
    <w:p w14:paraId="69DCFF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附件5 关于中国石油新疆油田分公司莫北油田莫116井区2012年产能建设项目竣工环境保护验收合格的函（新环函〔2016〕1296号）</w:t>
      </w:r>
    </w:p>
    <w:p w14:paraId="789247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附件6 关于新疆油田分公司莫7-莫11井区开发建设项目环境影响报告表的审批意见（新环监建函〔2008〕03号）</w:t>
      </w:r>
    </w:p>
    <w:p w14:paraId="5032FF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sectPr>
          <w:footerReference r:id="rId7" w:type="default"/>
          <w:pgSz w:w="11906" w:h="16838"/>
          <w:pgMar w:top="1474" w:right="1474" w:bottom="1474" w:left="1814" w:header="851" w:footer="992" w:gutter="0"/>
          <w:pgBorders>
            <w:top w:val="none" w:sz="0" w:space="0"/>
            <w:left w:val="none" w:sz="0" w:space="0"/>
            <w:bottom w:val="none" w:sz="0" w:space="0"/>
            <w:right w:val="none" w:sz="0" w:space="0"/>
          </w:pgBorders>
          <w:pgNumType w:fmt="decimal" w:start="1" w:chapStyle="1" w:chapSep="emDash"/>
          <w:cols w:space="720" w:num="1"/>
          <w:docGrid w:type="linesAndChars" w:linePitch="312" w:charSpace="0"/>
        </w:sectPr>
      </w:pPr>
    </w:p>
    <w:p w14:paraId="4EE2EB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附件7 关于新疆油田分公司莫7井-莫11井区开发建设项目竣工环境保护验收意见的函（新环评价函〔2010〕828号）</w:t>
      </w:r>
    </w:p>
    <w:p w14:paraId="5E6252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附件8 关于中国石油新疆油田分公司石西油田作业区莫北转油站油水处理系统改造完善工程环境影响报告书的批复（新环函〔2016〕560号）</w:t>
      </w:r>
    </w:p>
    <w:p w14:paraId="40B8AF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附件9 莫北转油站油水处理系统改造完善工程竣工环境保护验收意见</w:t>
      </w:r>
    </w:p>
    <w:p w14:paraId="5609E0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附件10 关于对新疆油田陆梁和石西原油密闭处理与稳定改造工程（石西部分）环境影响报告表的批复（和生环评函字〔2019〕27号）</w:t>
      </w:r>
    </w:p>
    <w:p w14:paraId="3905A3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附件11 突发环境事件应急预案备案表</w:t>
      </w:r>
    </w:p>
    <w:p w14:paraId="3B34CF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附件12天然气检测报告</w:t>
      </w:r>
    </w:p>
    <w:p w14:paraId="1F34F3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u w:val="none"/>
          <w:lang w:val="en-US" w:eastAsia="zh-CN"/>
        </w:rPr>
      </w:pPr>
      <w:r>
        <w:rPr>
          <w:rFonts w:hint="eastAsia" w:ascii="宋体" w:hAnsi="宋体" w:cs="宋体"/>
          <w:color w:val="auto"/>
          <w:sz w:val="24"/>
          <w:szCs w:val="24"/>
          <w:u w:val="none"/>
          <w:lang w:val="en-US" w:eastAsia="zh-CN"/>
        </w:rPr>
        <w:t>附件13 检测报告</w:t>
      </w:r>
    </w:p>
    <w:p w14:paraId="02737952">
      <w:pPr>
        <w:pStyle w:val="50"/>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u w:val="none"/>
        </w:rPr>
        <w:sectPr>
          <w:footerReference r:id="rId8" w:type="default"/>
          <w:pgSz w:w="11906" w:h="16838"/>
          <w:pgMar w:top="1474" w:right="1474" w:bottom="1474" w:left="1814" w:header="851" w:footer="992" w:gutter="0"/>
          <w:pgBorders>
            <w:top w:val="none" w:sz="0" w:space="0"/>
            <w:left w:val="none" w:sz="0" w:space="0"/>
            <w:bottom w:val="none" w:sz="0" w:space="0"/>
            <w:right w:val="none" w:sz="0" w:space="0"/>
          </w:pgBorders>
          <w:pgNumType w:fmt="decimal" w:start="1" w:chapStyle="1" w:chapSep="emDash"/>
          <w:cols w:space="720" w:num="1"/>
          <w:docGrid w:type="linesAndChars" w:linePitch="312" w:charSpace="0"/>
        </w:sectPr>
      </w:pPr>
      <w:bookmarkStart w:id="8" w:name="_Toc109382901"/>
      <w:bookmarkStart w:id="9" w:name="_Toc15885"/>
    </w:p>
    <w:p w14:paraId="7FCF3AD4">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rPr>
          <w:rFonts w:hint="default" w:ascii="Times New Roman" w:hAnsi="Times New Roman" w:cs="Times New Roman"/>
          <w:color w:val="auto"/>
          <w:u w:val="none"/>
        </w:rPr>
      </w:pPr>
      <w:bookmarkStart w:id="10" w:name="_Toc27178"/>
      <w:r>
        <w:rPr>
          <w:rFonts w:hint="eastAsia" w:ascii="黑体" w:hAnsi="黑体" w:eastAsia="黑体" w:cs="黑体"/>
          <w:color w:val="auto"/>
          <w:sz w:val="32"/>
          <w:szCs w:val="32"/>
          <w:u w:val="none"/>
        </w:rPr>
        <w:t>1</w:t>
      </w:r>
      <w:r>
        <w:rPr>
          <w:rFonts w:hint="eastAsia" w:ascii="黑体" w:hAnsi="黑体" w:eastAsia="黑体" w:cs="黑体"/>
          <w:color w:val="auto"/>
          <w:sz w:val="32"/>
          <w:szCs w:val="32"/>
          <w:u w:val="none"/>
          <w:lang w:val="en-US" w:eastAsia="zh-CN"/>
        </w:rPr>
        <w:t xml:space="preserve"> </w:t>
      </w:r>
      <w:r>
        <w:rPr>
          <w:rFonts w:hint="eastAsia" w:ascii="黑体" w:hAnsi="黑体" w:eastAsia="黑体" w:cs="黑体"/>
          <w:color w:val="auto"/>
          <w:sz w:val="32"/>
          <w:szCs w:val="32"/>
          <w:u w:val="none"/>
        </w:rPr>
        <w:t>概述</w:t>
      </w:r>
      <w:bookmarkEnd w:id="8"/>
      <w:bookmarkEnd w:id="9"/>
      <w:bookmarkEnd w:id="10"/>
    </w:p>
    <w:p w14:paraId="3A092A5C">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11" w:name="_Toc508291867"/>
      <w:bookmarkStart w:id="12" w:name="_Toc642"/>
      <w:bookmarkStart w:id="13" w:name="_Toc23822"/>
      <w:bookmarkStart w:id="14" w:name="_Toc109382902"/>
      <w:bookmarkStart w:id="15" w:name="_Toc22563"/>
      <w:r>
        <w:rPr>
          <w:rFonts w:hint="default" w:ascii="黑体" w:hAnsi="黑体" w:eastAsia="黑体" w:cs="黑体"/>
          <w:color w:val="auto"/>
          <w:sz w:val="28"/>
          <w:szCs w:val="28"/>
          <w:u w:val="none"/>
          <w:lang w:val="en-US" w:eastAsia="zh-CN"/>
        </w:rPr>
        <w:t>1.1</w:t>
      </w:r>
      <w:bookmarkEnd w:id="11"/>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建设项目特点</w:t>
      </w:r>
      <w:bookmarkEnd w:id="12"/>
      <w:bookmarkEnd w:id="13"/>
      <w:bookmarkEnd w:id="14"/>
      <w:bookmarkEnd w:id="15"/>
    </w:p>
    <w:p w14:paraId="0BDD8741">
      <w:pPr>
        <w:pStyle w:val="174"/>
        <w:bidi w:val="0"/>
        <w:rPr>
          <w:rFonts w:hint="eastAsia"/>
          <w:color w:val="auto"/>
          <w:u w:val="none"/>
          <w:lang w:val="en-US" w:eastAsia="zh-CN"/>
        </w:rPr>
      </w:pPr>
      <w:r>
        <w:rPr>
          <w:rFonts w:hint="eastAsia"/>
          <w:color w:val="auto"/>
          <w:u w:val="none"/>
          <w:lang w:val="en-US" w:eastAsia="zh-CN"/>
        </w:rPr>
        <w:t>莫北油田莫116井区位于呼图壁县城中心北侧约104km，莫北转油站西南侧约16km，行政隶属昌吉回族自治州呼图壁县。该区地表为固定、半固定沙丘覆盖，地势起伏较大，地面海拔约360m～440m，平均400m。该区年温差为-40℃～40℃，降雨量小，蒸发量大，属大陆性干旱气候。工区靠近莫北气田，交通、水、电便利，具备较好的地面开发条件。</w:t>
      </w:r>
    </w:p>
    <w:p w14:paraId="77B39C2B">
      <w:pPr>
        <w:pStyle w:val="174"/>
        <w:bidi w:val="0"/>
        <w:rPr>
          <w:rFonts w:hint="default"/>
          <w:color w:val="auto"/>
          <w:u w:val="none"/>
          <w:lang w:val="en-US" w:eastAsia="zh-CN"/>
        </w:rPr>
      </w:pPr>
      <w:r>
        <w:rPr>
          <w:rFonts w:hint="eastAsia"/>
          <w:color w:val="auto"/>
          <w:u w:val="none"/>
          <w:lang w:val="en-US" w:eastAsia="zh-CN"/>
        </w:rPr>
        <w:t>为进一步加大莫116井区开发力度，为北疆民生用气提供安全保障，中国石油新疆油田分公司决定实施莫北油田莫116井区侏罗系三工河组气藏产能建设项目，</w:t>
      </w:r>
      <w:r>
        <w:rPr>
          <w:rFonts w:hint="eastAsia"/>
          <w:color w:val="auto"/>
          <w:u w:val="none"/>
        </w:rPr>
        <w:t>新钻采气井3口（MBHW6006井、MBHW6008井、MBHW6009井），钻井进尺16830m，新建单井采气管线7.4km，对莫109转油站进行改造，配套建设电气、自控、通信、防腐、消防等工程。</w:t>
      </w:r>
    </w:p>
    <w:p w14:paraId="1614DEC1">
      <w:pPr>
        <w:pStyle w:val="174"/>
        <w:bidi w:val="0"/>
        <w:rPr>
          <w:rFonts w:hint="default" w:ascii="Times New Roman" w:hAnsi="Times New Roman" w:cs="Times New Roman"/>
          <w:color w:val="auto"/>
          <w:szCs w:val="24"/>
          <w:u w:val="none"/>
        </w:rPr>
      </w:pPr>
      <w:r>
        <w:rPr>
          <w:rFonts w:hint="eastAsia"/>
          <w:color w:val="auto"/>
          <w:u w:val="none"/>
        </w:rPr>
        <w:t>本工程建设性质为改扩建，属于老区块开发。工程建设对于满足油</w:t>
      </w:r>
      <w:r>
        <w:rPr>
          <w:rFonts w:hint="eastAsia"/>
          <w:color w:val="auto"/>
          <w:u w:val="none"/>
          <w:lang w:val="en-US" w:eastAsia="zh-CN"/>
        </w:rPr>
        <w:t>气</w:t>
      </w:r>
      <w:r>
        <w:rPr>
          <w:rFonts w:hint="eastAsia"/>
          <w:color w:val="auto"/>
          <w:u w:val="none"/>
        </w:rPr>
        <w:t>田开发需要、</w:t>
      </w:r>
      <w:r>
        <w:rPr>
          <w:rFonts w:hint="eastAsia"/>
          <w:color w:val="auto"/>
          <w:u w:val="none"/>
          <w:lang w:val="en-US" w:eastAsia="zh-CN"/>
        </w:rPr>
        <w:t>减少污染物排放、</w:t>
      </w:r>
      <w:r>
        <w:rPr>
          <w:rFonts w:hint="eastAsia"/>
          <w:color w:val="auto"/>
          <w:u w:val="none"/>
        </w:rPr>
        <w:t>保障油</w:t>
      </w:r>
      <w:r>
        <w:rPr>
          <w:rFonts w:hint="eastAsia"/>
          <w:color w:val="auto"/>
          <w:u w:val="none"/>
          <w:lang w:val="en-US" w:eastAsia="zh-CN"/>
        </w:rPr>
        <w:t>气</w:t>
      </w:r>
      <w:r>
        <w:rPr>
          <w:rFonts w:hint="eastAsia"/>
          <w:color w:val="auto"/>
          <w:u w:val="none"/>
        </w:rPr>
        <w:t>田的可持续发展，提高油田整体效益具有十分重要的意义。</w:t>
      </w:r>
    </w:p>
    <w:p w14:paraId="2481400D">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16" w:name="_Toc508291868"/>
      <w:bookmarkStart w:id="17" w:name="_Toc15953"/>
      <w:bookmarkStart w:id="18" w:name="_Toc32254"/>
      <w:bookmarkStart w:id="19" w:name="_Toc109382903"/>
      <w:bookmarkStart w:id="20" w:name="_Toc14846"/>
      <w:r>
        <w:rPr>
          <w:rFonts w:hint="default" w:ascii="黑体" w:hAnsi="黑体" w:eastAsia="黑体" w:cs="黑体"/>
          <w:color w:val="auto"/>
          <w:sz w:val="28"/>
          <w:szCs w:val="28"/>
          <w:u w:val="none"/>
          <w:lang w:val="en-US" w:eastAsia="zh-CN"/>
        </w:rPr>
        <w:t>1.2</w:t>
      </w:r>
      <w:bookmarkEnd w:id="16"/>
      <w:r>
        <w:rPr>
          <w:rFonts w:hint="default" w:ascii="黑体" w:hAnsi="黑体" w:eastAsia="黑体" w:cs="黑体"/>
          <w:color w:val="auto"/>
          <w:sz w:val="28"/>
          <w:szCs w:val="28"/>
          <w:u w:val="none"/>
          <w:lang w:val="en-US" w:eastAsia="zh-CN"/>
        </w:rPr>
        <w:t>环境影响评价的工作过程</w:t>
      </w:r>
      <w:bookmarkEnd w:id="17"/>
      <w:bookmarkEnd w:id="18"/>
      <w:bookmarkEnd w:id="19"/>
      <w:bookmarkEnd w:id="20"/>
    </w:p>
    <w:p w14:paraId="3D4EA5ED">
      <w:pPr>
        <w:pStyle w:val="174"/>
        <w:keepNext w:val="0"/>
        <w:keepLines w:val="0"/>
        <w:pageBreakBefore w:val="0"/>
        <w:widowControl/>
        <w:kinsoku/>
        <w:wordWrap/>
        <w:overflowPunct/>
        <w:topLinePunct w:val="0"/>
        <w:autoSpaceDE/>
        <w:autoSpaceDN/>
        <w:bidi w:val="0"/>
        <w:adjustRightInd/>
        <w:snapToGrid/>
        <w:textAlignment w:val="auto"/>
        <w:rPr>
          <w:rFonts w:hint="eastAsia" w:eastAsia="宋体"/>
          <w:color w:val="auto"/>
          <w:u w:val="none"/>
          <w:lang w:eastAsia="zh-CN"/>
        </w:rPr>
      </w:pPr>
      <w:r>
        <w:rPr>
          <w:rFonts w:hint="eastAsia"/>
          <w:color w:val="auto"/>
          <w:u w:val="none"/>
          <w:lang w:val="en-US" w:eastAsia="zh-CN"/>
        </w:rPr>
        <w:t>本</w:t>
      </w:r>
      <w:r>
        <w:rPr>
          <w:rFonts w:hint="default"/>
          <w:color w:val="auto"/>
          <w:u w:val="none"/>
        </w:rPr>
        <w:t>工程为油气开采项目，所有工程均在已开发油区范围内，为老区块改建项目。根据新水水保〔2019〕4号</w:t>
      </w:r>
      <w:r>
        <w:rPr>
          <w:rFonts w:hint="eastAsia"/>
          <w:color w:val="auto"/>
          <w:u w:val="none"/>
          <w:lang w:val="en-US" w:eastAsia="zh-CN"/>
        </w:rPr>
        <w:t>文件</w:t>
      </w:r>
      <w:r>
        <w:rPr>
          <w:rFonts w:hint="eastAsia"/>
          <w:color w:val="auto"/>
          <w:u w:val="none"/>
          <w:lang w:eastAsia="zh-CN"/>
        </w:rPr>
        <w:t>、</w:t>
      </w:r>
      <w:r>
        <w:rPr>
          <w:rFonts w:hint="default"/>
          <w:color w:val="auto"/>
          <w:u w:val="none"/>
        </w:rPr>
        <w:t>《昌吉回族自治州水土保持规划</w:t>
      </w:r>
      <w:r>
        <w:rPr>
          <w:rFonts w:hint="eastAsia"/>
          <w:color w:val="auto"/>
          <w:u w:val="none"/>
          <w:lang w:eastAsia="zh-CN"/>
        </w:rPr>
        <w:t>（</w:t>
      </w:r>
      <w:r>
        <w:rPr>
          <w:rFonts w:hint="default"/>
          <w:color w:val="auto"/>
          <w:u w:val="none"/>
        </w:rPr>
        <w:t>2021</w:t>
      </w:r>
      <w:r>
        <w:rPr>
          <w:rFonts w:hint="eastAsia"/>
          <w:color w:val="auto"/>
          <w:u w:val="none"/>
          <w:lang w:val="en-US" w:eastAsia="zh-CN"/>
        </w:rPr>
        <w:t>-</w:t>
      </w:r>
      <w:r>
        <w:rPr>
          <w:rFonts w:hint="default"/>
          <w:color w:val="auto"/>
          <w:u w:val="none"/>
        </w:rPr>
        <w:t>2030年</w:t>
      </w:r>
      <w:r>
        <w:rPr>
          <w:rFonts w:hint="eastAsia"/>
          <w:color w:val="auto"/>
          <w:u w:val="none"/>
          <w:lang w:eastAsia="zh-CN"/>
        </w:rPr>
        <w:t>）</w:t>
      </w:r>
      <w:r>
        <w:rPr>
          <w:rFonts w:hint="default"/>
          <w:color w:val="auto"/>
          <w:u w:val="none"/>
        </w:rPr>
        <w:t>》，项目处于水土流失重点预防区</w:t>
      </w:r>
      <w:r>
        <w:rPr>
          <w:rFonts w:hint="eastAsia"/>
          <w:color w:val="auto"/>
          <w:u w:val="none"/>
          <w:lang w:eastAsia="zh-CN"/>
        </w:rPr>
        <w:t>。</w:t>
      </w:r>
    </w:p>
    <w:p w14:paraId="48BD541F">
      <w:pPr>
        <w:pStyle w:val="174"/>
        <w:keepNext w:val="0"/>
        <w:keepLines w:val="0"/>
        <w:pageBreakBefore w:val="0"/>
        <w:widowControl/>
        <w:kinsoku/>
        <w:wordWrap/>
        <w:overflowPunct/>
        <w:topLinePunct w:val="0"/>
        <w:autoSpaceDE/>
        <w:autoSpaceDN/>
        <w:bidi w:val="0"/>
        <w:adjustRightInd/>
        <w:snapToGrid/>
        <w:textAlignment w:val="auto"/>
        <w:rPr>
          <w:rFonts w:hint="default"/>
          <w:color w:val="auto"/>
          <w:u w:val="none"/>
        </w:rPr>
      </w:pPr>
      <w:r>
        <w:rPr>
          <w:rFonts w:hint="default"/>
          <w:color w:val="auto"/>
          <w:u w:val="none"/>
        </w:rPr>
        <w:t>根据《中华人民共和国环境影响评价法》《建设项目环境影响评价分类管理名录（2021年版）》（生态环境部部令第16号），本工程属于分类管理名录“五石油和天然气开采业07陆地天然气开采0712”中的“涉及环境敏感区的（含内部集输管线建设）”，应编制环境影响报告书。</w:t>
      </w:r>
    </w:p>
    <w:p w14:paraId="5F328FBF">
      <w:pPr>
        <w:pStyle w:val="174"/>
        <w:keepNext w:val="0"/>
        <w:keepLines w:val="0"/>
        <w:pageBreakBefore w:val="0"/>
        <w:widowControl/>
        <w:kinsoku/>
        <w:wordWrap/>
        <w:overflowPunct/>
        <w:topLinePunct w:val="0"/>
        <w:autoSpaceDE/>
        <w:autoSpaceDN/>
        <w:bidi w:val="0"/>
        <w:adjustRightInd/>
        <w:snapToGrid/>
        <w:textAlignment w:val="auto"/>
        <w:rPr>
          <w:rFonts w:hint="default"/>
          <w:color w:val="auto"/>
          <w:u w:val="none"/>
        </w:rPr>
      </w:pPr>
      <w:r>
        <w:rPr>
          <w:rFonts w:hint="default"/>
          <w:color w:val="auto"/>
          <w:u w:val="none"/>
        </w:rPr>
        <w:t>根据《关于</w:t>
      </w:r>
      <w:r>
        <w:rPr>
          <w:rFonts w:hint="eastAsia"/>
          <w:color w:val="auto"/>
          <w:u w:val="none"/>
          <w:lang w:val="en-US" w:eastAsia="zh-CN"/>
        </w:rPr>
        <w:t>发布</w:t>
      </w:r>
      <w:r>
        <w:rPr>
          <w:rFonts w:hint="default"/>
          <w:color w:val="auto"/>
          <w:u w:val="none"/>
        </w:rPr>
        <w:t>《新疆维吾尔自治区建设项目环境影响评价文件分级审批目录（20</w:t>
      </w:r>
      <w:r>
        <w:rPr>
          <w:rFonts w:hint="eastAsia"/>
          <w:color w:val="auto"/>
          <w:u w:val="none"/>
          <w:lang w:val="en-US" w:eastAsia="zh-CN"/>
        </w:rPr>
        <w:t>24</w:t>
      </w:r>
      <w:r>
        <w:rPr>
          <w:rFonts w:hint="default"/>
          <w:color w:val="auto"/>
          <w:u w:val="none"/>
        </w:rPr>
        <w:t>年本）》的</w:t>
      </w:r>
      <w:r>
        <w:rPr>
          <w:rFonts w:hint="eastAsia"/>
          <w:color w:val="auto"/>
          <w:u w:val="none"/>
          <w:lang w:val="en-US" w:eastAsia="zh-CN"/>
        </w:rPr>
        <w:t>公告</w:t>
      </w:r>
      <w:r>
        <w:rPr>
          <w:rFonts w:hint="default"/>
          <w:color w:val="auto"/>
          <w:u w:val="none"/>
        </w:rPr>
        <w:t>》，将</w:t>
      </w:r>
      <w:r>
        <w:rPr>
          <w:rFonts w:hint="eastAsia"/>
          <w:color w:val="auto"/>
          <w:u w:val="none"/>
          <w:lang w:val="en-US" w:eastAsia="zh-CN"/>
        </w:rPr>
        <w:t>仅</w:t>
      </w:r>
      <w:r>
        <w:rPr>
          <w:rFonts w:hint="default"/>
          <w:color w:val="auto"/>
          <w:u w:val="none"/>
        </w:rPr>
        <w:t>涉及水土流失重点预防区和重点治理区、沙化土地封禁保护区两类环境敏感区的（含内部集输管线建设）的老区块陆地石油天然气建设项目下放至地（州、市）生态环境主管部门。</w:t>
      </w:r>
    </w:p>
    <w:p w14:paraId="799ED0FC">
      <w:pPr>
        <w:pStyle w:val="174"/>
        <w:keepNext w:val="0"/>
        <w:keepLines w:val="0"/>
        <w:pageBreakBefore w:val="0"/>
        <w:widowControl/>
        <w:kinsoku/>
        <w:wordWrap/>
        <w:overflowPunct/>
        <w:topLinePunct w:val="0"/>
        <w:autoSpaceDE/>
        <w:autoSpaceDN/>
        <w:bidi w:val="0"/>
        <w:adjustRightInd/>
        <w:snapToGrid/>
        <w:textAlignment w:val="auto"/>
        <w:rPr>
          <w:rFonts w:hint="default"/>
          <w:color w:val="auto"/>
          <w:u w:val="none"/>
        </w:rPr>
      </w:pPr>
      <w:r>
        <w:rPr>
          <w:rFonts w:hint="default"/>
          <w:color w:val="auto"/>
          <w:u w:val="none"/>
        </w:rPr>
        <w:t>根据《中华人民共和国环境影响评价法》《国务院关于修改〈建设项目环境保护管理条例〉的决定》，202</w:t>
      </w:r>
      <w:r>
        <w:rPr>
          <w:rFonts w:hint="eastAsia"/>
          <w:color w:val="auto"/>
          <w:u w:val="none"/>
          <w:lang w:val="en-US" w:eastAsia="zh-CN"/>
        </w:rPr>
        <w:t>5</w:t>
      </w:r>
      <w:r>
        <w:rPr>
          <w:rFonts w:hint="default"/>
          <w:color w:val="auto"/>
          <w:u w:val="none"/>
        </w:rPr>
        <w:t>年</w:t>
      </w:r>
      <w:r>
        <w:rPr>
          <w:rFonts w:hint="eastAsia"/>
          <w:color w:val="auto"/>
          <w:u w:val="none"/>
          <w:lang w:val="en-US" w:eastAsia="zh-CN"/>
        </w:rPr>
        <w:t>7</w:t>
      </w:r>
      <w:r>
        <w:rPr>
          <w:rFonts w:hint="default"/>
          <w:color w:val="auto"/>
          <w:u w:val="none"/>
        </w:rPr>
        <w:t>月</w:t>
      </w:r>
      <w:r>
        <w:rPr>
          <w:rFonts w:hint="eastAsia"/>
          <w:color w:val="auto"/>
          <w:u w:val="none"/>
          <w:lang w:val="en-US" w:eastAsia="zh-CN"/>
        </w:rPr>
        <w:t>15</w:t>
      </w:r>
      <w:r>
        <w:rPr>
          <w:rFonts w:hint="default"/>
          <w:color w:val="auto"/>
          <w:u w:val="none"/>
        </w:rPr>
        <w:t>日</w:t>
      </w:r>
      <w:r>
        <w:rPr>
          <w:rFonts w:hint="eastAsia"/>
          <w:color w:val="auto"/>
          <w:u w:val="none"/>
          <w:lang w:eastAsia="zh-CN"/>
        </w:rPr>
        <w:t>，</w:t>
      </w:r>
      <w:r>
        <w:rPr>
          <w:rFonts w:hint="default"/>
          <w:color w:val="auto"/>
          <w:u w:val="none"/>
          <w:lang w:val="en-US" w:eastAsia="zh-CN"/>
        </w:rPr>
        <w:t>新疆油田分公司开发公司</w:t>
      </w:r>
      <w:r>
        <w:rPr>
          <w:rFonts w:hint="default"/>
          <w:color w:val="auto"/>
          <w:u w:val="none"/>
        </w:rPr>
        <w:t>委托新疆天合环境技术咨询有限公司（以下简称“天合公司”）承担本工程的环境影响评价工作（委托书见附件1）。</w:t>
      </w:r>
    </w:p>
    <w:p w14:paraId="5D90D704">
      <w:pPr>
        <w:pStyle w:val="174"/>
        <w:keepNext w:val="0"/>
        <w:keepLines w:val="0"/>
        <w:pageBreakBefore w:val="0"/>
        <w:widowControl/>
        <w:kinsoku/>
        <w:wordWrap/>
        <w:overflowPunct/>
        <w:topLinePunct w:val="0"/>
        <w:autoSpaceDE/>
        <w:autoSpaceDN/>
        <w:bidi w:val="0"/>
        <w:adjustRightInd/>
        <w:snapToGrid/>
        <w:textAlignment w:val="auto"/>
        <w:rPr>
          <w:rFonts w:hint="eastAsia"/>
          <w:color w:val="auto"/>
          <w:u w:val="none"/>
          <w:lang w:eastAsia="zh-CN"/>
        </w:rPr>
      </w:pPr>
      <w:r>
        <w:rPr>
          <w:rFonts w:hint="default"/>
          <w:color w:val="auto"/>
          <w:u w:val="none"/>
        </w:rPr>
        <w:t>20</w:t>
      </w:r>
      <w:r>
        <w:rPr>
          <w:rFonts w:hint="eastAsia"/>
          <w:color w:val="auto"/>
          <w:u w:val="none"/>
          <w:lang w:val="en-US" w:eastAsia="zh-CN"/>
        </w:rPr>
        <w:t>25</w:t>
      </w:r>
      <w:r>
        <w:rPr>
          <w:rFonts w:hint="default"/>
          <w:color w:val="auto"/>
          <w:u w:val="none"/>
        </w:rPr>
        <w:t>年</w:t>
      </w:r>
      <w:r>
        <w:rPr>
          <w:rFonts w:hint="eastAsia"/>
          <w:color w:val="auto"/>
          <w:u w:val="none"/>
          <w:lang w:val="en-US" w:eastAsia="zh-CN"/>
        </w:rPr>
        <w:t>7</w:t>
      </w:r>
      <w:r>
        <w:rPr>
          <w:rFonts w:hint="default"/>
          <w:color w:val="auto"/>
          <w:u w:val="none"/>
        </w:rPr>
        <w:t>月</w:t>
      </w:r>
      <w:r>
        <w:rPr>
          <w:rFonts w:hint="eastAsia"/>
          <w:color w:val="auto"/>
          <w:u w:val="none"/>
          <w:lang w:val="en-US" w:eastAsia="zh-CN"/>
        </w:rPr>
        <w:t>16</w:t>
      </w:r>
      <w:r>
        <w:rPr>
          <w:rFonts w:hint="default"/>
          <w:color w:val="auto"/>
          <w:u w:val="none"/>
        </w:rPr>
        <w:t>日</w:t>
      </w:r>
      <w:r>
        <w:rPr>
          <w:rFonts w:hint="eastAsia"/>
          <w:color w:val="auto"/>
          <w:u w:val="none"/>
          <w:lang w:eastAsia="zh-CN"/>
        </w:rPr>
        <w:t>，</w:t>
      </w:r>
      <w:r>
        <w:rPr>
          <w:rFonts w:hint="default"/>
          <w:color w:val="auto"/>
          <w:u w:val="none"/>
        </w:rPr>
        <w:t>新疆油田分公司开发公司通过新疆维吾尔自治区生态环境保护产业协会网站（网址：http://www.xjhbcy.cn/articles/show/15869）对本项目环境影响评价工作进行了首次环境影响评价信息公开</w:t>
      </w:r>
      <w:r>
        <w:rPr>
          <w:rFonts w:hint="eastAsia"/>
          <w:color w:val="auto"/>
          <w:u w:val="none"/>
          <w:lang w:eastAsia="zh-CN"/>
        </w:rPr>
        <w:t>。</w:t>
      </w:r>
    </w:p>
    <w:p w14:paraId="2C5763AD">
      <w:pPr>
        <w:pStyle w:val="174"/>
        <w:keepNext w:val="0"/>
        <w:keepLines w:val="0"/>
        <w:pageBreakBefore w:val="0"/>
        <w:widowControl/>
        <w:kinsoku/>
        <w:wordWrap/>
        <w:overflowPunct/>
        <w:topLinePunct w:val="0"/>
        <w:autoSpaceDE/>
        <w:autoSpaceDN/>
        <w:bidi w:val="0"/>
        <w:adjustRightInd/>
        <w:snapToGrid/>
        <w:textAlignment w:val="auto"/>
        <w:rPr>
          <w:rFonts w:hint="default"/>
          <w:color w:val="auto"/>
          <w:u w:val="none"/>
        </w:rPr>
      </w:pPr>
      <w:r>
        <w:rPr>
          <w:rFonts w:hint="default"/>
          <w:color w:val="auto"/>
          <w:u w:val="none"/>
        </w:rPr>
        <w:t>天合公司接受环评委托后，在建设单位的协助下，按照环境影响评价的相关技术导则及有关工作程序，组织专业人员，对项目区现场实地踏勘、开展现状调查工作、收集资料及其他支撑性文件资料，对建设项目进行工程分析，根据各环境要素的评价等级对各要素环境影响进行预测和评价，提出环境保护措施并进行经济技术论证。</w:t>
      </w:r>
    </w:p>
    <w:p w14:paraId="4956C9E2">
      <w:pPr>
        <w:pStyle w:val="174"/>
        <w:keepNext w:val="0"/>
        <w:keepLines w:val="0"/>
        <w:pageBreakBefore w:val="0"/>
        <w:widowControl/>
        <w:kinsoku/>
        <w:wordWrap/>
        <w:overflowPunct/>
        <w:topLinePunct w:val="0"/>
        <w:autoSpaceDE/>
        <w:autoSpaceDN/>
        <w:bidi w:val="0"/>
        <w:adjustRightInd/>
        <w:snapToGrid/>
        <w:textAlignment w:val="auto"/>
        <w:rPr>
          <w:rFonts w:hint="eastAsia"/>
          <w:color w:val="auto"/>
          <w:u w:val="none"/>
          <w:lang w:eastAsia="zh-CN"/>
        </w:rPr>
      </w:pPr>
      <w:r>
        <w:rPr>
          <w:rFonts w:hint="eastAsia"/>
          <w:color w:val="auto"/>
          <w:u w:val="none"/>
          <w:lang w:eastAsia="zh-CN"/>
        </w:rPr>
        <w:t>2025年</w:t>
      </w:r>
      <w:r>
        <w:rPr>
          <w:rFonts w:hint="eastAsia"/>
          <w:color w:val="auto"/>
          <w:u w:val="none"/>
          <w:lang w:val="en-US" w:eastAsia="zh-CN"/>
        </w:rPr>
        <w:t>8</w:t>
      </w:r>
      <w:r>
        <w:rPr>
          <w:rFonts w:hint="eastAsia"/>
          <w:color w:val="auto"/>
          <w:u w:val="none"/>
          <w:lang w:eastAsia="zh-CN"/>
        </w:rPr>
        <w:t>月</w:t>
      </w:r>
      <w:r>
        <w:rPr>
          <w:rFonts w:hint="eastAsia"/>
          <w:color w:val="auto"/>
          <w:u w:val="none"/>
          <w:lang w:val="en-US" w:eastAsia="zh-CN"/>
        </w:rPr>
        <w:t>11</w:t>
      </w:r>
      <w:r>
        <w:rPr>
          <w:rFonts w:hint="eastAsia"/>
          <w:color w:val="auto"/>
          <w:u w:val="none"/>
          <w:lang w:eastAsia="zh-CN"/>
        </w:rPr>
        <w:t>日，新疆油田分公司开发公司通过新疆维吾尔自治区生态环境保护产业协会网站（网址：http://www.xjhbcy.cn/articles/show/16030），对本项目环境影响</w:t>
      </w:r>
      <w:r>
        <w:rPr>
          <w:rFonts w:hint="eastAsia"/>
          <w:color w:val="auto"/>
          <w:u w:val="none"/>
          <w:lang w:val="en-US" w:eastAsia="zh-CN"/>
        </w:rPr>
        <w:t>评价</w:t>
      </w:r>
      <w:r>
        <w:rPr>
          <w:rFonts w:hint="eastAsia"/>
          <w:color w:val="auto"/>
          <w:u w:val="none"/>
          <w:lang w:eastAsia="zh-CN"/>
        </w:rPr>
        <w:t>报告书进行了征求意见稿公示，且在征求意见稿公示期间，在开发公司公示栏以张贴公告的形式发布征求意见稿公示，同步在</w:t>
      </w:r>
      <w:r>
        <w:rPr>
          <w:rFonts w:hint="eastAsia"/>
          <w:color w:val="auto"/>
          <w:u w:val="none"/>
          <w:lang w:val="en-US" w:eastAsia="zh-CN"/>
        </w:rPr>
        <w:t>昌吉</w:t>
      </w:r>
      <w:r>
        <w:rPr>
          <w:rFonts w:hint="eastAsia"/>
          <w:color w:val="auto"/>
          <w:u w:val="none"/>
          <w:lang w:eastAsia="zh-CN"/>
        </w:rPr>
        <w:t>日报进行了两期报纸公示。</w:t>
      </w:r>
    </w:p>
    <w:p w14:paraId="5EF7AD06">
      <w:pPr>
        <w:pStyle w:val="174"/>
        <w:keepNext w:val="0"/>
        <w:keepLines w:val="0"/>
        <w:pageBreakBefore w:val="0"/>
        <w:widowControl/>
        <w:kinsoku/>
        <w:wordWrap/>
        <w:overflowPunct/>
        <w:topLinePunct w:val="0"/>
        <w:autoSpaceDE/>
        <w:autoSpaceDN/>
        <w:bidi w:val="0"/>
        <w:adjustRightInd/>
        <w:snapToGrid/>
        <w:textAlignment w:val="auto"/>
        <w:rPr>
          <w:rFonts w:hint="default"/>
          <w:color w:val="auto"/>
          <w:u w:val="none"/>
        </w:rPr>
      </w:pPr>
      <w:r>
        <w:rPr>
          <w:rFonts w:hint="default"/>
          <w:color w:val="auto"/>
          <w:u w:val="none"/>
        </w:rPr>
        <w:t>202</w:t>
      </w:r>
      <w:r>
        <w:rPr>
          <w:rFonts w:hint="eastAsia"/>
          <w:color w:val="auto"/>
          <w:u w:val="none"/>
          <w:lang w:val="en-US" w:eastAsia="zh-CN"/>
        </w:rPr>
        <w:t>5</w:t>
      </w:r>
      <w:r>
        <w:rPr>
          <w:rFonts w:hint="default"/>
          <w:color w:val="auto"/>
          <w:u w:val="none"/>
        </w:rPr>
        <w:t>年</w:t>
      </w:r>
      <w:r>
        <w:rPr>
          <w:rFonts w:hint="eastAsia"/>
          <w:color w:val="auto"/>
          <w:u w:val="none"/>
          <w:lang w:val="en-US" w:eastAsia="zh-CN"/>
        </w:rPr>
        <w:t>8</w:t>
      </w:r>
      <w:r>
        <w:rPr>
          <w:rFonts w:hint="default"/>
          <w:color w:val="auto"/>
          <w:u w:val="none"/>
        </w:rPr>
        <w:t>月</w:t>
      </w:r>
      <w:r>
        <w:rPr>
          <w:rFonts w:hint="eastAsia"/>
          <w:color w:val="auto"/>
          <w:u w:val="none"/>
          <w:lang w:val="en-US" w:eastAsia="zh-CN"/>
        </w:rPr>
        <w:t>25</w:t>
      </w:r>
      <w:r>
        <w:rPr>
          <w:rFonts w:hint="default"/>
          <w:color w:val="auto"/>
          <w:u w:val="none"/>
        </w:rPr>
        <w:t>日，在新疆维吾尔自治区生态环境保护产业协会网站（http://www.xjhbcy.cn/articles/show/16118）公示了拟报批的环境影响报告书全文和公众参与说明。</w:t>
      </w:r>
    </w:p>
    <w:p w14:paraId="07D7FA60">
      <w:pPr>
        <w:pStyle w:val="174"/>
        <w:keepNext w:val="0"/>
        <w:keepLines w:val="0"/>
        <w:pageBreakBefore w:val="0"/>
        <w:widowControl/>
        <w:kinsoku/>
        <w:wordWrap/>
        <w:overflowPunct/>
        <w:topLinePunct w:val="0"/>
        <w:autoSpaceDE/>
        <w:autoSpaceDN/>
        <w:bidi w:val="0"/>
        <w:adjustRightInd/>
        <w:snapToGrid/>
        <w:textAlignment w:val="auto"/>
        <w:rPr>
          <w:rFonts w:hint="default"/>
          <w:color w:val="auto"/>
          <w:u w:val="none"/>
        </w:rPr>
      </w:pPr>
      <w:r>
        <w:rPr>
          <w:rFonts w:hint="default"/>
          <w:color w:val="auto"/>
          <w:u w:val="none"/>
        </w:rPr>
        <w:t>受天合公司委托，新疆正天华能环境工程技术有限公司对本工程区域</w:t>
      </w:r>
      <w:r>
        <w:rPr>
          <w:rFonts w:hint="eastAsia"/>
          <w:color w:val="auto"/>
          <w:u w:val="none"/>
          <w:lang w:val="en-US" w:eastAsia="zh-CN"/>
        </w:rPr>
        <w:t>环境空气、</w:t>
      </w:r>
      <w:r>
        <w:rPr>
          <w:rFonts w:hint="default"/>
          <w:color w:val="auto"/>
          <w:u w:val="none"/>
        </w:rPr>
        <w:t>土壤、声环境质量现状进行了监测，在以上基础上，编制完成了《莫北油田莫116井区侏罗系三工河组气藏产能建设项目环境影响报告书》（以下简称“报告书”）</w:t>
      </w:r>
      <w:r>
        <w:rPr>
          <w:rFonts w:hint="eastAsia"/>
          <w:color w:val="auto"/>
          <w:u w:val="none"/>
          <w:lang w:eastAsia="zh-CN"/>
        </w:rPr>
        <w:t>，</w:t>
      </w:r>
      <w:r>
        <w:rPr>
          <w:rFonts w:hint="default"/>
          <w:color w:val="auto"/>
          <w:u w:val="none"/>
        </w:rPr>
        <w:t>环境影响评价的工作程序</w:t>
      </w:r>
      <w:r>
        <w:rPr>
          <w:rFonts w:hint="eastAsia"/>
          <w:color w:val="auto"/>
          <w:u w:val="none"/>
          <w:lang w:eastAsia="zh-CN"/>
        </w:rPr>
        <w:t>，</w:t>
      </w:r>
      <w:r>
        <w:rPr>
          <w:rFonts w:hint="default"/>
          <w:color w:val="auto"/>
          <w:u w:val="none"/>
        </w:rPr>
        <w:t>见图1.2-1。</w:t>
      </w:r>
    </w:p>
    <w:p w14:paraId="46539D57">
      <w:pPr>
        <w:pStyle w:val="174"/>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bCs/>
          <w:snapToGrid w:val="0"/>
          <w:color w:val="auto"/>
          <w:szCs w:val="20"/>
          <w:u w:val="none"/>
        </w:rPr>
      </w:pPr>
      <w:r>
        <w:rPr>
          <w:rFonts w:hint="default"/>
          <w:color w:val="auto"/>
          <w:u w:val="none"/>
        </w:rPr>
        <w:t>报告书经生态环境主管部门批准后，可以作为本工程建设期</w:t>
      </w:r>
      <w:r>
        <w:rPr>
          <w:rFonts w:hint="eastAsia"/>
          <w:color w:val="auto"/>
          <w:u w:val="none"/>
          <w:lang w:eastAsia="zh-CN"/>
        </w:rPr>
        <w:t>、</w:t>
      </w:r>
      <w:r>
        <w:rPr>
          <w:rFonts w:hint="eastAsia"/>
          <w:color w:val="auto"/>
          <w:u w:val="none"/>
          <w:lang w:val="en-US" w:eastAsia="zh-CN"/>
        </w:rPr>
        <w:t>运营期</w:t>
      </w:r>
      <w:r>
        <w:rPr>
          <w:rFonts w:hint="default"/>
          <w:color w:val="auto"/>
          <w:u w:val="none"/>
        </w:rPr>
        <w:t>的环境保护管理依据。</w:t>
      </w:r>
    </w:p>
    <w:p w14:paraId="030CF1AC">
      <w:pPr>
        <w:pStyle w:val="80"/>
        <w:spacing w:line="360" w:lineRule="auto"/>
        <w:ind w:firstLine="480"/>
        <w:rPr>
          <w:rFonts w:hint="default" w:ascii="Times New Roman" w:hAnsi="Times New Roman" w:cs="Times New Roman"/>
          <w:bCs/>
          <w:snapToGrid w:val="0"/>
          <w:color w:val="auto"/>
          <w:szCs w:val="20"/>
          <w:u w:val="none"/>
        </w:rPr>
      </w:pPr>
    </w:p>
    <w:p w14:paraId="2242B8D5">
      <w:pPr>
        <w:pStyle w:val="80"/>
        <w:spacing w:line="360" w:lineRule="auto"/>
        <w:ind w:firstLine="480"/>
        <w:rPr>
          <w:rFonts w:hint="default" w:ascii="Times New Roman" w:hAnsi="Times New Roman" w:cs="Times New Roman"/>
          <w:bCs/>
          <w:snapToGrid w:val="0"/>
          <w:color w:val="auto"/>
          <w:szCs w:val="20"/>
          <w:u w:val="none"/>
        </w:rPr>
      </w:pPr>
    </w:p>
    <w:p w14:paraId="7D6E81E1">
      <w:pPr>
        <w:pStyle w:val="80"/>
        <w:spacing w:line="360" w:lineRule="auto"/>
        <w:ind w:firstLine="480"/>
        <w:rPr>
          <w:rFonts w:hint="default" w:ascii="Times New Roman" w:hAnsi="Times New Roman" w:cs="Times New Roman"/>
          <w:bCs/>
          <w:snapToGrid w:val="0"/>
          <w:color w:val="auto"/>
          <w:szCs w:val="20"/>
          <w:u w:val="none"/>
        </w:rPr>
      </w:pPr>
    </w:p>
    <w:p w14:paraId="47354AFC">
      <w:pPr>
        <w:widowControl w:val="0"/>
        <w:ind w:firstLine="0"/>
        <w:jc w:val="both"/>
        <w:rPr>
          <w:rFonts w:hint="default" w:ascii="Times New Roman" w:hAnsi="Times New Roman" w:eastAsia="宋体" w:cs="Times New Roman"/>
          <w:color w:val="auto"/>
          <w:kern w:val="2"/>
          <w:sz w:val="21"/>
          <w:u w:val="none"/>
        </w:rPr>
      </w:pPr>
    </w:p>
    <w:p w14:paraId="48485E6E">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72576" behindDoc="0" locked="0" layoutInCell="1" allowOverlap="1">
                <wp:simplePos x="0" y="0"/>
                <wp:positionH relativeFrom="column">
                  <wp:posOffset>1122045</wp:posOffset>
                </wp:positionH>
                <wp:positionV relativeFrom="paragraph">
                  <wp:posOffset>71755</wp:posOffset>
                </wp:positionV>
                <wp:extent cx="2936875" cy="553720"/>
                <wp:effectExtent l="4445" t="5080" r="11430" b="12700"/>
                <wp:wrapNone/>
                <wp:docPr id="95" name="矩形 95"/>
                <wp:cNvGraphicFramePr/>
                <a:graphic xmlns:a="http://schemas.openxmlformats.org/drawingml/2006/main">
                  <a:graphicData uri="http://schemas.microsoft.com/office/word/2010/wordprocessingShape">
                    <wps:wsp>
                      <wps:cNvSpPr/>
                      <wps:spPr>
                        <a:xfrm>
                          <a:off x="0" y="0"/>
                          <a:ext cx="2936875" cy="553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FBD26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收集分析工程技术文件</w:t>
                            </w:r>
                          </w:p>
                          <w:p w14:paraId="52056FF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以及相关基础资料</w:t>
                            </w:r>
                          </w:p>
                        </w:txbxContent>
                      </wps:txbx>
                      <wps:bodyPr upright="1"/>
                    </wps:wsp>
                  </a:graphicData>
                </a:graphic>
              </wp:anchor>
            </w:drawing>
          </mc:Choice>
          <mc:Fallback>
            <w:pict>
              <v:rect id="_x0000_s1026" o:spid="_x0000_s1026" o:spt="1" style="position:absolute;left:0pt;margin-left:88.35pt;margin-top:5.65pt;height:43.6pt;width:231.25pt;z-index:251672576;mso-width-relative:page;mso-height-relative:page;" fillcolor="#FFFFFF" filled="t" stroked="t" coordsize="21600,21600" o:gfxdata="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Ogt5fYAAAACQEAAA8AAAAAAAAAAQAgAAAAIgAA&#10;AGRycy9kb3ducmV2LnhtbFBLAQIUABQAAAAIAIdO4kDupBHVCAIAADkEAAAOAAAAAAAAAAEAIAAA&#10;ACcBAABkcnMvZTJvRG9jLnhtbFBLBQYAAAAABgAGAFkBAAChBQAAAAA=&#10;">
                <v:fill on="t" focussize="0,0"/>
                <v:stroke color="#000000" joinstyle="miter"/>
                <v:imagedata o:title=""/>
                <o:lock v:ext="edit" aspectratio="f"/>
                <v:textbox>
                  <w:txbxContent>
                    <w:p w14:paraId="16FBD26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收集分析工程技术文件</w:t>
                      </w:r>
                    </w:p>
                    <w:p w14:paraId="52056FF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以及相关基础资料</w:t>
                      </w:r>
                    </w:p>
                  </w:txbxContent>
                </v:textbox>
              </v:rect>
            </w:pict>
          </mc:Fallback>
        </mc:AlternateContent>
      </w: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8960" behindDoc="0" locked="0" layoutInCell="1" allowOverlap="1">
                <wp:simplePos x="0" y="0"/>
                <wp:positionH relativeFrom="column">
                  <wp:posOffset>50800</wp:posOffset>
                </wp:positionH>
                <wp:positionV relativeFrom="paragraph">
                  <wp:posOffset>-127635</wp:posOffset>
                </wp:positionV>
                <wp:extent cx="5181600" cy="6897370"/>
                <wp:effectExtent l="4445" t="4445" r="14605" b="13335"/>
                <wp:wrapNone/>
                <wp:docPr id="85" name="矩形 85"/>
                <wp:cNvGraphicFramePr/>
                <a:graphic xmlns:a="http://schemas.openxmlformats.org/drawingml/2006/main">
                  <a:graphicData uri="http://schemas.microsoft.com/office/word/2010/wordprocessingShape">
                    <wps:wsp>
                      <wps:cNvSpPr/>
                      <wps:spPr>
                        <a:xfrm>
                          <a:off x="0" y="0"/>
                          <a:ext cx="5181600" cy="6897370"/>
                        </a:xfrm>
                        <a:prstGeom prst="rect">
                          <a:avLst/>
                        </a:prstGeom>
                        <a:noFill/>
                        <a:ln w="9525" cap="flat" cmpd="sng">
                          <a:solidFill>
                            <a:srgbClr val="000000"/>
                          </a:solidFill>
                          <a:prstDash val="dash"/>
                          <a:miter/>
                          <a:headEnd type="none" w="med" len="med"/>
                          <a:tailEnd type="none" w="med" len="med"/>
                        </a:ln>
                        <a:effectLst/>
                      </wps:spPr>
                      <wps:bodyPr upright="1"/>
                    </wps:wsp>
                  </a:graphicData>
                </a:graphic>
              </wp:anchor>
            </w:drawing>
          </mc:Choice>
          <mc:Fallback>
            <w:pict>
              <v:rect id="_x0000_s1026" o:spid="_x0000_s1026" o:spt="1" style="position:absolute;left:0pt;margin-left:4pt;margin-top:-10.05pt;height:543.1pt;width:408pt;z-index:251688960;mso-width-relative:page;mso-height-relative:page;" filled="f" stroked="t" coordsize="21600,21600" o:gfxdata="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b9YhPWAAAACgEAAA8AAAAAAAAAAQAgAAAAIgAAAGRycy9kb3ducmV2&#10;LnhtbFBLAQIUABQAAAAIAIdO4kB7EOV4/gEAAAUEAAAOAAAAAAAAAAEAIAAAACUBAABkcnMvZTJv&#10;RG9jLnhtbFBLBQYAAAAABgAGAFkBAACVBQAAAAA=&#10;">
                <v:fill on="f" focussize="0,0"/>
                <v:stroke color="#000000" joinstyle="miter" dashstyle="dash"/>
                <v:imagedata o:title=""/>
                <o:lock v:ext="edit" aspectratio="f"/>
              </v:rect>
            </w:pict>
          </mc:Fallback>
        </mc:AlternateContent>
      </w:r>
    </w:p>
    <w:p w14:paraId="5E89E0F0">
      <w:pPr>
        <w:widowControl w:val="0"/>
        <w:spacing w:line="400" w:lineRule="atLeast"/>
        <w:ind w:firstLine="480"/>
        <w:jc w:val="both"/>
        <w:rPr>
          <w:rFonts w:hint="default" w:ascii="Times New Roman" w:hAnsi="Times New Roman" w:eastAsia="宋体" w:cs="Times New Roman"/>
          <w:color w:val="auto"/>
          <w:kern w:val="2"/>
          <w:sz w:val="21"/>
          <w:u w:val="none"/>
        </w:rPr>
      </w:pPr>
    </w:p>
    <w:p w14:paraId="05F90D66">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73600" behindDoc="0" locked="0" layoutInCell="1" allowOverlap="1">
                <wp:simplePos x="0" y="0"/>
                <wp:positionH relativeFrom="column">
                  <wp:posOffset>2580640</wp:posOffset>
                </wp:positionH>
                <wp:positionV relativeFrom="paragraph">
                  <wp:posOffset>102870</wp:posOffset>
                </wp:positionV>
                <wp:extent cx="6350" cy="424180"/>
                <wp:effectExtent l="36830" t="0" r="33020" b="13970"/>
                <wp:wrapNone/>
                <wp:docPr id="82" name="直接箭头连接符 82"/>
                <wp:cNvGraphicFramePr/>
                <a:graphic xmlns:a="http://schemas.openxmlformats.org/drawingml/2006/main">
                  <a:graphicData uri="http://schemas.microsoft.com/office/word/2010/wordprocessingShape">
                    <wps:wsp>
                      <wps:cNvCnPr/>
                      <wps:spPr>
                        <a:xfrm flipH="1">
                          <a:off x="0" y="0"/>
                          <a:ext cx="6350" cy="4241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3.2pt;margin-top:8.1pt;height:33.4pt;width:0.5pt;z-index:251673600;mso-width-relative:page;mso-height-relative:page;" filled="f" stroked="t" coordsize="21600,21600" o:gfxdata="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C7G/YAAAACQEAAA8A&#10;AAAAAAAAAQAgAAAAIgAAAGRycy9kb3ducmV2LnhtbFBLAQIUABQAAAAIAIdO4kC6F/kJFwIAAAwE&#10;AAAOAAAAAAAAAAEAIAAAACcBAABkcnMvZTJvRG9jLnhtbFBLBQYAAAAABgAGAFkBAACwBQ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5888" behindDoc="0" locked="0" layoutInCell="1" allowOverlap="1">
                <wp:simplePos x="0" y="0"/>
                <wp:positionH relativeFrom="column">
                  <wp:posOffset>100330</wp:posOffset>
                </wp:positionH>
                <wp:positionV relativeFrom="paragraph">
                  <wp:posOffset>156845</wp:posOffset>
                </wp:positionV>
                <wp:extent cx="266700" cy="1123950"/>
                <wp:effectExtent l="0" t="0" r="0" b="0"/>
                <wp:wrapNone/>
                <wp:docPr id="86" name="矩形 86"/>
                <wp:cNvGraphicFramePr/>
                <a:graphic xmlns:a="http://schemas.openxmlformats.org/drawingml/2006/main">
                  <a:graphicData uri="http://schemas.microsoft.com/office/word/2010/wordprocessingShape">
                    <wps:wsp>
                      <wps:cNvSpPr/>
                      <wps:spPr>
                        <a:xfrm>
                          <a:off x="0" y="0"/>
                          <a:ext cx="266700" cy="1123950"/>
                        </a:xfrm>
                        <a:prstGeom prst="rect">
                          <a:avLst/>
                        </a:prstGeom>
                        <a:noFill/>
                        <a:ln w="9525">
                          <a:noFill/>
                        </a:ln>
                        <a:effectLst/>
                      </wps:spPr>
                      <wps:txbx>
                        <w:txbxContent>
                          <w:p w14:paraId="4EE7C840">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第第一阶段</w:t>
                            </w:r>
                          </w:p>
                        </w:txbxContent>
                      </wps:txbx>
                      <wps:bodyPr upright="1"/>
                    </wps:wsp>
                  </a:graphicData>
                </a:graphic>
              </wp:anchor>
            </w:drawing>
          </mc:Choice>
          <mc:Fallback>
            <w:pict>
              <v:rect id="_x0000_s1026" o:spid="_x0000_s1026" o:spt="1" style="position:absolute;left:0pt;margin-left:7.9pt;margin-top:12.35pt;height:88.5pt;width:21pt;z-index:251685888;mso-width-relative:page;mso-height-relative:page;" filled="f" stroked="f" coordsize="21600,21600" o:gfxdata="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BT&#10;qaXXAAAACAEAAA8AAAAAAAAAAQAgAAAAIgAAAGRycy9kb3ducmV2LnhtbFBLAQIUABQAAAAIAIdO&#10;4kCrCGzcsgEAAFoDAAAOAAAAAAAAAAEAIAAAACYBAABkcnMvZTJvRG9jLnhtbFBLBQYAAAAABgAG&#10;AFkBAABKBQAAAAA=&#10;">
                <v:fill on="f" focussize="0,0"/>
                <v:stroke on="f"/>
                <v:imagedata o:title=""/>
                <o:lock v:ext="edit" aspectratio="f"/>
                <v:textbox>
                  <w:txbxContent>
                    <w:p w14:paraId="4EE7C840">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第第一阶段</w:t>
                      </w:r>
                    </w:p>
                  </w:txbxContent>
                </v:textbox>
              </v:rect>
            </w:pict>
          </mc:Fallback>
        </mc:AlternateContent>
      </w:r>
    </w:p>
    <w:p w14:paraId="7E2B2228">
      <w:pPr>
        <w:widowControl w:val="0"/>
        <w:spacing w:line="400" w:lineRule="atLeast"/>
        <w:ind w:firstLine="480"/>
        <w:jc w:val="both"/>
        <w:rPr>
          <w:rFonts w:hint="default" w:ascii="Times New Roman" w:hAnsi="Times New Roman" w:eastAsia="宋体" w:cs="Times New Roman"/>
          <w:color w:val="auto"/>
          <w:kern w:val="2"/>
          <w:sz w:val="21"/>
          <w:u w:val="none"/>
        </w:rPr>
      </w:pPr>
    </w:p>
    <w:p w14:paraId="5AE25A7B">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71552" behindDoc="0" locked="0" layoutInCell="1" allowOverlap="1">
                <wp:simplePos x="0" y="0"/>
                <wp:positionH relativeFrom="column">
                  <wp:posOffset>1142365</wp:posOffset>
                </wp:positionH>
                <wp:positionV relativeFrom="paragraph">
                  <wp:posOffset>28575</wp:posOffset>
                </wp:positionV>
                <wp:extent cx="2838450" cy="687705"/>
                <wp:effectExtent l="4445" t="4445" r="14605" b="12700"/>
                <wp:wrapNone/>
                <wp:docPr id="83" name="矩形 83"/>
                <wp:cNvGraphicFramePr/>
                <a:graphic xmlns:a="http://schemas.openxmlformats.org/drawingml/2006/main">
                  <a:graphicData uri="http://schemas.microsoft.com/office/word/2010/wordprocessingShape">
                    <wps:wsp>
                      <wps:cNvSpPr/>
                      <wps:spPr>
                        <a:xfrm>
                          <a:off x="0" y="0"/>
                          <a:ext cx="2838450" cy="687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708B81">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进行工程分析，识别环境影响</w:t>
                            </w:r>
                          </w:p>
                          <w:p w14:paraId="51E173B0">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并筛选评价因子，明确环境影响</w:t>
                            </w:r>
                          </w:p>
                          <w:p w14:paraId="6C8E074C">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评价工作重点和环境保护目标</w:t>
                            </w:r>
                          </w:p>
                        </w:txbxContent>
                      </wps:txbx>
                      <wps:bodyPr upright="1"/>
                    </wps:wsp>
                  </a:graphicData>
                </a:graphic>
              </wp:anchor>
            </w:drawing>
          </mc:Choice>
          <mc:Fallback>
            <w:pict>
              <v:rect id="_x0000_s1026" o:spid="_x0000_s1026" o:spt="1" style="position:absolute;left:0pt;margin-left:89.95pt;margin-top:2.25pt;height:54.15pt;width:223.5pt;z-index:251671552;mso-width-relative:page;mso-height-relative:page;" fillcolor="#FFFFFF" filled="t" stroked="t" coordsize="21600,21600" o:gfxdata="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wUL0DWAAAACQEAAA8AAAAAAAAAAQAgAAAAIgAAAGRy&#10;cy9kb3ducmV2LnhtbFBLAQIUABQAAAAIAIdO4kCiKz56BwIAADkEAAAOAAAAAAAAAAEAIAAAACUB&#10;AABkcnMvZTJvRG9jLnhtbFBLBQYAAAAABgAGAFkBAACeBQAAAAA=&#10;">
                <v:fill on="t" focussize="0,0"/>
                <v:stroke color="#000000" joinstyle="miter"/>
                <v:imagedata o:title=""/>
                <o:lock v:ext="edit" aspectratio="f"/>
                <v:textbox>
                  <w:txbxContent>
                    <w:p w14:paraId="2E708B81">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进行工程分析，识别环境影响</w:t>
                      </w:r>
                    </w:p>
                    <w:p w14:paraId="51E173B0">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并筛选评价因子，明确环境影响</w:t>
                      </w:r>
                    </w:p>
                    <w:p w14:paraId="6C8E074C">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评价工作重点和环境保护目标</w:t>
                      </w:r>
                    </w:p>
                  </w:txbxContent>
                </v:textbox>
              </v:rect>
            </w:pict>
          </mc:Fallback>
        </mc:AlternateContent>
      </w:r>
    </w:p>
    <w:p w14:paraId="34FB4187">
      <w:pPr>
        <w:widowControl w:val="0"/>
        <w:spacing w:line="400" w:lineRule="atLeast"/>
        <w:ind w:firstLine="480"/>
        <w:jc w:val="both"/>
        <w:rPr>
          <w:rFonts w:hint="default" w:ascii="Times New Roman" w:hAnsi="Times New Roman" w:eastAsia="宋体" w:cs="Times New Roman"/>
          <w:color w:val="auto"/>
          <w:kern w:val="2"/>
          <w:sz w:val="21"/>
          <w:u w:val="none"/>
        </w:rPr>
      </w:pPr>
    </w:p>
    <w:p w14:paraId="5BF5A216">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74624" behindDoc="0" locked="0" layoutInCell="1" allowOverlap="1">
                <wp:simplePos x="0" y="0"/>
                <wp:positionH relativeFrom="column">
                  <wp:posOffset>2567940</wp:posOffset>
                </wp:positionH>
                <wp:positionV relativeFrom="paragraph">
                  <wp:posOffset>224155</wp:posOffset>
                </wp:positionV>
                <wp:extent cx="4445" cy="352425"/>
                <wp:effectExtent l="36830" t="0" r="34925" b="9525"/>
                <wp:wrapNone/>
                <wp:docPr id="93" name="直接箭头连接符 93"/>
                <wp:cNvGraphicFramePr/>
                <a:graphic xmlns:a="http://schemas.openxmlformats.org/drawingml/2006/main">
                  <a:graphicData uri="http://schemas.microsoft.com/office/word/2010/wordprocessingShape">
                    <wps:wsp>
                      <wps:cNvCnPr>
                        <a:endCxn id="80" idx="0"/>
                      </wps:cNvCnPr>
                      <wps:spPr>
                        <a:xfrm flipH="1">
                          <a:off x="0" y="0"/>
                          <a:ext cx="4445" cy="3524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2pt;margin-top:17.65pt;height:27.75pt;width:0.35pt;z-index:251674624;mso-width-relative:page;mso-height-relative:page;" filled="f" stroked="t" coordsize="21600,21600" o:gfxdata="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N&#10;W7TJ2QAAAAkBAAAPAAAAAAAAAAEAIAAAACIAAABkcnMvZG93bnJldi54bWxQSwECFAAUAAAACACH&#10;TuJAQ41tXCMCAAA0BAAADgAAAAAAAAABACAAAAAoAQAAZHJzL2Uyb0RvYy54bWxQSwUGAAAAAAYA&#10;BgBZAQAAvQUAAAAA&#10;">
                <v:fill on="f" focussize="0,0"/>
                <v:stroke color="#000000" joinstyle="round" endarrow="block"/>
                <v:imagedata o:title=""/>
                <o:lock v:ext="edit" aspectratio="f"/>
              </v:shape>
            </w:pict>
          </mc:Fallback>
        </mc:AlternateContent>
      </w:r>
    </w:p>
    <w:p w14:paraId="3B3ED598">
      <w:pPr>
        <w:widowControl w:val="0"/>
        <w:spacing w:line="400" w:lineRule="atLeast"/>
        <w:ind w:firstLine="480"/>
        <w:jc w:val="both"/>
        <w:rPr>
          <w:rFonts w:hint="default" w:ascii="Times New Roman" w:hAnsi="Times New Roman" w:eastAsia="宋体" w:cs="Times New Roman"/>
          <w:color w:val="auto"/>
          <w:kern w:val="2"/>
          <w:sz w:val="21"/>
          <w:u w:val="none"/>
        </w:rPr>
      </w:pPr>
    </w:p>
    <w:p w14:paraId="5CA0E48D">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75648" behindDoc="0" locked="0" layoutInCell="1" allowOverlap="1">
                <wp:simplePos x="0" y="0"/>
                <wp:positionH relativeFrom="column">
                  <wp:posOffset>1295400</wp:posOffset>
                </wp:positionH>
                <wp:positionV relativeFrom="paragraph">
                  <wp:posOffset>68580</wp:posOffset>
                </wp:positionV>
                <wp:extent cx="2545080" cy="504825"/>
                <wp:effectExtent l="4445" t="5080" r="22225" b="4445"/>
                <wp:wrapNone/>
                <wp:docPr id="80" name="矩形 80"/>
                <wp:cNvGraphicFramePr/>
                <a:graphic xmlns:a="http://schemas.openxmlformats.org/drawingml/2006/main">
                  <a:graphicData uri="http://schemas.microsoft.com/office/word/2010/wordprocessingShape">
                    <wps:wsp>
                      <wps:cNvSpPr/>
                      <wps:spPr>
                        <a:xfrm>
                          <a:off x="0" y="0"/>
                          <a:ext cx="254508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91E713">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确定评价工作等级、</w:t>
                            </w:r>
                          </w:p>
                          <w:p w14:paraId="61A13D2C">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评价范围和评价标准</w:t>
                            </w:r>
                          </w:p>
                        </w:txbxContent>
                      </wps:txbx>
                      <wps:bodyPr upright="1"/>
                    </wps:wsp>
                  </a:graphicData>
                </a:graphic>
              </wp:anchor>
            </w:drawing>
          </mc:Choice>
          <mc:Fallback>
            <w:pict>
              <v:rect id="_x0000_s1026" o:spid="_x0000_s1026" o:spt="1" style="position:absolute;left:0pt;margin-left:102pt;margin-top:5.4pt;height:39.75pt;width:200.4pt;z-index:251675648;mso-width-relative:page;mso-height-relative:page;" fillcolor="#FFFFFF" filled="t" stroked="t" coordsize="21600,21600" o:gfxdata="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7Fzm1wAAAAkBAAAPAAAAAAAAAAEAIAAAACIAAABkcnMv&#10;ZG93bnJldi54bWxQSwECFAAUAAAACACHTuJAMEq1UgQCAAA5BAAADgAAAAAAAAABACAAAAAmAQAA&#10;ZHJzL2Uyb0RvYy54bWxQSwUGAAAAAAYABgBZAQAAnAUAAAAA&#10;">
                <v:fill on="t" focussize="0,0"/>
                <v:stroke color="#000000" joinstyle="miter"/>
                <v:imagedata o:title=""/>
                <o:lock v:ext="edit" aspectratio="f"/>
                <v:textbox>
                  <w:txbxContent>
                    <w:p w14:paraId="7A91E713">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确定评价工作等级、</w:t>
                      </w:r>
                    </w:p>
                    <w:p w14:paraId="61A13D2C">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评价范围和评价标准</w:t>
                      </w:r>
                    </w:p>
                  </w:txbxContent>
                </v:textbox>
              </v:rect>
            </w:pict>
          </mc:Fallback>
        </mc:AlternateContent>
      </w:r>
    </w:p>
    <w:p w14:paraId="61D0D2F1">
      <w:pPr>
        <w:widowControl w:val="0"/>
        <w:spacing w:line="400" w:lineRule="atLeast"/>
        <w:ind w:firstLine="480"/>
        <w:jc w:val="both"/>
        <w:rPr>
          <w:rFonts w:hint="default" w:ascii="Times New Roman" w:hAnsi="Times New Roman" w:eastAsia="宋体" w:cs="Times New Roman"/>
          <w:color w:val="auto"/>
          <w:kern w:val="2"/>
          <w:sz w:val="21"/>
          <w:u w:val="none"/>
        </w:rPr>
      </w:pPr>
    </w:p>
    <w:p w14:paraId="3BB1C2DC">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76672" behindDoc="0" locked="0" layoutInCell="1" allowOverlap="1">
                <wp:simplePos x="0" y="0"/>
                <wp:positionH relativeFrom="column">
                  <wp:posOffset>2574290</wp:posOffset>
                </wp:positionH>
                <wp:positionV relativeFrom="paragraph">
                  <wp:posOffset>63500</wp:posOffset>
                </wp:positionV>
                <wp:extent cx="8255" cy="496570"/>
                <wp:effectExtent l="36830" t="0" r="31115" b="17780"/>
                <wp:wrapNone/>
                <wp:docPr id="84" name="直接箭头连接符 84"/>
                <wp:cNvGraphicFramePr/>
                <a:graphic xmlns:a="http://schemas.openxmlformats.org/drawingml/2006/main">
                  <a:graphicData uri="http://schemas.microsoft.com/office/word/2010/wordprocessingShape">
                    <wps:wsp>
                      <wps:cNvCnPr>
                        <a:endCxn id="80" idx="0"/>
                      </wps:cNvCnPr>
                      <wps:spPr>
                        <a:xfrm flipH="1">
                          <a:off x="0" y="0"/>
                          <a:ext cx="8255" cy="4965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7pt;margin-top:5pt;height:39.1pt;width:0.65pt;z-index:251676672;mso-width-relative:page;mso-height-relative:page;" filled="f" stroked="t" coordsize="21600,21600" o:gfxdata="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qCS4dgAAAAJAQAADwAAAAAAAAABACAAAAAiAAAAZHJzL2Rvd25yZXYueG1sUEsBAhQAFAAAAAgA&#10;h07iQOSuQpklAgAANAQAAA4AAAAAAAAAAQAgAAAAJwEAAGRycy9lMm9Eb2MueG1sUEsFBgAAAAAG&#10;AAYAWQEAAL4FAAAAAA==&#10;">
                <v:fill on="f" focussize="0,0"/>
                <v:stroke color="#000000" joinstyle="round" endarrow="block"/>
                <v:imagedata o:title=""/>
                <o:lock v:ext="edit" aspectratio="f"/>
              </v:shape>
            </w:pict>
          </mc:Fallback>
        </mc:AlternateContent>
      </w:r>
    </w:p>
    <w:p w14:paraId="35675308">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3840" behindDoc="0" locked="0" layoutInCell="1" allowOverlap="1">
                <wp:simplePos x="0" y="0"/>
                <wp:positionH relativeFrom="column">
                  <wp:posOffset>100965</wp:posOffset>
                </wp:positionH>
                <wp:positionV relativeFrom="paragraph">
                  <wp:posOffset>1270</wp:posOffset>
                </wp:positionV>
                <wp:extent cx="5124450" cy="23495"/>
                <wp:effectExtent l="0" t="4445" r="0" b="10160"/>
                <wp:wrapNone/>
                <wp:docPr id="81" name="直接箭头连接符 81"/>
                <wp:cNvGraphicFramePr/>
                <a:graphic xmlns:a="http://schemas.openxmlformats.org/drawingml/2006/main">
                  <a:graphicData uri="http://schemas.microsoft.com/office/word/2010/wordprocessingShape">
                    <wps:wsp>
                      <wps:cNvCnPr>
                        <a:stCxn id="25" idx="2"/>
                        <a:endCxn id="80" idx="0"/>
                      </wps:cNvCnPr>
                      <wps:spPr>
                        <a:xfrm flipV="1">
                          <a:off x="0" y="0"/>
                          <a:ext cx="5124450" cy="23495"/>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7.95pt;margin-top:0.1pt;height:1.85pt;width:403.5pt;z-index:251683840;mso-width-relative:page;mso-height-relative:page;" filled="f" stroked="t" coordsize="21600,21600" o:gfxdata="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KNBtMAAAAFAQAADwAAAAAAAAABACAAAAAiAAAAZHJzL2Rvd25yZXYueG1sUEsBAhQAFAAAAAgA&#10;h07iQJwcC2gqAgAASwQAAA4AAAAAAAAAAQAgAAAAIgEAAGRycy9lMm9Eb2MueG1sUEsFBgAAAAAG&#10;AAYAWQEAAL4FAAAAAA==&#10;">
                <v:fill on="f" focussize="0,0"/>
                <v:stroke color="#000000" joinstyle="round" dashstyle="dash"/>
                <v:imagedata o:title=""/>
                <o:lock v:ext="edit" aspectratio="f"/>
              </v:shape>
            </w:pict>
          </mc:Fallback>
        </mc:AlternateContent>
      </w:r>
    </w:p>
    <w:p w14:paraId="4FF6B02B">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9984" behindDoc="0" locked="0" layoutInCell="1" allowOverlap="1">
                <wp:simplePos x="0" y="0"/>
                <wp:positionH relativeFrom="column">
                  <wp:posOffset>1320800</wp:posOffset>
                </wp:positionH>
                <wp:positionV relativeFrom="paragraph">
                  <wp:posOffset>53975</wp:posOffset>
                </wp:positionV>
                <wp:extent cx="2466975" cy="311785"/>
                <wp:effectExtent l="5080" t="5080" r="4445" b="6985"/>
                <wp:wrapNone/>
                <wp:docPr id="94" name="矩形 94"/>
                <wp:cNvGraphicFramePr/>
                <a:graphic xmlns:a="http://schemas.openxmlformats.org/drawingml/2006/main">
                  <a:graphicData uri="http://schemas.microsoft.com/office/word/2010/wordprocessingShape">
                    <wps:wsp>
                      <wps:cNvSpPr/>
                      <wps:spPr>
                        <a:xfrm>
                          <a:off x="0" y="0"/>
                          <a:ext cx="246697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D57C5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现状监测并进行调查与评价</w:t>
                            </w:r>
                          </w:p>
                        </w:txbxContent>
                      </wps:txbx>
                      <wps:bodyPr upright="1"/>
                    </wps:wsp>
                  </a:graphicData>
                </a:graphic>
              </wp:anchor>
            </w:drawing>
          </mc:Choice>
          <mc:Fallback>
            <w:pict>
              <v:rect id="_x0000_s1026" o:spid="_x0000_s1026" o:spt="1" style="position:absolute;left:0pt;margin-left:104pt;margin-top:4.25pt;height:24.55pt;width:194.25pt;z-index:251689984;mso-width-relative:page;mso-height-relative:page;" fillcolor="#FFFFFF" filled="t" stroked="t" coordsize="21600,21600" o:gfxdata="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CJnStYAAAAIAQAADwAAAAAAAAABACAAAAAiAAAAZHJz&#10;L2Rvd25yZXYueG1sUEsBAhQAFAAAAAgAh07iQBEoE+IGAgAAOQQAAA4AAAAAAAAAAQAgAAAAJQEA&#10;AGRycy9lMm9Eb2MueG1sUEsFBgAAAAAGAAYAWQEAAJ0FAAAAAA==&#10;">
                <v:fill on="t" focussize="0,0"/>
                <v:stroke color="#000000" joinstyle="miter"/>
                <v:imagedata o:title=""/>
                <o:lock v:ext="edit" aspectratio="f"/>
                <v:textbox>
                  <w:txbxContent>
                    <w:p w14:paraId="40D57C5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现状监测并进行调查与评价</w:t>
                      </w:r>
                    </w:p>
                  </w:txbxContent>
                </v:textbox>
              </v:rect>
            </w:pict>
          </mc:Fallback>
        </mc:AlternateContent>
      </w: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6912" behindDoc="0" locked="0" layoutInCell="1" allowOverlap="1">
                <wp:simplePos x="0" y="0"/>
                <wp:positionH relativeFrom="column">
                  <wp:posOffset>112395</wp:posOffset>
                </wp:positionH>
                <wp:positionV relativeFrom="paragraph">
                  <wp:posOffset>172085</wp:posOffset>
                </wp:positionV>
                <wp:extent cx="266700" cy="1094740"/>
                <wp:effectExtent l="0" t="0" r="0" b="0"/>
                <wp:wrapNone/>
                <wp:docPr id="79" name="矩形 79"/>
                <wp:cNvGraphicFramePr/>
                <a:graphic xmlns:a="http://schemas.openxmlformats.org/drawingml/2006/main">
                  <a:graphicData uri="http://schemas.microsoft.com/office/word/2010/wordprocessingShape">
                    <wps:wsp>
                      <wps:cNvSpPr/>
                      <wps:spPr>
                        <a:xfrm>
                          <a:off x="0" y="0"/>
                          <a:ext cx="266700" cy="1094740"/>
                        </a:xfrm>
                        <a:prstGeom prst="rect">
                          <a:avLst/>
                        </a:prstGeom>
                        <a:noFill/>
                        <a:ln w="9525">
                          <a:noFill/>
                        </a:ln>
                        <a:effectLst/>
                      </wps:spPr>
                      <wps:txbx>
                        <w:txbxContent>
                          <w:p w14:paraId="75921E38">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第第二阶段</w:t>
                            </w:r>
                          </w:p>
                        </w:txbxContent>
                      </wps:txbx>
                      <wps:bodyPr upright="1"/>
                    </wps:wsp>
                  </a:graphicData>
                </a:graphic>
              </wp:anchor>
            </w:drawing>
          </mc:Choice>
          <mc:Fallback>
            <w:pict>
              <v:rect id="_x0000_s1026" o:spid="_x0000_s1026" o:spt="1" style="position:absolute;left:0pt;margin-left:8.85pt;margin-top:13.55pt;height:86.2pt;width:21pt;z-index:251686912;mso-width-relative:page;mso-height-relative:page;" filled="f" stroked="f" coordsize="21600,21600" o:gfxdata="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WJmq2AAAAAgBAAAPAAAAAAAAAAEAIAAAACIAAABkcnMvZG93bnJldi54bWxQSwECFAAUAAAACACH&#10;TuJAyliJs7IBAABaAwAADgAAAAAAAAABACAAAAAnAQAAZHJzL2Uyb0RvYy54bWxQSwUGAAAAAAYA&#10;BgBZAQAASwUAAAAA&#10;">
                <v:fill on="f" focussize="0,0"/>
                <v:stroke on="f"/>
                <v:imagedata o:title=""/>
                <o:lock v:ext="edit" aspectratio="f"/>
                <v:textbox>
                  <w:txbxContent>
                    <w:p w14:paraId="75921E38">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第第二阶段</w:t>
                      </w:r>
                    </w:p>
                  </w:txbxContent>
                </v:textbox>
              </v:rect>
            </w:pict>
          </mc:Fallback>
        </mc:AlternateContent>
      </w:r>
    </w:p>
    <w:p w14:paraId="60AD0B3D">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77696" behindDoc="0" locked="0" layoutInCell="1" allowOverlap="1">
                <wp:simplePos x="0" y="0"/>
                <wp:positionH relativeFrom="column">
                  <wp:posOffset>2558415</wp:posOffset>
                </wp:positionH>
                <wp:positionV relativeFrom="paragraph">
                  <wp:posOffset>99695</wp:posOffset>
                </wp:positionV>
                <wp:extent cx="7620" cy="535940"/>
                <wp:effectExtent l="36830" t="0" r="31750" b="16510"/>
                <wp:wrapNone/>
                <wp:docPr id="56" name="直接箭头连接符 56"/>
                <wp:cNvGraphicFramePr/>
                <a:graphic xmlns:a="http://schemas.openxmlformats.org/drawingml/2006/main">
                  <a:graphicData uri="http://schemas.microsoft.com/office/word/2010/wordprocessingShape">
                    <wps:wsp>
                      <wps:cNvCnPr>
                        <a:endCxn id="80" idx="0"/>
                      </wps:cNvCnPr>
                      <wps:spPr>
                        <a:xfrm flipH="1">
                          <a:off x="0" y="0"/>
                          <a:ext cx="7620" cy="5359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45pt;margin-top:7.85pt;height:42.2pt;width:0.6pt;z-index:251677696;mso-width-relative:page;mso-height-relative:page;" filled="f" stroked="t" coordsize="21600,21600" o:gfxdata="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B649NgAAAAKAQAADwAAAAAAAAABACAAAAAiAAAAZHJzL2Rvd25yZXYueG1sUEsBAhQAFAAAAAgA&#10;h07iQG413TklAgAANAQAAA4AAAAAAAAAAQAgAAAAJwEAAGRycy9lMm9Eb2MueG1sUEsFBgAAAAAG&#10;AAYAWQEAAL4FAAAAAA==&#10;">
                <v:fill on="f" focussize="0,0"/>
                <v:stroke color="#000000" joinstyle="round" endarrow="block"/>
                <v:imagedata o:title=""/>
                <o:lock v:ext="edit" aspectratio="f"/>
              </v:shape>
            </w:pict>
          </mc:Fallback>
        </mc:AlternateContent>
      </w:r>
    </w:p>
    <w:p w14:paraId="640BC387">
      <w:pPr>
        <w:widowControl w:val="0"/>
        <w:spacing w:line="400" w:lineRule="atLeast"/>
        <w:ind w:firstLine="480"/>
        <w:jc w:val="both"/>
        <w:rPr>
          <w:rFonts w:hint="default" w:ascii="Times New Roman" w:hAnsi="Times New Roman" w:eastAsia="宋体" w:cs="Times New Roman"/>
          <w:color w:val="auto"/>
          <w:kern w:val="2"/>
          <w:sz w:val="21"/>
          <w:u w:val="none"/>
        </w:rPr>
      </w:pPr>
    </w:p>
    <w:p w14:paraId="2DFE0D4B">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78720" behindDoc="0" locked="0" layoutInCell="1" allowOverlap="1">
                <wp:simplePos x="0" y="0"/>
                <wp:positionH relativeFrom="column">
                  <wp:posOffset>1326515</wp:posOffset>
                </wp:positionH>
                <wp:positionV relativeFrom="paragraph">
                  <wp:posOffset>135890</wp:posOffset>
                </wp:positionV>
                <wp:extent cx="2466975" cy="389255"/>
                <wp:effectExtent l="5080" t="4445" r="4445" b="6350"/>
                <wp:wrapNone/>
                <wp:docPr id="25" name="矩形 25"/>
                <wp:cNvGraphicFramePr/>
                <a:graphic xmlns:a="http://schemas.openxmlformats.org/drawingml/2006/main">
                  <a:graphicData uri="http://schemas.microsoft.com/office/word/2010/wordprocessingShape">
                    <wps:wsp>
                      <wps:cNvSpPr/>
                      <wps:spPr>
                        <a:xfrm>
                          <a:off x="0" y="0"/>
                          <a:ext cx="2466975" cy="389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856848">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各环境要素和专题环境影响预测与评价</w:t>
                            </w:r>
                          </w:p>
                        </w:txbxContent>
                      </wps:txbx>
                      <wps:bodyPr upright="1"/>
                    </wps:wsp>
                  </a:graphicData>
                </a:graphic>
              </wp:anchor>
            </w:drawing>
          </mc:Choice>
          <mc:Fallback>
            <w:pict>
              <v:rect id="_x0000_s1026" o:spid="_x0000_s1026" o:spt="1" style="position:absolute;left:0pt;margin-left:104.45pt;margin-top:10.7pt;height:30.65pt;width:194.25pt;z-index:251678720;mso-width-relative:page;mso-height-relative:page;" fillcolor="#FFFFFF" filled="t" stroked="t" coordsize="21600,21600" o:gfxdata="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G6aqNcAAAAJAQAADwAAAAAAAAABACAAAAAiAAAA&#10;ZHJzL2Rvd25yZXYueG1sUEsBAhQAFAAAAAgAh07iQOCAxYoIAgAAOQQAAA4AAAAAAAAAAQAgAAAA&#10;JgEAAGRycy9lMm9Eb2MueG1sUEsFBgAAAAAGAAYAWQEAAKAFAAAAAA==&#10;">
                <v:fill on="t" focussize="0,0"/>
                <v:stroke color="#000000" joinstyle="miter"/>
                <v:imagedata o:title=""/>
                <o:lock v:ext="edit" aspectratio="f"/>
                <v:textbox>
                  <w:txbxContent>
                    <w:p w14:paraId="36856848">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各环境要素和专题环境影响预测与评价</w:t>
                      </w:r>
                    </w:p>
                  </w:txbxContent>
                </v:textbox>
              </v:rect>
            </w:pict>
          </mc:Fallback>
        </mc:AlternateContent>
      </w:r>
    </w:p>
    <w:p w14:paraId="02A6EE58">
      <w:pPr>
        <w:widowControl w:val="0"/>
        <w:spacing w:line="400" w:lineRule="atLeast"/>
        <w:ind w:firstLine="480"/>
        <w:jc w:val="both"/>
        <w:rPr>
          <w:rFonts w:hint="default" w:ascii="Times New Roman" w:hAnsi="Times New Roman" w:eastAsia="宋体" w:cs="Times New Roman"/>
          <w:color w:val="auto"/>
          <w:kern w:val="2"/>
          <w:sz w:val="21"/>
          <w:u w:val="none"/>
        </w:rPr>
      </w:pPr>
    </w:p>
    <w:p w14:paraId="116BB752">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79744" behindDoc="0" locked="0" layoutInCell="1" allowOverlap="1">
                <wp:simplePos x="0" y="0"/>
                <wp:positionH relativeFrom="column">
                  <wp:posOffset>2559685</wp:posOffset>
                </wp:positionH>
                <wp:positionV relativeFrom="paragraph">
                  <wp:posOffset>17145</wp:posOffset>
                </wp:positionV>
                <wp:extent cx="635" cy="589915"/>
                <wp:effectExtent l="38100" t="0" r="37465" b="635"/>
                <wp:wrapNone/>
                <wp:docPr id="24" name="直接箭头连接符 24"/>
                <wp:cNvGraphicFramePr/>
                <a:graphic xmlns:a="http://schemas.openxmlformats.org/drawingml/2006/main">
                  <a:graphicData uri="http://schemas.microsoft.com/office/word/2010/wordprocessingShape">
                    <wps:wsp>
                      <wps:cNvCnPr>
                        <a:stCxn id="25" idx="2"/>
                        <a:endCxn id="7" idx="0"/>
                      </wps:cNvCnPr>
                      <wps:spPr>
                        <a:xfrm flipH="1">
                          <a:off x="0" y="0"/>
                          <a:ext cx="635" cy="5899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5pt;margin-top:1.35pt;height:46.45pt;width:0.05pt;z-index:251679744;mso-width-relative:page;mso-height-relative:page;" filled="f" stroked="t" coordsize="21600,21600" o:gfxdata="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794EbXAAAACAEAAA8AAAAAAAAAAQAgAAAAIgAAAGRycy9kb3ducmV2LnhtbFBLAQIU&#10;ABQAAAAIAIdO4kAEL7WaLQIAAEwEAAAOAAAAAAAAAAEAIAAAACYBAABkcnMvZTJvRG9jLnhtbFBL&#10;BQYAAAAABgAGAFkBAADFBQAAAAA=&#10;">
                <v:fill on="f" focussize="0,0"/>
                <v:stroke color="#000000" joinstyle="round" endarrow="block"/>
                <v:imagedata o:title=""/>
                <o:lock v:ext="edit" aspectratio="f"/>
              </v:shape>
            </w:pict>
          </mc:Fallback>
        </mc:AlternateContent>
      </w:r>
    </w:p>
    <w:p w14:paraId="49B3177C">
      <w:pPr>
        <w:widowControl w:val="0"/>
        <w:spacing w:line="400" w:lineRule="atLeast"/>
        <w:ind w:firstLine="480"/>
        <w:jc w:val="both"/>
        <w:rPr>
          <w:rFonts w:hint="default" w:ascii="Times New Roman" w:hAnsi="Times New Roman" w:eastAsia="宋体" w:cs="Times New Roman"/>
          <w:color w:val="auto"/>
          <w:kern w:val="2"/>
          <w:sz w:val="15"/>
          <w:szCs w:val="15"/>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4864" behindDoc="0" locked="0" layoutInCell="1" allowOverlap="1">
                <wp:simplePos x="0" y="0"/>
                <wp:positionH relativeFrom="column">
                  <wp:posOffset>66040</wp:posOffset>
                </wp:positionH>
                <wp:positionV relativeFrom="paragraph">
                  <wp:posOffset>109855</wp:posOffset>
                </wp:positionV>
                <wp:extent cx="5206365" cy="2540"/>
                <wp:effectExtent l="0" t="0" r="0" b="0"/>
                <wp:wrapNone/>
                <wp:docPr id="22" name="直接箭头连接符 22"/>
                <wp:cNvGraphicFramePr/>
                <a:graphic xmlns:a="http://schemas.openxmlformats.org/drawingml/2006/main">
                  <a:graphicData uri="http://schemas.microsoft.com/office/word/2010/wordprocessingShape">
                    <wps:wsp>
                      <wps:cNvCnPr>
                        <a:stCxn id="25" idx="2"/>
                        <a:endCxn id="7" idx="0"/>
                      </wps:cNvCnPr>
                      <wps:spPr>
                        <a:xfrm flipV="1">
                          <a:off x="0" y="0"/>
                          <a:ext cx="5206365" cy="254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5.2pt;margin-top:8.65pt;height:0.2pt;width:409.95pt;z-index:251684864;mso-width-relative:page;mso-height-relative:page;" filled="f" stroked="t" coordsize="21600,21600" o:gfxdata="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Zr&#10;YubVAAAACAEAAA8AAAAAAAAAAQAgAAAAIgAAAGRycy9kb3ducmV2LnhtbFBLAQIUABQAAAAIAIdO&#10;4kCHDDZKJgIAAEkEAAAOAAAAAAAAAAEAIAAAACQBAABkcnMvZTJvRG9jLnhtbFBLBQYAAAAABgAG&#10;AFkBAAC8BQAAAAA=&#10;">
                <v:fill on="f" focussize="0,0"/>
                <v:stroke color="#000000" joinstyle="round" dashstyle="dash"/>
                <v:imagedata o:title=""/>
                <o:lock v:ext="edit" aspectratio="f"/>
              </v:shape>
            </w:pict>
          </mc:Fallback>
        </mc:AlternateContent>
      </w:r>
    </w:p>
    <w:p w14:paraId="40C0F6D1">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0768" behindDoc="0" locked="0" layoutInCell="1" allowOverlap="1">
                <wp:simplePos x="0" y="0"/>
                <wp:positionH relativeFrom="column">
                  <wp:posOffset>1175385</wp:posOffset>
                </wp:positionH>
                <wp:positionV relativeFrom="paragraph">
                  <wp:posOffset>99060</wp:posOffset>
                </wp:positionV>
                <wp:extent cx="2768600" cy="727075"/>
                <wp:effectExtent l="4445" t="4445" r="8255" b="11430"/>
                <wp:wrapNone/>
                <wp:docPr id="7" name="矩形 7"/>
                <wp:cNvGraphicFramePr/>
                <a:graphic xmlns:a="http://schemas.openxmlformats.org/drawingml/2006/main">
                  <a:graphicData uri="http://schemas.microsoft.com/office/word/2010/wordprocessingShape">
                    <wps:wsp>
                      <wps:cNvSpPr/>
                      <wps:spPr>
                        <a:xfrm>
                          <a:off x="0" y="0"/>
                          <a:ext cx="2768600" cy="727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8AE73A">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确定科学合理、可行的工程方案，提出预防或减缓不利影响的对策或措施，制定相应的环境管理要求或环境监测计划</w:t>
                            </w:r>
                          </w:p>
                        </w:txbxContent>
                      </wps:txbx>
                      <wps:bodyPr upright="1"/>
                    </wps:wsp>
                  </a:graphicData>
                </a:graphic>
              </wp:anchor>
            </w:drawing>
          </mc:Choice>
          <mc:Fallback>
            <w:pict>
              <v:rect id="_x0000_s1026" o:spid="_x0000_s1026" o:spt="1" style="position:absolute;left:0pt;margin-left:92.55pt;margin-top:7.8pt;height:57.25pt;width:218pt;z-index:251680768;mso-width-relative:page;mso-height-relative:page;" fillcolor="#FFFFFF" filled="t" stroked="t" coordsize="21600,21600" o:gfxdata="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FeQT1wAAAAoBAAAPAAAAAAAAAAEAIAAAACIAAABkcnMv&#10;ZG93bnJldi54bWxQSwECFAAUAAAACACHTuJAN/urSwQCAAA3BAAADgAAAAAAAAABACAAAAAmAQAA&#10;ZHJzL2Uyb0RvYy54bWxQSwUGAAAAAAYABgBZAQAAnAUAAAAA&#10;">
                <v:fill on="t" focussize="0,0"/>
                <v:stroke color="#000000" joinstyle="miter"/>
                <v:imagedata o:title=""/>
                <o:lock v:ext="edit" aspectratio="f"/>
                <v:textbox>
                  <w:txbxContent>
                    <w:p w14:paraId="5B8AE73A">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确定科学合理、可行的工程方案，提出预防或减缓不利影响的对策或措施，制定相应的环境管理要求或环境监测计划</w:t>
                      </w:r>
                    </w:p>
                  </w:txbxContent>
                </v:textbox>
              </v:rect>
            </w:pict>
          </mc:Fallback>
        </mc:AlternateContent>
      </w: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7936" behindDoc="0" locked="0" layoutInCell="1" allowOverlap="1">
                <wp:simplePos x="0" y="0"/>
                <wp:positionH relativeFrom="column">
                  <wp:posOffset>92710</wp:posOffset>
                </wp:positionH>
                <wp:positionV relativeFrom="paragraph">
                  <wp:posOffset>59690</wp:posOffset>
                </wp:positionV>
                <wp:extent cx="266700" cy="1260475"/>
                <wp:effectExtent l="0" t="0" r="0" b="0"/>
                <wp:wrapNone/>
                <wp:docPr id="26" name="矩形 26"/>
                <wp:cNvGraphicFramePr/>
                <a:graphic xmlns:a="http://schemas.openxmlformats.org/drawingml/2006/main">
                  <a:graphicData uri="http://schemas.microsoft.com/office/word/2010/wordprocessingShape">
                    <wps:wsp>
                      <wps:cNvSpPr/>
                      <wps:spPr>
                        <a:xfrm>
                          <a:off x="0" y="0"/>
                          <a:ext cx="266700" cy="1260475"/>
                        </a:xfrm>
                        <a:prstGeom prst="rect">
                          <a:avLst/>
                        </a:prstGeom>
                        <a:noFill/>
                        <a:ln w="9525">
                          <a:noFill/>
                        </a:ln>
                        <a:effectLst/>
                      </wps:spPr>
                      <wps:txbx>
                        <w:txbxContent>
                          <w:p w14:paraId="5EDF28F8">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第第三阶段</w:t>
                            </w:r>
                          </w:p>
                        </w:txbxContent>
                      </wps:txbx>
                      <wps:bodyPr upright="1"/>
                    </wps:wsp>
                  </a:graphicData>
                </a:graphic>
              </wp:anchor>
            </w:drawing>
          </mc:Choice>
          <mc:Fallback>
            <w:pict>
              <v:rect id="_x0000_s1026" o:spid="_x0000_s1026" o:spt="1" style="position:absolute;left:0pt;margin-left:7.3pt;margin-top:4.7pt;height:99.25pt;width:21pt;z-index:251687936;mso-width-relative:page;mso-height-relative:page;" filled="f" stroked="f" coordsize="21600,21600" o:gfxdata="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8BXX&#10;1wAAAAcBAAAPAAAAAAAAAAEAIAAAACIAAABkcnMvZG93bnJldi54bWxQSwECFAAUAAAACACHTuJA&#10;9uE4abABAABaAwAADgAAAAAAAAABACAAAAAmAQAAZHJzL2Uyb0RvYy54bWxQSwUGAAAAAAYABgBZ&#10;AQAASAUAAAAA&#10;">
                <v:fill on="f" focussize="0,0"/>
                <v:stroke on="f"/>
                <v:imagedata o:title=""/>
                <o:lock v:ext="edit" aspectratio="f"/>
                <v:textbox>
                  <w:txbxContent>
                    <w:p w14:paraId="5EDF28F8">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第第三阶段</w:t>
                      </w:r>
                    </w:p>
                  </w:txbxContent>
                </v:textbox>
              </v:rect>
            </w:pict>
          </mc:Fallback>
        </mc:AlternateContent>
      </w:r>
    </w:p>
    <w:p w14:paraId="5CCF5153">
      <w:pPr>
        <w:widowControl w:val="0"/>
        <w:spacing w:line="400" w:lineRule="atLeast"/>
        <w:ind w:firstLine="480"/>
        <w:jc w:val="both"/>
        <w:rPr>
          <w:rFonts w:hint="default" w:ascii="Times New Roman" w:hAnsi="Times New Roman" w:eastAsia="宋体" w:cs="Times New Roman"/>
          <w:color w:val="auto"/>
          <w:kern w:val="2"/>
          <w:sz w:val="21"/>
          <w:u w:val="none"/>
        </w:rPr>
      </w:pPr>
    </w:p>
    <w:p w14:paraId="30EB8610">
      <w:pPr>
        <w:widowControl w:val="0"/>
        <w:spacing w:line="400" w:lineRule="atLeast"/>
        <w:ind w:firstLine="480"/>
        <w:jc w:val="both"/>
        <w:rPr>
          <w:rFonts w:hint="default" w:ascii="Times New Roman" w:hAnsi="Times New Roman" w:eastAsia="宋体" w:cs="Times New Roman"/>
          <w:color w:val="auto"/>
          <w:kern w:val="2"/>
          <w:sz w:val="21"/>
          <w:u w:val="none"/>
        </w:rPr>
      </w:pPr>
    </w:p>
    <w:p w14:paraId="4BD3A09A">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1792" behindDoc="0" locked="0" layoutInCell="1" allowOverlap="1">
                <wp:simplePos x="0" y="0"/>
                <wp:positionH relativeFrom="column">
                  <wp:posOffset>2546350</wp:posOffset>
                </wp:positionH>
                <wp:positionV relativeFrom="paragraph">
                  <wp:posOffset>59690</wp:posOffset>
                </wp:positionV>
                <wp:extent cx="635" cy="230505"/>
                <wp:effectExtent l="37465" t="0" r="38100" b="17145"/>
                <wp:wrapNone/>
                <wp:docPr id="58" name="直接箭头连接符 58"/>
                <wp:cNvGraphicFramePr/>
                <a:graphic xmlns:a="http://schemas.openxmlformats.org/drawingml/2006/main">
                  <a:graphicData uri="http://schemas.microsoft.com/office/word/2010/wordprocessingShape">
                    <wps:wsp>
                      <wps:cNvCnPr>
                        <a:stCxn id="25" idx="2"/>
                        <a:endCxn id="7" idx="0"/>
                      </wps:cNvCnPr>
                      <wps:spPr>
                        <a:xfrm>
                          <a:off x="0" y="0"/>
                          <a:ext cx="635" cy="2305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0.5pt;margin-top:4.7pt;height:18.15pt;width:0.05pt;z-index:251681792;mso-width-relative:page;mso-height-relative:page;" filled="f" stroked="t" coordsize="21600,21600" o:gfxdata="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cNitNgAAAAIAQAADwAAAAAAAAABACAAAAAiAAAAZHJzL2Rvd25yZXYueG1sUEsBAhQAFAAAAAgA&#10;h07iQPHc40QlAgAAQgQAAA4AAAAAAAAAAQAgAAAAJwEAAGRycy9lMm9Eb2MueG1sUEsFBgAAAAAG&#10;AAYAWQEAAL4FAAAAAA==&#10;">
                <v:fill on="f" focussize="0,0"/>
                <v:stroke color="#000000" joinstyle="round" endarrow="block"/>
                <v:imagedata o:title=""/>
                <o:lock v:ext="edit" aspectratio="f"/>
              </v:shape>
            </w:pict>
          </mc:Fallback>
        </mc:AlternateContent>
      </w:r>
    </w:p>
    <w:p w14:paraId="74DDE216">
      <w:pPr>
        <w:widowControl w:val="0"/>
        <w:spacing w:line="400" w:lineRule="atLeast"/>
        <w:ind w:firstLine="480"/>
        <w:jc w:val="both"/>
        <w:rPr>
          <w:rFonts w:hint="default" w:ascii="Times New Roman" w:hAnsi="Times New Roman" w:eastAsia="宋体" w:cs="Times New Roman"/>
          <w:color w:val="auto"/>
          <w:kern w:val="2"/>
          <w:sz w:val="21"/>
          <w:u w:val="none"/>
        </w:rPr>
      </w:pPr>
      <w:r>
        <w:rPr>
          <w:rFonts w:hint="default" w:ascii="Times New Roman" w:hAnsi="Times New Roman" w:eastAsia="宋体" w:cs="Times New Roman"/>
          <w:color w:val="auto"/>
          <w:kern w:val="2"/>
          <w:sz w:val="21"/>
          <w:u w:val="none"/>
        </w:rPr>
        <mc:AlternateContent>
          <mc:Choice Requires="wps">
            <w:drawing>
              <wp:anchor distT="0" distB="0" distL="114300" distR="114300" simplePos="0" relativeHeight="251682816" behindDoc="0" locked="0" layoutInCell="1" allowOverlap="1">
                <wp:simplePos x="0" y="0"/>
                <wp:positionH relativeFrom="column">
                  <wp:posOffset>1172845</wp:posOffset>
                </wp:positionH>
                <wp:positionV relativeFrom="paragraph">
                  <wp:posOffset>46355</wp:posOffset>
                </wp:positionV>
                <wp:extent cx="2764155" cy="527685"/>
                <wp:effectExtent l="4445" t="4445" r="12700" b="20320"/>
                <wp:wrapNone/>
                <wp:docPr id="27" name="矩形 27"/>
                <wp:cNvGraphicFramePr/>
                <a:graphic xmlns:a="http://schemas.openxmlformats.org/drawingml/2006/main">
                  <a:graphicData uri="http://schemas.microsoft.com/office/word/2010/wordprocessingShape">
                    <wps:wsp>
                      <wps:cNvSpPr/>
                      <wps:spPr>
                        <a:xfrm>
                          <a:off x="0" y="0"/>
                          <a:ext cx="2764155" cy="527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AF9D44">
                            <w:pPr>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从生态环境影响的角度给出</w:t>
                            </w:r>
                          </w:p>
                          <w:p w14:paraId="47A18C7C">
                            <w:pPr>
                              <w:jc w:val="center"/>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工程建设项目是否可行的结论</w:t>
                            </w:r>
                          </w:p>
                        </w:txbxContent>
                      </wps:txbx>
                      <wps:bodyPr upright="1"/>
                    </wps:wsp>
                  </a:graphicData>
                </a:graphic>
              </wp:anchor>
            </w:drawing>
          </mc:Choice>
          <mc:Fallback>
            <w:pict>
              <v:rect id="_x0000_s1026" o:spid="_x0000_s1026" o:spt="1" style="position:absolute;left:0pt;margin-left:92.35pt;margin-top:3.65pt;height:41.55pt;width:217.65pt;z-index:251682816;mso-width-relative:page;mso-height-relative:page;" fillcolor="#FFFFFF" filled="t" stroked="t" coordsize="21600,21600" o:gfxdata="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Vuo81gAAAAgBAAAPAAAAAAAAAAEAIAAAACIAAABkcnMv&#10;ZG93bnJldi54bWxQSwECFAAUAAAACACHTuJACyuhWgUCAAA5BAAADgAAAAAAAAABACAAAAAlAQAA&#10;ZHJzL2Uyb0RvYy54bWxQSwUGAAAAAAYABgBZAQAAnAUAAAAA&#10;">
                <v:fill on="t" focussize="0,0"/>
                <v:stroke color="#000000" joinstyle="miter"/>
                <v:imagedata o:title=""/>
                <o:lock v:ext="edit" aspectratio="f"/>
                <v:textbox>
                  <w:txbxContent>
                    <w:p w14:paraId="0EAF9D44">
                      <w:pPr>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从生态环境影响的角度给出</w:t>
                      </w:r>
                    </w:p>
                    <w:p w14:paraId="47A18C7C">
                      <w:pPr>
                        <w:jc w:val="center"/>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工程建设项目是否可行的结论</w:t>
                      </w:r>
                    </w:p>
                  </w:txbxContent>
                </v:textbox>
              </v:rect>
            </w:pict>
          </mc:Fallback>
        </mc:AlternateContent>
      </w:r>
    </w:p>
    <w:p w14:paraId="243674D9">
      <w:pPr>
        <w:widowControl w:val="0"/>
        <w:spacing w:line="400" w:lineRule="atLeast"/>
        <w:ind w:firstLine="480"/>
        <w:jc w:val="both"/>
        <w:rPr>
          <w:rFonts w:hint="default" w:ascii="Times New Roman" w:hAnsi="Times New Roman" w:eastAsia="宋体" w:cs="Times New Roman"/>
          <w:color w:val="auto"/>
          <w:kern w:val="2"/>
          <w:sz w:val="21"/>
          <w:u w:val="none"/>
        </w:rPr>
      </w:pPr>
    </w:p>
    <w:p w14:paraId="3E35F7F1">
      <w:pPr>
        <w:widowControl w:val="0"/>
        <w:ind w:firstLine="480"/>
        <w:jc w:val="both"/>
        <w:rPr>
          <w:rFonts w:hint="default" w:ascii="Times New Roman" w:hAnsi="Times New Roman" w:eastAsia="宋体" w:cs="Times New Roman"/>
          <w:color w:val="auto"/>
          <w:kern w:val="2"/>
          <w:sz w:val="21"/>
          <w:u w:val="none"/>
        </w:rPr>
      </w:pPr>
    </w:p>
    <w:p w14:paraId="736F4D9D">
      <w:pPr>
        <w:widowControl w:val="0"/>
        <w:ind w:firstLine="480"/>
        <w:jc w:val="both"/>
        <w:rPr>
          <w:rFonts w:hint="default" w:ascii="Times New Roman" w:hAnsi="Times New Roman" w:eastAsia="黑体" w:cs="Times New Roman"/>
          <w:color w:val="auto"/>
          <w:kern w:val="2"/>
          <w:sz w:val="21"/>
          <w:szCs w:val="21"/>
          <w:u w:val="none"/>
        </w:rPr>
      </w:pPr>
    </w:p>
    <w:p w14:paraId="09BADE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auto"/>
          <w:sz w:val="21"/>
          <w:szCs w:val="21"/>
          <w:u w:val="none"/>
        </w:rPr>
      </w:pPr>
      <w:r>
        <w:rPr>
          <w:rFonts w:hint="eastAsia" w:ascii="黑体" w:hAnsi="黑体" w:eastAsia="黑体" w:cs="黑体"/>
          <w:b w:val="0"/>
          <w:bCs/>
          <w:color w:val="auto"/>
          <w:kern w:val="2"/>
          <w:sz w:val="24"/>
          <w:szCs w:val="24"/>
          <w:u w:val="none"/>
          <w:lang w:val="en-US" w:eastAsia="zh-CN" w:bidi="ar-SA"/>
        </w:rPr>
        <w:t>图1.2-1      环境影响评价工作程序图</w:t>
      </w:r>
    </w:p>
    <w:p w14:paraId="108CC90A">
      <w:pPr>
        <w:ind w:firstLine="0"/>
        <w:rPr>
          <w:rFonts w:hint="default" w:ascii="Times New Roman" w:hAnsi="Times New Roman" w:cs="Times New Roman"/>
          <w:color w:val="auto"/>
          <w:u w:val="none"/>
        </w:rPr>
      </w:pPr>
      <w:r>
        <w:rPr>
          <w:rFonts w:hint="default" w:ascii="Times New Roman" w:hAnsi="Times New Roman" w:cs="Times New Roman"/>
          <w:color w:val="auto"/>
          <w:u w:val="none"/>
        </w:rPr>
        <w:br w:type="page"/>
      </w:r>
    </w:p>
    <w:p w14:paraId="1BB9B320">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21" w:name="_Toc476736276"/>
      <w:bookmarkStart w:id="22" w:name="_Toc479866255"/>
      <w:bookmarkStart w:id="23" w:name="_Toc561"/>
      <w:bookmarkStart w:id="24" w:name="_Toc508291869"/>
      <w:bookmarkStart w:id="25" w:name="_Toc6567"/>
      <w:bookmarkStart w:id="26" w:name="_Toc109382904"/>
      <w:bookmarkStart w:id="27" w:name="_Toc16777"/>
      <w:bookmarkStart w:id="28" w:name="_Toc489976884"/>
      <w:r>
        <w:rPr>
          <w:rFonts w:hint="default" w:ascii="黑体" w:hAnsi="黑体" w:eastAsia="黑体" w:cs="黑体"/>
          <w:color w:val="auto"/>
          <w:sz w:val="28"/>
          <w:szCs w:val="28"/>
          <w:u w:val="none"/>
          <w:lang w:val="en-US" w:eastAsia="zh-CN"/>
        </w:rPr>
        <w:t>1.3</w:t>
      </w:r>
      <w:bookmarkEnd w:id="21"/>
      <w:bookmarkEnd w:id="22"/>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分析判定相关情况</w:t>
      </w:r>
      <w:bookmarkEnd w:id="23"/>
      <w:bookmarkEnd w:id="24"/>
      <w:bookmarkEnd w:id="25"/>
      <w:bookmarkEnd w:id="26"/>
      <w:bookmarkEnd w:id="27"/>
      <w:bookmarkEnd w:id="28"/>
    </w:p>
    <w:p w14:paraId="27A637CB">
      <w:pPr>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color w:val="auto"/>
          <w:kern w:val="0"/>
          <w:sz w:val="24"/>
          <w:szCs w:val="24"/>
          <w:highlight w:val="none"/>
          <w:u w:val="none"/>
        </w:rPr>
      </w:pPr>
      <w:r>
        <w:rPr>
          <w:rFonts w:hint="eastAsia" w:ascii="宋体" w:hAnsi="宋体" w:eastAsia="宋体" w:cs="宋体"/>
          <w:b/>
          <w:color w:val="auto"/>
          <w:kern w:val="0"/>
          <w:sz w:val="24"/>
          <w:szCs w:val="24"/>
          <w:highlight w:val="none"/>
          <w:u w:val="none"/>
        </w:rPr>
        <w:t>（1）产业政策符合性判定结论</w:t>
      </w:r>
    </w:p>
    <w:p w14:paraId="393B05A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zh-CN" w:eastAsia="zh-CN" w:bidi="ar-SA"/>
        </w:rPr>
      </w:pPr>
      <w:r>
        <w:rPr>
          <w:rFonts w:hint="eastAsia" w:ascii="宋体" w:hAnsi="宋体" w:eastAsia="宋体" w:cs="宋体"/>
          <w:color w:val="auto"/>
          <w:sz w:val="24"/>
          <w:szCs w:val="24"/>
          <w:highlight w:val="none"/>
          <w:u w:val="none"/>
          <w:lang w:val="zh-CN" w:eastAsia="zh-CN" w:bidi="ar-SA"/>
        </w:rPr>
        <w:t>本工程属于石油天然气开采项目，根据《产业结构调整指导目录（2024年本）》，“</w:t>
      </w:r>
      <w:r>
        <w:rPr>
          <w:rFonts w:hint="eastAsia" w:ascii="宋体" w:hAnsi="宋体" w:eastAsia="宋体" w:cs="宋体"/>
          <w:color w:val="auto"/>
          <w:sz w:val="24"/>
          <w:szCs w:val="24"/>
          <w:highlight w:val="none"/>
          <w:u w:val="none"/>
          <w:lang w:val="en-US" w:eastAsia="zh-CN" w:bidi="ar-SA"/>
        </w:rPr>
        <w:t>第一类鼓励类”：“七、石油、天然气”中“1、</w:t>
      </w:r>
      <w:r>
        <w:rPr>
          <w:rFonts w:hint="eastAsia" w:ascii="宋体" w:hAnsi="宋体" w:eastAsia="宋体" w:cs="宋体"/>
          <w:color w:val="auto"/>
          <w:sz w:val="24"/>
          <w:szCs w:val="24"/>
          <w:highlight w:val="none"/>
          <w:u w:val="none"/>
          <w:lang w:val="zh-CN" w:eastAsia="zh-CN" w:bidi="ar-SA"/>
        </w:rPr>
        <w:t>常规石油、天然气勘探与开采”，属鼓励类项目</w:t>
      </w:r>
      <w:r>
        <w:rPr>
          <w:rFonts w:hint="eastAsia" w:ascii="宋体" w:hAnsi="宋体" w:eastAsia="宋体" w:cs="宋体"/>
          <w:color w:val="auto"/>
          <w:sz w:val="24"/>
          <w:szCs w:val="24"/>
          <w:highlight w:val="none"/>
          <w:u w:val="none"/>
          <w:lang w:val="en-US" w:eastAsia="zh-CN" w:bidi="ar-SA"/>
        </w:rPr>
        <w:t>，</w:t>
      </w:r>
      <w:r>
        <w:rPr>
          <w:rFonts w:hint="eastAsia" w:ascii="宋体" w:hAnsi="宋体" w:eastAsia="宋体" w:cs="宋体"/>
          <w:color w:val="auto"/>
          <w:sz w:val="24"/>
          <w:szCs w:val="24"/>
          <w:highlight w:val="none"/>
          <w:u w:val="none"/>
          <w:lang w:val="zh-CN" w:eastAsia="zh-CN" w:bidi="ar-SA"/>
        </w:rPr>
        <w:t>符合国家当前产业政策要求。</w:t>
      </w:r>
    </w:p>
    <w:p w14:paraId="1F53F2DC">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b/>
          <w:bCs/>
          <w:color w:val="auto"/>
          <w:kern w:val="2"/>
          <w:sz w:val="24"/>
          <w:szCs w:val="24"/>
          <w:highlight w:val="none"/>
          <w:u w:val="none"/>
        </w:rPr>
      </w:pPr>
      <w:r>
        <w:rPr>
          <w:rFonts w:hint="eastAsia" w:ascii="宋体" w:hAnsi="宋体" w:eastAsia="宋体" w:cs="宋体"/>
          <w:b/>
          <w:bCs/>
          <w:color w:val="auto"/>
          <w:kern w:val="2"/>
          <w:sz w:val="24"/>
          <w:szCs w:val="24"/>
          <w:highlight w:val="none"/>
          <w:u w:val="none"/>
          <w:lang w:val="zh-CN"/>
        </w:rPr>
        <w:t>（</w:t>
      </w:r>
      <w:r>
        <w:rPr>
          <w:rFonts w:hint="eastAsia" w:ascii="宋体" w:hAnsi="宋体" w:eastAsia="宋体" w:cs="宋体"/>
          <w:b/>
          <w:bCs/>
          <w:color w:val="auto"/>
          <w:kern w:val="2"/>
          <w:sz w:val="24"/>
          <w:szCs w:val="24"/>
          <w:highlight w:val="none"/>
          <w:u w:val="none"/>
        </w:rPr>
        <w:t>2</w:t>
      </w:r>
      <w:r>
        <w:rPr>
          <w:rFonts w:hint="eastAsia" w:ascii="宋体" w:hAnsi="宋体" w:eastAsia="宋体" w:cs="宋体"/>
          <w:b/>
          <w:bCs/>
          <w:color w:val="auto"/>
          <w:kern w:val="2"/>
          <w:sz w:val="24"/>
          <w:szCs w:val="24"/>
          <w:highlight w:val="none"/>
          <w:u w:val="none"/>
          <w:lang w:val="zh-CN"/>
        </w:rPr>
        <w:t>）</w:t>
      </w:r>
      <w:r>
        <w:rPr>
          <w:rFonts w:hint="eastAsia" w:ascii="宋体" w:hAnsi="宋体" w:eastAsia="宋体" w:cs="宋体"/>
          <w:b/>
          <w:bCs/>
          <w:color w:val="auto"/>
          <w:kern w:val="2"/>
          <w:sz w:val="24"/>
          <w:szCs w:val="24"/>
          <w:highlight w:val="none"/>
          <w:u w:val="none"/>
        </w:rPr>
        <w:t>政策、法规符合性分析</w:t>
      </w:r>
    </w:p>
    <w:p w14:paraId="4F5309B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kern w:val="2"/>
          <w:sz w:val="24"/>
          <w:szCs w:val="24"/>
          <w:highlight w:val="none"/>
          <w:u w:val="none"/>
        </w:rPr>
      </w:pPr>
      <w:r>
        <w:rPr>
          <w:rFonts w:hint="eastAsia" w:ascii="宋体" w:hAnsi="宋体" w:eastAsia="宋体" w:cs="宋体"/>
          <w:color w:val="auto"/>
          <w:sz w:val="24"/>
          <w:szCs w:val="24"/>
          <w:highlight w:val="none"/>
          <w:u w:val="none"/>
          <w:lang w:val="zh-CN" w:eastAsia="zh-CN" w:bidi="ar-SA"/>
        </w:rPr>
        <w:t>本工程属于石油天然气开采项目，选址选线不涉及依法划定的国家公园、自然保护区、世界自然遗产、重要生境、自然公园、生态保护红线等生态保护区。运营期工艺流程全密闭，废水、固废处置措施得当。符合《石油天然气开采业污染防治技术政策》《新疆维吾尔自治区大气污染防治条例》《关于进一步加强石油天然气行业环境影响评价管理的通知》（环办环评函〔2019〕910号）等相关政策、法律法规相关要求。</w:t>
      </w:r>
    </w:p>
    <w:p w14:paraId="71BCC518">
      <w:pPr>
        <w:keepNext w:val="0"/>
        <w:keepLines w:val="0"/>
        <w:pageBreakBefore w:val="0"/>
        <w:kinsoku/>
        <w:wordWrap/>
        <w:overflowPunct/>
        <w:topLinePunct w:val="0"/>
        <w:bidi w:val="0"/>
        <w:snapToGrid/>
        <w:spacing w:after="0" w:afterLines="0" w:line="360" w:lineRule="auto"/>
        <w:ind w:firstLine="480" w:firstLineChars="200"/>
        <w:jc w:val="left"/>
        <w:textAlignment w:val="auto"/>
        <w:rPr>
          <w:rFonts w:hint="eastAsia" w:ascii="宋体" w:hAnsi="宋体" w:eastAsia="宋体" w:cs="宋体"/>
          <w:b/>
          <w:color w:val="auto"/>
          <w:sz w:val="24"/>
          <w:szCs w:val="24"/>
          <w:highlight w:val="none"/>
          <w:u w:val="none"/>
          <w:lang w:val="en-US" w:eastAsia="zh-CN" w:bidi="ar-SA"/>
        </w:rPr>
      </w:pPr>
      <w:r>
        <w:rPr>
          <w:rFonts w:hint="eastAsia" w:ascii="宋体" w:hAnsi="宋体" w:eastAsia="宋体" w:cs="宋体"/>
          <w:b/>
          <w:bCs/>
          <w:color w:val="auto"/>
          <w:sz w:val="24"/>
          <w:szCs w:val="24"/>
          <w:highlight w:val="none"/>
          <w:u w:val="none"/>
          <w:lang w:val="zh-CN" w:eastAsia="zh-CN" w:bidi="ar-SA"/>
        </w:rPr>
        <w:t>（3）</w:t>
      </w:r>
      <w:r>
        <w:rPr>
          <w:rFonts w:hint="eastAsia" w:ascii="宋体" w:hAnsi="宋体" w:eastAsia="宋体" w:cs="宋体"/>
          <w:b/>
          <w:bCs/>
          <w:color w:val="auto"/>
          <w:sz w:val="24"/>
          <w:szCs w:val="24"/>
          <w:highlight w:val="none"/>
          <w:u w:val="none"/>
          <w:lang w:val="en-US" w:eastAsia="zh-CN" w:bidi="ar-SA"/>
        </w:rPr>
        <w:t>规</w:t>
      </w:r>
      <w:r>
        <w:rPr>
          <w:rFonts w:hint="eastAsia" w:ascii="宋体" w:hAnsi="宋体" w:eastAsia="宋体" w:cs="宋体"/>
          <w:b/>
          <w:color w:val="auto"/>
          <w:sz w:val="24"/>
          <w:szCs w:val="24"/>
          <w:highlight w:val="none"/>
          <w:u w:val="none"/>
          <w:lang w:val="en-US" w:eastAsia="zh-CN" w:bidi="ar-SA"/>
        </w:rPr>
        <w:t>划符合性判定结论</w:t>
      </w:r>
    </w:p>
    <w:p w14:paraId="1F19457D">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zh-CN" w:eastAsia="zh-CN" w:bidi="ar-SA"/>
        </w:rPr>
      </w:pPr>
      <w:r>
        <w:rPr>
          <w:rFonts w:hint="eastAsia" w:ascii="宋体" w:hAnsi="宋体" w:eastAsia="宋体" w:cs="宋体"/>
          <w:color w:val="auto"/>
          <w:sz w:val="24"/>
          <w:szCs w:val="24"/>
          <w:highlight w:val="none"/>
          <w:u w:val="none"/>
          <w:lang w:val="zh-CN" w:eastAsia="zh-CN" w:bidi="ar-SA"/>
        </w:rPr>
        <w:t>本工程属于</w:t>
      </w:r>
      <w:r>
        <w:rPr>
          <w:rFonts w:hint="eastAsia" w:ascii="宋体" w:hAnsi="宋体" w:eastAsia="宋体" w:cs="宋体"/>
          <w:color w:val="auto"/>
          <w:sz w:val="24"/>
          <w:szCs w:val="24"/>
          <w:highlight w:val="none"/>
          <w:u w:val="none"/>
          <w:lang w:val="en-US" w:eastAsia="zh-CN" w:bidi="ar-SA"/>
        </w:rPr>
        <w:t>石油天然气开采</w:t>
      </w:r>
      <w:r>
        <w:rPr>
          <w:rFonts w:hint="eastAsia" w:ascii="宋体" w:hAnsi="宋体" w:eastAsia="宋体" w:cs="宋体"/>
          <w:color w:val="auto"/>
          <w:sz w:val="24"/>
          <w:szCs w:val="24"/>
          <w:highlight w:val="none"/>
          <w:u w:val="none"/>
          <w:lang w:val="zh-CN" w:eastAsia="zh-CN" w:bidi="ar-SA"/>
        </w:rPr>
        <w:t>项目，有助于推进</w:t>
      </w:r>
      <w:r>
        <w:rPr>
          <w:rFonts w:hint="eastAsia" w:ascii="宋体" w:hAnsi="宋体" w:eastAsia="宋体" w:cs="宋体"/>
          <w:color w:val="auto"/>
          <w:sz w:val="24"/>
          <w:szCs w:val="24"/>
          <w:highlight w:val="none"/>
          <w:u w:val="none"/>
          <w:lang w:val="en-US" w:eastAsia="zh-CN" w:bidi="ar-SA"/>
        </w:rPr>
        <w:t>莫北油田莫116井区</w:t>
      </w:r>
      <w:r>
        <w:rPr>
          <w:rFonts w:hint="eastAsia" w:ascii="宋体" w:hAnsi="宋体" w:eastAsia="宋体" w:cs="宋体"/>
          <w:color w:val="auto"/>
          <w:sz w:val="24"/>
          <w:szCs w:val="24"/>
          <w:highlight w:val="none"/>
          <w:u w:val="none"/>
          <w:lang w:val="zh-CN" w:eastAsia="zh-CN" w:bidi="ar-SA"/>
        </w:rPr>
        <w:t>的油气开发，加大</w:t>
      </w:r>
      <w:r>
        <w:rPr>
          <w:rFonts w:hint="eastAsia" w:ascii="宋体" w:hAnsi="宋体" w:eastAsia="宋体" w:cs="宋体"/>
          <w:color w:val="auto"/>
          <w:sz w:val="24"/>
          <w:szCs w:val="24"/>
          <w:highlight w:val="none"/>
          <w:u w:val="none"/>
          <w:lang w:val="en-US" w:eastAsia="zh-CN" w:bidi="ar-SA"/>
        </w:rPr>
        <w:t>准噶尔</w:t>
      </w:r>
      <w:r>
        <w:rPr>
          <w:rFonts w:hint="eastAsia" w:ascii="宋体" w:hAnsi="宋体" w:eastAsia="宋体" w:cs="宋体"/>
          <w:color w:val="auto"/>
          <w:sz w:val="24"/>
          <w:szCs w:val="24"/>
          <w:highlight w:val="none"/>
          <w:u w:val="none"/>
          <w:lang w:val="zh-CN" w:eastAsia="zh-CN" w:bidi="ar-SA"/>
        </w:rPr>
        <w:t>盆地油气开发力度。</w:t>
      </w:r>
      <w:r>
        <w:rPr>
          <w:rFonts w:hint="eastAsia" w:ascii="宋体" w:hAnsi="宋体" w:eastAsia="宋体" w:cs="宋体"/>
          <w:color w:val="auto"/>
          <w:sz w:val="24"/>
          <w:szCs w:val="24"/>
          <w:highlight w:val="none"/>
          <w:u w:val="none"/>
          <w:lang w:val="en-US" w:eastAsia="zh-CN" w:bidi="ar-SA"/>
        </w:rPr>
        <w:t>符合《新疆维吾尔自治区国民经济和社会发展第十四个五年规划和2035年远景目标纲要》《新疆油田公司“十四五”发展规划》《新疆生态环境保护“十四五”规划》相关要求。</w:t>
      </w:r>
    </w:p>
    <w:p w14:paraId="5C20B23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zh-CN" w:eastAsia="zh-CN" w:bidi="ar-SA"/>
        </w:rPr>
      </w:pPr>
      <w:r>
        <w:rPr>
          <w:rFonts w:hint="eastAsia" w:ascii="宋体" w:hAnsi="宋体" w:eastAsia="宋体" w:cs="宋体"/>
          <w:color w:val="auto"/>
          <w:sz w:val="24"/>
          <w:szCs w:val="24"/>
          <w:highlight w:val="none"/>
          <w:u w:val="none"/>
          <w:lang w:val="zh-CN" w:eastAsia="zh-CN" w:bidi="ar-SA"/>
        </w:rPr>
        <w:t>对照《新疆维吾尔自治区主体功能区规划》，</w:t>
      </w:r>
      <w:r>
        <w:rPr>
          <w:rFonts w:hint="eastAsia" w:ascii="宋体" w:hAnsi="宋体" w:eastAsia="宋体" w:cs="宋体"/>
          <w:color w:val="auto"/>
          <w:sz w:val="24"/>
          <w:szCs w:val="24"/>
          <w:highlight w:val="none"/>
          <w:u w:val="none"/>
          <w:lang w:val="en-US" w:eastAsia="zh-CN" w:bidi="ar-SA"/>
        </w:rPr>
        <w:t>本工程</w:t>
      </w:r>
      <w:r>
        <w:rPr>
          <w:rFonts w:hint="eastAsia" w:ascii="宋体" w:hAnsi="宋体" w:eastAsia="宋体" w:cs="宋体"/>
          <w:color w:val="auto"/>
          <w:sz w:val="24"/>
          <w:szCs w:val="24"/>
          <w:highlight w:val="none"/>
          <w:u w:val="none"/>
          <w:lang w:val="zh-CN" w:eastAsia="zh-CN" w:bidi="ar-SA"/>
        </w:rPr>
        <w:t>不属于主体功能区规划中确定的国家和自治区层面的禁止开发区域，所进行的石油天然气勘探活动符合“全国重要的能源基地”定位。因此本工程的建设符合《新疆维吾尔自治区主体功能区规划》。</w:t>
      </w:r>
    </w:p>
    <w:p w14:paraId="2B421E7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b/>
          <w:bCs/>
          <w:color w:val="auto"/>
          <w:sz w:val="24"/>
          <w:szCs w:val="24"/>
          <w:highlight w:val="none"/>
          <w:u w:val="none"/>
          <w:lang w:val="zh-CN" w:eastAsia="zh-CN" w:bidi="ar-SA"/>
        </w:rPr>
      </w:pPr>
      <w:r>
        <w:rPr>
          <w:rFonts w:hint="eastAsia" w:ascii="宋体" w:hAnsi="宋体" w:eastAsia="宋体" w:cs="宋体"/>
          <w:color w:val="auto"/>
          <w:sz w:val="24"/>
          <w:szCs w:val="24"/>
          <w:highlight w:val="none"/>
          <w:u w:val="none"/>
          <w:lang w:val="zh-CN" w:eastAsia="zh-CN" w:bidi="ar-SA"/>
        </w:rPr>
        <w:t>对照《新疆生态功能区划》，本项目所在区域属于准噶尔盆地温性荒漠与绿洲农业生态区，准噶尔盆地中部固定、半固定沙漠生态亚区，古尔班通古特沙漠化敏感及植被保护生态功能区。本项目占地面积较小，对整体土地利用格局、植被覆盖格局、野生动物活动、土壤不会带来显著影响，项目建设符合区域生态功能定位。</w:t>
      </w:r>
    </w:p>
    <w:p w14:paraId="35DD1058">
      <w:pPr>
        <w:keepNext w:val="0"/>
        <w:keepLines w:val="0"/>
        <w:pageBreakBefore w:val="0"/>
        <w:kinsoku/>
        <w:wordWrap/>
        <w:overflowPunct/>
        <w:topLinePunct w:val="0"/>
        <w:bidi w:val="0"/>
        <w:snapToGrid/>
        <w:spacing w:after="0" w:afterLines="0" w:line="360" w:lineRule="auto"/>
        <w:ind w:firstLine="480" w:firstLineChars="200"/>
        <w:jc w:val="left"/>
        <w:textAlignment w:val="auto"/>
        <w:rPr>
          <w:rFonts w:hint="eastAsia" w:ascii="宋体" w:hAnsi="宋体" w:eastAsia="宋体" w:cs="宋体"/>
          <w:b/>
          <w:bCs/>
          <w:color w:val="auto"/>
          <w:sz w:val="24"/>
          <w:szCs w:val="24"/>
          <w:highlight w:val="none"/>
          <w:u w:val="none"/>
          <w:lang w:val="zh-CN" w:eastAsia="zh-CN" w:bidi="ar-SA"/>
        </w:rPr>
      </w:pPr>
      <w:r>
        <w:rPr>
          <w:rFonts w:hint="eastAsia" w:ascii="宋体" w:hAnsi="宋体" w:eastAsia="宋体" w:cs="宋体"/>
          <w:b/>
          <w:bCs/>
          <w:color w:val="auto"/>
          <w:sz w:val="24"/>
          <w:szCs w:val="24"/>
          <w:highlight w:val="none"/>
          <w:u w:val="none"/>
          <w:lang w:val="zh-CN" w:eastAsia="zh-CN" w:bidi="ar-SA"/>
        </w:rPr>
        <w:t>（4）选址合理性分析判定结论</w:t>
      </w:r>
    </w:p>
    <w:p w14:paraId="25102E8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本工程为莫北油田莫116井区滚动开发项目，符合《石油天然气开采业污染防治技术政策》中的相关要求，根据现场调查，本工程不涉及水源涵养区、地下水源、饮用水源、自然保护区、风景名胜区、森林公园、重要湿地及人群密集区等生态敏感区域内等重点保护区域内；符合地区经济发展规划、环保规划。本工程土地利用类型为沙地。项目区周边5km范围内无常年地表水体分布，无长期居住人群。</w:t>
      </w:r>
    </w:p>
    <w:p w14:paraId="215C3E36">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本工程在选址、选线过程中注意避让项目区植被，尽量减少对植被的生态扰动；本工程运营期废气主要为油气开采过程中排放的无组织</w:t>
      </w:r>
      <w:r>
        <w:rPr>
          <w:rFonts w:hint="eastAsia" w:ascii="宋体" w:hAnsi="宋体" w:cs="宋体"/>
          <w:color w:val="auto"/>
          <w:sz w:val="24"/>
          <w:szCs w:val="24"/>
          <w:highlight w:val="none"/>
          <w:u w:val="none"/>
          <w:lang w:val="en-US" w:eastAsia="zh-CN" w:bidi="ar-SA"/>
        </w:rPr>
        <w:t>排放</w:t>
      </w:r>
      <w:r>
        <w:rPr>
          <w:rFonts w:hint="eastAsia" w:ascii="宋体" w:hAnsi="宋体" w:eastAsia="宋体" w:cs="宋体"/>
          <w:color w:val="auto"/>
          <w:sz w:val="24"/>
          <w:szCs w:val="24"/>
          <w:highlight w:val="none"/>
          <w:u w:val="none"/>
          <w:lang w:val="en-US" w:eastAsia="zh-CN" w:bidi="ar-SA"/>
        </w:rPr>
        <w:t>的</w:t>
      </w:r>
      <w:r>
        <w:rPr>
          <w:rFonts w:hint="eastAsia" w:ascii="宋体" w:hAnsi="宋体" w:cs="宋体"/>
          <w:color w:val="auto"/>
          <w:sz w:val="24"/>
          <w:szCs w:val="24"/>
          <w:highlight w:val="none"/>
          <w:u w:val="none"/>
          <w:lang w:val="en-US" w:eastAsia="zh-CN" w:bidi="ar-SA"/>
        </w:rPr>
        <w:t>非甲烷总烃、硫化氢</w:t>
      </w:r>
      <w:r>
        <w:rPr>
          <w:rFonts w:hint="eastAsia" w:ascii="宋体" w:hAnsi="宋体" w:eastAsia="宋体" w:cs="宋体"/>
          <w:color w:val="auto"/>
          <w:sz w:val="24"/>
          <w:szCs w:val="24"/>
          <w:highlight w:val="none"/>
          <w:u w:val="none"/>
          <w:lang w:val="en-US" w:eastAsia="zh-CN" w:bidi="ar-SA"/>
        </w:rPr>
        <w:t>，产生的废气为持续的长期影响，但废气污染物均可以得到较好扩散，对大气污染物浓度贡献值小，且项目区地域空旷，项目实施后不会对周围环境产生明显影响；废水实现零排放，固体废物能够实现妥善处置，综上所述，本工程建成后所在区域的环境功能不会发生改变，对环境的影响属可接受的范围，项目的选址从环保角度认为可行。</w:t>
      </w:r>
    </w:p>
    <w:p w14:paraId="35C6B2B4">
      <w:pPr>
        <w:keepNext w:val="0"/>
        <w:keepLines w:val="0"/>
        <w:pageBreakBefore w:val="0"/>
        <w:kinsoku/>
        <w:wordWrap/>
        <w:overflowPunct/>
        <w:topLinePunct w:val="0"/>
        <w:bidi w:val="0"/>
        <w:snapToGrid/>
        <w:spacing w:after="0" w:afterLines="0" w:line="360" w:lineRule="auto"/>
        <w:ind w:firstLine="480" w:firstLineChars="200"/>
        <w:jc w:val="left"/>
        <w:textAlignment w:val="auto"/>
        <w:rPr>
          <w:rFonts w:hint="eastAsia" w:ascii="宋体" w:hAnsi="宋体" w:eastAsia="宋体" w:cs="宋体"/>
          <w:b/>
          <w:color w:val="auto"/>
          <w:sz w:val="24"/>
          <w:szCs w:val="24"/>
          <w:highlight w:val="none"/>
          <w:u w:val="none"/>
          <w:lang w:val="en-US" w:eastAsia="zh-CN" w:bidi="ar-SA"/>
        </w:rPr>
      </w:pPr>
      <w:r>
        <w:rPr>
          <w:rFonts w:hint="eastAsia" w:ascii="宋体" w:hAnsi="宋体" w:eastAsia="宋体" w:cs="宋体"/>
          <w:b/>
          <w:color w:val="auto"/>
          <w:sz w:val="24"/>
          <w:szCs w:val="24"/>
          <w:highlight w:val="none"/>
          <w:u w:val="none"/>
          <w:lang w:val="en-US" w:eastAsia="zh-CN" w:bidi="ar-SA"/>
        </w:rPr>
        <w:t>（5）生态环境分区管控符合性判定结论</w:t>
      </w:r>
    </w:p>
    <w:p w14:paraId="3792C33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根据《关于印发＜新疆维吾尔自治区“三线一单”生态环境分区管控方案＞的通知》（新政发〔2021〕18号）</w:t>
      </w:r>
      <w:r>
        <w:rPr>
          <w:rFonts w:hint="eastAsia" w:ascii="宋体" w:hAnsi="宋体" w:cs="宋体"/>
          <w:color w:val="auto"/>
          <w:sz w:val="24"/>
          <w:szCs w:val="24"/>
          <w:highlight w:val="none"/>
          <w:u w:val="none"/>
          <w:lang w:val="en-US" w:eastAsia="zh-CN" w:bidi="ar-SA"/>
        </w:rPr>
        <w:t>、</w:t>
      </w:r>
      <w:r>
        <w:rPr>
          <w:rFonts w:hint="eastAsia" w:ascii="宋体" w:hAnsi="宋体" w:eastAsia="宋体" w:cs="宋体"/>
          <w:color w:val="auto"/>
          <w:sz w:val="24"/>
          <w:szCs w:val="24"/>
          <w:highlight w:val="none"/>
          <w:u w:val="none"/>
          <w:lang w:val="en-US" w:eastAsia="zh-CN" w:bidi="ar-SA"/>
        </w:rPr>
        <w:t>《关于印发＜新疆维吾尔自治区生态环境分区管控动态更新成果＞的通知》（新环环评发〔2024〕157号）、《新疆维吾尔自治区七大片区“三线一单”生态环境分区管控要求》（新环环评发〔2021〕162号）以及《昌吉回族自治州“三线一单”生态环境分区管控方案》《昌吉回族自治州区域空间生态环境评价暨“三线一单”生态环境准入清单动态更新成果》要求，本工程位于呼图壁县一般管控单元内（环境管控单元编码：ZH65232330001），不涉及拟定的生态保护红线范围内，项目区土壤、噪声环境质量可以达到功能区要求，环境空气质量属于非达标区，超标主要是由于当地气候条件干燥、自然扬尘较多。</w:t>
      </w:r>
    </w:p>
    <w:p w14:paraId="65C2D059">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本工程符合管控单元生态环境准入清单一般管控单元的空间布局约束、污染物排放管控、环境风险防控和资源利用效率的要求，符合生态环境分区管控要求。</w:t>
      </w:r>
    </w:p>
    <w:p w14:paraId="1155118B">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29" w:name="_Toc508291870"/>
      <w:bookmarkStart w:id="30" w:name="_Toc109382905"/>
      <w:bookmarkStart w:id="31" w:name="_Toc28419"/>
      <w:bookmarkStart w:id="32" w:name="_Toc7287"/>
      <w:bookmarkStart w:id="33" w:name="_Toc1303"/>
      <w:r>
        <w:rPr>
          <w:rFonts w:hint="default" w:ascii="黑体" w:hAnsi="黑体" w:eastAsia="黑体" w:cs="黑体"/>
          <w:color w:val="auto"/>
          <w:sz w:val="28"/>
          <w:szCs w:val="28"/>
          <w:u w:val="none"/>
          <w:lang w:val="en-US" w:eastAsia="zh-CN"/>
        </w:rPr>
        <w:t>1.4</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关注的主要环境问题</w:t>
      </w:r>
      <w:bookmarkEnd w:id="29"/>
      <w:r>
        <w:rPr>
          <w:rFonts w:hint="default" w:ascii="黑体" w:hAnsi="黑体" w:eastAsia="黑体" w:cs="黑体"/>
          <w:color w:val="auto"/>
          <w:sz w:val="28"/>
          <w:szCs w:val="28"/>
          <w:u w:val="none"/>
          <w:lang w:val="en-US" w:eastAsia="zh-CN"/>
        </w:rPr>
        <w:t>和环境影响</w:t>
      </w:r>
      <w:bookmarkEnd w:id="30"/>
      <w:bookmarkEnd w:id="31"/>
      <w:bookmarkEnd w:id="32"/>
      <w:bookmarkEnd w:id="33"/>
    </w:p>
    <w:p w14:paraId="67A486A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Times New Roman" w:hAnsi="Times New Roman" w:cs="Times New Roman"/>
          <w:color w:val="auto"/>
          <w:kern w:val="0"/>
          <w:u w:val="none"/>
        </w:rPr>
      </w:pPr>
      <w:r>
        <w:rPr>
          <w:rFonts w:hint="default" w:ascii="宋体" w:hAnsi="宋体" w:eastAsia="宋体" w:cs="宋体"/>
          <w:color w:val="auto"/>
          <w:sz w:val="24"/>
          <w:szCs w:val="24"/>
          <w:highlight w:val="none"/>
          <w:u w:val="none"/>
          <w:lang w:val="en-US" w:eastAsia="zh-CN" w:bidi="ar-SA"/>
        </w:rPr>
        <w:t>本工程为石油天然气开采项目，环境影响主要来源于施工期的钻井过程、井场</w:t>
      </w:r>
      <w:r>
        <w:rPr>
          <w:rFonts w:hint="eastAsia" w:ascii="宋体" w:hAnsi="宋体" w:eastAsia="宋体" w:cs="宋体"/>
          <w:color w:val="auto"/>
          <w:sz w:val="24"/>
          <w:szCs w:val="24"/>
          <w:highlight w:val="none"/>
          <w:u w:val="none"/>
          <w:lang w:val="en-US" w:eastAsia="zh-CN" w:bidi="ar-SA"/>
        </w:rPr>
        <w:t>、站场</w:t>
      </w:r>
      <w:r>
        <w:rPr>
          <w:rFonts w:hint="default" w:ascii="宋体" w:hAnsi="宋体" w:eastAsia="宋体" w:cs="宋体"/>
          <w:color w:val="auto"/>
          <w:sz w:val="24"/>
          <w:szCs w:val="24"/>
          <w:highlight w:val="none"/>
          <w:u w:val="none"/>
          <w:lang w:val="en-US" w:eastAsia="zh-CN" w:bidi="ar-SA"/>
        </w:rPr>
        <w:t>建设、集输管线、道路建设，以及运营期的</w:t>
      </w:r>
      <w:r>
        <w:rPr>
          <w:rFonts w:hint="eastAsia" w:ascii="宋体" w:hAnsi="宋体" w:eastAsia="宋体" w:cs="宋体"/>
          <w:color w:val="auto"/>
          <w:sz w:val="24"/>
          <w:szCs w:val="24"/>
          <w:highlight w:val="none"/>
          <w:u w:val="none"/>
          <w:lang w:val="en-US" w:eastAsia="zh-CN" w:bidi="ar-SA"/>
        </w:rPr>
        <w:t>采气</w:t>
      </w:r>
      <w:r>
        <w:rPr>
          <w:rFonts w:hint="default" w:ascii="宋体" w:hAnsi="宋体" w:eastAsia="宋体" w:cs="宋体"/>
          <w:color w:val="auto"/>
          <w:sz w:val="24"/>
          <w:szCs w:val="24"/>
          <w:highlight w:val="none"/>
          <w:u w:val="none"/>
          <w:lang w:val="en-US" w:eastAsia="zh-CN" w:bidi="ar-SA"/>
        </w:rPr>
        <w:t>、井下作业、油气集输等各工艺过程。环境影响包括施工期和运营期污染物排放造成的环境污染和占地及施工造成的生态影响。根据现状调查，本工程不占用自然保护区、风景名胜区、水源保护区、基本农田、基本草原等敏感区，主要环境敏感保护目标为水土流失重点预防区。重点关注施工过程的各项污染物产生以及可能发生的风险对区域环境产生的影响、施工过程中产生的生态环境问题以及生态恢复措施；施工过程中产生的扬尘、运输车辆尾气、钻井废水、试压废水、生活污水、钻井岩屑、钻井泥浆、施工废料、生活垃圾、废油和含油废弃物等；运营期井场无组织挥发的非甲烷总烃、</w:t>
      </w:r>
      <w:r>
        <w:rPr>
          <w:rFonts w:hint="eastAsia" w:ascii="宋体" w:hAnsi="宋体" w:cs="宋体"/>
          <w:color w:val="auto"/>
          <w:sz w:val="24"/>
          <w:szCs w:val="24"/>
          <w:highlight w:val="none"/>
          <w:u w:val="none"/>
          <w:lang w:val="en-US" w:eastAsia="zh-CN" w:bidi="ar-SA"/>
        </w:rPr>
        <w:t>硫化氢、</w:t>
      </w:r>
      <w:r>
        <w:rPr>
          <w:rFonts w:hint="default" w:ascii="宋体" w:hAnsi="宋体" w:eastAsia="宋体" w:cs="宋体"/>
          <w:color w:val="auto"/>
          <w:sz w:val="24"/>
          <w:szCs w:val="24"/>
          <w:highlight w:val="none"/>
          <w:u w:val="none"/>
          <w:lang w:val="en-US" w:eastAsia="zh-CN" w:bidi="ar-SA"/>
        </w:rPr>
        <w:t>井下作业废水、采出水、含油污泥、油泥（砂）</w:t>
      </w:r>
      <w:r>
        <w:rPr>
          <w:rFonts w:hint="eastAsia" w:ascii="宋体" w:hAnsi="宋体" w:eastAsia="宋体" w:cs="宋体"/>
          <w:color w:val="auto"/>
          <w:sz w:val="24"/>
          <w:szCs w:val="24"/>
          <w:highlight w:val="none"/>
          <w:u w:val="none"/>
          <w:lang w:val="en-US" w:eastAsia="zh-CN" w:bidi="ar-SA"/>
        </w:rPr>
        <w:t>、</w:t>
      </w:r>
      <w:r>
        <w:rPr>
          <w:rFonts w:hint="default" w:ascii="宋体" w:hAnsi="宋体" w:eastAsia="宋体" w:cs="宋体"/>
          <w:color w:val="auto"/>
          <w:sz w:val="24"/>
          <w:szCs w:val="24"/>
          <w:highlight w:val="none"/>
          <w:u w:val="none"/>
          <w:lang w:val="en-US" w:eastAsia="zh-CN" w:bidi="ar-SA"/>
        </w:rPr>
        <w:t>清管废渣</w:t>
      </w:r>
      <w:r>
        <w:rPr>
          <w:rFonts w:hint="eastAsia" w:ascii="宋体" w:hAnsi="宋体" w:cs="宋体"/>
          <w:color w:val="auto"/>
          <w:sz w:val="24"/>
          <w:szCs w:val="24"/>
          <w:highlight w:val="none"/>
          <w:u w:val="none"/>
          <w:lang w:val="en-US" w:eastAsia="zh-CN" w:bidi="ar-SA"/>
        </w:rPr>
        <w:t>、</w:t>
      </w:r>
      <w:r>
        <w:rPr>
          <w:rFonts w:hint="default" w:ascii="宋体" w:hAnsi="宋体" w:eastAsia="宋体" w:cs="宋体"/>
          <w:color w:val="auto"/>
          <w:sz w:val="24"/>
          <w:szCs w:val="24"/>
          <w:highlight w:val="none"/>
          <w:u w:val="none"/>
          <w:lang w:val="en-US" w:eastAsia="zh-CN" w:bidi="ar-SA"/>
        </w:rPr>
        <w:t>落地原油</w:t>
      </w:r>
      <w:r>
        <w:rPr>
          <w:rFonts w:hint="eastAsia" w:ascii="宋体" w:hAnsi="宋体" w:eastAsia="宋体" w:cs="宋体"/>
          <w:color w:val="auto"/>
          <w:sz w:val="24"/>
          <w:szCs w:val="24"/>
          <w:highlight w:val="none"/>
          <w:u w:val="none"/>
          <w:lang w:val="en-US" w:eastAsia="zh-CN" w:bidi="ar-SA"/>
        </w:rPr>
        <w:t>、</w:t>
      </w:r>
      <w:r>
        <w:rPr>
          <w:rFonts w:hint="default" w:ascii="宋体" w:hAnsi="宋体" w:eastAsia="宋体" w:cs="宋体"/>
          <w:color w:val="auto"/>
          <w:sz w:val="24"/>
          <w:szCs w:val="24"/>
          <w:highlight w:val="none"/>
          <w:u w:val="none"/>
          <w:lang w:val="en-US" w:eastAsia="zh-CN" w:bidi="ar-SA"/>
        </w:rPr>
        <w:t>废弃含油抹布、劳保用品</w:t>
      </w:r>
      <w:r>
        <w:rPr>
          <w:rFonts w:hint="eastAsia" w:ascii="宋体" w:hAnsi="宋体" w:eastAsia="宋体" w:cs="宋体"/>
          <w:color w:val="auto"/>
          <w:sz w:val="24"/>
          <w:szCs w:val="24"/>
          <w:highlight w:val="none"/>
          <w:u w:val="none"/>
          <w:lang w:val="en-US" w:eastAsia="zh-CN" w:bidi="ar-SA"/>
        </w:rPr>
        <w:t>、</w:t>
      </w:r>
      <w:r>
        <w:rPr>
          <w:rFonts w:hint="default" w:ascii="宋体" w:hAnsi="宋体" w:eastAsia="宋体" w:cs="宋体"/>
          <w:color w:val="auto"/>
          <w:sz w:val="24"/>
          <w:szCs w:val="24"/>
          <w:highlight w:val="none"/>
          <w:u w:val="none"/>
          <w:lang w:val="en-US" w:eastAsia="zh-CN" w:bidi="ar-SA"/>
        </w:rPr>
        <w:t>废防渗材料等对环境产生的影响。</w:t>
      </w:r>
    </w:p>
    <w:p w14:paraId="43719C79">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4" w:name="_Toc508291871"/>
      <w:bookmarkStart w:id="35" w:name="_Toc24316"/>
      <w:bookmarkStart w:id="36" w:name="_Toc30705"/>
      <w:bookmarkStart w:id="37" w:name="_Toc13211"/>
      <w:bookmarkStart w:id="38" w:name="_Toc109382906"/>
      <w:r>
        <w:rPr>
          <w:rFonts w:hint="default" w:ascii="黑体" w:hAnsi="黑体" w:eastAsia="黑体" w:cs="黑体"/>
          <w:color w:val="auto"/>
          <w:sz w:val="28"/>
          <w:szCs w:val="28"/>
          <w:u w:val="none"/>
          <w:lang w:val="en-US" w:eastAsia="zh-CN"/>
        </w:rPr>
        <w:t>1.5</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环境影响评价的主要结论</w:t>
      </w:r>
      <w:bookmarkEnd w:id="34"/>
      <w:bookmarkEnd w:id="35"/>
      <w:bookmarkEnd w:id="36"/>
      <w:bookmarkEnd w:id="37"/>
      <w:bookmarkEnd w:id="38"/>
    </w:p>
    <w:p w14:paraId="2C4F971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本工程属于</w:t>
      </w:r>
      <w:r>
        <w:rPr>
          <w:rFonts w:hint="eastAsia" w:ascii="宋体" w:hAnsi="宋体" w:eastAsia="宋体" w:cs="宋体"/>
          <w:color w:val="auto"/>
          <w:sz w:val="24"/>
          <w:szCs w:val="24"/>
          <w:highlight w:val="none"/>
          <w:u w:val="none"/>
          <w:lang w:val="zh-CN" w:eastAsia="zh-CN" w:bidi="ar-SA"/>
        </w:rPr>
        <w:t>《产业结构调整指导目录（2024年本）》</w:t>
      </w:r>
      <w:r>
        <w:rPr>
          <w:rFonts w:hint="default" w:ascii="宋体" w:hAnsi="宋体" w:eastAsia="宋体" w:cs="宋体"/>
          <w:color w:val="auto"/>
          <w:sz w:val="24"/>
          <w:szCs w:val="24"/>
          <w:highlight w:val="none"/>
          <w:u w:val="none"/>
          <w:lang w:val="zh-CN" w:eastAsia="zh-CN" w:bidi="ar-SA"/>
        </w:rPr>
        <w:t>，“第一类鼓励类”：“七、石油、天然气”中“1、常规石油、天然气勘探与开采”中鼓励类项目，项目建设符合国家产业政策；符合《新疆维吾尔自治区大气污染防治条例》《石油天然气开采业污染防治技术政策》等法规和政策要求；符合《新疆维吾尔自治区国民经济和社会发展第十四个五年规划和2035年远景目标纲要》《新疆生态环境保护“十四五”规划》《新疆维吾尔自治区主体功能区规划》《新疆油田公司“十四五”发展规划》等要求；项目不涉及依法划定的自然保护区、饮用水源保护区、风景名胜区、森林公园等环境敏感区，不涉及生态保护红线，项目符合生态环境分区管控要求；本工程在切实落实报告书中提出的各项环保措施后，可以做到达标排放。</w:t>
      </w:r>
      <w:r>
        <w:rPr>
          <w:rFonts w:hint="default" w:ascii="宋体" w:hAnsi="宋体" w:eastAsia="宋体" w:cs="宋体"/>
          <w:color w:val="auto"/>
          <w:sz w:val="24"/>
          <w:szCs w:val="24"/>
          <w:highlight w:val="none"/>
          <w:u w:val="none"/>
          <w:lang w:val="en-US" w:eastAsia="zh-CN" w:bidi="ar-SA"/>
        </w:rPr>
        <w:t>新疆油田分公司开发公司</w:t>
      </w:r>
      <w:r>
        <w:rPr>
          <w:rFonts w:hint="default" w:ascii="宋体" w:hAnsi="宋体" w:eastAsia="宋体" w:cs="宋体"/>
          <w:color w:val="auto"/>
          <w:sz w:val="24"/>
          <w:szCs w:val="24"/>
          <w:highlight w:val="none"/>
          <w:u w:val="none"/>
          <w:lang w:val="zh-CN" w:eastAsia="zh-CN" w:bidi="ar-SA"/>
        </w:rPr>
        <w:t>按照《环境影响评价公众参与办法》，在本工程环评过程中开展了公众参与调查，至信息公告的截止日期没有收到相关反对项目建设的反馈信息。</w:t>
      </w:r>
    </w:p>
    <w:p w14:paraId="3DF69D0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Times New Roman" w:hAnsi="Times New Roman" w:cs="Times New Roman"/>
          <w:color w:val="auto"/>
          <w:u w:val="none"/>
        </w:rPr>
      </w:pPr>
      <w:r>
        <w:rPr>
          <w:rFonts w:hint="default" w:ascii="宋体" w:hAnsi="宋体" w:eastAsia="宋体" w:cs="宋体"/>
          <w:color w:val="auto"/>
          <w:sz w:val="24"/>
          <w:szCs w:val="24"/>
          <w:highlight w:val="none"/>
          <w:u w:val="none"/>
          <w:lang w:val="zh-CN" w:eastAsia="zh-CN" w:bidi="ar-SA"/>
        </w:rPr>
        <w:t>评价认为：本工程符合国家产业政策和新疆国民经济和社会发展规划，符合生态环境分区管控要求，公众认同性较好。只要在建设和运营过程中认真落实各项污染防治措施、生态恢复措施、风险防范措施及应急措施，各项污染物均能够做到达标排放，其生态破坏可降至最低，环境风险可以接受，从环境保护角度看，本工程选址合理，建设是可行的。</w:t>
      </w:r>
    </w:p>
    <w:p w14:paraId="69E1C06A">
      <w:pPr>
        <w:rPr>
          <w:rFonts w:hint="default" w:ascii="Times New Roman" w:hAnsi="Times New Roman" w:cs="Times New Roman"/>
          <w:color w:val="auto"/>
          <w:u w:val="none"/>
        </w:rPr>
      </w:pPr>
      <w:bookmarkStart w:id="39" w:name="_Toc280954895"/>
      <w:bookmarkStart w:id="40" w:name="_Toc361761815"/>
      <w:bookmarkStart w:id="41" w:name="_Toc374724170"/>
      <w:bookmarkStart w:id="42" w:name="_Toc353966723"/>
      <w:bookmarkStart w:id="43" w:name="_Toc280954972"/>
      <w:bookmarkStart w:id="44" w:name="_Toc297590918"/>
      <w:bookmarkStart w:id="45" w:name="_Toc297590765"/>
      <w:bookmarkStart w:id="46" w:name="_Toc20481"/>
      <w:bookmarkStart w:id="47" w:name="_Toc508291872"/>
      <w:r>
        <w:rPr>
          <w:rFonts w:hint="default" w:ascii="Times New Roman" w:hAnsi="Times New Roman" w:cs="Times New Roman"/>
          <w:color w:val="auto"/>
          <w:u w:val="none"/>
        </w:rPr>
        <w:br w:type="page"/>
      </w:r>
    </w:p>
    <w:p w14:paraId="26B056EB">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rPr>
          <w:rFonts w:hint="default" w:ascii="Times New Roman" w:hAnsi="Times New Roman" w:cs="Times New Roman"/>
          <w:color w:val="auto"/>
          <w:szCs w:val="24"/>
          <w:u w:val="none"/>
        </w:rPr>
      </w:pPr>
      <w:bookmarkStart w:id="48" w:name="_Toc23101"/>
      <w:bookmarkStart w:id="49" w:name="_Toc4440"/>
      <w:bookmarkStart w:id="50" w:name="_Toc109382907"/>
      <w:r>
        <w:rPr>
          <w:rFonts w:hint="default" w:ascii="黑体" w:hAnsi="黑体" w:eastAsia="黑体" w:cs="黑体"/>
          <w:color w:val="auto"/>
          <w:sz w:val="32"/>
          <w:szCs w:val="32"/>
          <w:u w:val="none"/>
        </w:rPr>
        <w:t>2</w:t>
      </w:r>
      <w:bookmarkEnd w:id="39"/>
      <w:bookmarkEnd w:id="40"/>
      <w:bookmarkEnd w:id="41"/>
      <w:bookmarkEnd w:id="42"/>
      <w:bookmarkEnd w:id="43"/>
      <w:bookmarkEnd w:id="44"/>
      <w:bookmarkEnd w:id="45"/>
      <w:r>
        <w:rPr>
          <w:rFonts w:hint="eastAsia" w:ascii="黑体" w:hAnsi="黑体" w:eastAsia="黑体" w:cs="黑体"/>
          <w:color w:val="auto"/>
          <w:sz w:val="32"/>
          <w:szCs w:val="32"/>
          <w:u w:val="none"/>
          <w:lang w:val="en-US" w:eastAsia="zh-CN"/>
        </w:rPr>
        <w:t xml:space="preserve"> </w:t>
      </w:r>
      <w:r>
        <w:rPr>
          <w:rFonts w:hint="default" w:ascii="黑体" w:hAnsi="黑体" w:eastAsia="黑体" w:cs="黑体"/>
          <w:color w:val="auto"/>
          <w:sz w:val="32"/>
          <w:szCs w:val="32"/>
          <w:u w:val="none"/>
        </w:rPr>
        <w:t>总则</w:t>
      </w:r>
      <w:bookmarkEnd w:id="46"/>
      <w:bookmarkEnd w:id="47"/>
      <w:bookmarkEnd w:id="48"/>
      <w:bookmarkEnd w:id="49"/>
      <w:bookmarkEnd w:id="50"/>
      <w:bookmarkStart w:id="51" w:name="_Toc312148931"/>
      <w:bookmarkStart w:id="52" w:name="_Toc313911247"/>
      <w:bookmarkStart w:id="53" w:name="_Toc329026107"/>
      <w:bookmarkStart w:id="54" w:name="_Toc330418760"/>
      <w:bookmarkStart w:id="55" w:name="_Toc332317905"/>
      <w:bookmarkStart w:id="56" w:name="_Toc330418975"/>
      <w:bookmarkStart w:id="57" w:name="_Toc465181725"/>
    </w:p>
    <w:p w14:paraId="3C41A80C">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58" w:name="_Toc109382909"/>
      <w:bookmarkStart w:id="59" w:name="_Toc297590921"/>
      <w:bookmarkStart w:id="60" w:name="_Toc20337"/>
      <w:bookmarkStart w:id="61" w:name="_Toc280954898"/>
      <w:bookmarkStart w:id="62" w:name="_Toc227650564"/>
      <w:bookmarkStart w:id="63" w:name="_Toc280954975"/>
      <w:bookmarkStart w:id="64" w:name="_Toc404"/>
      <w:bookmarkStart w:id="65" w:name="_Toc255293758"/>
      <w:bookmarkStart w:id="66" w:name="_Toc361761818"/>
      <w:bookmarkStart w:id="67" w:name="_Toc508291873"/>
      <w:bookmarkStart w:id="68" w:name="_Toc353966726"/>
      <w:bookmarkStart w:id="69" w:name="_Toc16507"/>
      <w:bookmarkStart w:id="70" w:name="_Toc297590768"/>
      <w:bookmarkStart w:id="71" w:name="_Toc374724171"/>
      <w:r>
        <w:rPr>
          <w:rFonts w:hint="default" w:ascii="黑体" w:hAnsi="黑体" w:eastAsia="黑体" w:cs="黑体"/>
          <w:color w:val="auto"/>
          <w:sz w:val="28"/>
          <w:szCs w:val="28"/>
          <w:u w:val="none"/>
          <w:lang w:val="en-US" w:eastAsia="zh-CN"/>
        </w:rPr>
        <w:t>2.</w:t>
      </w:r>
      <w:r>
        <w:rPr>
          <w:rFonts w:hint="eastAsia" w:ascii="黑体" w:hAnsi="黑体" w:eastAsia="黑体" w:cs="黑体"/>
          <w:color w:val="auto"/>
          <w:sz w:val="28"/>
          <w:szCs w:val="28"/>
          <w:u w:val="none"/>
          <w:lang w:val="en-US" w:eastAsia="zh-CN"/>
        </w:rPr>
        <w:t xml:space="preserve">1 </w:t>
      </w:r>
      <w:r>
        <w:rPr>
          <w:rFonts w:hint="default" w:ascii="黑体" w:hAnsi="黑体" w:eastAsia="黑体" w:cs="黑体"/>
          <w:color w:val="auto"/>
          <w:sz w:val="28"/>
          <w:szCs w:val="28"/>
          <w:u w:val="none"/>
          <w:lang w:val="en-US" w:eastAsia="zh-CN"/>
        </w:rPr>
        <w:t>编制依据</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ADEBADF">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1</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法律法规与条例</w:t>
      </w:r>
    </w:p>
    <w:p w14:paraId="54E2944C">
      <w:pPr>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环评有关法律法规</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rPr>
        <w:t>见表2.</w:t>
      </w:r>
      <w:r>
        <w:rPr>
          <w:rFonts w:hint="eastAsia" w:cs="Times New Roman"/>
          <w:color w:val="auto"/>
          <w:sz w:val="24"/>
          <w:szCs w:val="24"/>
          <w:u w:val="none"/>
          <w:lang w:val="en-US" w:eastAsia="zh-CN"/>
        </w:rPr>
        <w:t>1</w:t>
      </w:r>
      <w:r>
        <w:rPr>
          <w:rFonts w:hint="default" w:ascii="Times New Roman" w:hAnsi="Times New Roman" w:cs="Times New Roman"/>
          <w:color w:val="auto"/>
          <w:sz w:val="24"/>
          <w:szCs w:val="24"/>
          <w:u w:val="none"/>
        </w:rPr>
        <w:t>-1。</w:t>
      </w:r>
    </w:p>
    <w:p w14:paraId="17059B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表2.1-1  国家和地方法律法规一览表</w:t>
      </w:r>
    </w:p>
    <w:bookmarkEnd w:id="51"/>
    <w:bookmarkEnd w:id="52"/>
    <w:bookmarkEnd w:id="53"/>
    <w:bookmarkEnd w:id="54"/>
    <w:bookmarkEnd w:id="55"/>
    <w:bookmarkEnd w:id="56"/>
    <w:bookmarkEnd w:id="57"/>
    <w:tbl>
      <w:tblPr>
        <w:tblStyle w:val="132"/>
        <w:tblW w:w="5015"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453"/>
        <w:gridCol w:w="4713"/>
        <w:gridCol w:w="2437"/>
        <w:gridCol w:w="1071"/>
      </w:tblGrid>
      <w:tr w14:paraId="3B6F40A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1F16089">
            <w:pPr>
              <w:keepNext w:val="0"/>
              <w:keepLines w:val="0"/>
              <w:pageBreakBefore w:val="0"/>
              <w:widowControl w:val="0"/>
              <w:kinsoku/>
              <w:wordWrap/>
              <w:overflowPunct/>
              <w:topLinePunct w:val="0"/>
              <w:autoSpaceDE/>
              <w:autoSpaceDN/>
              <w:bidi w:val="0"/>
              <w:adjustRightInd/>
              <w:snapToGrid/>
              <w:spacing w:before="36" w:line="400" w:lineRule="exact"/>
              <w:ind w:left="37"/>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pacing w:val="-2"/>
                <w:sz w:val="21"/>
                <w:szCs w:val="21"/>
                <w:highlight w:val="none"/>
                <w:u w:val="none"/>
              </w:rPr>
              <w:t>序号</w:t>
            </w:r>
          </w:p>
        </w:tc>
        <w:tc>
          <w:tcPr>
            <w:tcW w:w="2716" w:type="pct"/>
            <w:tcBorders>
              <w:tl2br w:val="nil"/>
              <w:tr2bl w:val="nil"/>
            </w:tcBorders>
            <w:noWrap w:val="0"/>
            <w:vAlign w:val="center"/>
          </w:tcPr>
          <w:p w14:paraId="020F12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pacing w:val="8"/>
                <w:sz w:val="21"/>
                <w:szCs w:val="21"/>
                <w:highlight w:val="none"/>
                <w:u w:val="none"/>
              </w:rPr>
              <w:t>依据名</w:t>
            </w:r>
            <w:r>
              <w:rPr>
                <w:rFonts w:hint="eastAsia" w:ascii="宋体" w:hAnsi="宋体" w:eastAsia="宋体" w:cs="宋体"/>
                <w:color w:val="auto"/>
                <w:spacing w:val="7"/>
                <w:sz w:val="21"/>
                <w:szCs w:val="21"/>
                <w:highlight w:val="none"/>
                <w:u w:val="none"/>
              </w:rPr>
              <w:t>称</w:t>
            </w:r>
          </w:p>
        </w:tc>
        <w:tc>
          <w:tcPr>
            <w:tcW w:w="1404" w:type="pct"/>
            <w:tcBorders>
              <w:tl2br w:val="nil"/>
              <w:tr2bl w:val="nil"/>
            </w:tcBorders>
            <w:noWrap w:val="0"/>
            <w:vAlign w:val="center"/>
          </w:tcPr>
          <w:p w14:paraId="3546BD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pacing w:val="11"/>
                <w:sz w:val="21"/>
                <w:szCs w:val="21"/>
                <w:highlight w:val="none"/>
                <w:u w:val="none"/>
              </w:rPr>
              <w:t>会</w:t>
            </w:r>
            <w:r>
              <w:rPr>
                <w:rFonts w:hint="eastAsia" w:ascii="宋体" w:hAnsi="宋体" w:eastAsia="宋体" w:cs="宋体"/>
                <w:color w:val="auto"/>
                <w:spacing w:val="9"/>
                <w:sz w:val="21"/>
                <w:szCs w:val="21"/>
                <w:highlight w:val="none"/>
                <w:u w:val="none"/>
              </w:rPr>
              <w:t>议、主席令、文号</w:t>
            </w:r>
          </w:p>
        </w:tc>
        <w:tc>
          <w:tcPr>
            <w:tcW w:w="617" w:type="pct"/>
            <w:tcBorders>
              <w:tl2br w:val="nil"/>
              <w:tr2bl w:val="nil"/>
            </w:tcBorders>
            <w:noWrap w:val="0"/>
            <w:vAlign w:val="center"/>
          </w:tcPr>
          <w:p w14:paraId="45D6C9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pacing w:val="7"/>
                <w:sz w:val="21"/>
                <w:szCs w:val="21"/>
                <w:highlight w:val="none"/>
                <w:u w:val="none"/>
              </w:rPr>
              <w:t>实施时间</w:t>
            </w:r>
          </w:p>
        </w:tc>
      </w:tr>
      <w:tr w14:paraId="363EB4F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35901E4">
            <w:pPr>
              <w:keepNext w:val="0"/>
              <w:keepLines w:val="0"/>
              <w:pageBreakBefore w:val="0"/>
              <w:widowControl w:val="0"/>
              <w:kinsoku/>
              <w:wordWrap/>
              <w:overflowPunct/>
              <w:topLinePunct w:val="0"/>
              <w:autoSpaceDE/>
              <w:autoSpaceDN/>
              <w:bidi w:val="0"/>
              <w:adjustRightInd/>
              <w:snapToGrid/>
              <w:spacing w:before="100" w:line="400" w:lineRule="exact"/>
              <w:ind w:left="43"/>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pacing w:val="90"/>
                <w:position w:val="1"/>
                <w:sz w:val="21"/>
                <w:szCs w:val="21"/>
                <w:highlight w:val="none"/>
                <w:u w:val="none"/>
              </w:rPr>
              <w:t>一</w:t>
            </w:r>
          </w:p>
        </w:tc>
        <w:tc>
          <w:tcPr>
            <w:tcW w:w="2716" w:type="pct"/>
            <w:tcBorders>
              <w:tl2br w:val="nil"/>
              <w:tr2bl w:val="nil"/>
            </w:tcBorders>
            <w:noWrap w:val="0"/>
            <w:vAlign w:val="center"/>
          </w:tcPr>
          <w:p w14:paraId="24EB3A44">
            <w:pPr>
              <w:keepNext w:val="0"/>
              <w:keepLines w:val="0"/>
              <w:pageBreakBefore w:val="0"/>
              <w:widowControl w:val="0"/>
              <w:kinsoku/>
              <w:wordWrap/>
              <w:overflowPunct/>
              <w:topLinePunct w:val="0"/>
              <w:autoSpaceDE/>
              <w:autoSpaceDN/>
              <w:bidi w:val="0"/>
              <w:adjustRightInd/>
              <w:snapToGrid/>
              <w:spacing w:before="33" w:line="400" w:lineRule="exact"/>
              <w:ind w:left="6"/>
              <w:jc w:val="left"/>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pacing w:val="14"/>
                <w:sz w:val="21"/>
                <w:szCs w:val="21"/>
                <w:highlight w:val="none"/>
                <w:u w:val="none"/>
              </w:rPr>
              <w:t>环</w:t>
            </w:r>
            <w:r>
              <w:rPr>
                <w:rFonts w:hint="eastAsia" w:ascii="宋体" w:hAnsi="宋体" w:eastAsia="宋体" w:cs="宋体"/>
                <w:b/>
                <w:bCs/>
                <w:color w:val="auto"/>
                <w:spacing w:val="9"/>
                <w:sz w:val="21"/>
                <w:szCs w:val="21"/>
                <w:highlight w:val="none"/>
                <w:u w:val="none"/>
              </w:rPr>
              <w:t>境保护相关法律</w:t>
            </w:r>
          </w:p>
        </w:tc>
        <w:tc>
          <w:tcPr>
            <w:tcW w:w="1404" w:type="pct"/>
            <w:tcBorders>
              <w:tl2br w:val="nil"/>
              <w:tr2bl w:val="nil"/>
            </w:tcBorders>
            <w:noWrap w:val="0"/>
            <w:vAlign w:val="center"/>
          </w:tcPr>
          <w:p w14:paraId="548E1F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c>
          <w:tcPr>
            <w:tcW w:w="617" w:type="pct"/>
            <w:tcBorders>
              <w:tl2br w:val="nil"/>
              <w:tr2bl w:val="nil"/>
            </w:tcBorders>
            <w:noWrap w:val="0"/>
            <w:vAlign w:val="center"/>
          </w:tcPr>
          <w:p w14:paraId="1B75CF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r>
      <w:tr w14:paraId="4D2445D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EB255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w:t>
            </w:r>
          </w:p>
        </w:tc>
        <w:tc>
          <w:tcPr>
            <w:tcW w:w="2716" w:type="pct"/>
            <w:tcBorders>
              <w:tl2br w:val="nil"/>
              <w:tr2bl w:val="nil"/>
            </w:tcBorders>
            <w:noWrap w:val="0"/>
            <w:vAlign w:val="center"/>
          </w:tcPr>
          <w:p w14:paraId="04D77F8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中华人民共和国环境保护法</w:t>
            </w:r>
            <w:r>
              <w:rPr>
                <w:rFonts w:hint="eastAsia" w:ascii="宋体" w:hAnsi="宋体" w:eastAsia="宋体" w:cs="宋体"/>
                <w:color w:val="auto"/>
                <w:kern w:val="0"/>
                <w:sz w:val="21"/>
                <w:szCs w:val="21"/>
                <w:highlight w:val="none"/>
                <w:u w:val="none"/>
              </w:rPr>
              <w:t>（2014年修</w:t>
            </w:r>
            <w:r>
              <w:rPr>
                <w:rFonts w:hint="eastAsia" w:ascii="宋体" w:hAnsi="宋体" w:eastAsia="宋体" w:cs="宋体"/>
                <w:color w:val="auto"/>
                <w:kern w:val="0"/>
                <w:sz w:val="21"/>
                <w:szCs w:val="21"/>
                <w:highlight w:val="none"/>
                <w:u w:val="none"/>
                <w:lang w:val="en-US" w:eastAsia="zh-CN"/>
              </w:rPr>
              <w:t>正</w:t>
            </w:r>
            <w:r>
              <w:rPr>
                <w:rFonts w:hint="eastAsia" w:ascii="宋体" w:hAnsi="宋体" w:eastAsia="宋体" w:cs="宋体"/>
                <w:color w:val="auto"/>
                <w:kern w:val="0"/>
                <w:sz w:val="21"/>
                <w:szCs w:val="21"/>
                <w:highlight w:val="none"/>
                <w:u w:val="none"/>
              </w:rPr>
              <w:t>）</w:t>
            </w:r>
          </w:p>
        </w:tc>
        <w:tc>
          <w:tcPr>
            <w:tcW w:w="1404" w:type="pct"/>
            <w:tcBorders>
              <w:tl2br w:val="nil"/>
              <w:tr2bl w:val="nil"/>
            </w:tcBorders>
            <w:noWrap w:val="0"/>
            <w:vAlign w:val="center"/>
          </w:tcPr>
          <w:p w14:paraId="247E3A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12届人大第8次会议</w:t>
            </w:r>
          </w:p>
        </w:tc>
        <w:tc>
          <w:tcPr>
            <w:tcW w:w="617" w:type="pct"/>
            <w:tcBorders>
              <w:tl2br w:val="nil"/>
              <w:tr2bl w:val="nil"/>
            </w:tcBorders>
            <w:noWrap w:val="0"/>
            <w:vAlign w:val="center"/>
          </w:tcPr>
          <w:p w14:paraId="0F5562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2015-01-01</w:t>
            </w:r>
          </w:p>
        </w:tc>
      </w:tr>
      <w:tr w14:paraId="083312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78A0A2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w:t>
            </w:r>
          </w:p>
        </w:tc>
        <w:tc>
          <w:tcPr>
            <w:tcW w:w="2716" w:type="pct"/>
            <w:tcBorders>
              <w:tl2br w:val="nil"/>
              <w:tr2bl w:val="nil"/>
            </w:tcBorders>
            <w:noWrap w:val="0"/>
            <w:vAlign w:val="center"/>
          </w:tcPr>
          <w:p w14:paraId="65AA542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中华人民共和国环境影响评价法</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2018年修正</w:t>
            </w:r>
            <w:r>
              <w:rPr>
                <w:rFonts w:hint="eastAsia" w:ascii="宋体" w:hAnsi="宋体" w:eastAsia="宋体" w:cs="宋体"/>
                <w:color w:val="auto"/>
                <w:sz w:val="21"/>
                <w:szCs w:val="21"/>
                <w:highlight w:val="none"/>
                <w:u w:val="none"/>
                <w:lang w:eastAsia="zh-CN"/>
              </w:rPr>
              <w:t>）</w:t>
            </w:r>
          </w:p>
        </w:tc>
        <w:tc>
          <w:tcPr>
            <w:tcW w:w="1404" w:type="pct"/>
            <w:tcBorders>
              <w:tl2br w:val="nil"/>
              <w:tr2bl w:val="nil"/>
            </w:tcBorders>
            <w:noWrap w:val="0"/>
            <w:vAlign w:val="center"/>
          </w:tcPr>
          <w:p w14:paraId="7FA73D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13届人大第7次会议</w:t>
            </w:r>
          </w:p>
        </w:tc>
        <w:tc>
          <w:tcPr>
            <w:tcW w:w="617" w:type="pct"/>
            <w:tcBorders>
              <w:tl2br w:val="nil"/>
              <w:tr2bl w:val="nil"/>
            </w:tcBorders>
            <w:noWrap w:val="0"/>
            <w:vAlign w:val="center"/>
          </w:tcPr>
          <w:p w14:paraId="2C2ECB3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2018-12-29</w:t>
            </w:r>
          </w:p>
        </w:tc>
      </w:tr>
      <w:tr w14:paraId="6C24782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5F69E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w:t>
            </w:r>
          </w:p>
        </w:tc>
        <w:tc>
          <w:tcPr>
            <w:tcW w:w="2716" w:type="pct"/>
            <w:tcBorders>
              <w:tl2br w:val="nil"/>
              <w:tr2bl w:val="nil"/>
            </w:tcBorders>
            <w:noWrap w:val="0"/>
            <w:vAlign w:val="center"/>
          </w:tcPr>
          <w:p w14:paraId="30D2885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中华人民共和国大气污染防治法</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2018年修正</w:t>
            </w:r>
            <w:r>
              <w:rPr>
                <w:rFonts w:hint="eastAsia" w:ascii="宋体" w:hAnsi="宋体" w:eastAsia="宋体" w:cs="宋体"/>
                <w:color w:val="auto"/>
                <w:sz w:val="21"/>
                <w:szCs w:val="21"/>
                <w:highlight w:val="none"/>
                <w:u w:val="none"/>
                <w:lang w:eastAsia="zh-CN"/>
              </w:rPr>
              <w:t>）</w:t>
            </w:r>
          </w:p>
        </w:tc>
        <w:tc>
          <w:tcPr>
            <w:tcW w:w="1404" w:type="pct"/>
            <w:tcBorders>
              <w:tl2br w:val="nil"/>
              <w:tr2bl w:val="nil"/>
            </w:tcBorders>
            <w:noWrap w:val="0"/>
            <w:vAlign w:val="center"/>
          </w:tcPr>
          <w:p w14:paraId="7D2C3F5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13届人大第6次会议</w:t>
            </w:r>
          </w:p>
        </w:tc>
        <w:tc>
          <w:tcPr>
            <w:tcW w:w="617" w:type="pct"/>
            <w:tcBorders>
              <w:tl2br w:val="nil"/>
              <w:tr2bl w:val="nil"/>
            </w:tcBorders>
            <w:noWrap w:val="0"/>
            <w:vAlign w:val="center"/>
          </w:tcPr>
          <w:p w14:paraId="15D097C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2018-10-26</w:t>
            </w:r>
          </w:p>
        </w:tc>
      </w:tr>
      <w:tr w14:paraId="2824688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3EF61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w:t>
            </w:r>
          </w:p>
        </w:tc>
        <w:tc>
          <w:tcPr>
            <w:tcW w:w="2716" w:type="pct"/>
            <w:tcBorders>
              <w:tl2br w:val="nil"/>
              <w:tr2bl w:val="nil"/>
            </w:tcBorders>
            <w:noWrap w:val="0"/>
            <w:vAlign w:val="center"/>
          </w:tcPr>
          <w:p w14:paraId="641D4BE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中华人民共和国水污染防治法</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2017年修正</w:t>
            </w:r>
            <w:r>
              <w:rPr>
                <w:rFonts w:hint="eastAsia" w:ascii="宋体" w:hAnsi="宋体" w:eastAsia="宋体" w:cs="宋体"/>
                <w:color w:val="auto"/>
                <w:sz w:val="21"/>
                <w:szCs w:val="21"/>
                <w:highlight w:val="none"/>
                <w:u w:val="none"/>
                <w:lang w:eastAsia="zh-CN"/>
              </w:rPr>
              <w:t>）</w:t>
            </w:r>
          </w:p>
        </w:tc>
        <w:tc>
          <w:tcPr>
            <w:tcW w:w="1404" w:type="pct"/>
            <w:tcBorders>
              <w:tl2br w:val="nil"/>
              <w:tr2bl w:val="nil"/>
            </w:tcBorders>
            <w:noWrap w:val="0"/>
            <w:vAlign w:val="center"/>
          </w:tcPr>
          <w:p w14:paraId="414797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12届人大第28次会议</w:t>
            </w:r>
          </w:p>
        </w:tc>
        <w:tc>
          <w:tcPr>
            <w:tcW w:w="617" w:type="pct"/>
            <w:tcBorders>
              <w:tl2br w:val="nil"/>
              <w:tr2bl w:val="nil"/>
            </w:tcBorders>
            <w:noWrap w:val="0"/>
            <w:vAlign w:val="center"/>
          </w:tcPr>
          <w:p w14:paraId="79CD355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2017-06-27</w:t>
            </w:r>
          </w:p>
        </w:tc>
      </w:tr>
      <w:tr w14:paraId="215EAB8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CD665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w:t>
            </w:r>
          </w:p>
        </w:tc>
        <w:tc>
          <w:tcPr>
            <w:tcW w:w="2716" w:type="pct"/>
            <w:tcBorders>
              <w:tl2br w:val="nil"/>
              <w:tr2bl w:val="nil"/>
            </w:tcBorders>
            <w:noWrap w:val="0"/>
            <w:vAlign w:val="center"/>
          </w:tcPr>
          <w:p w14:paraId="72CDD18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中华人民共和国噪声污染防治法</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2021年修正</w:t>
            </w:r>
            <w:r>
              <w:rPr>
                <w:rFonts w:hint="eastAsia" w:ascii="宋体" w:hAnsi="宋体" w:eastAsia="宋体" w:cs="宋体"/>
                <w:color w:val="auto"/>
                <w:sz w:val="21"/>
                <w:szCs w:val="21"/>
                <w:highlight w:val="none"/>
                <w:u w:val="none"/>
                <w:lang w:eastAsia="zh-CN"/>
              </w:rPr>
              <w:t>）</w:t>
            </w:r>
          </w:p>
        </w:tc>
        <w:tc>
          <w:tcPr>
            <w:tcW w:w="1404" w:type="pct"/>
            <w:tcBorders>
              <w:tl2br w:val="nil"/>
              <w:tr2bl w:val="nil"/>
            </w:tcBorders>
            <w:noWrap w:val="0"/>
            <w:vAlign w:val="center"/>
          </w:tcPr>
          <w:p w14:paraId="62573B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13届人大第32次会议</w:t>
            </w:r>
          </w:p>
        </w:tc>
        <w:tc>
          <w:tcPr>
            <w:tcW w:w="617" w:type="pct"/>
            <w:tcBorders>
              <w:tl2br w:val="nil"/>
              <w:tr2bl w:val="nil"/>
            </w:tcBorders>
            <w:noWrap w:val="0"/>
            <w:vAlign w:val="center"/>
          </w:tcPr>
          <w:p w14:paraId="7FCD956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2022-06-05</w:t>
            </w:r>
          </w:p>
        </w:tc>
      </w:tr>
      <w:tr w14:paraId="09ED513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185D4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w:t>
            </w:r>
          </w:p>
        </w:tc>
        <w:tc>
          <w:tcPr>
            <w:tcW w:w="2716" w:type="pct"/>
            <w:tcBorders>
              <w:tl2br w:val="nil"/>
              <w:tr2bl w:val="nil"/>
            </w:tcBorders>
            <w:noWrap w:val="0"/>
            <w:vAlign w:val="center"/>
          </w:tcPr>
          <w:p w14:paraId="0657C6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中华人民共和国固体废物污染环境防治法</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2020年修订</w:t>
            </w:r>
            <w:r>
              <w:rPr>
                <w:rFonts w:hint="eastAsia" w:ascii="宋体" w:hAnsi="宋体" w:eastAsia="宋体" w:cs="宋体"/>
                <w:color w:val="auto"/>
                <w:sz w:val="21"/>
                <w:szCs w:val="21"/>
                <w:highlight w:val="none"/>
                <w:u w:val="none"/>
                <w:lang w:eastAsia="zh-CN"/>
              </w:rPr>
              <w:t>）</w:t>
            </w:r>
          </w:p>
        </w:tc>
        <w:tc>
          <w:tcPr>
            <w:tcW w:w="1404" w:type="pct"/>
            <w:tcBorders>
              <w:tl2br w:val="nil"/>
              <w:tr2bl w:val="nil"/>
            </w:tcBorders>
            <w:noWrap w:val="0"/>
            <w:vAlign w:val="center"/>
          </w:tcPr>
          <w:p w14:paraId="7F3ABFD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13届人大第17次会议</w:t>
            </w:r>
          </w:p>
        </w:tc>
        <w:tc>
          <w:tcPr>
            <w:tcW w:w="617" w:type="pct"/>
            <w:tcBorders>
              <w:tl2br w:val="nil"/>
              <w:tr2bl w:val="nil"/>
            </w:tcBorders>
            <w:noWrap w:val="0"/>
            <w:vAlign w:val="center"/>
          </w:tcPr>
          <w:p w14:paraId="4E08EE5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2020-09-01</w:t>
            </w:r>
          </w:p>
        </w:tc>
      </w:tr>
      <w:tr w14:paraId="362C015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AE664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w:t>
            </w:r>
          </w:p>
        </w:tc>
        <w:tc>
          <w:tcPr>
            <w:tcW w:w="2716" w:type="pct"/>
            <w:tcBorders>
              <w:tl2br w:val="nil"/>
              <w:tr2bl w:val="nil"/>
            </w:tcBorders>
            <w:noWrap w:val="0"/>
            <w:vAlign w:val="center"/>
          </w:tcPr>
          <w:p w14:paraId="00DD34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中华人民共和国水土保持法</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2010年修订</w:t>
            </w:r>
            <w:r>
              <w:rPr>
                <w:rFonts w:hint="eastAsia" w:ascii="宋体" w:hAnsi="宋体" w:eastAsia="宋体" w:cs="宋体"/>
                <w:color w:val="auto"/>
                <w:sz w:val="21"/>
                <w:szCs w:val="21"/>
                <w:highlight w:val="none"/>
                <w:u w:val="none"/>
                <w:lang w:eastAsia="zh-CN"/>
              </w:rPr>
              <w:t>）</w:t>
            </w:r>
          </w:p>
        </w:tc>
        <w:tc>
          <w:tcPr>
            <w:tcW w:w="1404" w:type="pct"/>
            <w:tcBorders>
              <w:tl2br w:val="nil"/>
              <w:tr2bl w:val="nil"/>
            </w:tcBorders>
            <w:noWrap w:val="0"/>
            <w:vAlign w:val="center"/>
          </w:tcPr>
          <w:p w14:paraId="1D5F919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11届人大第18次会议</w:t>
            </w:r>
          </w:p>
        </w:tc>
        <w:tc>
          <w:tcPr>
            <w:tcW w:w="617" w:type="pct"/>
            <w:tcBorders>
              <w:tl2br w:val="nil"/>
              <w:tr2bl w:val="nil"/>
            </w:tcBorders>
            <w:noWrap w:val="0"/>
            <w:vAlign w:val="center"/>
          </w:tcPr>
          <w:p w14:paraId="6DD208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2011-03-01</w:t>
            </w:r>
          </w:p>
        </w:tc>
      </w:tr>
      <w:tr w14:paraId="7FF043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1FD529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w:t>
            </w:r>
          </w:p>
        </w:tc>
        <w:tc>
          <w:tcPr>
            <w:tcW w:w="2716" w:type="pct"/>
            <w:tcBorders>
              <w:tl2br w:val="nil"/>
              <w:tr2bl w:val="nil"/>
            </w:tcBorders>
            <w:noWrap w:val="0"/>
            <w:vAlign w:val="center"/>
          </w:tcPr>
          <w:p w14:paraId="006D57C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中华人民共和国清洁生产促进法</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2012年修正</w:t>
            </w:r>
            <w:r>
              <w:rPr>
                <w:rFonts w:hint="eastAsia" w:ascii="宋体" w:hAnsi="宋体" w:eastAsia="宋体" w:cs="宋体"/>
                <w:color w:val="auto"/>
                <w:sz w:val="21"/>
                <w:szCs w:val="21"/>
                <w:highlight w:val="none"/>
                <w:u w:val="none"/>
                <w:lang w:eastAsia="zh-CN"/>
              </w:rPr>
              <w:t>）</w:t>
            </w:r>
          </w:p>
        </w:tc>
        <w:tc>
          <w:tcPr>
            <w:tcW w:w="1404" w:type="pct"/>
            <w:tcBorders>
              <w:tl2br w:val="nil"/>
              <w:tr2bl w:val="nil"/>
            </w:tcBorders>
            <w:noWrap w:val="0"/>
            <w:vAlign w:val="center"/>
          </w:tcPr>
          <w:p w14:paraId="1968655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12届人大第25次会议</w:t>
            </w:r>
          </w:p>
        </w:tc>
        <w:tc>
          <w:tcPr>
            <w:tcW w:w="617" w:type="pct"/>
            <w:tcBorders>
              <w:tl2br w:val="nil"/>
              <w:tr2bl w:val="nil"/>
            </w:tcBorders>
            <w:noWrap w:val="0"/>
            <w:vAlign w:val="center"/>
          </w:tcPr>
          <w:p w14:paraId="389AB4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2012-07-01</w:t>
            </w:r>
          </w:p>
        </w:tc>
      </w:tr>
      <w:tr w14:paraId="5F520B9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F169A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val="en-US" w:eastAsia="zh-CN"/>
              </w:rPr>
              <w:t>9</w:t>
            </w:r>
          </w:p>
        </w:tc>
        <w:tc>
          <w:tcPr>
            <w:tcW w:w="2716" w:type="pct"/>
            <w:tcBorders>
              <w:tl2br w:val="nil"/>
              <w:tr2bl w:val="nil"/>
            </w:tcBorders>
            <w:noWrap w:val="0"/>
            <w:vAlign w:val="center"/>
          </w:tcPr>
          <w:p w14:paraId="1B2AF1A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中华人民共和国土地管理法</w:t>
            </w:r>
            <w:r>
              <w:rPr>
                <w:rFonts w:hint="eastAsia" w:ascii="宋体" w:hAnsi="宋体" w:eastAsia="宋体" w:cs="宋体"/>
                <w:color w:val="auto"/>
                <w:kern w:val="0"/>
                <w:sz w:val="21"/>
                <w:szCs w:val="21"/>
                <w:highlight w:val="none"/>
                <w:u w:val="none"/>
              </w:rPr>
              <w:t>（2019年修正）</w:t>
            </w:r>
          </w:p>
        </w:tc>
        <w:tc>
          <w:tcPr>
            <w:tcW w:w="1404" w:type="pct"/>
            <w:tcBorders>
              <w:tl2br w:val="nil"/>
              <w:tr2bl w:val="nil"/>
            </w:tcBorders>
            <w:noWrap w:val="0"/>
            <w:vAlign w:val="center"/>
          </w:tcPr>
          <w:p w14:paraId="7350612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13届人大第12次会议</w:t>
            </w:r>
          </w:p>
        </w:tc>
        <w:tc>
          <w:tcPr>
            <w:tcW w:w="617" w:type="pct"/>
            <w:tcBorders>
              <w:tl2br w:val="nil"/>
              <w:tr2bl w:val="nil"/>
            </w:tcBorders>
            <w:noWrap w:val="0"/>
            <w:vAlign w:val="center"/>
          </w:tcPr>
          <w:p w14:paraId="0771B3B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2020-01-01</w:t>
            </w:r>
          </w:p>
        </w:tc>
      </w:tr>
      <w:tr w14:paraId="4789B00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85631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1</w:t>
            </w:r>
            <w:r>
              <w:rPr>
                <w:rFonts w:hint="eastAsia" w:ascii="宋体" w:hAnsi="宋体" w:eastAsia="宋体" w:cs="宋体"/>
                <w:color w:val="auto"/>
                <w:sz w:val="21"/>
                <w:szCs w:val="21"/>
                <w:highlight w:val="none"/>
                <w:u w:val="none"/>
                <w:lang w:val="en-US" w:eastAsia="zh-CN"/>
              </w:rPr>
              <w:t>0</w:t>
            </w:r>
          </w:p>
        </w:tc>
        <w:tc>
          <w:tcPr>
            <w:tcW w:w="2716" w:type="pct"/>
            <w:tcBorders>
              <w:tl2br w:val="nil"/>
              <w:tr2bl w:val="nil"/>
            </w:tcBorders>
            <w:noWrap w:val="0"/>
            <w:vAlign w:val="center"/>
          </w:tcPr>
          <w:p w14:paraId="0F9B536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中华人民共和国野生动物保护法</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w:t>
            </w:r>
            <w:r>
              <w:rPr>
                <w:rFonts w:hint="eastAsia" w:ascii="宋体" w:hAnsi="宋体" w:eastAsia="宋体" w:cs="宋体"/>
                <w:color w:val="auto"/>
                <w:sz w:val="21"/>
                <w:szCs w:val="21"/>
                <w:highlight w:val="none"/>
                <w:u w:val="none"/>
                <w:lang w:val="en-US" w:eastAsia="zh-CN"/>
              </w:rPr>
              <w:t>22</w:t>
            </w:r>
            <w:r>
              <w:rPr>
                <w:rFonts w:hint="eastAsia" w:ascii="宋体" w:hAnsi="宋体" w:eastAsia="宋体" w:cs="宋体"/>
                <w:color w:val="auto"/>
                <w:sz w:val="21"/>
                <w:szCs w:val="21"/>
                <w:highlight w:val="none"/>
                <w:u w:val="none"/>
              </w:rPr>
              <w:t>年修正</w:t>
            </w:r>
            <w:r>
              <w:rPr>
                <w:rFonts w:hint="eastAsia" w:ascii="宋体" w:hAnsi="宋体" w:eastAsia="宋体" w:cs="宋体"/>
                <w:color w:val="auto"/>
                <w:sz w:val="21"/>
                <w:szCs w:val="21"/>
                <w:highlight w:val="none"/>
                <w:u w:val="none"/>
                <w:lang w:eastAsia="zh-CN"/>
              </w:rPr>
              <w:t>）</w:t>
            </w:r>
          </w:p>
        </w:tc>
        <w:tc>
          <w:tcPr>
            <w:tcW w:w="1404" w:type="pct"/>
            <w:tcBorders>
              <w:tl2br w:val="nil"/>
              <w:tr2bl w:val="nil"/>
            </w:tcBorders>
            <w:noWrap w:val="0"/>
            <w:vAlign w:val="center"/>
          </w:tcPr>
          <w:p w14:paraId="59419BD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13届人大第</w:t>
            </w:r>
            <w:r>
              <w:rPr>
                <w:rFonts w:hint="eastAsia" w:ascii="宋体" w:hAnsi="宋体" w:eastAsia="宋体" w:cs="宋体"/>
                <w:color w:val="auto"/>
                <w:sz w:val="21"/>
                <w:szCs w:val="21"/>
                <w:highlight w:val="none"/>
                <w:u w:val="none"/>
                <w:lang w:val="en-US" w:eastAsia="zh-CN"/>
              </w:rPr>
              <w:t>38</w:t>
            </w:r>
            <w:r>
              <w:rPr>
                <w:rFonts w:hint="eastAsia" w:ascii="宋体" w:hAnsi="宋体" w:eastAsia="宋体" w:cs="宋体"/>
                <w:color w:val="auto"/>
                <w:sz w:val="21"/>
                <w:szCs w:val="21"/>
                <w:highlight w:val="none"/>
                <w:u w:val="none"/>
              </w:rPr>
              <w:t>次会议</w:t>
            </w:r>
          </w:p>
        </w:tc>
        <w:tc>
          <w:tcPr>
            <w:tcW w:w="617" w:type="pct"/>
            <w:tcBorders>
              <w:tl2br w:val="nil"/>
              <w:tr2bl w:val="nil"/>
            </w:tcBorders>
            <w:noWrap w:val="0"/>
            <w:vAlign w:val="center"/>
          </w:tcPr>
          <w:p w14:paraId="475D1B9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w:t>
            </w:r>
            <w:r>
              <w:rPr>
                <w:rFonts w:hint="eastAsia" w:ascii="宋体" w:hAnsi="宋体" w:eastAsia="宋体" w:cs="宋体"/>
                <w:color w:val="auto"/>
                <w:sz w:val="21"/>
                <w:szCs w:val="21"/>
                <w:highlight w:val="none"/>
                <w:u w:val="none"/>
                <w:lang w:val="en-US" w:eastAsia="zh-CN"/>
              </w:rPr>
              <w:t>23</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05</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01</w:t>
            </w:r>
          </w:p>
        </w:tc>
      </w:tr>
      <w:tr w14:paraId="345DC84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95C76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1</w:t>
            </w:r>
            <w:r>
              <w:rPr>
                <w:rFonts w:hint="eastAsia" w:ascii="宋体" w:hAnsi="宋体" w:eastAsia="宋体" w:cs="宋体"/>
                <w:color w:val="auto"/>
                <w:sz w:val="21"/>
                <w:szCs w:val="21"/>
                <w:highlight w:val="none"/>
                <w:u w:val="none"/>
                <w:lang w:val="en-US" w:eastAsia="zh-CN"/>
              </w:rPr>
              <w:t>1</w:t>
            </w:r>
          </w:p>
        </w:tc>
        <w:tc>
          <w:tcPr>
            <w:tcW w:w="2716" w:type="pct"/>
            <w:tcBorders>
              <w:tl2br w:val="nil"/>
              <w:tr2bl w:val="nil"/>
            </w:tcBorders>
            <w:noWrap w:val="0"/>
            <w:vAlign w:val="center"/>
          </w:tcPr>
          <w:p w14:paraId="20C2702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中华人民共和国石油天然气管道保护法</w:t>
            </w:r>
          </w:p>
        </w:tc>
        <w:tc>
          <w:tcPr>
            <w:tcW w:w="1404" w:type="pct"/>
            <w:tcBorders>
              <w:tl2br w:val="nil"/>
              <w:tr2bl w:val="nil"/>
            </w:tcBorders>
            <w:noWrap w:val="0"/>
            <w:vAlign w:val="center"/>
          </w:tcPr>
          <w:p w14:paraId="6301D20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11届人大15次会议</w:t>
            </w:r>
          </w:p>
        </w:tc>
        <w:tc>
          <w:tcPr>
            <w:tcW w:w="617" w:type="pct"/>
            <w:tcBorders>
              <w:tl2br w:val="nil"/>
              <w:tr2bl w:val="nil"/>
            </w:tcBorders>
            <w:noWrap w:val="0"/>
            <w:vAlign w:val="center"/>
          </w:tcPr>
          <w:p w14:paraId="1A003A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2010-10-01</w:t>
            </w:r>
          </w:p>
        </w:tc>
      </w:tr>
      <w:tr w14:paraId="402D2C2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9D4E7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1</w:t>
            </w:r>
            <w:r>
              <w:rPr>
                <w:rFonts w:hint="eastAsia" w:ascii="宋体" w:hAnsi="宋体" w:eastAsia="宋体" w:cs="宋体"/>
                <w:color w:val="auto"/>
                <w:sz w:val="21"/>
                <w:szCs w:val="21"/>
                <w:highlight w:val="none"/>
                <w:u w:val="none"/>
                <w:lang w:val="en-US" w:eastAsia="zh-CN"/>
              </w:rPr>
              <w:t>2</w:t>
            </w:r>
          </w:p>
        </w:tc>
        <w:tc>
          <w:tcPr>
            <w:tcW w:w="2716" w:type="pct"/>
            <w:tcBorders>
              <w:tl2br w:val="nil"/>
              <w:tr2bl w:val="nil"/>
            </w:tcBorders>
            <w:noWrap w:val="0"/>
            <w:vAlign w:val="center"/>
          </w:tcPr>
          <w:p w14:paraId="445512F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中华人民共和国突发事件应对法</w:t>
            </w:r>
          </w:p>
        </w:tc>
        <w:tc>
          <w:tcPr>
            <w:tcW w:w="1404" w:type="pct"/>
            <w:tcBorders>
              <w:tl2br w:val="nil"/>
              <w:tr2bl w:val="nil"/>
            </w:tcBorders>
            <w:noWrap w:val="0"/>
            <w:vAlign w:val="center"/>
          </w:tcPr>
          <w:p w14:paraId="37EFB6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1</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届人大第</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次会议</w:t>
            </w:r>
            <w:r>
              <w:rPr>
                <w:rFonts w:hint="eastAsia" w:ascii="宋体" w:hAnsi="宋体" w:eastAsia="宋体" w:cs="宋体"/>
                <w:color w:val="auto"/>
                <w:sz w:val="21"/>
                <w:szCs w:val="21"/>
                <w:highlight w:val="none"/>
                <w:u w:val="none"/>
                <w:lang w:val="en-US" w:eastAsia="zh-CN"/>
              </w:rPr>
              <w:t>修订</w:t>
            </w:r>
          </w:p>
        </w:tc>
        <w:tc>
          <w:tcPr>
            <w:tcW w:w="617" w:type="pct"/>
            <w:tcBorders>
              <w:tl2br w:val="nil"/>
              <w:tr2bl w:val="nil"/>
            </w:tcBorders>
            <w:noWrap w:val="0"/>
            <w:vAlign w:val="center"/>
          </w:tcPr>
          <w:p w14:paraId="6CEBF1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w:t>
            </w:r>
            <w:r>
              <w:rPr>
                <w:rFonts w:hint="eastAsia" w:ascii="宋体" w:hAnsi="宋体" w:eastAsia="宋体" w:cs="宋体"/>
                <w:color w:val="auto"/>
                <w:sz w:val="21"/>
                <w:szCs w:val="21"/>
                <w:highlight w:val="none"/>
                <w:u w:val="none"/>
                <w:lang w:val="en-US" w:eastAsia="zh-CN"/>
              </w:rPr>
              <w:t>24</w:t>
            </w:r>
            <w:r>
              <w:rPr>
                <w:rFonts w:hint="eastAsia" w:ascii="宋体" w:hAnsi="宋体" w:eastAsia="宋体" w:cs="宋体"/>
                <w:color w:val="auto"/>
                <w:sz w:val="21"/>
                <w:szCs w:val="21"/>
                <w:highlight w:val="none"/>
                <w:u w:val="none"/>
              </w:rPr>
              <w:t>-11-01</w:t>
            </w:r>
          </w:p>
        </w:tc>
      </w:tr>
      <w:tr w14:paraId="4B2FA46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10DD63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1</w:t>
            </w:r>
            <w:r>
              <w:rPr>
                <w:rFonts w:hint="eastAsia" w:ascii="宋体" w:hAnsi="宋体" w:eastAsia="宋体" w:cs="宋体"/>
                <w:color w:val="auto"/>
                <w:sz w:val="21"/>
                <w:szCs w:val="21"/>
                <w:highlight w:val="none"/>
                <w:u w:val="none"/>
                <w:lang w:val="en-US" w:eastAsia="zh-CN"/>
              </w:rPr>
              <w:t>3</w:t>
            </w:r>
          </w:p>
        </w:tc>
        <w:tc>
          <w:tcPr>
            <w:tcW w:w="2716" w:type="pct"/>
            <w:tcBorders>
              <w:tl2br w:val="nil"/>
              <w:tr2bl w:val="nil"/>
            </w:tcBorders>
            <w:noWrap w:val="0"/>
            <w:vAlign w:val="center"/>
          </w:tcPr>
          <w:p w14:paraId="1B2498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中华人民共和国防沙治沙法</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2018年修正</w:t>
            </w:r>
            <w:r>
              <w:rPr>
                <w:rFonts w:hint="eastAsia" w:ascii="宋体" w:hAnsi="宋体" w:eastAsia="宋体" w:cs="宋体"/>
                <w:color w:val="auto"/>
                <w:sz w:val="21"/>
                <w:szCs w:val="21"/>
                <w:highlight w:val="none"/>
                <w:u w:val="none"/>
                <w:lang w:eastAsia="zh-CN"/>
              </w:rPr>
              <w:t>）</w:t>
            </w:r>
          </w:p>
        </w:tc>
        <w:tc>
          <w:tcPr>
            <w:tcW w:w="1404" w:type="pct"/>
            <w:tcBorders>
              <w:tl2br w:val="nil"/>
              <w:tr2bl w:val="nil"/>
            </w:tcBorders>
            <w:noWrap w:val="0"/>
            <w:vAlign w:val="center"/>
          </w:tcPr>
          <w:p w14:paraId="3EC417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13届人大第6次会议</w:t>
            </w:r>
          </w:p>
        </w:tc>
        <w:tc>
          <w:tcPr>
            <w:tcW w:w="617" w:type="pct"/>
            <w:tcBorders>
              <w:tl2br w:val="nil"/>
              <w:tr2bl w:val="nil"/>
            </w:tcBorders>
            <w:noWrap w:val="0"/>
            <w:vAlign w:val="center"/>
          </w:tcPr>
          <w:p w14:paraId="4D41D0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2018-10-26</w:t>
            </w:r>
          </w:p>
        </w:tc>
      </w:tr>
      <w:tr w14:paraId="096737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07DE6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1</w:t>
            </w:r>
            <w:r>
              <w:rPr>
                <w:rFonts w:hint="eastAsia" w:ascii="宋体" w:hAnsi="宋体" w:eastAsia="宋体" w:cs="宋体"/>
                <w:color w:val="auto"/>
                <w:sz w:val="21"/>
                <w:szCs w:val="21"/>
                <w:highlight w:val="none"/>
                <w:u w:val="none"/>
                <w:lang w:val="en-US" w:eastAsia="zh-CN"/>
              </w:rPr>
              <w:t>4</w:t>
            </w:r>
          </w:p>
        </w:tc>
        <w:tc>
          <w:tcPr>
            <w:tcW w:w="2716" w:type="pct"/>
            <w:tcBorders>
              <w:tl2br w:val="nil"/>
              <w:tr2bl w:val="nil"/>
            </w:tcBorders>
            <w:noWrap w:val="0"/>
            <w:vAlign w:val="center"/>
          </w:tcPr>
          <w:p w14:paraId="1BC6184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中华人民共和国土壤污染防治法</w:t>
            </w:r>
          </w:p>
        </w:tc>
        <w:tc>
          <w:tcPr>
            <w:tcW w:w="1404" w:type="pct"/>
            <w:tcBorders>
              <w:tl2br w:val="nil"/>
              <w:tr2bl w:val="nil"/>
            </w:tcBorders>
            <w:noWrap w:val="0"/>
            <w:vAlign w:val="center"/>
          </w:tcPr>
          <w:p w14:paraId="0080EB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13届人大第5次会议</w:t>
            </w:r>
          </w:p>
        </w:tc>
        <w:tc>
          <w:tcPr>
            <w:tcW w:w="617" w:type="pct"/>
            <w:tcBorders>
              <w:tl2br w:val="nil"/>
              <w:tr2bl w:val="nil"/>
            </w:tcBorders>
            <w:noWrap w:val="0"/>
            <w:vAlign w:val="center"/>
          </w:tcPr>
          <w:p w14:paraId="1A44EC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2019-01-01</w:t>
            </w:r>
          </w:p>
        </w:tc>
      </w:tr>
      <w:tr w14:paraId="7D006BA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1DF5C0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w:t>
            </w:r>
            <w:r>
              <w:rPr>
                <w:rFonts w:hint="eastAsia" w:ascii="宋体" w:hAnsi="宋体" w:eastAsia="宋体" w:cs="宋体"/>
                <w:color w:val="auto"/>
                <w:sz w:val="21"/>
                <w:szCs w:val="21"/>
                <w:highlight w:val="none"/>
                <w:u w:val="none"/>
                <w:lang w:val="en-US" w:eastAsia="zh-CN"/>
              </w:rPr>
              <w:t>5</w:t>
            </w:r>
          </w:p>
        </w:tc>
        <w:tc>
          <w:tcPr>
            <w:tcW w:w="2716" w:type="pct"/>
            <w:tcBorders>
              <w:tl2br w:val="nil"/>
              <w:tr2bl w:val="nil"/>
            </w:tcBorders>
            <w:noWrap w:val="0"/>
            <w:vAlign w:val="center"/>
          </w:tcPr>
          <w:p w14:paraId="3C8A13C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中华人民共和国矿产资源法</w:t>
            </w:r>
            <w:r>
              <w:rPr>
                <w:rFonts w:hint="eastAsia" w:ascii="宋体" w:hAnsi="宋体" w:eastAsia="宋体" w:cs="宋体"/>
                <w:color w:val="auto"/>
                <w:sz w:val="21"/>
                <w:szCs w:val="21"/>
                <w:highlight w:val="none"/>
                <w:u w:val="none"/>
                <w:lang w:val="en-US" w:eastAsia="zh-CN"/>
              </w:rPr>
              <w:t>（2009年修正）</w:t>
            </w:r>
          </w:p>
        </w:tc>
        <w:tc>
          <w:tcPr>
            <w:tcW w:w="1404" w:type="pct"/>
            <w:tcBorders>
              <w:tl2br w:val="nil"/>
              <w:tr2bl w:val="nil"/>
            </w:tcBorders>
            <w:noWrap w:val="0"/>
            <w:vAlign w:val="center"/>
          </w:tcPr>
          <w:p w14:paraId="3E6122B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中华人民共和国主席令第18号</w:t>
            </w:r>
          </w:p>
        </w:tc>
        <w:tc>
          <w:tcPr>
            <w:tcW w:w="617" w:type="pct"/>
            <w:tcBorders>
              <w:tl2br w:val="nil"/>
              <w:tr2bl w:val="nil"/>
            </w:tcBorders>
            <w:noWrap w:val="0"/>
            <w:vAlign w:val="center"/>
          </w:tcPr>
          <w:p w14:paraId="6A090DA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2009-8-27</w:t>
            </w:r>
          </w:p>
        </w:tc>
      </w:tr>
      <w:tr w14:paraId="3F7A6DD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839E9D8">
            <w:pPr>
              <w:keepNext w:val="0"/>
              <w:keepLines w:val="0"/>
              <w:pageBreakBefore w:val="0"/>
              <w:widowControl w:val="0"/>
              <w:kinsoku/>
              <w:wordWrap/>
              <w:overflowPunct/>
              <w:topLinePunct w:val="0"/>
              <w:autoSpaceDE/>
              <w:autoSpaceDN/>
              <w:bidi w:val="0"/>
              <w:adjustRightInd/>
              <w:snapToGrid/>
              <w:spacing w:before="89" w:line="400" w:lineRule="exact"/>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二</w:t>
            </w:r>
          </w:p>
        </w:tc>
        <w:tc>
          <w:tcPr>
            <w:tcW w:w="2716" w:type="pct"/>
            <w:tcBorders>
              <w:tl2br w:val="nil"/>
              <w:tr2bl w:val="nil"/>
            </w:tcBorders>
            <w:noWrap w:val="0"/>
            <w:vAlign w:val="center"/>
          </w:tcPr>
          <w:p w14:paraId="555935F8">
            <w:pPr>
              <w:keepNext w:val="0"/>
              <w:keepLines w:val="0"/>
              <w:pageBreakBefore w:val="0"/>
              <w:widowControl w:val="0"/>
              <w:kinsoku/>
              <w:wordWrap/>
              <w:overflowPunct/>
              <w:topLinePunct w:val="0"/>
              <w:autoSpaceDE/>
              <w:autoSpaceDN/>
              <w:bidi w:val="0"/>
              <w:adjustRightInd/>
              <w:snapToGrid/>
              <w:spacing w:before="56" w:line="400" w:lineRule="exact"/>
              <w:ind w:left="9"/>
              <w:jc w:val="left"/>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pacing w:val="10"/>
                <w:sz w:val="21"/>
                <w:szCs w:val="21"/>
                <w:highlight w:val="none"/>
                <w:u w:val="none"/>
              </w:rPr>
              <w:t>行政法规与国务院发布的规范性文</w:t>
            </w:r>
            <w:r>
              <w:rPr>
                <w:rFonts w:hint="eastAsia" w:ascii="宋体" w:hAnsi="宋体" w:eastAsia="宋体" w:cs="宋体"/>
                <w:b/>
                <w:bCs/>
                <w:color w:val="auto"/>
                <w:spacing w:val="9"/>
                <w:sz w:val="21"/>
                <w:szCs w:val="21"/>
                <w:highlight w:val="none"/>
                <w:u w:val="none"/>
              </w:rPr>
              <w:t>件</w:t>
            </w:r>
          </w:p>
        </w:tc>
        <w:tc>
          <w:tcPr>
            <w:tcW w:w="1404" w:type="pct"/>
            <w:tcBorders>
              <w:tl2br w:val="nil"/>
              <w:tr2bl w:val="nil"/>
            </w:tcBorders>
            <w:noWrap w:val="0"/>
            <w:vAlign w:val="center"/>
          </w:tcPr>
          <w:p w14:paraId="7021E9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c>
          <w:tcPr>
            <w:tcW w:w="617" w:type="pct"/>
            <w:tcBorders>
              <w:tl2br w:val="nil"/>
              <w:tr2bl w:val="nil"/>
            </w:tcBorders>
            <w:noWrap w:val="0"/>
            <w:vAlign w:val="center"/>
          </w:tcPr>
          <w:p w14:paraId="49E773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r>
      <w:tr w14:paraId="2E7BA21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1E9E6B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2716" w:type="pct"/>
            <w:tcBorders>
              <w:tl2br w:val="nil"/>
              <w:tr2bl w:val="nil"/>
            </w:tcBorders>
            <w:noWrap w:val="0"/>
            <w:vAlign w:val="center"/>
          </w:tcPr>
          <w:p w14:paraId="28F9BD6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建设项目环境保护管理条例</w:t>
            </w:r>
            <w:r>
              <w:rPr>
                <w:rFonts w:hint="eastAsia" w:ascii="宋体" w:hAnsi="宋体" w:eastAsia="宋体" w:cs="宋体"/>
                <w:color w:val="auto"/>
                <w:sz w:val="21"/>
                <w:szCs w:val="21"/>
                <w:highlight w:val="none"/>
                <w:u w:val="none"/>
              </w:rPr>
              <w:t>（2017年修正）</w:t>
            </w:r>
          </w:p>
        </w:tc>
        <w:tc>
          <w:tcPr>
            <w:tcW w:w="1404" w:type="pct"/>
            <w:tcBorders>
              <w:tl2br w:val="nil"/>
              <w:tr2bl w:val="nil"/>
            </w:tcBorders>
            <w:noWrap w:val="0"/>
            <w:vAlign w:val="center"/>
          </w:tcPr>
          <w:p w14:paraId="4D2ECF8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国务院令682号</w:t>
            </w:r>
          </w:p>
        </w:tc>
        <w:tc>
          <w:tcPr>
            <w:tcW w:w="617" w:type="pct"/>
            <w:tcBorders>
              <w:tl2br w:val="nil"/>
              <w:tr2bl w:val="nil"/>
            </w:tcBorders>
            <w:noWrap w:val="0"/>
            <w:vAlign w:val="center"/>
          </w:tcPr>
          <w:p w14:paraId="04D0FA2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2017-10-01</w:t>
            </w:r>
          </w:p>
        </w:tc>
      </w:tr>
      <w:tr w14:paraId="028B441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485D36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w:t>
            </w:r>
          </w:p>
        </w:tc>
        <w:tc>
          <w:tcPr>
            <w:tcW w:w="2716" w:type="pct"/>
            <w:tcBorders>
              <w:tl2br w:val="nil"/>
              <w:tr2bl w:val="nil"/>
            </w:tcBorders>
            <w:noWrap w:val="0"/>
            <w:vAlign w:val="center"/>
          </w:tcPr>
          <w:p w14:paraId="2450074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中华人民共和国野生植物保护条例（2017年修正）</w:t>
            </w:r>
          </w:p>
        </w:tc>
        <w:tc>
          <w:tcPr>
            <w:tcW w:w="1404" w:type="pct"/>
            <w:tcBorders>
              <w:tl2br w:val="nil"/>
              <w:tr2bl w:val="nil"/>
            </w:tcBorders>
            <w:noWrap w:val="0"/>
            <w:vAlign w:val="center"/>
          </w:tcPr>
          <w:p w14:paraId="78B7BE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国务院令687号</w:t>
            </w:r>
          </w:p>
        </w:tc>
        <w:tc>
          <w:tcPr>
            <w:tcW w:w="617" w:type="pct"/>
            <w:tcBorders>
              <w:tl2br w:val="nil"/>
              <w:tr2bl w:val="nil"/>
            </w:tcBorders>
            <w:noWrap w:val="0"/>
            <w:vAlign w:val="center"/>
          </w:tcPr>
          <w:p w14:paraId="05157C3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2017-10-07</w:t>
            </w:r>
          </w:p>
        </w:tc>
      </w:tr>
      <w:tr w14:paraId="6DC40AF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1964EC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w:t>
            </w:r>
          </w:p>
        </w:tc>
        <w:tc>
          <w:tcPr>
            <w:tcW w:w="2716" w:type="pct"/>
            <w:tcBorders>
              <w:tl2br w:val="nil"/>
              <w:tr2bl w:val="nil"/>
            </w:tcBorders>
            <w:noWrap w:val="0"/>
            <w:vAlign w:val="center"/>
          </w:tcPr>
          <w:p w14:paraId="3703ED9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地下水管理条例</w:t>
            </w:r>
          </w:p>
        </w:tc>
        <w:tc>
          <w:tcPr>
            <w:tcW w:w="1404" w:type="pct"/>
            <w:tcBorders>
              <w:tl2br w:val="nil"/>
              <w:tr2bl w:val="nil"/>
            </w:tcBorders>
            <w:noWrap w:val="0"/>
            <w:vAlign w:val="center"/>
          </w:tcPr>
          <w:p w14:paraId="6C02A16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国务院令748号</w:t>
            </w:r>
          </w:p>
        </w:tc>
        <w:tc>
          <w:tcPr>
            <w:tcW w:w="617" w:type="pct"/>
            <w:tcBorders>
              <w:tl2br w:val="nil"/>
              <w:tr2bl w:val="nil"/>
            </w:tcBorders>
            <w:noWrap w:val="0"/>
            <w:vAlign w:val="center"/>
          </w:tcPr>
          <w:p w14:paraId="454943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2021-12-01</w:t>
            </w:r>
          </w:p>
        </w:tc>
      </w:tr>
      <w:tr w14:paraId="2182D9C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F4AD8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w:t>
            </w:r>
          </w:p>
        </w:tc>
        <w:tc>
          <w:tcPr>
            <w:tcW w:w="2716" w:type="pct"/>
            <w:tcBorders>
              <w:tl2br w:val="nil"/>
              <w:tr2bl w:val="nil"/>
            </w:tcBorders>
            <w:noWrap w:val="0"/>
            <w:vAlign w:val="center"/>
          </w:tcPr>
          <w:p w14:paraId="51B1251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危险化学品安全管理条例（2013年修正）</w:t>
            </w:r>
          </w:p>
        </w:tc>
        <w:tc>
          <w:tcPr>
            <w:tcW w:w="1404" w:type="pct"/>
            <w:tcBorders>
              <w:tl2br w:val="nil"/>
              <w:tr2bl w:val="nil"/>
            </w:tcBorders>
            <w:noWrap w:val="0"/>
            <w:vAlign w:val="center"/>
          </w:tcPr>
          <w:p w14:paraId="763CE7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国务院令645号</w:t>
            </w:r>
          </w:p>
        </w:tc>
        <w:tc>
          <w:tcPr>
            <w:tcW w:w="617" w:type="pct"/>
            <w:tcBorders>
              <w:tl2br w:val="nil"/>
              <w:tr2bl w:val="nil"/>
            </w:tcBorders>
            <w:noWrap w:val="0"/>
            <w:vAlign w:val="center"/>
          </w:tcPr>
          <w:p w14:paraId="5C1999F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2013-12-07</w:t>
            </w:r>
          </w:p>
        </w:tc>
      </w:tr>
      <w:tr w14:paraId="308979A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48892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w:t>
            </w:r>
          </w:p>
        </w:tc>
        <w:tc>
          <w:tcPr>
            <w:tcW w:w="2716" w:type="pct"/>
            <w:tcBorders>
              <w:tl2br w:val="nil"/>
              <w:tr2bl w:val="nil"/>
            </w:tcBorders>
            <w:noWrap w:val="0"/>
            <w:vAlign w:val="center"/>
          </w:tcPr>
          <w:p w14:paraId="02A430A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中华人民共和国土地管理法实施条例（2021年修订）</w:t>
            </w:r>
          </w:p>
        </w:tc>
        <w:tc>
          <w:tcPr>
            <w:tcW w:w="1404" w:type="pct"/>
            <w:tcBorders>
              <w:tl2br w:val="nil"/>
              <w:tr2bl w:val="nil"/>
            </w:tcBorders>
            <w:noWrap w:val="0"/>
            <w:vAlign w:val="center"/>
          </w:tcPr>
          <w:p w14:paraId="32CB7E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国务院令743号</w:t>
            </w:r>
          </w:p>
        </w:tc>
        <w:tc>
          <w:tcPr>
            <w:tcW w:w="617" w:type="pct"/>
            <w:tcBorders>
              <w:tl2br w:val="nil"/>
              <w:tr2bl w:val="nil"/>
            </w:tcBorders>
            <w:noWrap w:val="0"/>
            <w:vAlign w:val="center"/>
          </w:tcPr>
          <w:p w14:paraId="646F102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2021-09-01</w:t>
            </w:r>
          </w:p>
        </w:tc>
      </w:tr>
      <w:tr w14:paraId="1A3964A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98996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6</w:t>
            </w:r>
          </w:p>
        </w:tc>
        <w:tc>
          <w:tcPr>
            <w:tcW w:w="2716" w:type="pct"/>
            <w:tcBorders>
              <w:tl2br w:val="nil"/>
              <w:tr2bl w:val="nil"/>
            </w:tcBorders>
            <w:noWrap w:val="0"/>
            <w:vAlign w:val="center"/>
          </w:tcPr>
          <w:p w14:paraId="7DF1944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国务院关于印发水污染防治行动计划的通知</w:t>
            </w:r>
          </w:p>
        </w:tc>
        <w:tc>
          <w:tcPr>
            <w:tcW w:w="1404" w:type="pct"/>
            <w:tcBorders>
              <w:tl2br w:val="nil"/>
              <w:tr2bl w:val="nil"/>
            </w:tcBorders>
            <w:noWrap w:val="0"/>
            <w:vAlign w:val="center"/>
          </w:tcPr>
          <w:p w14:paraId="7BEDA3A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国发〔2015〕17号</w:t>
            </w:r>
          </w:p>
        </w:tc>
        <w:tc>
          <w:tcPr>
            <w:tcW w:w="617" w:type="pct"/>
            <w:tcBorders>
              <w:tl2br w:val="nil"/>
              <w:tr2bl w:val="nil"/>
            </w:tcBorders>
            <w:noWrap w:val="0"/>
            <w:vAlign w:val="center"/>
          </w:tcPr>
          <w:p w14:paraId="3FE08CF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2015-04-02</w:t>
            </w:r>
          </w:p>
        </w:tc>
      </w:tr>
      <w:tr w14:paraId="2E996E2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7A951D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7</w:t>
            </w:r>
          </w:p>
        </w:tc>
        <w:tc>
          <w:tcPr>
            <w:tcW w:w="2716" w:type="pct"/>
            <w:tcBorders>
              <w:tl2br w:val="nil"/>
              <w:tr2bl w:val="nil"/>
            </w:tcBorders>
            <w:noWrap w:val="0"/>
            <w:vAlign w:val="center"/>
          </w:tcPr>
          <w:p w14:paraId="727A1C0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国务院关于印发大气污染防治行动计划的通知</w:t>
            </w:r>
          </w:p>
        </w:tc>
        <w:tc>
          <w:tcPr>
            <w:tcW w:w="1404" w:type="pct"/>
            <w:tcBorders>
              <w:tl2br w:val="nil"/>
              <w:tr2bl w:val="nil"/>
            </w:tcBorders>
            <w:noWrap w:val="0"/>
            <w:vAlign w:val="center"/>
          </w:tcPr>
          <w:p w14:paraId="0E5A5A6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国发〔2013〕37号</w:t>
            </w:r>
          </w:p>
        </w:tc>
        <w:tc>
          <w:tcPr>
            <w:tcW w:w="617" w:type="pct"/>
            <w:tcBorders>
              <w:tl2br w:val="nil"/>
              <w:tr2bl w:val="nil"/>
            </w:tcBorders>
            <w:noWrap w:val="0"/>
            <w:vAlign w:val="center"/>
          </w:tcPr>
          <w:p w14:paraId="0627C3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2013-9-10</w:t>
            </w:r>
          </w:p>
        </w:tc>
      </w:tr>
      <w:tr w14:paraId="0B8C0DD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042C3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8</w:t>
            </w:r>
          </w:p>
        </w:tc>
        <w:tc>
          <w:tcPr>
            <w:tcW w:w="2716" w:type="pct"/>
            <w:tcBorders>
              <w:tl2br w:val="nil"/>
              <w:tr2bl w:val="nil"/>
            </w:tcBorders>
            <w:noWrap w:val="0"/>
            <w:vAlign w:val="center"/>
          </w:tcPr>
          <w:p w14:paraId="28F482F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国务院关于印发土壤污染防治行动计划的通知</w:t>
            </w:r>
          </w:p>
        </w:tc>
        <w:tc>
          <w:tcPr>
            <w:tcW w:w="1404" w:type="pct"/>
            <w:tcBorders>
              <w:tl2br w:val="nil"/>
              <w:tr2bl w:val="nil"/>
            </w:tcBorders>
            <w:noWrap w:val="0"/>
            <w:vAlign w:val="center"/>
          </w:tcPr>
          <w:p w14:paraId="35A3067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国发〔2016〕31号</w:t>
            </w:r>
          </w:p>
        </w:tc>
        <w:tc>
          <w:tcPr>
            <w:tcW w:w="617" w:type="pct"/>
            <w:tcBorders>
              <w:tl2br w:val="nil"/>
              <w:tr2bl w:val="nil"/>
            </w:tcBorders>
            <w:noWrap w:val="0"/>
            <w:vAlign w:val="center"/>
          </w:tcPr>
          <w:p w14:paraId="59551E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2016-05-28</w:t>
            </w:r>
          </w:p>
        </w:tc>
      </w:tr>
      <w:tr w14:paraId="21F4D36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D2579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9</w:t>
            </w:r>
          </w:p>
        </w:tc>
        <w:tc>
          <w:tcPr>
            <w:tcW w:w="2716" w:type="pct"/>
            <w:tcBorders>
              <w:tl2br w:val="nil"/>
              <w:tr2bl w:val="nil"/>
            </w:tcBorders>
            <w:noWrap w:val="0"/>
            <w:vAlign w:val="center"/>
          </w:tcPr>
          <w:p w14:paraId="7596018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中华人民共和国水土保持法实施条例（2011年修订）</w:t>
            </w:r>
          </w:p>
        </w:tc>
        <w:tc>
          <w:tcPr>
            <w:tcW w:w="1404" w:type="pct"/>
            <w:tcBorders>
              <w:tl2br w:val="nil"/>
              <w:tr2bl w:val="nil"/>
            </w:tcBorders>
            <w:noWrap w:val="0"/>
            <w:vAlign w:val="center"/>
          </w:tcPr>
          <w:p w14:paraId="21EB87E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国务院令第120号</w:t>
            </w:r>
          </w:p>
        </w:tc>
        <w:tc>
          <w:tcPr>
            <w:tcW w:w="617" w:type="pct"/>
            <w:tcBorders>
              <w:tl2br w:val="nil"/>
              <w:tr2bl w:val="nil"/>
            </w:tcBorders>
            <w:noWrap w:val="0"/>
            <w:vAlign w:val="center"/>
          </w:tcPr>
          <w:p w14:paraId="033045B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2011-01-08</w:t>
            </w:r>
          </w:p>
        </w:tc>
      </w:tr>
      <w:tr w14:paraId="4A1100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3C8E0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10</w:t>
            </w:r>
          </w:p>
        </w:tc>
        <w:tc>
          <w:tcPr>
            <w:tcW w:w="2716" w:type="pct"/>
            <w:tcBorders>
              <w:tl2br w:val="nil"/>
              <w:tr2bl w:val="nil"/>
            </w:tcBorders>
            <w:noWrap w:val="0"/>
            <w:vAlign w:val="center"/>
          </w:tcPr>
          <w:p w14:paraId="19EBEE7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中共中央国务院关于深入打好污染防治攻坚战的意见</w:t>
            </w:r>
          </w:p>
        </w:tc>
        <w:tc>
          <w:tcPr>
            <w:tcW w:w="1404" w:type="pct"/>
            <w:tcBorders>
              <w:tl2br w:val="nil"/>
              <w:tr2bl w:val="nil"/>
            </w:tcBorders>
            <w:noWrap w:val="0"/>
            <w:vAlign w:val="center"/>
          </w:tcPr>
          <w:p w14:paraId="58F724D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新华社北京11月7日电</w:t>
            </w:r>
          </w:p>
        </w:tc>
        <w:tc>
          <w:tcPr>
            <w:tcW w:w="617" w:type="pct"/>
            <w:tcBorders>
              <w:tl2br w:val="nil"/>
              <w:tr2bl w:val="nil"/>
            </w:tcBorders>
            <w:noWrap w:val="0"/>
            <w:vAlign w:val="center"/>
          </w:tcPr>
          <w:p w14:paraId="0D1855D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2021-11-07</w:t>
            </w:r>
          </w:p>
        </w:tc>
      </w:tr>
      <w:tr w14:paraId="12644F5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4656AAE1">
            <w:pPr>
              <w:keepNext w:val="0"/>
              <w:keepLines w:val="0"/>
              <w:pageBreakBefore w:val="0"/>
              <w:widowControl w:val="0"/>
              <w:kinsoku/>
              <w:wordWrap/>
              <w:overflowPunct/>
              <w:topLinePunct w:val="0"/>
              <w:autoSpaceDE/>
              <w:autoSpaceDN/>
              <w:bidi w:val="0"/>
              <w:adjustRightInd/>
              <w:snapToGrid/>
              <w:spacing w:before="55" w:line="400" w:lineRule="exact"/>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pacing w:val="2"/>
                <w:position w:val="1"/>
                <w:sz w:val="21"/>
                <w:szCs w:val="21"/>
                <w:highlight w:val="none"/>
                <w:u w:val="none"/>
              </w:rPr>
              <w:t>三</w:t>
            </w:r>
          </w:p>
        </w:tc>
        <w:tc>
          <w:tcPr>
            <w:tcW w:w="2716" w:type="pct"/>
            <w:tcBorders>
              <w:tl2br w:val="nil"/>
              <w:tr2bl w:val="nil"/>
            </w:tcBorders>
            <w:noWrap w:val="0"/>
            <w:vAlign w:val="center"/>
          </w:tcPr>
          <w:p w14:paraId="58296AC2">
            <w:pPr>
              <w:keepNext w:val="0"/>
              <w:keepLines w:val="0"/>
              <w:pageBreakBefore w:val="0"/>
              <w:widowControl w:val="0"/>
              <w:kinsoku/>
              <w:wordWrap/>
              <w:overflowPunct/>
              <w:topLinePunct w:val="0"/>
              <w:autoSpaceDE/>
              <w:autoSpaceDN/>
              <w:bidi w:val="0"/>
              <w:adjustRightInd/>
              <w:snapToGrid/>
              <w:spacing w:before="55" w:line="400" w:lineRule="exact"/>
              <w:ind w:left="8"/>
              <w:jc w:val="left"/>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pacing w:val="10"/>
                <w:sz w:val="21"/>
                <w:szCs w:val="21"/>
                <w:highlight w:val="none"/>
                <w:u w:val="none"/>
              </w:rPr>
              <w:t>部门规章与部门发布的规范性文件</w:t>
            </w:r>
          </w:p>
        </w:tc>
        <w:tc>
          <w:tcPr>
            <w:tcW w:w="1404" w:type="pct"/>
            <w:tcBorders>
              <w:tl2br w:val="nil"/>
              <w:tr2bl w:val="nil"/>
            </w:tcBorders>
            <w:noWrap w:val="0"/>
            <w:vAlign w:val="center"/>
          </w:tcPr>
          <w:p w14:paraId="10CB68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c>
          <w:tcPr>
            <w:tcW w:w="617" w:type="pct"/>
            <w:tcBorders>
              <w:tl2br w:val="nil"/>
              <w:tr2bl w:val="nil"/>
            </w:tcBorders>
            <w:noWrap w:val="0"/>
            <w:vAlign w:val="center"/>
          </w:tcPr>
          <w:p w14:paraId="4B6DCE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r>
      <w:tr w14:paraId="0F925A2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C4F3E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2716" w:type="pct"/>
            <w:tcBorders>
              <w:tl2br w:val="nil"/>
              <w:tr2bl w:val="nil"/>
            </w:tcBorders>
            <w:noWrap w:val="0"/>
            <w:vAlign w:val="center"/>
          </w:tcPr>
          <w:p w14:paraId="32D320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建设项目环境影响评价分类管理名录（2021年版）</w:t>
            </w:r>
          </w:p>
        </w:tc>
        <w:tc>
          <w:tcPr>
            <w:tcW w:w="1404" w:type="pct"/>
            <w:tcBorders>
              <w:tl2br w:val="nil"/>
              <w:tr2bl w:val="nil"/>
            </w:tcBorders>
            <w:noWrap w:val="0"/>
            <w:vAlign w:val="center"/>
          </w:tcPr>
          <w:p w14:paraId="2A2F901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生态环境部令第16号</w:t>
            </w:r>
          </w:p>
        </w:tc>
        <w:tc>
          <w:tcPr>
            <w:tcW w:w="617" w:type="pct"/>
            <w:tcBorders>
              <w:tl2br w:val="nil"/>
              <w:tr2bl w:val="nil"/>
            </w:tcBorders>
            <w:noWrap w:val="0"/>
            <w:vAlign w:val="center"/>
          </w:tcPr>
          <w:p w14:paraId="67353C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2021-01-01</w:t>
            </w:r>
          </w:p>
        </w:tc>
      </w:tr>
      <w:tr w14:paraId="594975F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73362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w:t>
            </w:r>
          </w:p>
        </w:tc>
        <w:tc>
          <w:tcPr>
            <w:tcW w:w="2716" w:type="pct"/>
            <w:tcBorders>
              <w:tl2br w:val="nil"/>
              <w:tr2bl w:val="nil"/>
            </w:tcBorders>
            <w:noWrap w:val="0"/>
            <w:vAlign w:val="center"/>
          </w:tcPr>
          <w:p w14:paraId="0B2E1C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环境影响评价公众参与办法</w:t>
            </w:r>
          </w:p>
        </w:tc>
        <w:tc>
          <w:tcPr>
            <w:tcW w:w="1404" w:type="pct"/>
            <w:tcBorders>
              <w:tl2br w:val="nil"/>
              <w:tr2bl w:val="nil"/>
            </w:tcBorders>
            <w:noWrap w:val="0"/>
            <w:vAlign w:val="center"/>
          </w:tcPr>
          <w:p w14:paraId="3DE2AA0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生态环境部令第4号</w:t>
            </w:r>
          </w:p>
        </w:tc>
        <w:tc>
          <w:tcPr>
            <w:tcW w:w="617" w:type="pct"/>
            <w:tcBorders>
              <w:tl2br w:val="nil"/>
              <w:tr2bl w:val="nil"/>
            </w:tcBorders>
            <w:noWrap w:val="0"/>
            <w:vAlign w:val="center"/>
          </w:tcPr>
          <w:p w14:paraId="4842D7D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2019-01-01</w:t>
            </w:r>
          </w:p>
        </w:tc>
      </w:tr>
      <w:tr w14:paraId="2AA85B0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71FF47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w:t>
            </w:r>
          </w:p>
        </w:tc>
        <w:tc>
          <w:tcPr>
            <w:tcW w:w="2716" w:type="pct"/>
            <w:tcBorders>
              <w:tl2br w:val="nil"/>
              <w:tr2bl w:val="nil"/>
            </w:tcBorders>
            <w:noWrap w:val="0"/>
            <w:vAlign w:val="center"/>
          </w:tcPr>
          <w:p w14:paraId="3522FD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国家危险废物名录（2025年版）</w:t>
            </w:r>
          </w:p>
        </w:tc>
        <w:tc>
          <w:tcPr>
            <w:tcW w:w="1404" w:type="pct"/>
            <w:tcBorders>
              <w:tl2br w:val="nil"/>
              <w:tr2bl w:val="nil"/>
            </w:tcBorders>
            <w:noWrap w:val="0"/>
            <w:vAlign w:val="center"/>
          </w:tcPr>
          <w:p w14:paraId="7D13069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生态环境部令第36号</w:t>
            </w:r>
          </w:p>
        </w:tc>
        <w:tc>
          <w:tcPr>
            <w:tcW w:w="617" w:type="pct"/>
            <w:tcBorders>
              <w:tl2br w:val="nil"/>
              <w:tr2bl w:val="nil"/>
            </w:tcBorders>
            <w:noWrap w:val="0"/>
            <w:vAlign w:val="center"/>
          </w:tcPr>
          <w:p w14:paraId="44EEBE8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20</w:t>
            </w:r>
            <w:r>
              <w:rPr>
                <w:rFonts w:hint="eastAsia" w:ascii="宋体" w:hAnsi="宋体" w:eastAsia="宋体" w:cs="宋体"/>
                <w:color w:val="auto"/>
                <w:sz w:val="21"/>
                <w:szCs w:val="21"/>
                <w:highlight w:val="none"/>
                <w:u w:val="none"/>
                <w:lang w:val="en-US" w:eastAsia="zh-CN"/>
              </w:rPr>
              <w:t>25</w:t>
            </w:r>
            <w:r>
              <w:rPr>
                <w:rFonts w:hint="eastAsia" w:ascii="宋体" w:hAnsi="宋体" w:eastAsia="宋体" w:cs="宋体"/>
                <w:color w:val="auto"/>
                <w:sz w:val="21"/>
                <w:szCs w:val="21"/>
                <w:highlight w:val="none"/>
                <w:u w:val="none"/>
              </w:rPr>
              <w:t>-01-01</w:t>
            </w:r>
          </w:p>
        </w:tc>
      </w:tr>
      <w:tr w14:paraId="1C08D72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33740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w:t>
            </w:r>
          </w:p>
        </w:tc>
        <w:tc>
          <w:tcPr>
            <w:tcW w:w="2716" w:type="pct"/>
            <w:tcBorders>
              <w:tl2br w:val="nil"/>
              <w:tr2bl w:val="nil"/>
            </w:tcBorders>
            <w:noWrap w:val="0"/>
            <w:vAlign w:val="center"/>
          </w:tcPr>
          <w:p w14:paraId="3D4AE6D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产业结构调整指导目录（2024年本）</w:t>
            </w:r>
          </w:p>
        </w:tc>
        <w:tc>
          <w:tcPr>
            <w:tcW w:w="1404" w:type="pct"/>
            <w:tcBorders>
              <w:tl2br w:val="nil"/>
              <w:tr2bl w:val="nil"/>
            </w:tcBorders>
            <w:noWrap w:val="0"/>
            <w:vAlign w:val="center"/>
          </w:tcPr>
          <w:p w14:paraId="2E7961B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中华人民共和国国家发展和改革委员会令 第7号</w:t>
            </w:r>
          </w:p>
        </w:tc>
        <w:tc>
          <w:tcPr>
            <w:tcW w:w="617" w:type="pct"/>
            <w:tcBorders>
              <w:tl2br w:val="nil"/>
              <w:tr2bl w:val="nil"/>
            </w:tcBorders>
            <w:noWrap w:val="0"/>
            <w:vAlign w:val="center"/>
          </w:tcPr>
          <w:p w14:paraId="4D5C8BF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2024-02-01</w:t>
            </w:r>
          </w:p>
        </w:tc>
      </w:tr>
      <w:tr w14:paraId="3B9E3F0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E95E8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w:t>
            </w:r>
          </w:p>
        </w:tc>
        <w:tc>
          <w:tcPr>
            <w:tcW w:w="2716" w:type="pct"/>
            <w:tcBorders>
              <w:tl2br w:val="nil"/>
              <w:tr2bl w:val="nil"/>
            </w:tcBorders>
            <w:noWrap w:val="0"/>
            <w:vAlign w:val="center"/>
          </w:tcPr>
          <w:p w14:paraId="092CB4E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国家重点保护野生植物名录（2021年）</w:t>
            </w:r>
          </w:p>
        </w:tc>
        <w:tc>
          <w:tcPr>
            <w:tcW w:w="1404" w:type="pct"/>
            <w:tcBorders>
              <w:tl2br w:val="nil"/>
              <w:tr2bl w:val="nil"/>
            </w:tcBorders>
            <w:noWrap w:val="0"/>
            <w:vAlign w:val="center"/>
          </w:tcPr>
          <w:p w14:paraId="3C3332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国家林业和草原局农业农村部公告2021年第15号</w:t>
            </w:r>
          </w:p>
        </w:tc>
        <w:tc>
          <w:tcPr>
            <w:tcW w:w="617" w:type="pct"/>
            <w:tcBorders>
              <w:tl2br w:val="nil"/>
              <w:tr2bl w:val="nil"/>
            </w:tcBorders>
            <w:noWrap w:val="0"/>
            <w:vAlign w:val="center"/>
          </w:tcPr>
          <w:p w14:paraId="46D919A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2021-09-07</w:t>
            </w:r>
          </w:p>
        </w:tc>
      </w:tr>
      <w:tr w14:paraId="27F6F2D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79169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6</w:t>
            </w:r>
          </w:p>
        </w:tc>
        <w:tc>
          <w:tcPr>
            <w:tcW w:w="2716" w:type="pct"/>
            <w:tcBorders>
              <w:tl2br w:val="nil"/>
              <w:tr2bl w:val="nil"/>
            </w:tcBorders>
            <w:noWrap w:val="0"/>
            <w:vAlign w:val="center"/>
          </w:tcPr>
          <w:p w14:paraId="240C35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国家重点保护野生动物名录（2021）</w:t>
            </w:r>
          </w:p>
        </w:tc>
        <w:tc>
          <w:tcPr>
            <w:tcW w:w="1404" w:type="pct"/>
            <w:tcBorders>
              <w:tl2br w:val="nil"/>
              <w:tr2bl w:val="nil"/>
            </w:tcBorders>
            <w:noWrap w:val="0"/>
            <w:vAlign w:val="center"/>
          </w:tcPr>
          <w:p w14:paraId="13C6BAC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国家林业和草原局农业农村部公告（2021年第3号）</w:t>
            </w:r>
          </w:p>
        </w:tc>
        <w:tc>
          <w:tcPr>
            <w:tcW w:w="617" w:type="pct"/>
            <w:tcBorders>
              <w:tl2br w:val="nil"/>
              <w:tr2bl w:val="nil"/>
            </w:tcBorders>
            <w:noWrap w:val="0"/>
            <w:vAlign w:val="center"/>
          </w:tcPr>
          <w:p w14:paraId="5C13238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2021-02-05</w:t>
            </w:r>
          </w:p>
        </w:tc>
      </w:tr>
      <w:tr w14:paraId="1B51C99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BA8CE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7</w:t>
            </w:r>
          </w:p>
        </w:tc>
        <w:tc>
          <w:tcPr>
            <w:tcW w:w="2716" w:type="pct"/>
            <w:tcBorders>
              <w:tl2br w:val="nil"/>
              <w:tr2bl w:val="nil"/>
            </w:tcBorders>
            <w:noWrap w:val="0"/>
            <w:vAlign w:val="center"/>
          </w:tcPr>
          <w:p w14:paraId="2A03DE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关于印发《企业事业单位突发环境事件应急预案备案管理办法（试行）》的通知</w:t>
            </w:r>
          </w:p>
        </w:tc>
        <w:tc>
          <w:tcPr>
            <w:tcW w:w="1404" w:type="pct"/>
            <w:tcBorders>
              <w:tl2br w:val="nil"/>
              <w:tr2bl w:val="nil"/>
            </w:tcBorders>
            <w:noWrap w:val="0"/>
            <w:vAlign w:val="center"/>
          </w:tcPr>
          <w:p w14:paraId="3F86E15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环发〔2015〕4号</w:t>
            </w:r>
          </w:p>
        </w:tc>
        <w:tc>
          <w:tcPr>
            <w:tcW w:w="617" w:type="pct"/>
            <w:tcBorders>
              <w:tl2br w:val="nil"/>
              <w:tr2bl w:val="nil"/>
            </w:tcBorders>
            <w:noWrap w:val="0"/>
            <w:vAlign w:val="center"/>
          </w:tcPr>
          <w:p w14:paraId="0BE8128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2015-01-08</w:t>
            </w:r>
          </w:p>
        </w:tc>
      </w:tr>
      <w:tr w14:paraId="76A7CB8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1D247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8</w:t>
            </w:r>
          </w:p>
        </w:tc>
        <w:tc>
          <w:tcPr>
            <w:tcW w:w="2716" w:type="pct"/>
            <w:tcBorders>
              <w:tl2br w:val="nil"/>
              <w:tr2bl w:val="nil"/>
            </w:tcBorders>
            <w:noWrap w:val="0"/>
            <w:vAlign w:val="center"/>
          </w:tcPr>
          <w:p w14:paraId="4F5EAE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关于进一步加强环境影响评价管理防范环境风险的通知</w:t>
            </w:r>
          </w:p>
        </w:tc>
        <w:tc>
          <w:tcPr>
            <w:tcW w:w="1404" w:type="pct"/>
            <w:tcBorders>
              <w:tl2br w:val="nil"/>
              <w:tr2bl w:val="nil"/>
            </w:tcBorders>
            <w:noWrap w:val="0"/>
            <w:vAlign w:val="center"/>
          </w:tcPr>
          <w:p w14:paraId="5615494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环发〔2012〕77号</w:t>
            </w:r>
          </w:p>
        </w:tc>
        <w:tc>
          <w:tcPr>
            <w:tcW w:w="617" w:type="pct"/>
            <w:tcBorders>
              <w:tl2br w:val="nil"/>
              <w:tr2bl w:val="nil"/>
            </w:tcBorders>
            <w:noWrap w:val="0"/>
            <w:vAlign w:val="center"/>
          </w:tcPr>
          <w:p w14:paraId="726C2C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2012-07-03</w:t>
            </w:r>
          </w:p>
        </w:tc>
      </w:tr>
      <w:tr w14:paraId="6AE0A46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8C3ED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9</w:t>
            </w:r>
          </w:p>
        </w:tc>
        <w:tc>
          <w:tcPr>
            <w:tcW w:w="2716" w:type="pct"/>
            <w:tcBorders>
              <w:tl2br w:val="nil"/>
              <w:tr2bl w:val="nil"/>
            </w:tcBorders>
            <w:noWrap w:val="0"/>
            <w:vAlign w:val="center"/>
          </w:tcPr>
          <w:p w14:paraId="546E000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关于切实加强风险防范严格环境影响评价管理的通知</w:t>
            </w:r>
          </w:p>
        </w:tc>
        <w:tc>
          <w:tcPr>
            <w:tcW w:w="1404" w:type="pct"/>
            <w:tcBorders>
              <w:tl2br w:val="nil"/>
              <w:tr2bl w:val="nil"/>
            </w:tcBorders>
            <w:noWrap w:val="0"/>
            <w:vAlign w:val="center"/>
          </w:tcPr>
          <w:p w14:paraId="176FDE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环发〔2012〕98号</w:t>
            </w:r>
          </w:p>
        </w:tc>
        <w:tc>
          <w:tcPr>
            <w:tcW w:w="617" w:type="pct"/>
            <w:tcBorders>
              <w:tl2br w:val="nil"/>
              <w:tr2bl w:val="nil"/>
            </w:tcBorders>
            <w:noWrap w:val="0"/>
            <w:vAlign w:val="center"/>
          </w:tcPr>
          <w:p w14:paraId="06B68D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2012-08-07</w:t>
            </w:r>
          </w:p>
        </w:tc>
      </w:tr>
      <w:tr w14:paraId="5DFDFFC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71C609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10</w:t>
            </w:r>
          </w:p>
        </w:tc>
        <w:tc>
          <w:tcPr>
            <w:tcW w:w="2716" w:type="pct"/>
            <w:tcBorders>
              <w:tl2br w:val="nil"/>
              <w:tr2bl w:val="nil"/>
            </w:tcBorders>
            <w:noWrap w:val="0"/>
            <w:vAlign w:val="center"/>
          </w:tcPr>
          <w:p w14:paraId="66F444E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关于加强国家重点生态功能区环境保护和管理的意见</w:t>
            </w:r>
          </w:p>
        </w:tc>
        <w:tc>
          <w:tcPr>
            <w:tcW w:w="1404" w:type="pct"/>
            <w:tcBorders>
              <w:tl2br w:val="nil"/>
              <w:tr2bl w:val="nil"/>
            </w:tcBorders>
            <w:noWrap w:val="0"/>
            <w:vAlign w:val="center"/>
          </w:tcPr>
          <w:p w14:paraId="7FEC361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环发〔2013〕16号</w:t>
            </w:r>
          </w:p>
        </w:tc>
        <w:tc>
          <w:tcPr>
            <w:tcW w:w="617" w:type="pct"/>
            <w:tcBorders>
              <w:tl2br w:val="nil"/>
              <w:tr2bl w:val="nil"/>
            </w:tcBorders>
            <w:noWrap w:val="0"/>
            <w:vAlign w:val="center"/>
          </w:tcPr>
          <w:p w14:paraId="6574D73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2013-01-22</w:t>
            </w:r>
          </w:p>
        </w:tc>
      </w:tr>
      <w:tr w14:paraId="6C65515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4BFEF9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11</w:t>
            </w:r>
          </w:p>
        </w:tc>
        <w:tc>
          <w:tcPr>
            <w:tcW w:w="2716" w:type="pct"/>
            <w:tcBorders>
              <w:tl2br w:val="nil"/>
              <w:tr2bl w:val="nil"/>
            </w:tcBorders>
            <w:noWrap w:val="0"/>
            <w:vAlign w:val="center"/>
          </w:tcPr>
          <w:p w14:paraId="7EDE191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关于强化建设项目环境影响评价事中事后监管的实施意见</w:t>
            </w:r>
          </w:p>
        </w:tc>
        <w:tc>
          <w:tcPr>
            <w:tcW w:w="1404" w:type="pct"/>
            <w:tcBorders>
              <w:tl2br w:val="nil"/>
              <w:tr2bl w:val="nil"/>
            </w:tcBorders>
            <w:noWrap w:val="0"/>
            <w:vAlign w:val="center"/>
          </w:tcPr>
          <w:p w14:paraId="0ACAD40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环环评〔2018〕11号</w:t>
            </w:r>
          </w:p>
        </w:tc>
        <w:tc>
          <w:tcPr>
            <w:tcW w:w="617" w:type="pct"/>
            <w:tcBorders>
              <w:tl2br w:val="nil"/>
              <w:tr2bl w:val="nil"/>
            </w:tcBorders>
            <w:noWrap w:val="0"/>
            <w:vAlign w:val="center"/>
          </w:tcPr>
          <w:p w14:paraId="651CC2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2018-01-25</w:t>
            </w:r>
          </w:p>
        </w:tc>
      </w:tr>
      <w:tr w14:paraId="6B91DB3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4C5EC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12</w:t>
            </w:r>
          </w:p>
        </w:tc>
        <w:tc>
          <w:tcPr>
            <w:tcW w:w="2716" w:type="pct"/>
            <w:tcBorders>
              <w:tl2br w:val="nil"/>
              <w:tr2bl w:val="nil"/>
            </w:tcBorders>
            <w:noWrap w:val="0"/>
            <w:vAlign w:val="center"/>
          </w:tcPr>
          <w:p w14:paraId="4F46151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关于印发地下水污染防治实施方案的通知</w:t>
            </w:r>
          </w:p>
        </w:tc>
        <w:tc>
          <w:tcPr>
            <w:tcW w:w="1404" w:type="pct"/>
            <w:tcBorders>
              <w:tl2br w:val="nil"/>
              <w:tr2bl w:val="nil"/>
            </w:tcBorders>
            <w:noWrap w:val="0"/>
            <w:vAlign w:val="center"/>
          </w:tcPr>
          <w:p w14:paraId="220DBAA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环土壤〔2019〕25号</w:t>
            </w:r>
          </w:p>
        </w:tc>
        <w:tc>
          <w:tcPr>
            <w:tcW w:w="617" w:type="pct"/>
            <w:tcBorders>
              <w:tl2br w:val="nil"/>
              <w:tr2bl w:val="nil"/>
            </w:tcBorders>
            <w:noWrap w:val="0"/>
            <w:vAlign w:val="center"/>
          </w:tcPr>
          <w:p w14:paraId="32210C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2019-03-28</w:t>
            </w:r>
          </w:p>
        </w:tc>
      </w:tr>
      <w:tr w14:paraId="7C0CFF0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07433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13</w:t>
            </w:r>
          </w:p>
        </w:tc>
        <w:tc>
          <w:tcPr>
            <w:tcW w:w="2716" w:type="pct"/>
            <w:tcBorders>
              <w:tl2br w:val="nil"/>
              <w:tr2bl w:val="nil"/>
            </w:tcBorders>
            <w:noWrap w:val="0"/>
            <w:vAlign w:val="center"/>
          </w:tcPr>
          <w:p w14:paraId="12481C8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关于进一步加强石油天然气行业环境影响评价管理的通知</w:t>
            </w:r>
          </w:p>
        </w:tc>
        <w:tc>
          <w:tcPr>
            <w:tcW w:w="1404" w:type="pct"/>
            <w:tcBorders>
              <w:tl2br w:val="nil"/>
              <w:tr2bl w:val="nil"/>
            </w:tcBorders>
            <w:noWrap w:val="0"/>
            <w:vAlign w:val="center"/>
          </w:tcPr>
          <w:p w14:paraId="04FAC71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环办环评函〔2019〕910号</w:t>
            </w:r>
          </w:p>
        </w:tc>
        <w:tc>
          <w:tcPr>
            <w:tcW w:w="617" w:type="pct"/>
            <w:tcBorders>
              <w:tl2br w:val="nil"/>
              <w:tr2bl w:val="nil"/>
            </w:tcBorders>
            <w:noWrap w:val="0"/>
            <w:vAlign w:val="center"/>
          </w:tcPr>
          <w:p w14:paraId="254D996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2019-12-13</w:t>
            </w:r>
          </w:p>
        </w:tc>
      </w:tr>
      <w:tr w14:paraId="442126E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A5686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14</w:t>
            </w:r>
          </w:p>
        </w:tc>
        <w:tc>
          <w:tcPr>
            <w:tcW w:w="2716" w:type="pct"/>
            <w:tcBorders>
              <w:tl2br w:val="nil"/>
              <w:tr2bl w:val="nil"/>
            </w:tcBorders>
            <w:noWrap w:val="0"/>
            <w:vAlign w:val="center"/>
          </w:tcPr>
          <w:p w14:paraId="1E28F7D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挥发性有机物（VOCs）污染防治技术政策</w:t>
            </w:r>
          </w:p>
        </w:tc>
        <w:tc>
          <w:tcPr>
            <w:tcW w:w="1404" w:type="pct"/>
            <w:tcBorders>
              <w:tl2br w:val="nil"/>
              <w:tr2bl w:val="nil"/>
            </w:tcBorders>
            <w:noWrap w:val="0"/>
            <w:vAlign w:val="center"/>
          </w:tcPr>
          <w:p w14:paraId="51A287F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pacing w:val="-6"/>
                <w:sz w:val="21"/>
                <w:szCs w:val="21"/>
                <w:highlight w:val="none"/>
                <w:u w:val="none"/>
                <w:lang w:val="en-US" w:eastAsia="zh-CN"/>
              </w:rPr>
              <w:t>环境保护部公告2013年第31号</w:t>
            </w:r>
          </w:p>
        </w:tc>
        <w:tc>
          <w:tcPr>
            <w:tcW w:w="617" w:type="pct"/>
            <w:tcBorders>
              <w:tl2br w:val="nil"/>
              <w:tr2bl w:val="nil"/>
            </w:tcBorders>
            <w:noWrap w:val="0"/>
            <w:vAlign w:val="center"/>
          </w:tcPr>
          <w:p w14:paraId="33115AF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2013-05-24</w:t>
            </w:r>
          </w:p>
        </w:tc>
      </w:tr>
      <w:tr w14:paraId="21FE37A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36487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15</w:t>
            </w:r>
          </w:p>
        </w:tc>
        <w:tc>
          <w:tcPr>
            <w:tcW w:w="2716" w:type="pct"/>
            <w:tcBorders>
              <w:tl2br w:val="nil"/>
              <w:tr2bl w:val="nil"/>
            </w:tcBorders>
            <w:noWrap w:val="0"/>
            <w:vAlign w:val="center"/>
          </w:tcPr>
          <w:p w14:paraId="3A1101A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排污许可管理条例</w:t>
            </w:r>
          </w:p>
        </w:tc>
        <w:tc>
          <w:tcPr>
            <w:tcW w:w="1404" w:type="pct"/>
            <w:tcBorders>
              <w:tl2br w:val="nil"/>
              <w:tr2bl w:val="nil"/>
            </w:tcBorders>
            <w:noWrap w:val="0"/>
            <w:vAlign w:val="center"/>
          </w:tcPr>
          <w:p w14:paraId="30D8CA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国务院令第736号</w:t>
            </w:r>
          </w:p>
        </w:tc>
        <w:tc>
          <w:tcPr>
            <w:tcW w:w="617" w:type="pct"/>
            <w:tcBorders>
              <w:tl2br w:val="nil"/>
              <w:tr2bl w:val="nil"/>
            </w:tcBorders>
            <w:noWrap w:val="0"/>
            <w:vAlign w:val="center"/>
          </w:tcPr>
          <w:p w14:paraId="767E3DE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2021-03-01</w:t>
            </w:r>
          </w:p>
        </w:tc>
      </w:tr>
      <w:tr w14:paraId="6AA22DC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7370E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16</w:t>
            </w:r>
          </w:p>
        </w:tc>
        <w:tc>
          <w:tcPr>
            <w:tcW w:w="2716" w:type="pct"/>
            <w:tcBorders>
              <w:tl2br w:val="nil"/>
              <w:tr2bl w:val="nil"/>
            </w:tcBorders>
            <w:noWrap w:val="0"/>
            <w:vAlign w:val="center"/>
          </w:tcPr>
          <w:p w14:paraId="17908BB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关于做好环境影响评价制度与排污许可制衔接相关工作的通知</w:t>
            </w:r>
          </w:p>
        </w:tc>
        <w:tc>
          <w:tcPr>
            <w:tcW w:w="1404" w:type="pct"/>
            <w:tcBorders>
              <w:tl2br w:val="nil"/>
              <w:tr2bl w:val="nil"/>
            </w:tcBorders>
            <w:noWrap w:val="0"/>
            <w:vAlign w:val="center"/>
          </w:tcPr>
          <w:p w14:paraId="5DA5F12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环办环评〔2017〕84号</w:t>
            </w:r>
          </w:p>
        </w:tc>
        <w:tc>
          <w:tcPr>
            <w:tcW w:w="617" w:type="pct"/>
            <w:tcBorders>
              <w:tl2br w:val="nil"/>
              <w:tr2bl w:val="nil"/>
            </w:tcBorders>
            <w:noWrap w:val="0"/>
            <w:vAlign w:val="center"/>
          </w:tcPr>
          <w:p w14:paraId="22B9A87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2017-11-14</w:t>
            </w:r>
          </w:p>
        </w:tc>
      </w:tr>
      <w:tr w14:paraId="307D1C2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40B2F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17</w:t>
            </w:r>
          </w:p>
        </w:tc>
        <w:tc>
          <w:tcPr>
            <w:tcW w:w="2716" w:type="pct"/>
            <w:tcBorders>
              <w:tl2br w:val="nil"/>
              <w:tr2bl w:val="nil"/>
            </w:tcBorders>
            <w:noWrap w:val="0"/>
            <w:vAlign w:val="center"/>
          </w:tcPr>
          <w:p w14:paraId="7698F51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关于印发&lt;建设项目环境保护事中事后监督管理办法（试行）&gt;的通知</w:t>
            </w:r>
          </w:p>
        </w:tc>
        <w:tc>
          <w:tcPr>
            <w:tcW w:w="1404" w:type="pct"/>
            <w:tcBorders>
              <w:tl2br w:val="nil"/>
              <w:tr2bl w:val="nil"/>
            </w:tcBorders>
            <w:noWrap w:val="0"/>
            <w:vAlign w:val="center"/>
          </w:tcPr>
          <w:p w14:paraId="39CF86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环发〔2015〕163号</w:t>
            </w:r>
          </w:p>
        </w:tc>
        <w:tc>
          <w:tcPr>
            <w:tcW w:w="617" w:type="pct"/>
            <w:tcBorders>
              <w:tl2br w:val="nil"/>
              <w:tr2bl w:val="nil"/>
            </w:tcBorders>
            <w:noWrap w:val="0"/>
            <w:vAlign w:val="center"/>
          </w:tcPr>
          <w:p w14:paraId="2D12DE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2015-12-10</w:t>
            </w:r>
          </w:p>
        </w:tc>
      </w:tr>
      <w:tr w14:paraId="0BCC73F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72A9F4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18</w:t>
            </w:r>
          </w:p>
        </w:tc>
        <w:tc>
          <w:tcPr>
            <w:tcW w:w="2716" w:type="pct"/>
            <w:tcBorders>
              <w:tl2br w:val="nil"/>
              <w:tr2bl w:val="nil"/>
            </w:tcBorders>
            <w:noWrap w:val="0"/>
            <w:vAlign w:val="center"/>
          </w:tcPr>
          <w:p w14:paraId="0269BBB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关于印发&lt;生态保护红线划定指南&gt;的通知</w:t>
            </w:r>
          </w:p>
        </w:tc>
        <w:tc>
          <w:tcPr>
            <w:tcW w:w="1404" w:type="pct"/>
            <w:tcBorders>
              <w:tl2br w:val="nil"/>
              <w:tr2bl w:val="nil"/>
            </w:tcBorders>
            <w:noWrap w:val="0"/>
            <w:vAlign w:val="center"/>
          </w:tcPr>
          <w:p w14:paraId="6132EE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环办生态〔2017〕48号</w:t>
            </w:r>
          </w:p>
        </w:tc>
        <w:tc>
          <w:tcPr>
            <w:tcW w:w="617" w:type="pct"/>
            <w:tcBorders>
              <w:tl2br w:val="nil"/>
              <w:tr2bl w:val="nil"/>
            </w:tcBorders>
            <w:noWrap w:val="0"/>
            <w:vAlign w:val="center"/>
          </w:tcPr>
          <w:p w14:paraId="2A7C32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2017-05-27</w:t>
            </w:r>
          </w:p>
        </w:tc>
      </w:tr>
      <w:tr w14:paraId="759D811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4DDFF6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19</w:t>
            </w:r>
          </w:p>
        </w:tc>
        <w:tc>
          <w:tcPr>
            <w:tcW w:w="2716" w:type="pct"/>
            <w:tcBorders>
              <w:tl2br w:val="nil"/>
              <w:tr2bl w:val="nil"/>
            </w:tcBorders>
            <w:noWrap w:val="0"/>
            <w:vAlign w:val="center"/>
          </w:tcPr>
          <w:p w14:paraId="17011BA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石油天然气开采业污染防治技术政策</w:t>
            </w:r>
          </w:p>
        </w:tc>
        <w:tc>
          <w:tcPr>
            <w:tcW w:w="1404" w:type="pct"/>
            <w:tcBorders>
              <w:tl2br w:val="nil"/>
              <w:tr2bl w:val="nil"/>
            </w:tcBorders>
            <w:noWrap w:val="0"/>
            <w:vAlign w:val="center"/>
          </w:tcPr>
          <w:p w14:paraId="0A8CD1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环保部公告2012年第18号</w:t>
            </w:r>
          </w:p>
        </w:tc>
        <w:tc>
          <w:tcPr>
            <w:tcW w:w="617" w:type="pct"/>
            <w:tcBorders>
              <w:tl2br w:val="nil"/>
              <w:tr2bl w:val="nil"/>
            </w:tcBorders>
            <w:noWrap w:val="0"/>
            <w:vAlign w:val="center"/>
          </w:tcPr>
          <w:p w14:paraId="2EFC136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2012-03-17</w:t>
            </w:r>
          </w:p>
        </w:tc>
      </w:tr>
      <w:tr w14:paraId="7D67853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40F3C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w:t>
            </w:r>
          </w:p>
        </w:tc>
        <w:tc>
          <w:tcPr>
            <w:tcW w:w="2716" w:type="pct"/>
            <w:tcBorders>
              <w:tl2br w:val="nil"/>
              <w:tr2bl w:val="nil"/>
            </w:tcBorders>
            <w:noWrap w:val="0"/>
            <w:vAlign w:val="center"/>
          </w:tcPr>
          <w:p w14:paraId="55B8747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关于发布《重点监管单位土壤污染隐患排查指南（试行）》的公告</w:t>
            </w:r>
          </w:p>
        </w:tc>
        <w:tc>
          <w:tcPr>
            <w:tcW w:w="1404" w:type="pct"/>
            <w:tcBorders>
              <w:tl2br w:val="nil"/>
              <w:tr2bl w:val="nil"/>
            </w:tcBorders>
            <w:noWrap w:val="0"/>
            <w:vAlign w:val="center"/>
          </w:tcPr>
          <w:p w14:paraId="4125663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rPr>
              <w:t>生态环境部</w:t>
            </w:r>
            <w:r>
              <w:rPr>
                <w:rFonts w:hint="eastAsia" w:ascii="宋体" w:hAnsi="宋体" w:eastAsia="宋体" w:cs="宋体"/>
                <w:color w:val="auto"/>
                <w:sz w:val="21"/>
                <w:szCs w:val="21"/>
                <w:highlight w:val="none"/>
                <w:u w:val="none"/>
                <w:lang w:val="en-US" w:eastAsia="zh-CN"/>
              </w:rPr>
              <w:t>公告</w:t>
            </w:r>
            <w:r>
              <w:rPr>
                <w:rFonts w:hint="eastAsia" w:ascii="宋体" w:hAnsi="宋体" w:eastAsia="宋体" w:cs="宋体"/>
                <w:color w:val="auto"/>
                <w:sz w:val="21"/>
                <w:szCs w:val="21"/>
                <w:highlight w:val="none"/>
                <w:u w:val="none"/>
              </w:rPr>
              <w:t>2021第1号</w:t>
            </w:r>
          </w:p>
        </w:tc>
        <w:tc>
          <w:tcPr>
            <w:tcW w:w="617" w:type="pct"/>
            <w:tcBorders>
              <w:tl2br w:val="nil"/>
              <w:tr2bl w:val="nil"/>
            </w:tcBorders>
            <w:noWrap w:val="0"/>
            <w:vAlign w:val="center"/>
          </w:tcPr>
          <w:p w14:paraId="290048C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2020-01-04</w:t>
            </w:r>
          </w:p>
        </w:tc>
      </w:tr>
      <w:tr w14:paraId="3C42D71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7AF70C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21</w:t>
            </w:r>
          </w:p>
        </w:tc>
        <w:tc>
          <w:tcPr>
            <w:tcW w:w="2716" w:type="pct"/>
            <w:tcBorders>
              <w:tl2br w:val="nil"/>
              <w:tr2bl w:val="nil"/>
            </w:tcBorders>
            <w:noWrap w:val="0"/>
            <w:vAlign w:val="center"/>
          </w:tcPr>
          <w:p w14:paraId="5C5AC9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危险废物环境管理指南 陆上石油天然气开采</w:t>
            </w:r>
          </w:p>
        </w:tc>
        <w:tc>
          <w:tcPr>
            <w:tcW w:w="1404" w:type="pct"/>
            <w:tcBorders>
              <w:tl2br w:val="nil"/>
              <w:tr2bl w:val="nil"/>
            </w:tcBorders>
            <w:noWrap w:val="0"/>
            <w:vAlign w:val="center"/>
          </w:tcPr>
          <w:p w14:paraId="630560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pacing w:val="-6"/>
                <w:sz w:val="21"/>
                <w:szCs w:val="21"/>
                <w:highlight w:val="none"/>
                <w:u w:val="none"/>
                <w:lang w:val="en-US" w:eastAsia="zh-CN"/>
              </w:rPr>
              <w:t>生态环境部公告2021年第74号</w:t>
            </w:r>
          </w:p>
        </w:tc>
        <w:tc>
          <w:tcPr>
            <w:tcW w:w="617" w:type="pct"/>
            <w:tcBorders>
              <w:tl2br w:val="nil"/>
              <w:tr2bl w:val="nil"/>
            </w:tcBorders>
            <w:noWrap w:val="0"/>
            <w:vAlign w:val="center"/>
          </w:tcPr>
          <w:p w14:paraId="5FDC6B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2021-12-22</w:t>
            </w:r>
          </w:p>
        </w:tc>
      </w:tr>
      <w:tr w14:paraId="033E959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E98A7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22</w:t>
            </w:r>
          </w:p>
        </w:tc>
        <w:tc>
          <w:tcPr>
            <w:tcW w:w="2716" w:type="pct"/>
            <w:tcBorders>
              <w:tl2br w:val="nil"/>
              <w:tr2bl w:val="nil"/>
            </w:tcBorders>
            <w:noWrap w:val="0"/>
            <w:vAlign w:val="center"/>
          </w:tcPr>
          <w:p w14:paraId="7E5D494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危险废物转移管理办法</w:t>
            </w:r>
          </w:p>
        </w:tc>
        <w:tc>
          <w:tcPr>
            <w:tcW w:w="1404" w:type="pct"/>
            <w:tcBorders>
              <w:tl2br w:val="nil"/>
              <w:tr2bl w:val="nil"/>
            </w:tcBorders>
            <w:noWrap w:val="0"/>
            <w:vAlign w:val="center"/>
          </w:tcPr>
          <w:p w14:paraId="5CF43C2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生态环境部令第23号</w:t>
            </w:r>
          </w:p>
        </w:tc>
        <w:tc>
          <w:tcPr>
            <w:tcW w:w="617" w:type="pct"/>
            <w:tcBorders>
              <w:tl2br w:val="nil"/>
              <w:tr2bl w:val="nil"/>
            </w:tcBorders>
            <w:noWrap w:val="0"/>
            <w:vAlign w:val="center"/>
          </w:tcPr>
          <w:p w14:paraId="589E43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2022-01-01</w:t>
            </w:r>
          </w:p>
        </w:tc>
      </w:tr>
      <w:tr w14:paraId="1848190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303A1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23</w:t>
            </w:r>
          </w:p>
        </w:tc>
        <w:tc>
          <w:tcPr>
            <w:tcW w:w="2716" w:type="pct"/>
            <w:tcBorders>
              <w:tl2br w:val="nil"/>
              <w:tr2bl w:val="nil"/>
            </w:tcBorders>
            <w:noWrap w:val="0"/>
            <w:vAlign w:val="center"/>
          </w:tcPr>
          <w:p w14:paraId="0080E21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危险废物产生单位管理计划制定指南</w:t>
            </w:r>
          </w:p>
        </w:tc>
        <w:tc>
          <w:tcPr>
            <w:tcW w:w="1404" w:type="pct"/>
            <w:tcBorders>
              <w:tl2br w:val="nil"/>
              <w:tr2bl w:val="nil"/>
            </w:tcBorders>
            <w:noWrap w:val="0"/>
            <w:vAlign w:val="center"/>
          </w:tcPr>
          <w:p w14:paraId="4FD437A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pacing w:val="-6"/>
                <w:sz w:val="21"/>
                <w:szCs w:val="21"/>
                <w:highlight w:val="none"/>
                <w:u w:val="none"/>
                <w:lang w:val="en-US" w:eastAsia="zh-CN" w:bidi="ar-SA"/>
              </w:rPr>
            </w:pPr>
            <w:r>
              <w:rPr>
                <w:rFonts w:hint="eastAsia" w:ascii="宋体" w:hAnsi="宋体" w:eastAsia="宋体" w:cs="宋体"/>
                <w:color w:val="auto"/>
                <w:spacing w:val="-6"/>
                <w:sz w:val="21"/>
                <w:szCs w:val="21"/>
                <w:highlight w:val="none"/>
                <w:u w:val="none"/>
                <w:lang w:val="en-US" w:eastAsia="zh-CN"/>
              </w:rPr>
              <w:t>环境保护部公告〔2016〕第7号</w:t>
            </w:r>
          </w:p>
        </w:tc>
        <w:tc>
          <w:tcPr>
            <w:tcW w:w="617" w:type="pct"/>
            <w:tcBorders>
              <w:tl2br w:val="nil"/>
              <w:tr2bl w:val="nil"/>
            </w:tcBorders>
            <w:noWrap w:val="0"/>
            <w:vAlign w:val="center"/>
          </w:tcPr>
          <w:p w14:paraId="0D4D831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2016-01-26</w:t>
            </w:r>
          </w:p>
        </w:tc>
      </w:tr>
      <w:tr w14:paraId="604015B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B6524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24</w:t>
            </w:r>
          </w:p>
        </w:tc>
        <w:tc>
          <w:tcPr>
            <w:tcW w:w="2716" w:type="pct"/>
            <w:tcBorders>
              <w:tl2br w:val="nil"/>
              <w:tr2bl w:val="nil"/>
            </w:tcBorders>
            <w:noWrap w:val="0"/>
            <w:vAlign w:val="center"/>
          </w:tcPr>
          <w:p w14:paraId="7A37D6E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一般固体废物分类与代码（GB/T39198-2020）</w:t>
            </w:r>
          </w:p>
        </w:tc>
        <w:tc>
          <w:tcPr>
            <w:tcW w:w="1404" w:type="pct"/>
            <w:tcBorders>
              <w:tl2br w:val="nil"/>
              <w:tr2bl w:val="nil"/>
            </w:tcBorders>
            <w:noWrap w:val="0"/>
            <w:vAlign w:val="center"/>
          </w:tcPr>
          <w:p w14:paraId="085713E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国家市场监督管理总局、国家标准委</w:t>
            </w:r>
          </w:p>
        </w:tc>
        <w:tc>
          <w:tcPr>
            <w:tcW w:w="617" w:type="pct"/>
            <w:tcBorders>
              <w:tl2br w:val="nil"/>
              <w:tr2bl w:val="nil"/>
            </w:tcBorders>
            <w:noWrap w:val="0"/>
            <w:vAlign w:val="center"/>
          </w:tcPr>
          <w:p w14:paraId="7ACCE94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2021-05-01</w:t>
            </w:r>
          </w:p>
        </w:tc>
      </w:tr>
      <w:tr w14:paraId="5EBE0FE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11A0F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25</w:t>
            </w:r>
          </w:p>
        </w:tc>
        <w:tc>
          <w:tcPr>
            <w:tcW w:w="2716" w:type="pct"/>
            <w:tcBorders>
              <w:tl2br w:val="nil"/>
              <w:tr2bl w:val="nil"/>
            </w:tcBorders>
            <w:noWrap w:val="0"/>
            <w:vAlign w:val="center"/>
          </w:tcPr>
          <w:p w14:paraId="7C583B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关于发布《一般工业固体废物管理台账制定指南（试行）》的公告</w:t>
            </w:r>
          </w:p>
        </w:tc>
        <w:tc>
          <w:tcPr>
            <w:tcW w:w="1404" w:type="pct"/>
            <w:tcBorders>
              <w:tl2br w:val="nil"/>
              <w:tr2bl w:val="nil"/>
            </w:tcBorders>
            <w:noWrap w:val="0"/>
            <w:vAlign w:val="center"/>
          </w:tcPr>
          <w:p w14:paraId="7F1E269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pacing w:val="-6"/>
                <w:sz w:val="21"/>
                <w:szCs w:val="21"/>
                <w:highlight w:val="none"/>
                <w:u w:val="none"/>
                <w:lang w:val="en-US" w:eastAsia="zh-CN"/>
              </w:rPr>
              <w:t>生态环境部公告2021年第82号</w:t>
            </w:r>
          </w:p>
        </w:tc>
        <w:tc>
          <w:tcPr>
            <w:tcW w:w="617" w:type="pct"/>
            <w:tcBorders>
              <w:tl2br w:val="nil"/>
              <w:tr2bl w:val="nil"/>
            </w:tcBorders>
            <w:noWrap w:val="0"/>
            <w:vAlign w:val="center"/>
          </w:tcPr>
          <w:p w14:paraId="1CBCB3B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2021-12-30</w:t>
            </w:r>
          </w:p>
        </w:tc>
      </w:tr>
      <w:tr w14:paraId="6DABD4D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10194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26</w:t>
            </w:r>
          </w:p>
        </w:tc>
        <w:tc>
          <w:tcPr>
            <w:tcW w:w="2716" w:type="pct"/>
            <w:tcBorders>
              <w:tl2br w:val="nil"/>
              <w:tr2bl w:val="nil"/>
            </w:tcBorders>
            <w:noWrap w:val="0"/>
            <w:vAlign w:val="center"/>
          </w:tcPr>
          <w:p w14:paraId="3D48AF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自然资源部关于规范临时用地管理的通知</w:t>
            </w:r>
          </w:p>
        </w:tc>
        <w:tc>
          <w:tcPr>
            <w:tcW w:w="1404" w:type="pct"/>
            <w:tcBorders>
              <w:tl2br w:val="nil"/>
              <w:tr2bl w:val="nil"/>
            </w:tcBorders>
            <w:noWrap w:val="0"/>
            <w:vAlign w:val="center"/>
          </w:tcPr>
          <w:p w14:paraId="57F4AB3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自然资规〔2021〕2号</w:t>
            </w:r>
          </w:p>
        </w:tc>
        <w:tc>
          <w:tcPr>
            <w:tcW w:w="617" w:type="pct"/>
            <w:tcBorders>
              <w:tl2br w:val="nil"/>
              <w:tr2bl w:val="nil"/>
            </w:tcBorders>
            <w:noWrap w:val="0"/>
            <w:vAlign w:val="center"/>
          </w:tcPr>
          <w:p w14:paraId="3B7B969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2021-11-04</w:t>
            </w:r>
          </w:p>
        </w:tc>
      </w:tr>
      <w:tr w14:paraId="18CBF88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72A2C2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27</w:t>
            </w:r>
          </w:p>
        </w:tc>
        <w:tc>
          <w:tcPr>
            <w:tcW w:w="2716" w:type="pct"/>
            <w:tcBorders>
              <w:tl2br w:val="nil"/>
              <w:tr2bl w:val="nil"/>
            </w:tcBorders>
            <w:noWrap w:val="0"/>
            <w:vAlign w:val="center"/>
          </w:tcPr>
          <w:p w14:paraId="264F892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企业环境信息依法披露管理办法</w:t>
            </w:r>
          </w:p>
        </w:tc>
        <w:tc>
          <w:tcPr>
            <w:tcW w:w="1404" w:type="pct"/>
            <w:tcBorders>
              <w:tl2br w:val="nil"/>
              <w:tr2bl w:val="nil"/>
            </w:tcBorders>
            <w:noWrap w:val="0"/>
            <w:vAlign w:val="center"/>
          </w:tcPr>
          <w:p w14:paraId="7BCC08B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部令第24号</w:t>
            </w:r>
          </w:p>
        </w:tc>
        <w:tc>
          <w:tcPr>
            <w:tcW w:w="617" w:type="pct"/>
            <w:tcBorders>
              <w:tl2br w:val="nil"/>
              <w:tr2bl w:val="nil"/>
            </w:tcBorders>
            <w:noWrap w:val="0"/>
            <w:vAlign w:val="center"/>
          </w:tcPr>
          <w:p w14:paraId="597083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2022-02-08</w:t>
            </w:r>
          </w:p>
        </w:tc>
      </w:tr>
      <w:tr w14:paraId="355DDD6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823D0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28</w:t>
            </w:r>
          </w:p>
        </w:tc>
        <w:tc>
          <w:tcPr>
            <w:tcW w:w="2716" w:type="pct"/>
            <w:tcBorders>
              <w:tl2br w:val="nil"/>
              <w:tr2bl w:val="nil"/>
            </w:tcBorders>
            <w:noWrap w:val="0"/>
            <w:vAlign w:val="center"/>
          </w:tcPr>
          <w:p w14:paraId="493F36F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危险废物经营许可证管理办法（2016修订）</w:t>
            </w:r>
          </w:p>
        </w:tc>
        <w:tc>
          <w:tcPr>
            <w:tcW w:w="1404" w:type="pct"/>
            <w:tcBorders>
              <w:tl2br w:val="nil"/>
              <w:tr2bl w:val="nil"/>
            </w:tcBorders>
            <w:noWrap w:val="0"/>
            <w:vAlign w:val="center"/>
          </w:tcPr>
          <w:p w14:paraId="0DA702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国务院令第666号</w:t>
            </w:r>
          </w:p>
        </w:tc>
        <w:tc>
          <w:tcPr>
            <w:tcW w:w="617" w:type="pct"/>
            <w:tcBorders>
              <w:tl2br w:val="nil"/>
              <w:tr2bl w:val="nil"/>
            </w:tcBorders>
            <w:noWrap w:val="0"/>
            <w:vAlign w:val="center"/>
          </w:tcPr>
          <w:p w14:paraId="2160B9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2016-02-16</w:t>
            </w:r>
          </w:p>
        </w:tc>
      </w:tr>
      <w:tr w14:paraId="419CAA9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A7482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29</w:t>
            </w:r>
          </w:p>
        </w:tc>
        <w:tc>
          <w:tcPr>
            <w:tcW w:w="2716" w:type="pct"/>
            <w:tcBorders>
              <w:tl2br w:val="nil"/>
              <w:tr2bl w:val="nil"/>
            </w:tcBorders>
            <w:noWrap w:val="0"/>
            <w:vAlign w:val="center"/>
          </w:tcPr>
          <w:p w14:paraId="6AFC3AB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关于加快解决当前挥发性有机物治理突出问题的通知</w:t>
            </w:r>
          </w:p>
        </w:tc>
        <w:tc>
          <w:tcPr>
            <w:tcW w:w="1404" w:type="pct"/>
            <w:tcBorders>
              <w:tl2br w:val="nil"/>
              <w:tr2bl w:val="nil"/>
            </w:tcBorders>
            <w:noWrap w:val="0"/>
            <w:vAlign w:val="center"/>
          </w:tcPr>
          <w:p w14:paraId="6358EB8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环大气〔2021〕65号</w:t>
            </w:r>
          </w:p>
        </w:tc>
        <w:tc>
          <w:tcPr>
            <w:tcW w:w="617" w:type="pct"/>
            <w:tcBorders>
              <w:tl2br w:val="nil"/>
              <w:tr2bl w:val="nil"/>
            </w:tcBorders>
            <w:noWrap w:val="0"/>
            <w:vAlign w:val="center"/>
          </w:tcPr>
          <w:p w14:paraId="6F1433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2021-08-04</w:t>
            </w:r>
          </w:p>
        </w:tc>
      </w:tr>
      <w:tr w14:paraId="3F806D3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FFB4C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30</w:t>
            </w:r>
          </w:p>
        </w:tc>
        <w:tc>
          <w:tcPr>
            <w:tcW w:w="2716" w:type="pct"/>
            <w:tcBorders>
              <w:tl2br w:val="nil"/>
              <w:tr2bl w:val="nil"/>
            </w:tcBorders>
            <w:noWrap w:val="0"/>
            <w:vAlign w:val="center"/>
          </w:tcPr>
          <w:p w14:paraId="6EA41F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石油和天然气开采行业清洁生产评价体系指标（试行）</w:t>
            </w:r>
          </w:p>
        </w:tc>
        <w:tc>
          <w:tcPr>
            <w:tcW w:w="1404" w:type="pct"/>
            <w:tcBorders>
              <w:tl2br w:val="nil"/>
              <w:tr2bl w:val="nil"/>
            </w:tcBorders>
            <w:noWrap w:val="0"/>
            <w:vAlign w:val="center"/>
          </w:tcPr>
          <w:p w14:paraId="414FD4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发改委公告2009年第3号</w:t>
            </w:r>
          </w:p>
        </w:tc>
        <w:tc>
          <w:tcPr>
            <w:tcW w:w="617" w:type="pct"/>
            <w:tcBorders>
              <w:tl2br w:val="nil"/>
              <w:tr2bl w:val="nil"/>
            </w:tcBorders>
            <w:noWrap w:val="0"/>
            <w:vAlign w:val="center"/>
          </w:tcPr>
          <w:p w14:paraId="4C0285B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2009-02-19</w:t>
            </w:r>
          </w:p>
        </w:tc>
      </w:tr>
      <w:tr w14:paraId="366361E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986E5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w:t>
            </w:r>
          </w:p>
        </w:tc>
        <w:tc>
          <w:tcPr>
            <w:tcW w:w="2716" w:type="pct"/>
            <w:tcBorders>
              <w:tl2br w:val="nil"/>
              <w:tr2bl w:val="nil"/>
            </w:tcBorders>
            <w:noWrap w:val="0"/>
            <w:vAlign w:val="center"/>
          </w:tcPr>
          <w:p w14:paraId="4BE323B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危险废物排除管理清单</w:t>
            </w:r>
          </w:p>
        </w:tc>
        <w:tc>
          <w:tcPr>
            <w:tcW w:w="1404" w:type="pct"/>
            <w:tcBorders>
              <w:tl2br w:val="nil"/>
              <w:tr2bl w:val="nil"/>
            </w:tcBorders>
            <w:noWrap w:val="0"/>
            <w:vAlign w:val="center"/>
          </w:tcPr>
          <w:p w14:paraId="3CB12F7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公告2021年第66号</w:t>
            </w:r>
          </w:p>
        </w:tc>
        <w:tc>
          <w:tcPr>
            <w:tcW w:w="617" w:type="pct"/>
            <w:tcBorders>
              <w:tl2br w:val="nil"/>
              <w:tr2bl w:val="nil"/>
            </w:tcBorders>
            <w:noWrap w:val="0"/>
            <w:vAlign w:val="center"/>
          </w:tcPr>
          <w:p w14:paraId="323B22B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2021-12-03</w:t>
            </w:r>
          </w:p>
        </w:tc>
      </w:tr>
      <w:tr w14:paraId="523658E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3F803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32</w:t>
            </w:r>
          </w:p>
        </w:tc>
        <w:tc>
          <w:tcPr>
            <w:tcW w:w="2716" w:type="pct"/>
            <w:tcBorders>
              <w:tl2br w:val="nil"/>
              <w:tr2bl w:val="nil"/>
            </w:tcBorders>
            <w:noWrap w:val="0"/>
            <w:vAlign w:val="center"/>
          </w:tcPr>
          <w:p w14:paraId="07B7DA7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固体废物分类与代码目录</w:t>
            </w:r>
          </w:p>
        </w:tc>
        <w:tc>
          <w:tcPr>
            <w:tcW w:w="1404" w:type="pct"/>
            <w:tcBorders>
              <w:tl2br w:val="nil"/>
              <w:tr2bl w:val="nil"/>
            </w:tcBorders>
            <w:noWrap w:val="0"/>
            <w:vAlign w:val="center"/>
          </w:tcPr>
          <w:p w14:paraId="1B4D79D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公告2024年第4号</w:t>
            </w:r>
          </w:p>
        </w:tc>
        <w:tc>
          <w:tcPr>
            <w:tcW w:w="617" w:type="pct"/>
            <w:tcBorders>
              <w:tl2br w:val="nil"/>
              <w:tr2bl w:val="nil"/>
            </w:tcBorders>
            <w:noWrap w:val="0"/>
            <w:vAlign w:val="center"/>
          </w:tcPr>
          <w:p w14:paraId="5D59AD4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2024-01-22</w:t>
            </w:r>
          </w:p>
        </w:tc>
      </w:tr>
      <w:tr w14:paraId="77FB5C4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46301D23">
            <w:pPr>
              <w:keepNext w:val="0"/>
              <w:keepLines w:val="0"/>
              <w:pageBreakBefore w:val="0"/>
              <w:widowControl w:val="0"/>
              <w:kinsoku/>
              <w:wordWrap/>
              <w:overflowPunct/>
              <w:topLinePunct w:val="0"/>
              <w:autoSpaceDE/>
              <w:autoSpaceDN/>
              <w:bidi w:val="0"/>
              <w:adjustRightInd/>
              <w:snapToGrid/>
              <w:spacing w:before="58" w:line="400" w:lineRule="exact"/>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四</w:t>
            </w:r>
          </w:p>
        </w:tc>
        <w:tc>
          <w:tcPr>
            <w:tcW w:w="2716" w:type="pct"/>
            <w:tcBorders>
              <w:tl2br w:val="nil"/>
              <w:tr2bl w:val="nil"/>
            </w:tcBorders>
            <w:noWrap w:val="0"/>
            <w:vAlign w:val="center"/>
          </w:tcPr>
          <w:p w14:paraId="053E56CE">
            <w:pPr>
              <w:keepNext w:val="0"/>
              <w:keepLines w:val="0"/>
              <w:pageBreakBefore w:val="0"/>
              <w:widowControl w:val="0"/>
              <w:kinsoku/>
              <w:wordWrap/>
              <w:overflowPunct/>
              <w:topLinePunct w:val="0"/>
              <w:autoSpaceDE/>
              <w:autoSpaceDN/>
              <w:bidi w:val="0"/>
              <w:adjustRightInd/>
              <w:snapToGrid/>
              <w:spacing w:before="58" w:line="400" w:lineRule="exact"/>
              <w:ind w:left="6"/>
              <w:jc w:val="left"/>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pacing w:val="14"/>
                <w:sz w:val="21"/>
                <w:szCs w:val="21"/>
                <w:highlight w:val="none"/>
                <w:u w:val="none"/>
              </w:rPr>
              <w:t>地</w:t>
            </w:r>
            <w:r>
              <w:rPr>
                <w:rFonts w:hint="eastAsia" w:ascii="宋体" w:hAnsi="宋体" w:eastAsia="宋体" w:cs="宋体"/>
                <w:b/>
                <w:bCs/>
                <w:color w:val="auto"/>
                <w:spacing w:val="9"/>
                <w:sz w:val="21"/>
                <w:szCs w:val="21"/>
                <w:highlight w:val="none"/>
                <w:u w:val="none"/>
              </w:rPr>
              <w:t>方性法规及通知</w:t>
            </w:r>
          </w:p>
        </w:tc>
        <w:tc>
          <w:tcPr>
            <w:tcW w:w="1404" w:type="pct"/>
            <w:tcBorders>
              <w:tl2br w:val="nil"/>
              <w:tr2bl w:val="nil"/>
            </w:tcBorders>
            <w:noWrap w:val="0"/>
            <w:vAlign w:val="center"/>
          </w:tcPr>
          <w:p w14:paraId="3474CE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c>
          <w:tcPr>
            <w:tcW w:w="617" w:type="pct"/>
            <w:tcBorders>
              <w:tl2br w:val="nil"/>
              <w:tr2bl w:val="nil"/>
            </w:tcBorders>
            <w:noWrap w:val="0"/>
            <w:vAlign w:val="center"/>
          </w:tcPr>
          <w:p w14:paraId="5ED026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r>
      <w:tr w14:paraId="75219A0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A20C4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2716" w:type="pct"/>
            <w:tcBorders>
              <w:tl2br w:val="nil"/>
              <w:tr2bl w:val="nil"/>
            </w:tcBorders>
            <w:noWrap w:val="0"/>
            <w:vAlign w:val="center"/>
          </w:tcPr>
          <w:p w14:paraId="41E096C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新疆维吾尔自治区环境保护条例（2018年修正）</w:t>
            </w:r>
          </w:p>
        </w:tc>
        <w:tc>
          <w:tcPr>
            <w:tcW w:w="1404" w:type="pct"/>
            <w:tcBorders>
              <w:tl2br w:val="nil"/>
              <w:tr2bl w:val="nil"/>
            </w:tcBorders>
            <w:noWrap w:val="0"/>
            <w:vAlign w:val="center"/>
          </w:tcPr>
          <w:p w14:paraId="1AAB85A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13届人大第6次会议</w:t>
            </w:r>
          </w:p>
        </w:tc>
        <w:tc>
          <w:tcPr>
            <w:tcW w:w="617" w:type="pct"/>
            <w:tcBorders>
              <w:tl2br w:val="nil"/>
              <w:tr2bl w:val="nil"/>
            </w:tcBorders>
            <w:noWrap w:val="0"/>
            <w:vAlign w:val="center"/>
          </w:tcPr>
          <w:p w14:paraId="2717B8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2018-09-21</w:t>
            </w:r>
          </w:p>
        </w:tc>
      </w:tr>
      <w:tr w14:paraId="5B36020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6EDC8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w:t>
            </w:r>
          </w:p>
        </w:tc>
        <w:tc>
          <w:tcPr>
            <w:tcW w:w="2716" w:type="pct"/>
            <w:tcBorders>
              <w:tl2br w:val="nil"/>
              <w:tr2bl w:val="nil"/>
            </w:tcBorders>
            <w:noWrap w:val="0"/>
            <w:vAlign w:val="center"/>
          </w:tcPr>
          <w:p w14:paraId="2ECBE64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新疆维吾尔自治区野生植物保护条例（2018年修订）</w:t>
            </w:r>
          </w:p>
        </w:tc>
        <w:tc>
          <w:tcPr>
            <w:tcW w:w="1404" w:type="pct"/>
            <w:tcBorders>
              <w:tl2br w:val="nil"/>
              <w:tr2bl w:val="nil"/>
            </w:tcBorders>
            <w:noWrap w:val="0"/>
            <w:vAlign w:val="center"/>
          </w:tcPr>
          <w:p w14:paraId="5DE7D13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13届人大第6次会议</w:t>
            </w:r>
          </w:p>
        </w:tc>
        <w:tc>
          <w:tcPr>
            <w:tcW w:w="617" w:type="pct"/>
            <w:tcBorders>
              <w:tl2br w:val="nil"/>
              <w:tr2bl w:val="nil"/>
            </w:tcBorders>
            <w:noWrap w:val="0"/>
            <w:vAlign w:val="center"/>
          </w:tcPr>
          <w:p w14:paraId="4F594C7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2018-09-21</w:t>
            </w:r>
          </w:p>
        </w:tc>
      </w:tr>
      <w:tr w14:paraId="377E663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41DECD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w:t>
            </w:r>
          </w:p>
        </w:tc>
        <w:tc>
          <w:tcPr>
            <w:tcW w:w="2716" w:type="pct"/>
            <w:tcBorders>
              <w:tl2br w:val="nil"/>
              <w:tr2bl w:val="nil"/>
            </w:tcBorders>
            <w:noWrap w:val="0"/>
            <w:vAlign w:val="center"/>
          </w:tcPr>
          <w:p w14:paraId="5BD6327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关于印发《新疆国家重点保护野生植物名录》的通知</w:t>
            </w:r>
          </w:p>
        </w:tc>
        <w:tc>
          <w:tcPr>
            <w:tcW w:w="1404" w:type="pct"/>
            <w:tcBorders>
              <w:tl2br w:val="nil"/>
              <w:tr2bl w:val="nil"/>
            </w:tcBorders>
            <w:noWrap w:val="0"/>
            <w:vAlign w:val="center"/>
          </w:tcPr>
          <w:p w14:paraId="37D7B99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新林护字〔2022〕8号</w:t>
            </w:r>
          </w:p>
        </w:tc>
        <w:tc>
          <w:tcPr>
            <w:tcW w:w="617" w:type="pct"/>
            <w:tcBorders>
              <w:tl2br w:val="nil"/>
              <w:tr2bl w:val="nil"/>
            </w:tcBorders>
            <w:noWrap w:val="0"/>
            <w:vAlign w:val="center"/>
          </w:tcPr>
          <w:p w14:paraId="478C4B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2022-03-08</w:t>
            </w:r>
          </w:p>
        </w:tc>
      </w:tr>
      <w:tr w14:paraId="099CAFD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A5181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w:t>
            </w:r>
          </w:p>
        </w:tc>
        <w:tc>
          <w:tcPr>
            <w:tcW w:w="2716" w:type="pct"/>
            <w:tcBorders>
              <w:tl2br w:val="nil"/>
              <w:tr2bl w:val="nil"/>
            </w:tcBorders>
            <w:noWrap w:val="0"/>
            <w:vAlign w:val="center"/>
          </w:tcPr>
          <w:p w14:paraId="4ACA2DF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新疆国家重点保护野生动物名录</w:t>
            </w:r>
          </w:p>
        </w:tc>
        <w:tc>
          <w:tcPr>
            <w:tcW w:w="1404" w:type="pct"/>
            <w:tcBorders>
              <w:tl2br w:val="nil"/>
              <w:tr2bl w:val="nil"/>
            </w:tcBorders>
            <w:noWrap w:val="0"/>
            <w:vAlign w:val="center"/>
          </w:tcPr>
          <w:p w14:paraId="3790B3A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w:t>
            </w:r>
          </w:p>
        </w:tc>
        <w:tc>
          <w:tcPr>
            <w:tcW w:w="617" w:type="pct"/>
            <w:tcBorders>
              <w:tl2br w:val="nil"/>
              <w:tr2bl w:val="nil"/>
            </w:tcBorders>
            <w:noWrap w:val="0"/>
            <w:vAlign w:val="center"/>
          </w:tcPr>
          <w:p w14:paraId="458E03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2021-07-28</w:t>
            </w:r>
          </w:p>
        </w:tc>
      </w:tr>
      <w:tr w14:paraId="3BB23E5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49C66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w:t>
            </w:r>
          </w:p>
        </w:tc>
        <w:tc>
          <w:tcPr>
            <w:tcW w:w="2716" w:type="pct"/>
            <w:tcBorders>
              <w:tl2br w:val="nil"/>
              <w:tr2bl w:val="nil"/>
            </w:tcBorders>
            <w:noWrap w:val="0"/>
            <w:vAlign w:val="center"/>
          </w:tcPr>
          <w:p w14:paraId="07CF12B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关于印发新疆 自治区级水土流失重点预防区和重点治理区复核划分成果的通知</w:t>
            </w:r>
          </w:p>
        </w:tc>
        <w:tc>
          <w:tcPr>
            <w:tcW w:w="1404" w:type="pct"/>
            <w:tcBorders>
              <w:tl2br w:val="nil"/>
              <w:tr2bl w:val="nil"/>
            </w:tcBorders>
            <w:noWrap w:val="0"/>
            <w:vAlign w:val="center"/>
          </w:tcPr>
          <w:p w14:paraId="1F15E66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新水水保〔2019〕4号</w:t>
            </w:r>
          </w:p>
        </w:tc>
        <w:tc>
          <w:tcPr>
            <w:tcW w:w="617" w:type="pct"/>
            <w:tcBorders>
              <w:tl2br w:val="nil"/>
              <w:tr2bl w:val="nil"/>
            </w:tcBorders>
            <w:noWrap w:val="0"/>
            <w:vAlign w:val="center"/>
          </w:tcPr>
          <w:p w14:paraId="576F69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2019-01-21</w:t>
            </w:r>
          </w:p>
        </w:tc>
      </w:tr>
      <w:tr w14:paraId="373A65E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7F0C93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6</w:t>
            </w:r>
          </w:p>
        </w:tc>
        <w:tc>
          <w:tcPr>
            <w:tcW w:w="2716" w:type="pct"/>
            <w:tcBorders>
              <w:tl2br w:val="nil"/>
              <w:tr2bl w:val="nil"/>
            </w:tcBorders>
            <w:noWrap w:val="0"/>
            <w:vAlign w:val="center"/>
          </w:tcPr>
          <w:p w14:paraId="55D7D0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新疆维吾尔自治区水环境功能区划</w:t>
            </w:r>
          </w:p>
        </w:tc>
        <w:tc>
          <w:tcPr>
            <w:tcW w:w="1404" w:type="pct"/>
            <w:tcBorders>
              <w:tl2br w:val="nil"/>
              <w:tr2bl w:val="nil"/>
            </w:tcBorders>
            <w:noWrap w:val="0"/>
            <w:vAlign w:val="center"/>
          </w:tcPr>
          <w:p w14:paraId="415CD6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新政函〔2002〕194号</w:t>
            </w:r>
          </w:p>
        </w:tc>
        <w:tc>
          <w:tcPr>
            <w:tcW w:w="617" w:type="pct"/>
            <w:tcBorders>
              <w:tl2br w:val="nil"/>
              <w:tr2bl w:val="nil"/>
            </w:tcBorders>
            <w:noWrap w:val="0"/>
            <w:vAlign w:val="center"/>
          </w:tcPr>
          <w:p w14:paraId="2662C70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2002-11-16</w:t>
            </w:r>
          </w:p>
        </w:tc>
      </w:tr>
      <w:tr w14:paraId="2B4A76C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959FE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7</w:t>
            </w:r>
          </w:p>
        </w:tc>
        <w:tc>
          <w:tcPr>
            <w:tcW w:w="2716" w:type="pct"/>
            <w:tcBorders>
              <w:tl2br w:val="nil"/>
              <w:tr2bl w:val="nil"/>
            </w:tcBorders>
            <w:noWrap w:val="0"/>
            <w:vAlign w:val="center"/>
          </w:tcPr>
          <w:p w14:paraId="2147D03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新疆生态功能区划</w:t>
            </w:r>
          </w:p>
        </w:tc>
        <w:tc>
          <w:tcPr>
            <w:tcW w:w="1404" w:type="pct"/>
            <w:tcBorders>
              <w:tl2br w:val="nil"/>
              <w:tr2bl w:val="nil"/>
            </w:tcBorders>
            <w:noWrap w:val="0"/>
            <w:vAlign w:val="center"/>
          </w:tcPr>
          <w:p w14:paraId="16B38A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新政函〔2005〕96号</w:t>
            </w:r>
          </w:p>
        </w:tc>
        <w:tc>
          <w:tcPr>
            <w:tcW w:w="617" w:type="pct"/>
            <w:tcBorders>
              <w:tl2br w:val="nil"/>
              <w:tr2bl w:val="nil"/>
            </w:tcBorders>
            <w:noWrap w:val="0"/>
            <w:vAlign w:val="center"/>
          </w:tcPr>
          <w:p w14:paraId="73B8D4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2005-07-14</w:t>
            </w:r>
          </w:p>
        </w:tc>
      </w:tr>
      <w:tr w14:paraId="564A65C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00B7C6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8</w:t>
            </w:r>
          </w:p>
        </w:tc>
        <w:tc>
          <w:tcPr>
            <w:tcW w:w="2716" w:type="pct"/>
            <w:tcBorders>
              <w:tl2br w:val="nil"/>
              <w:tr2bl w:val="nil"/>
            </w:tcBorders>
            <w:noWrap w:val="0"/>
            <w:vAlign w:val="center"/>
          </w:tcPr>
          <w:p w14:paraId="7ED952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关于做好危险废物安全处置工作的通知</w:t>
            </w:r>
          </w:p>
        </w:tc>
        <w:tc>
          <w:tcPr>
            <w:tcW w:w="1404" w:type="pct"/>
            <w:tcBorders>
              <w:tl2br w:val="nil"/>
              <w:tr2bl w:val="nil"/>
            </w:tcBorders>
            <w:noWrap w:val="0"/>
            <w:vAlign w:val="center"/>
          </w:tcPr>
          <w:p w14:paraId="3AFF45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新环防发〔2011〕389号</w:t>
            </w:r>
          </w:p>
        </w:tc>
        <w:tc>
          <w:tcPr>
            <w:tcW w:w="617" w:type="pct"/>
            <w:tcBorders>
              <w:tl2br w:val="nil"/>
              <w:tr2bl w:val="nil"/>
            </w:tcBorders>
            <w:noWrap w:val="0"/>
            <w:vAlign w:val="center"/>
          </w:tcPr>
          <w:p w14:paraId="0E65FE4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2011-07-29</w:t>
            </w:r>
          </w:p>
        </w:tc>
      </w:tr>
      <w:tr w14:paraId="62ACD61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00563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9</w:t>
            </w:r>
          </w:p>
        </w:tc>
        <w:tc>
          <w:tcPr>
            <w:tcW w:w="2716" w:type="pct"/>
            <w:tcBorders>
              <w:tl2br w:val="nil"/>
              <w:tr2bl w:val="nil"/>
            </w:tcBorders>
            <w:noWrap w:val="0"/>
            <w:vAlign w:val="center"/>
          </w:tcPr>
          <w:p w14:paraId="6E5EAD9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关于印发新疆维吾尔自治区大气污染防治行动计划实施方案的通知</w:t>
            </w:r>
          </w:p>
        </w:tc>
        <w:tc>
          <w:tcPr>
            <w:tcW w:w="1404" w:type="pct"/>
            <w:tcBorders>
              <w:tl2br w:val="nil"/>
              <w:tr2bl w:val="nil"/>
            </w:tcBorders>
            <w:noWrap w:val="0"/>
            <w:vAlign w:val="center"/>
          </w:tcPr>
          <w:p w14:paraId="41A5ECF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新政发〔2014〕35号</w:t>
            </w:r>
          </w:p>
        </w:tc>
        <w:tc>
          <w:tcPr>
            <w:tcW w:w="617" w:type="pct"/>
            <w:tcBorders>
              <w:tl2br w:val="nil"/>
              <w:tr2bl w:val="nil"/>
            </w:tcBorders>
            <w:noWrap w:val="0"/>
            <w:vAlign w:val="center"/>
          </w:tcPr>
          <w:p w14:paraId="635FFD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2014-04-17</w:t>
            </w:r>
          </w:p>
        </w:tc>
      </w:tr>
      <w:tr w14:paraId="0E2E623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AE1E2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10</w:t>
            </w:r>
          </w:p>
        </w:tc>
        <w:tc>
          <w:tcPr>
            <w:tcW w:w="2716" w:type="pct"/>
            <w:tcBorders>
              <w:tl2br w:val="nil"/>
              <w:tr2bl w:val="nil"/>
            </w:tcBorders>
            <w:noWrap w:val="0"/>
            <w:vAlign w:val="center"/>
          </w:tcPr>
          <w:p w14:paraId="3AC909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关于印发新疆维吾尔自治区水污染防治工作方案的通知</w:t>
            </w:r>
          </w:p>
        </w:tc>
        <w:tc>
          <w:tcPr>
            <w:tcW w:w="1404" w:type="pct"/>
            <w:tcBorders>
              <w:tl2br w:val="nil"/>
              <w:tr2bl w:val="nil"/>
            </w:tcBorders>
            <w:noWrap w:val="0"/>
            <w:vAlign w:val="center"/>
          </w:tcPr>
          <w:p w14:paraId="3C78E7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新政发〔2016〕21号</w:t>
            </w:r>
          </w:p>
        </w:tc>
        <w:tc>
          <w:tcPr>
            <w:tcW w:w="617" w:type="pct"/>
            <w:tcBorders>
              <w:tl2br w:val="nil"/>
              <w:tr2bl w:val="nil"/>
            </w:tcBorders>
            <w:noWrap w:val="0"/>
            <w:vAlign w:val="center"/>
          </w:tcPr>
          <w:p w14:paraId="6B8B3C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2016-01-29</w:t>
            </w:r>
          </w:p>
        </w:tc>
      </w:tr>
      <w:tr w14:paraId="61DACB0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4E5EF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11</w:t>
            </w:r>
          </w:p>
        </w:tc>
        <w:tc>
          <w:tcPr>
            <w:tcW w:w="2716" w:type="pct"/>
            <w:tcBorders>
              <w:tl2br w:val="nil"/>
              <w:tr2bl w:val="nil"/>
            </w:tcBorders>
            <w:noWrap w:val="0"/>
            <w:vAlign w:val="center"/>
          </w:tcPr>
          <w:p w14:paraId="50DAB51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关于印发新疆维吾尔自治区土壤污染防治工作方案的通知</w:t>
            </w:r>
          </w:p>
        </w:tc>
        <w:tc>
          <w:tcPr>
            <w:tcW w:w="1404" w:type="pct"/>
            <w:tcBorders>
              <w:tl2br w:val="nil"/>
              <w:tr2bl w:val="nil"/>
            </w:tcBorders>
            <w:noWrap w:val="0"/>
            <w:vAlign w:val="center"/>
          </w:tcPr>
          <w:p w14:paraId="1BCF11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新政发〔2017〕25号</w:t>
            </w:r>
          </w:p>
        </w:tc>
        <w:tc>
          <w:tcPr>
            <w:tcW w:w="617" w:type="pct"/>
            <w:tcBorders>
              <w:tl2br w:val="nil"/>
              <w:tr2bl w:val="nil"/>
            </w:tcBorders>
            <w:noWrap w:val="0"/>
            <w:vAlign w:val="center"/>
          </w:tcPr>
          <w:p w14:paraId="19CE875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2017-03-01</w:t>
            </w:r>
          </w:p>
        </w:tc>
      </w:tr>
      <w:tr w14:paraId="4FA6CFB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23D6C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12</w:t>
            </w:r>
          </w:p>
        </w:tc>
        <w:tc>
          <w:tcPr>
            <w:tcW w:w="2716" w:type="pct"/>
            <w:tcBorders>
              <w:tl2br w:val="nil"/>
              <w:tr2bl w:val="nil"/>
            </w:tcBorders>
            <w:noWrap w:val="0"/>
            <w:vAlign w:val="center"/>
          </w:tcPr>
          <w:p w14:paraId="431629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新疆维吾尔自治区重点行业生态环境准入条件（2024年）</w:t>
            </w:r>
          </w:p>
        </w:tc>
        <w:tc>
          <w:tcPr>
            <w:tcW w:w="1404" w:type="pct"/>
            <w:tcBorders>
              <w:tl2br w:val="nil"/>
              <w:tr2bl w:val="nil"/>
            </w:tcBorders>
            <w:noWrap w:val="0"/>
            <w:vAlign w:val="center"/>
          </w:tcPr>
          <w:p w14:paraId="7C99E36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新环环评发〔2024〕93号</w:t>
            </w:r>
          </w:p>
        </w:tc>
        <w:tc>
          <w:tcPr>
            <w:tcW w:w="617" w:type="pct"/>
            <w:tcBorders>
              <w:tl2br w:val="nil"/>
              <w:tr2bl w:val="nil"/>
            </w:tcBorders>
            <w:noWrap w:val="0"/>
            <w:vAlign w:val="center"/>
          </w:tcPr>
          <w:p w14:paraId="0BF1573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2024-06-09</w:t>
            </w:r>
          </w:p>
        </w:tc>
      </w:tr>
      <w:tr w14:paraId="5A9BDBD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3B9A4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13</w:t>
            </w:r>
          </w:p>
        </w:tc>
        <w:tc>
          <w:tcPr>
            <w:tcW w:w="2716" w:type="pct"/>
            <w:tcBorders>
              <w:tl2br w:val="nil"/>
              <w:tr2bl w:val="nil"/>
            </w:tcBorders>
            <w:noWrap w:val="0"/>
            <w:vAlign w:val="center"/>
          </w:tcPr>
          <w:p w14:paraId="33B9BC6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新疆维吾尔自治区大气污染防治条例</w:t>
            </w:r>
          </w:p>
        </w:tc>
        <w:tc>
          <w:tcPr>
            <w:tcW w:w="1404" w:type="pct"/>
            <w:tcBorders>
              <w:tl2br w:val="nil"/>
              <w:tr2bl w:val="nil"/>
            </w:tcBorders>
            <w:noWrap w:val="0"/>
            <w:vAlign w:val="center"/>
          </w:tcPr>
          <w:p w14:paraId="1D0D80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13届人大第7次会议</w:t>
            </w:r>
          </w:p>
        </w:tc>
        <w:tc>
          <w:tcPr>
            <w:tcW w:w="617" w:type="pct"/>
            <w:tcBorders>
              <w:tl2br w:val="nil"/>
              <w:tr2bl w:val="nil"/>
            </w:tcBorders>
            <w:noWrap w:val="0"/>
            <w:vAlign w:val="center"/>
          </w:tcPr>
          <w:p w14:paraId="78856A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2019-01-01</w:t>
            </w:r>
          </w:p>
        </w:tc>
      </w:tr>
      <w:tr w14:paraId="73AD280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1FC301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14</w:t>
            </w:r>
          </w:p>
        </w:tc>
        <w:tc>
          <w:tcPr>
            <w:tcW w:w="2716" w:type="pct"/>
            <w:tcBorders>
              <w:tl2br w:val="nil"/>
              <w:tr2bl w:val="nil"/>
            </w:tcBorders>
            <w:noWrap w:val="0"/>
            <w:vAlign w:val="center"/>
          </w:tcPr>
          <w:p w14:paraId="054A36E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新疆维吾尔自治区地下水资源管理条例（2017年修订）</w:t>
            </w:r>
          </w:p>
        </w:tc>
        <w:tc>
          <w:tcPr>
            <w:tcW w:w="1404" w:type="pct"/>
            <w:tcBorders>
              <w:tl2br w:val="nil"/>
              <w:tr2bl w:val="nil"/>
            </w:tcBorders>
            <w:noWrap w:val="0"/>
            <w:vAlign w:val="center"/>
          </w:tcPr>
          <w:p w14:paraId="506BEC4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12届人大第29次会议</w:t>
            </w:r>
          </w:p>
        </w:tc>
        <w:tc>
          <w:tcPr>
            <w:tcW w:w="617" w:type="pct"/>
            <w:tcBorders>
              <w:tl2br w:val="nil"/>
              <w:tr2bl w:val="nil"/>
            </w:tcBorders>
            <w:noWrap w:val="0"/>
            <w:vAlign w:val="center"/>
          </w:tcPr>
          <w:p w14:paraId="45DA023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2017-05-27</w:t>
            </w:r>
          </w:p>
        </w:tc>
      </w:tr>
      <w:tr w14:paraId="7B460C4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0E172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15</w:t>
            </w:r>
          </w:p>
        </w:tc>
        <w:tc>
          <w:tcPr>
            <w:tcW w:w="2716" w:type="pct"/>
            <w:tcBorders>
              <w:tl2br w:val="nil"/>
              <w:tr2bl w:val="nil"/>
            </w:tcBorders>
            <w:noWrap w:val="0"/>
            <w:vAlign w:val="center"/>
          </w:tcPr>
          <w:p w14:paraId="127213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转发《关于强化建设项目环境影响评价事中事后监管的实施意见》</w:t>
            </w:r>
          </w:p>
        </w:tc>
        <w:tc>
          <w:tcPr>
            <w:tcW w:w="1404" w:type="pct"/>
            <w:tcBorders>
              <w:tl2br w:val="nil"/>
              <w:tr2bl w:val="nil"/>
            </w:tcBorders>
            <w:noWrap w:val="0"/>
            <w:vAlign w:val="center"/>
          </w:tcPr>
          <w:p w14:paraId="203F671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新环办发〔2018〕80号</w:t>
            </w:r>
          </w:p>
        </w:tc>
        <w:tc>
          <w:tcPr>
            <w:tcW w:w="617" w:type="pct"/>
            <w:tcBorders>
              <w:tl2br w:val="nil"/>
              <w:tr2bl w:val="nil"/>
            </w:tcBorders>
            <w:noWrap w:val="0"/>
            <w:vAlign w:val="center"/>
          </w:tcPr>
          <w:p w14:paraId="320B22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2018-03-27</w:t>
            </w:r>
          </w:p>
        </w:tc>
      </w:tr>
      <w:tr w14:paraId="2F2A4E2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E4E89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16</w:t>
            </w:r>
          </w:p>
        </w:tc>
        <w:tc>
          <w:tcPr>
            <w:tcW w:w="2716" w:type="pct"/>
            <w:tcBorders>
              <w:tl2br w:val="nil"/>
              <w:tr2bl w:val="nil"/>
            </w:tcBorders>
            <w:noWrap w:val="0"/>
            <w:vAlign w:val="center"/>
          </w:tcPr>
          <w:p w14:paraId="7974A18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关于进一步加强和规范油气田开发项目环境保护管理工作的通知</w:t>
            </w:r>
          </w:p>
        </w:tc>
        <w:tc>
          <w:tcPr>
            <w:tcW w:w="1404" w:type="pct"/>
            <w:tcBorders>
              <w:tl2br w:val="nil"/>
              <w:tr2bl w:val="nil"/>
            </w:tcBorders>
            <w:noWrap w:val="0"/>
            <w:vAlign w:val="center"/>
          </w:tcPr>
          <w:p w14:paraId="3C8760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新环发〔2018〕133号</w:t>
            </w:r>
          </w:p>
        </w:tc>
        <w:tc>
          <w:tcPr>
            <w:tcW w:w="617" w:type="pct"/>
            <w:tcBorders>
              <w:tl2br w:val="nil"/>
              <w:tr2bl w:val="nil"/>
            </w:tcBorders>
            <w:noWrap w:val="0"/>
            <w:vAlign w:val="center"/>
          </w:tcPr>
          <w:p w14:paraId="7662CEE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2018-09-06</w:t>
            </w:r>
          </w:p>
        </w:tc>
      </w:tr>
      <w:tr w14:paraId="37E35E4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11F48E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17</w:t>
            </w:r>
          </w:p>
        </w:tc>
        <w:tc>
          <w:tcPr>
            <w:tcW w:w="2716" w:type="pct"/>
            <w:tcBorders>
              <w:tl2br w:val="nil"/>
              <w:tr2bl w:val="nil"/>
            </w:tcBorders>
            <w:noWrap w:val="0"/>
            <w:vAlign w:val="center"/>
          </w:tcPr>
          <w:p w14:paraId="4B3841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关于含油污泥处置有关事宜的通知</w:t>
            </w:r>
          </w:p>
        </w:tc>
        <w:tc>
          <w:tcPr>
            <w:tcW w:w="1404" w:type="pct"/>
            <w:tcBorders>
              <w:tl2br w:val="nil"/>
              <w:tr2bl w:val="nil"/>
            </w:tcBorders>
            <w:noWrap w:val="0"/>
            <w:vAlign w:val="center"/>
          </w:tcPr>
          <w:p w14:paraId="03CADD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新环发〔2018〕20号</w:t>
            </w:r>
          </w:p>
        </w:tc>
        <w:tc>
          <w:tcPr>
            <w:tcW w:w="617" w:type="pct"/>
            <w:tcBorders>
              <w:tl2br w:val="nil"/>
              <w:tr2bl w:val="nil"/>
            </w:tcBorders>
            <w:noWrap w:val="0"/>
            <w:vAlign w:val="center"/>
          </w:tcPr>
          <w:p w14:paraId="34A431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2018-12-20</w:t>
            </w:r>
          </w:p>
        </w:tc>
      </w:tr>
      <w:tr w14:paraId="42E2448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891DA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18</w:t>
            </w:r>
          </w:p>
        </w:tc>
        <w:tc>
          <w:tcPr>
            <w:tcW w:w="2716" w:type="pct"/>
            <w:tcBorders>
              <w:tl2br w:val="nil"/>
              <w:tr2bl w:val="nil"/>
            </w:tcBorders>
            <w:noWrap w:val="0"/>
            <w:vAlign w:val="center"/>
          </w:tcPr>
          <w:p w14:paraId="0EFFE2E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自治区党委、自治区人民政府印发《关于全面加强生态环境保护坚决打好污染防治攻坚实施方案》</w:t>
            </w:r>
          </w:p>
        </w:tc>
        <w:tc>
          <w:tcPr>
            <w:tcW w:w="1404" w:type="pct"/>
            <w:tcBorders>
              <w:tl2br w:val="nil"/>
              <w:tr2bl w:val="nil"/>
            </w:tcBorders>
            <w:noWrap w:val="0"/>
            <w:vAlign w:val="center"/>
          </w:tcPr>
          <w:p w14:paraId="4D1D2C2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新党发〔2018〕23号</w:t>
            </w:r>
          </w:p>
        </w:tc>
        <w:tc>
          <w:tcPr>
            <w:tcW w:w="617" w:type="pct"/>
            <w:tcBorders>
              <w:tl2br w:val="nil"/>
              <w:tr2bl w:val="nil"/>
            </w:tcBorders>
            <w:noWrap w:val="0"/>
            <w:vAlign w:val="center"/>
          </w:tcPr>
          <w:p w14:paraId="2961147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2018-09-04</w:t>
            </w:r>
          </w:p>
        </w:tc>
      </w:tr>
      <w:tr w14:paraId="72D922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F1969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19</w:t>
            </w:r>
          </w:p>
        </w:tc>
        <w:tc>
          <w:tcPr>
            <w:tcW w:w="2716" w:type="pct"/>
            <w:tcBorders>
              <w:tl2br w:val="nil"/>
              <w:tr2bl w:val="nil"/>
            </w:tcBorders>
            <w:noWrap w:val="0"/>
            <w:vAlign w:val="center"/>
          </w:tcPr>
          <w:p w14:paraId="121304B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关于加强建设项目环境影响后评价管理的通知</w:t>
            </w:r>
          </w:p>
        </w:tc>
        <w:tc>
          <w:tcPr>
            <w:tcW w:w="1404" w:type="pct"/>
            <w:tcBorders>
              <w:tl2br w:val="nil"/>
              <w:tr2bl w:val="nil"/>
            </w:tcBorders>
            <w:noWrap w:val="0"/>
            <w:vAlign w:val="center"/>
          </w:tcPr>
          <w:p w14:paraId="2AC47F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新环环评发〔2020〕162号</w:t>
            </w:r>
          </w:p>
        </w:tc>
        <w:tc>
          <w:tcPr>
            <w:tcW w:w="617" w:type="pct"/>
            <w:tcBorders>
              <w:tl2br w:val="nil"/>
              <w:tr2bl w:val="nil"/>
            </w:tcBorders>
            <w:noWrap w:val="0"/>
            <w:vAlign w:val="center"/>
          </w:tcPr>
          <w:p w14:paraId="4985FF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2020-09-11</w:t>
            </w:r>
          </w:p>
        </w:tc>
      </w:tr>
      <w:tr w14:paraId="2530A07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45DED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w:t>
            </w:r>
          </w:p>
        </w:tc>
        <w:tc>
          <w:tcPr>
            <w:tcW w:w="2716" w:type="pct"/>
            <w:tcBorders>
              <w:tl2br w:val="nil"/>
              <w:tr2bl w:val="nil"/>
            </w:tcBorders>
            <w:noWrap w:val="0"/>
            <w:vAlign w:val="center"/>
          </w:tcPr>
          <w:p w14:paraId="0B8BFA1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新疆维吾尔自治区七大片区“三线一单”生态环境分区管控要求</w:t>
            </w:r>
          </w:p>
        </w:tc>
        <w:tc>
          <w:tcPr>
            <w:tcW w:w="1404" w:type="pct"/>
            <w:tcBorders>
              <w:tl2br w:val="nil"/>
              <w:tr2bl w:val="nil"/>
            </w:tcBorders>
            <w:noWrap w:val="0"/>
            <w:vAlign w:val="center"/>
          </w:tcPr>
          <w:p w14:paraId="47E9AB0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新环环评发〔2021〕162号</w:t>
            </w:r>
          </w:p>
        </w:tc>
        <w:tc>
          <w:tcPr>
            <w:tcW w:w="617" w:type="pct"/>
            <w:tcBorders>
              <w:tl2br w:val="nil"/>
              <w:tr2bl w:val="nil"/>
            </w:tcBorders>
            <w:noWrap w:val="0"/>
            <w:vAlign w:val="center"/>
          </w:tcPr>
          <w:p w14:paraId="1940468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2021-07-26</w:t>
            </w:r>
          </w:p>
        </w:tc>
      </w:tr>
      <w:tr w14:paraId="7FB734C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C7095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21</w:t>
            </w:r>
          </w:p>
        </w:tc>
        <w:tc>
          <w:tcPr>
            <w:tcW w:w="2716" w:type="pct"/>
            <w:tcBorders>
              <w:tl2br w:val="nil"/>
              <w:tr2bl w:val="nil"/>
            </w:tcBorders>
            <w:noWrap w:val="0"/>
            <w:vAlign w:val="center"/>
          </w:tcPr>
          <w:p w14:paraId="4883284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新疆维吾尔自治区“三线一单”生态环境分区管控方案</w:t>
            </w:r>
          </w:p>
        </w:tc>
        <w:tc>
          <w:tcPr>
            <w:tcW w:w="1404" w:type="pct"/>
            <w:tcBorders>
              <w:tl2br w:val="nil"/>
              <w:tr2bl w:val="nil"/>
            </w:tcBorders>
            <w:noWrap w:val="0"/>
            <w:vAlign w:val="center"/>
          </w:tcPr>
          <w:p w14:paraId="1EC15DB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新政发〔2021〕18号</w:t>
            </w:r>
          </w:p>
        </w:tc>
        <w:tc>
          <w:tcPr>
            <w:tcW w:w="617" w:type="pct"/>
            <w:tcBorders>
              <w:tl2br w:val="nil"/>
              <w:tr2bl w:val="nil"/>
            </w:tcBorders>
            <w:noWrap w:val="0"/>
            <w:vAlign w:val="center"/>
          </w:tcPr>
          <w:p w14:paraId="27AD464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2021-02-22</w:t>
            </w:r>
          </w:p>
        </w:tc>
      </w:tr>
      <w:tr w14:paraId="40C8114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7B119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22</w:t>
            </w:r>
          </w:p>
        </w:tc>
        <w:tc>
          <w:tcPr>
            <w:tcW w:w="2716" w:type="pct"/>
            <w:tcBorders>
              <w:tl2br w:val="nil"/>
              <w:tr2bl w:val="nil"/>
            </w:tcBorders>
            <w:noWrap w:val="0"/>
            <w:vAlign w:val="center"/>
          </w:tcPr>
          <w:p w14:paraId="4D88A86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关于印发《新疆维吾尔自治区生态环境分区管控动态更新成果》的通知</w:t>
            </w:r>
          </w:p>
        </w:tc>
        <w:tc>
          <w:tcPr>
            <w:tcW w:w="1404" w:type="pct"/>
            <w:tcBorders>
              <w:tl2br w:val="nil"/>
              <w:tr2bl w:val="nil"/>
            </w:tcBorders>
            <w:noWrap w:val="0"/>
            <w:vAlign w:val="center"/>
          </w:tcPr>
          <w:p w14:paraId="4D7C8ED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新环环评发〔2024〕157号</w:t>
            </w:r>
          </w:p>
        </w:tc>
        <w:tc>
          <w:tcPr>
            <w:tcW w:w="617" w:type="pct"/>
            <w:tcBorders>
              <w:tl2br w:val="nil"/>
              <w:tr2bl w:val="nil"/>
            </w:tcBorders>
            <w:noWrap w:val="0"/>
            <w:vAlign w:val="center"/>
          </w:tcPr>
          <w:p w14:paraId="0951C1E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2024-11-15</w:t>
            </w:r>
          </w:p>
        </w:tc>
      </w:tr>
      <w:tr w14:paraId="535C991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1A6093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23</w:t>
            </w:r>
          </w:p>
        </w:tc>
        <w:tc>
          <w:tcPr>
            <w:tcW w:w="2716" w:type="pct"/>
            <w:tcBorders>
              <w:tl2br w:val="nil"/>
              <w:tr2bl w:val="nil"/>
            </w:tcBorders>
            <w:noWrap w:val="0"/>
            <w:vAlign w:val="center"/>
          </w:tcPr>
          <w:p w14:paraId="58774A5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rPr>
              <w:t>昌吉回族自治州“三线一单”生态环境分区管控方案</w:t>
            </w:r>
          </w:p>
        </w:tc>
        <w:tc>
          <w:tcPr>
            <w:tcW w:w="1404" w:type="pct"/>
            <w:tcBorders>
              <w:tl2br w:val="nil"/>
              <w:tr2bl w:val="nil"/>
            </w:tcBorders>
            <w:noWrap w:val="0"/>
            <w:vAlign w:val="center"/>
          </w:tcPr>
          <w:p w14:paraId="316E1D8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rPr>
              <w:t>昌政发〔2021〕5号</w:t>
            </w:r>
          </w:p>
        </w:tc>
        <w:tc>
          <w:tcPr>
            <w:tcW w:w="617" w:type="pct"/>
            <w:tcBorders>
              <w:tl2br w:val="nil"/>
              <w:tr2bl w:val="nil"/>
            </w:tcBorders>
            <w:noWrap w:val="0"/>
            <w:vAlign w:val="center"/>
          </w:tcPr>
          <w:p w14:paraId="5344094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rPr>
              <w:t>2021-07-05</w:t>
            </w:r>
          </w:p>
        </w:tc>
      </w:tr>
      <w:tr w14:paraId="1D116D1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2FE8C6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24</w:t>
            </w:r>
          </w:p>
        </w:tc>
        <w:tc>
          <w:tcPr>
            <w:tcW w:w="2716" w:type="pct"/>
            <w:tcBorders>
              <w:tl2br w:val="nil"/>
              <w:tr2bl w:val="nil"/>
            </w:tcBorders>
            <w:noWrap w:val="0"/>
            <w:vAlign w:val="center"/>
          </w:tcPr>
          <w:p w14:paraId="21EBAC3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rPr>
              <w:t>昌吉回族自治州区域空间生态环境评价暨“三线一单”生态环境准入清单动态更新成果</w:t>
            </w:r>
          </w:p>
        </w:tc>
        <w:tc>
          <w:tcPr>
            <w:tcW w:w="1404" w:type="pct"/>
            <w:tcBorders>
              <w:tl2br w:val="nil"/>
              <w:tr2bl w:val="nil"/>
            </w:tcBorders>
            <w:noWrap w:val="0"/>
            <w:vAlign w:val="center"/>
          </w:tcPr>
          <w:p w14:paraId="3B051E6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highlight w:val="none"/>
                <w:u w:val="none"/>
                <w:lang w:val="en-US" w:eastAsia="zh-CN"/>
              </w:rPr>
              <w:t>/</w:t>
            </w:r>
          </w:p>
        </w:tc>
        <w:tc>
          <w:tcPr>
            <w:tcW w:w="617" w:type="pct"/>
            <w:tcBorders>
              <w:tl2br w:val="nil"/>
              <w:tr2bl w:val="nil"/>
            </w:tcBorders>
            <w:noWrap w:val="0"/>
            <w:vAlign w:val="center"/>
          </w:tcPr>
          <w:p w14:paraId="27A99BD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2024-02</w:t>
            </w:r>
          </w:p>
        </w:tc>
      </w:tr>
      <w:tr w14:paraId="7D3661A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586327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25</w:t>
            </w:r>
          </w:p>
        </w:tc>
        <w:tc>
          <w:tcPr>
            <w:tcW w:w="2716" w:type="pct"/>
            <w:tcBorders>
              <w:tl2br w:val="nil"/>
              <w:tr2bl w:val="nil"/>
            </w:tcBorders>
            <w:noWrap w:val="0"/>
            <w:vAlign w:val="center"/>
          </w:tcPr>
          <w:p w14:paraId="643A58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转发《关于进一步加强石油天然气行业环境影响评价的通知》的通知新环环评发〔2020〕142号</w:t>
            </w:r>
          </w:p>
        </w:tc>
        <w:tc>
          <w:tcPr>
            <w:tcW w:w="1404" w:type="pct"/>
            <w:tcBorders>
              <w:tl2br w:val="nil"/>
              <w:tr2bl w:val="nil"/>
            </w:tcBorders>
            <w:noWrap w:val="0"/>
            <w:vAlign w:val="center"/>
          </w:tcPr>
          <w:p w14:paraId="76945F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新环环评发〔2020〕142号</w:t>
            </w:r>
          </w:p>
        </w:tc>
        <w:tc>
          <w:tcPr>
            <w:tcW w:w="617" w:type="pct"/>
            <w:tcBorders>
              <w:tl2br w:val="nil"/>
              <w:tr2bl w:val="nil"/>
            </w:tcBorders>
            <w:noWrap w:val="0"/>
            <w:vAlign w:val="center"/>
          </w:tcPr>
          <w:p w14:paraId="4313FE4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2020-07-30</w:t>
            </w:r>
          </w:p>
        </w:tc>
      </w:tr>
      <w:tr w14:paraId="2D5AB0A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31D70E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26</w:t>
            </w:r>
          </w:p>
        </w:tc>
        <w:tc>
          <w:tcPr>
            <w:tcW w:w="2716" w:type="pct"/>
            <w:tcBorders>
              <w:tl2br w:val="nil"/>
              <w:tr2bl w:val="nil"/>
            </w:tcBorders>
            <w:noWrap w:val="0"/>
            <w:vAlign w:val="center"/>
          </w:tcPr>
          <w:p w14:paraId="622AC6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新疆生态环境保护“十四五”规划</w:t>
            </w:r>
          </w:p>
        </w:tc>
        <w:tc>
          <w:tcPr>
            <w:tcW w:w="1404" w:type="pct"/>
            <w:tcBorders>
              <w:tl2br w:val="nil"/>
              <w:tr2bl w:val="nil"/>
            </w:tcBorders>
            <w:noWrap w:val="0"/>
            <w:vAlign w:val="center"/>
          </w:tcPr>
          <w:p w14:paraId="73540D9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w:t>
            </w:r>
          </w:p>
        </w:tc>
        <w:tc>
          <w:tcPr>
            <w:tcW w:w="617" w:type="pct"/>
            <w:tcBorders>
              <w:tl2br w:val="nil"/>
              <w:tr2bl w:val="nil"/>
            </w:tcBorders>
            <w:noWrap w:val="0"/>
            <w:vAlign w:val="center"/>
          </w:tcPr>
          <w:p w14:paraId="1B60F47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2021-12-24</w:t>
            </w:r>
          </w:p>
        </w:tc>
      </w:tr>
      <w:tr w14:paraId="0BEBF1C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4C33D3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27</w:t>
            </w:r>
          </w:p>
        </w:tc>
        <w:tc>
          <w:tcPr>
            <w:tcW w:w="2716" w:type="pct"/>
            <w:tcBorders>
              <w:tl2br w:val="nil"/>
              <w:tr2bl w:val="nil"/>
            </w:tcBorders>
            <w:noWrap w:val="0"/>
            <w:vAlign w:val="center"/>
          </w:tcPr>
          <w:p w14:paraId="58F69F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关于全面加强生态环境保护坚决打好污染防治攻坚战实施方案</w:t>
            </w:r>
          </w:p>
        </w:tc>
        <w:tc>
          <w:tcPr>
            <w:tcW w:w="1404" w:type="pct"/>
            <w:tcBorders>
              <w:tl2br w:val="nil"/>
              <w:tr2bl w:val="nil"/>
            </w:tcBorders>
            <w:noWrap w:val="0"/>
            <w:vAlign w:val="center"/>
          </w:tcPr>
          <w:p w14:paraId="7D8B119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新党发〔2018〕23号</w:t>
            </w:r>
          </w:p>
        </w:tc>
        <w:tc>
          <w:tcPr>
            <w:tcW w:w="617" w:type="pct"/>
            <w:tcBorders>
              <w:tl2br w:val="nil"/>
              <w:tr2bl w:val="nil"/>
            </w:tcBorders>
            <w:noWrap w:val="0"/>
            <w:vAlign w:val="center"/>
          </w:tcPr>
          <w:p w14:paraId="631B25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2018-09-04</w:t>
            </w:r>
          </w:p>
        </w:tc>
      </w:tr>
      <w:tr w14:paraId="5C0D404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1A7072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w:t>
            </w:r>
            <w:r>
              <w:rPr>
                <w:rFonts w:hint="eastAsia" w:ascii="宋体" w:hAnsi="宋体" w:cs="宋体"/>
                <w:color w:val="auto"/>
                <w:sz w:val="21"/>
                <w:szCs w:val="21"/>
                <w:highlight w:val="none"/>
                <w:u w:val="none"/>
                <w:lang w:val="en-US" w:eastAsia="zh-CN"/>
              </w:rPr>
              <w:t>8</w:t>
            </w:r>
          </w:p>
        </w:tc>
        <w:tc>
          <w:tcPr>
            <w:tcW w:w="2716" w:type="pct"/>
            <w:tcBorders>
              <w:tl2br w:val="nil"/>
              <w:tr2bl w:val="nil"/>
            </w:tcBorders>
            <w:noWrap w:val="0"/>
            <w:vAlign w:val="center"/>
          </w:tcPr>
          <w:p w14:paraId="16AC224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关于发布《排放源统计调查产排污核算方法和系数手册》的公告</w:t>
            </w:r>
          </w:p>
        </w:tc>
        <w:tc>
          <w:tcPr>
            <w:tcW w:w="1404" w:type="pct"/>
            <w:tcBorders>
              <w:tl2br w:val="nil"/>
              <w:tr2bl w:val="nil"/>
            </w:tcBorders>
            <w:noWrap w:val="0"/>
            <w:vAlign w:val="center"/>
          </w:tcPr>
          <w:p w14:paraId="07F3B2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生态环境部公告2021年第24号</w:t>
            </w:r>
          </w:p>
        </w:tc>
        <w:tc>
          <w:tcPr>
            <w:tcW w:w="617" w:type="pct"/>
            <w:tcBorders>
              <w:tl2br w:val="nil"/>
              <w:tr2bl w:val="nil"/>
            </w:tcBorders>
            <w:noWrap w:val="0"/>
            <w:vAlign w:val="center"/>
          </w:tcPr>
          <w:p w14:paraId="3A1AC90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2021-06-11</w:t>
            </w:r>
          </w:p>
        </w:tc>
      </w:tr>
      <w:tr w14:paraId="26289FF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61B707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29</w:t>
            </w:r>
          </w:p>
        </w:tc>
        <w:tc>
          <w:tcPr>
            <w:tcW w:w="2716" w:type="pct"/>
            <w:tcBorders>
              <w:tl2br w:val="nil"/>
              <w:tr2bl w:val="nil"/>
            </w:tcBorders>
            <w:noWrap w:val="0"/>
            <w:vAlign w:val="center"/>
          </w:tcPr>
          <w:p w14:paraId="39714E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关于深入打好污染防治攻坚战的实施方案</w:t>
            </w:r>
          </w:p>
        </w:tc>
        <w:tc>
          <w:tcPr>
            <w:tcW w:w="1404" w:type="pct"/>
            <w:tcBorders>
              <w:tl2br w:val="nil"/>
              <w:tr2bl w:val="nil"/>
            </w:tcBorders>
            <w:noWrap w:val="0"/>
            <w:vAlign w:val="center"/>
          </w:tcPr>
          <w:p w14:paraId="7D7294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自治区党委自治区人民政府印发</w:t>
            </w:r>
          </w:p>
        </w:tc>
        <w:tc>
          <w:tcPr>
            <w:tcW w:w="617" w:type="pct"/>
            <w:tcBorders>
              <w:tl2br w:val="nil"/>
              <w:tr2bl w:val="nil"/>
            </w:tcBorders>
            <w:noWrap w:val="0"/>
            <w:vAlign w:val="center"/>
          </w:tcPr>
          <w:p w14:paraId="1EA62E1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2022-07-26</w:t>
            </w:r>
          </w:p>
        </w:tc>
      </w:tr>
      <w:tr w14:paraId="7FFEABC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61" w:type="pct"/>
            <w:tcBorders>
              <w:tl2br w:val="nil"/>
              <w:tr2bl w:val="nil"/>
            </w:tcBorders>
            <w:noWrap w:val="0"/>
            <w:vAlign w:val="center"/>
          </w:tcPr>
          <w:p w14:paraId="43C613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w:t>
            </w:r>
            <w:r>
              <w:rPr>
                <w:rFonts w:hint="eastAsia" w:ascii="宋体" w:hAnsi="宋体" w:cs="宋体"/>
                <w:color w:val="auto"/>
                <w:sz w:val="21"/>
                <w:szCs w:val="21"/>
                <w:highlight w:val="none"/>
                <w:u w:val="none"/>
                <w:lang w:val="en-US" w:eastAsia="zh-CN"/>
              </w:rPr>
              <w:t>0</w:t>
            </w:r>
          </w:p>
        </w:tc>
        <w:tc>
          <w:tcPr>
            <w:tcW w:w="2716" w:type="pct"/>
            <w:tcBorders>
              <w:tl2br w:val="nil"/>
              <w:tr2bl w:val="nil"/>
            </w:tcBorders>
            <w:noWrap w:val="0"/>
            <w:vAlign w:val="center"/>
          </w:tcPr>
          <w:p w14:paraId="517D1DE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新疆维吾尔自治区第六次沙化土地监测报告</w:t>
            </w:r>
          </w:p>
        </w:tc>
        <w:tc>
          <w:tcPr>
            <w:tcW w:w="1404" w:type="pct"/>
            <w:tcBorders>
              <w:tl2br w:val="nil"/>
              <w:tr2bl w:val="nil"/>
            </w:tcBorders>
            <w:noWrap w:val="0"/>
            <w:vAlign w:val="center"/>
          </w:tcPr>
          <w:p w14:paraId="5063F2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新疆维吾尔自治区林业和草原局</w:t>
            </w:r>
          </w:p>
        </w:tc>
        <w:tc>
          <w:tcPr>
            <w:tcW w:w="617" w:type="pct"/>
            <w:tcBorders>
              <w:tl2br w:val="nil"/>
              <w:tr2bl w:val="nil"/>
            </w:tcBorders>
            <w:noWrap w:val="0"/>
            <w:vAlign w:val="center"/>
          </w:tcPr>
          <w:p w14:paraId="6D3B31A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2021-12</w:t>
            </w:r>
          </w:p>
        </w:tc>
      </w:tr>
    </w:tbl>
    <w:p w14:paraId="3DD34182">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1</w:t>
      </w:r>
      <w:r>
        <w:rPr>
          <w:rFonts w:hint="default" w:ascii="黑体" w:hAnsi="黑体" w:eastAsia="黑体" w:cs="黑体"/>
          <w:b/>
          <w:color w:val="auto"/>
          <w:kern w:val="0"/>
          <w:sz w:val="24"/>
          <w:szCs w:val="24"/>
          <w:highlight w:val="none"/>
          <w:u w:val="none"/>
          <w:lang w:val="en-US" w:eastAsia="zh-CN"/>
        </w:rPr>
        <w:t>.2 环评有关技术规定</w:t>
      </w:r>
    </w:p>
    <w:p w14:paraId="501AD598">
      <w:pPr>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环评有关技术规定</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rPr>
        <w:t>见表2.</w:t>
      </w:r>
      <w:r>
        <w:rPr>
          <w:rFonts w:hint="eastAsia" w:cs="Times New Roman"/>
          <w:color w:val="auto"/>
          <w:sz w:val="24"/>
          <w:szCs w:val="24"/>
          <w:u w:val="none"/>
          <w:lang w:val="en-US" w:eastAsia="zh-CN"/>
        </w:rPr>
        <w:t>1-2</w:t>
      </w:r>
      <w:r>
        <w:rPr>
          <w:rFonts w:hint="default" w:ascii="Times New Roman" w:hAnsi="Times New Roman" w:cs="Times New Roman"/>
          <w:color w:val="auto"/>
          <w:sz w:val="24"/>
          <w:szCs w:val="24"/>
          <w:u w:val="none"/>
        </w:rPr>
        <w:t>。</w:t>
      </w:r>
    </w:p>
    <w:p w14:paraId="32CE5D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表2.1-2  环评技术导则依据一览表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721"/>
        <w:gridCol w:w="2189"/>
        <w:gridCol w:w="1249"/>
      </w:tblGrid>
      <w:tr w14:paraId="49173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76F4D2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序号</w:t>
            </w:r>
          </w:p>
        </w:tc>
        <w:tc>
          <w:tcPr>
            <w:tcW w:w="2686" w:type="pct"/>
            <w:tcBorders>
              <w:tl2br w:val="nil"/>
              <w:tr2bl w:val="nil"/>
            </w:tcBorders>
            <w:noWrap w:val="0"/>
            <w:vAlign w:val="center"/>
          </w:tcPr>
          <w:p w14:paraId="2DB63A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依据名称</w:t>
            </w:r>
          </w:p>
        </w:tc>
        <w:tc>
          <w:tcPr>
            <w:tcW w:w="1253" w:type="pct"/>
            <w:tcBorders>
              <w:tl2br w:val="nil"/>
              <w:tr2bl w:val="nil"/>
            </w:tcBorders>
            <w:noWrap w:val="0"/>
            <w:vAlign w:val="center"/>
          </w:tcPr>
          <w:p w14:paraId="1E4E9C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标准号</w:t>
            </w:r>
          </w:p>
        </w:tc>
        <w:tc>
          <w:tcPr>
            <w:tcW w:w="662" w:type="pct"/>
            <w:tcBorders>
              <w:tl2br w:val="nil"/>
              <w:tr2bl w:val="nil"/>
            </w:tcBorders>
            <w:noWrap w:val="0"/>
            <w:vAlign w:val="center"/>
          </w:tcPr>
          <w:p w14:paraId="107858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实施时间</w:t>
            </w:r>
          </w:p>
        </w:tc>
      </w:tr>
      <w:tr w14:paraId="256F6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129BD0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w:t>
            </w:r>
          </w:p>
        </w:tc>
        <w:tc>
          <w:tcPr>
            <w:tcW w:w="2686" w:type="pct"/>
            <w:tcBorders>
              <w:tl2br w:val="nil"/>
              <w:tr2bl w:val="nil"/>
            </w:tcBorders>
            <w:noWrap w:val="0"/>
            <w:vAlign w:val="center"/>
          </w:tcPr>
          <w:p w14:paraId="60FE00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建设项目环境影响评价技术导则  总纲</w:t>
            </w:r>
          </w:p>
        </w:tc>
        <w:tc>
          <w:tcPr>
            <w:tcW w:w="1253" w:type="pct"/>
            <w:tcBorders>
              <w:tl2br w:val="nil"/>
              <w:tr2bl w:val="nil"/>
            </w:tcBorders>
            <w:noWrap w:val="0"/>
            <w:vAlign w:val="center"/>
          </w:tcPr>
          <w:p w14:paraId="1E4CD1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HJ2.1-2016</w:t>
            </w:r>
          </w:p>
        </w:tc>
        <w:tc>
          <w:tcPr>
            <w:tcW w:w="662" w:type="pct"/>
            <w:tcBorders>
              <w:tl2br w:val="nil"/>
              <w:tr2bl w:val="nil"/>
            </w:tcBorders>
            <w:noWrap w:val="0"/>
            <w:vAlign w:val="center"/>
          </w:tcPr>
          <w:p w14:paraId="21A8C6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2017-1-1</w:t>
            </w:r>
          </w:p>
        </w:tc>
      </w:tr>
      <w:tr w14:paraId="51F0D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25812F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w:t>
            </w:r>
          </w:p>
        </w:tc>
        <w:tc>
          <w:tcPr>
            <w:tcW w:w="2686" w:type="pct"/>
            <w:tcBorders>
              <w:tl2br w:val="nil"/>
              <w:tr2bl w:val="nil"/>
            </w:tcBorders>
            <w:noWrap w:val="0"/>
            <w:vAlign w:val="center"/>
          </w:tcPr>
          <w:p w14:paraId="5949F4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环境影响评价技术导则  大气环境</w:t>
            </w:r>
          </w:p>
        </w:tc>
        <w:tc>
          <w:tcPr>
            <w:tcW w:w="1253" w:type="pct"/>
            <w:tcBorders>
              <w:tl2br w:val="nil"/>
              <w:tr2bl w:val="nil"/>
            </w:tcBorders>
            <w:noWrap w:val="0"/>
            <w:vAlign w:val="center"/>
          </w:tcPr>
          <w:p w14:paraId="3D27E0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HJ2.2-2018</w:t>
            </w:r>
          </w:p>
        </w:tc>
        <w:tc>
          <w:tcPr>
            <w:tcW w:w="662" w:type="pct"/>
            <w:tcBorders>
              <w:tl2br w:val="nil"/>
              <w:tr2bl w:val="nil"/>
            </w:tcBorders>
            <w:noWrap w:val="0"/>
            <w:vAlign w:val="center"/>
          </w:tcPr>
          <w:p w14:paraId="14EDDD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2018-12-01</w:t>
            </w:r>
          </w:p>
        </w:tc>
      </w:tr>
      <w:tr w14:paraId="27623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53D21E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3</w:t>
            </w:r>
          </w:p>
        </w:tc>
        <w:tc>
          <w:tcPr>
            <w:tcW w:w="2686" w:type="pct"/>
            <w:tcBorders>
              <w:tl2br w:val="nil"/>
              <w:tr2bl w:val="nil"/>
            </w:tcBorders>
            <w:noWrap w:val="0"/>
            <w:vAlign w:val="center"/>
          </w:tcPr>
          <w:p w14:paraId="1C57EB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环境影响评价技术导则 地表水环境</w:t>
            </w:r>
          </w:p>
        </w:tc>
        <w:tc>
          <w:tcPr>
            <w:tcW w:w="1253" w:type="pct"/>
            <w:tcBorders>
              <w:tl2br w:val="nil"/>
              <w:tr2bl w:val="nil"/>
            </w:tcBorders>
            <w:noWrap w:val="0"/>
            <w:vAlign w:val="center"/>
          </w:tcPr>
          <w:p w14:paraId="761D52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HJ2.3-2018</w:t>
            </w:r>
          </w:p>
        </w:tc>
        <w:tc>
          <w:tcPr>
            <w:tcW w:w="662" w:type="pct"/>
            <w:tcBorders>
              <w:tl2br w:val="nil"/>
              <w:tr2bl w:val="nil"/>
            </w:tcBorders>
            <w:noWrap w:val="0"/>
            <w:vAlign w:val="center"/>
          </w:tcPr>
          <w:p w14:paraId="311BC2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2019-03-01</w:t>
            </w:r>
          </w:p>
        </w:tc>
      </w:tr>
      <w:tr w14:paraId="04F20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4BA57E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4</w:t>
            </w:r>
          </w:p>
        </w:tc>
        <w:tc>
          <w:tcPr>
            <w:tcW w:w="2686" w:type="pct"/>
            <w:tcBorders>
              <w:tl2br w:val="nil"/>
              <w:tr2bl w:val="nil"/>
            </w:tcBorders>
            <w:noWrap w:val="0"/>
            <w:vAlign w:val="center"/>
          </w:tcPr>
          <w:p w14:paraId="7E0D43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环境影响评价技术导则  声环境</w:t>
            </w:r>
          </w:p>
        </w:tc>
        <w:tc>
          <w:tcPr>
            <w:tcW w:w="1253" w:type="pct"/>
            <w:tcBorders>
              <w:tl2br w:val="nil"/>
              <w:tr2bl w:val="nil"/>
            </w:tcBorders>
            <w:noWrap w:val="0"/>
            <w:vAlign w:val="center"/>
          </w:tcPr>
          <w:p w14:paraId="0C98D2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HJ2.4-2021</w:t>
            </w:r>
          </w:p>
        </w:tc>
        <w:tc>
          <w:tcPr>
            <w:tcW w:w="662" w:type="pct"/>
            <w:tcBorders>
              <w:tl2br w:val="nil"/>
              <w:tr2bl w:val="nil"/>
            </w:tcBorders>
            <w:noWrap w:val="0"/>
            <w:vAlign w:val="center"/>
          </w:tcPr>
          <w:p w14:paraId="7B2C69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2022-07-01</w:t>
            </w:r>
          </w:p>
        </w:tc>
      </w:tr>
      <w:tr w14:paraId="1CB52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21F2AF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5</w:t>
            </w:r>
          </w:p>
        </w:tc>
        <w:tc>
          <w:tcPr>
            <w:tcW w:w="2686" w:type="pct"/>
            <w:tcBorders>
              <w:tl2br w:val="nil"/>
              <w:tr2bl w:val="nil"/>
            </w:tcBorders>
            <w:noWrap w:val="0"/>
            <w:vAlign w:val="center"/>
          </w:tcPr>
          <w:p w14:paraId="32F361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环境影响评价技术导则  生态影响</w:t>
            </w:r>
          </w:p>
        </w:tc>
        <w:tc>
          <w:tcPr>
            <w:tcW w:w="1253" w:type="pct"/>
            <w:tcBorders>
              <w:tl2br w:val="nil"/>
              <w:tr2bl w:val="nil"/>
            </w:tcBorders>
            <w:noWrap w:val="0"/>
            <w:vAlign w:val="center"/>
          </w:tcPr>
          <w:p w14:paraId="184F16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HJ19-2022</w:t>
            </w:r>
          </w:p>
        </w:tc>
        <w:tc>
          <w:tcPr>
            <w:tcW w:w="662" w:type="pct"/>
            <w:tcBorders>
              <w:tl2br w:val="nil"/>
              <w:tr2bl w:val="nil"/>
            </w:tcBorders>
            <w:noWrap w:val="0"/>
            <w:vAlign w:val="center"/>
          </w:tcPr>
          <w:p w14:paraId="657802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2022-07-01</w:t>
            </w:r>
          </w:p>
        </w:tc>
      </w:tr>
      <w:tr w14:paraId="1044A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293E17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6</w:t>
            </w:r>
          </w:p>
        </w:tc>
        <w:tc>
          <w:tcPr>
            <w:tcW w:w="2686" w:type="pct"/>
            <w:tcBorders>
              <w:tl2br w:val="nil"/>
              <w:tr2bl w:val="nil"/>
            </w:tcBorders>
            <w:noWrap w:val="0"/>
            <w:vAlign w:val="center"/>
          </w:tcPr>
          <w:p w14:paraId="1CC2F1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环境影响评价技术导则  地下水环境</w:t>
            </w:r>
          </w:p>
        </w:tc>
        <w:tc>
          <w:tcPr>
            <w:tcW w:w="1253" w:type="pct"/>
            <w:tcBorders>
              <w:tl2br w:val="nil"/>
              <w:tr2bl w:val="nil"/>
            </w:tcBorders>
            <w:noWrap w:val="0"/>
            <w:vAlign w:val="center"/>
          </w:tcPr>
          <w:p w14:paraId="17DE22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HJ610-2016</w:t>
            </w:r>
          </w:p>
        </w:tc>
        <w:tc>
          <w:tcPr>
            <w:tcW w:w="662" w:type="pct"/>
            <w:tcBorders>
              <w:tl2br w:val="nil"/>
              <w:tr2bl w:val="nil"/>
            </w:tcBorders>
            <w:noWrap w:val="0"/>
            <w:vAlign w:val="center"/>
          </w:tcPr>
          <w:p w14:paraId="21DE3B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2016-01-07</w:t>
            </w:r>
          </w:p>
        </w:tc>
      </w:tr>
      <w:tr w14:paraId="65FA6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2D1DFE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7</w:t>
            </w:r>
          </w:p>
        </w:tc>
        <w:tc>
          <w:tcPr>
            <w:tcW w:w="2686" w:type="pct"/>
            <w:tcBorders>
              <w:tl2br w:val="nil"/>
              <w:tr2bl w:val="nil"/>
            </w:tcBorders>
            <w:noWrap w:val="0"/>
            <w:vAlign w:val="center"/>
          </w:tcPr>
          <w:p w14:paraId="5A0584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环境影响评价技术导则 陆地石油天然气开发建设项目</w:t>
            </w:r>
          </w:p>
        </w:tc>
        <w:tc>
          <w:tcPr>
            <w:tcW w:w="1253" w:type="pct"/>
            <w:tcBorders>
              <w:tl2br w:val="nil"/>
              <w:tr2bl w:val="nil"/>
            </w:tcBorders>
            <w:noWrap w:val="0"/>
            <w:vAlign w:val="center"/>
          </w:tcPr>
          <w:p w14:paraId="74C434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HJ349-20</w:t>
            </w:r>
            <w:r>
              <w:rPr>
                <w:rFonts w:hint="eastAsia" w:ascii="Times New Roman" w:hAnsi="Times New Roman" w:cs="Times New Roman"/>
                <w:color w:val="auto"/>
                <w:sz w:val="21"/>
                <w:szCs w:val="21"/>
                <w:highlight w:val="none"/>
                <w:u w:val="none"/>
                <w:lang w:val="en-US" w:eastAsia="zh-CN"/>
              </w:rPr>
              <w:t>23</w:t>
            </w:r>
          </w:p>
        </w:tc>
        <w:tc>
          <w:tcPr>
            <w:tcW w:w="662" w:type="pct"/>
            <w:tcBorders>
              <w:tl2br w:val="nil"/>
              <w:tr2bl w:val="nil"/>
            </w:tcBorders>
            <w:noWrap w:val="0"/>
            <w:vAlign w:val="center"/>
          </w:tcPr>
          <w:p w14:paraId="21019E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w:t>
            </w:r>
            <w:r>
              <w:rPr>
                <w:rFonts w:hint="eastAsia" w:ascii="Times New Roman" w:hAnsi="Times New Roman" w:cs="Times New Roman"/>
                <w:color w:val="auto"/>
                <w:sz w:val="21"/>
                <w:szCs w:val="21"/>
                <w:highlight w:val="none"/>
                <w:u w:val="none"/>
                <w:lang w:val="en-US" w:eastAsia="zh-CN"/>
              </w:rPr>
              <w:t>24</w:t>
            </w:r>
            <w:r>
              <w:rPr>
                <w:rFonts w:hint="default" w:ascii="Times New Roman" w:hAnsi="Times New Roman" w:cs="Times New Roman"/>
                <w:color w:val="auto"/>
                <w:sz w:val="21"/>
                <w:szCs w:val="21"/>
                <w:highlight w:val="none"/>
                <w:u w:val="none"/>
              </w:rPr>
              <w:t>-0</w:t>
            </w:r>
            <w:r>
              <w:rPr>
                <w:rFonts w:hint="eastAsia" w:ascii="Times New Roman" w:hAnsi="Times New Roman" w:cs="Times New Roman"/>
                <w:color w:val="auto"/>
                <w:sz w:val="21"/>
                <w:szCs w:val="21"/>
                <w:highlight w:val="none"/>
                <w:u w:val="none"/>
                <w:lang w:val="en-US" w:eastAsia="zh-CN"/>
              </w:rPr>
              <w:t>1</w:t>
            </w:r>
            <w:r>
              <w:rPr>
                <w:rFonts w:hint="default" w:ascii="Times New Roman" w:hAnsi="Times New Roman" w:cs="Times New Roman"/>
                <w:color w:val="auto"/>
                <w:sz w:val="21"/>
                <w:szCs w:val="21"/>
                <w:highlight w:val="none"/>
                <w:u w:val="none"/>
              </w:rPr>
              <w:t>-01</w:t>
            </w:r>
          </w:p>
        </w:tc>
      </w:tr>
      <w:tr w14:paraId="623E7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34D9EB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8</w:t>
            </w:r>
          </w:p>
        </w:tc>
        <w:tc>
          <w:tcPr>
            <w:tcW w:w="2686" w:type="pct"/>
            <w:tcBorders>
              <w:tl2br w:val="nil"/>
              <w:tr2bl w:val="nil"/>
            </w:tcBorders>
            <w:noWrap w:val="0"/>
            <w:vAlign w:val="center"/>
          </w:tcPr>
          <w:p w14:paraId="04A0B4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建设项目环境风险评价技术导则</w:t>
            </w:r>
          </w:p>
        </w:tc>
        <w:tc>
          <w:tcPr>
            <w:tcW w:w="1253" w:type="pct"/>
            <w:tcBorders>
              <w:tl2br w:val="nil"/>
              <w:tr2bl w:val="nil"/>
            </w:tcBorders>
            <w:noWrap w:val="0"/>
            <w:vAlign w:val="center"/>
          </w:tcPr>
          <w:p w14:paraId="740EC9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HJ169-2018</w:t>
            </w:r>
          </w:p>
        </w:tc>
        <w:tc>
          <w:tcPr>
            <w:tcW w:w="662" w:type="pct"/>
            <w:tcBorders>
              <w:tl2br w:val="nil"/>
              <w:tr2bl w:val="nil"/>
            </w:tcBorders>
            <w:noWrap w:val="0"/>
            <w:vAlign w:val="center"/>
          </w:tcPr>
          <w:p w14:paraId="50EA81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2019-03-01</w:t>
            </w:r>
          </w:p>
        </w:tc>
      </w:tr>
      <w:tr w14:paraId="70B5B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2F5E01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9</w:t>
            </w:r>
          </w:p>
        </w:tc>
        <w:tc>
          <w:tcPr>
            <w:tcW w:w="2686" w:type="pct"/>
            <w:tcBorders>
              <w:tl2br w:val="nil"/>
              <w:tr2bl w:val="nil"/>
            </w:tcBorders>
            <w:noWrap w:val="0"/>
            <w:vAlign w:val="center"/>
          </w:tcPr>
          <w:p w14:paraId="142CB7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环境影响评价技术导则  土壤</w:t>
            </w:r>
            <w:r>
              <w:rPr>
                <w:rFonts w:hint="default" w:ascii="Times New Roman" w:hAnsi="Times New Roman" w:cs="Times New Roman"/>
                <w:color w:val="auto"/>
                <w:sz w:val="21"/>
                <w:szCs w:val="21"/>
                <w:highlight w:val="none"/>
                <w:u w:val="none"/>
                <w:lang w:val="en-US" w:eastAsia="zh-CN"/>
              </w:rPr>
              <w:t>环境</w:t>
            </w:r>
            <w:r>
              <w:rPr>
                <w:rFonts w:hint="default" w:ascii="Times New Roman" w:hAnsi="Times New Roman" w:cs="Times New Roman"/>
                <w:color w:val="auto"/>
                <w:sz w:val="21"/>
                <w:szCs w:val="21"/>
                <w:highlight w:val="none"/>
                <w:u w:val="none"/>
              </w:rPr>
              <w:t>（试行）</w:t>
            </w:r>
          </w:p>
        </w:tc>
        <w:tc>
          <w:tcPr>
            <w:tcW w:w="1253" w:type="pct"/>
            <w:tcBorders>
              <w:tl2br w:val="nil"/>
              <w:tr2bl w:val="nil"/>
            </w:tcBorders>
            <w:noWrap w:val="0"/>
            <w:vAlign w:val="center"/>
          </w:tcPr>
          <w:p w14:paraId="2D8371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HJ964-2018</w:t>
            </w:r>
          </w:p>
        </w:tc>
        <w:tc>
          <w:tcPr>
            <w:tcW w:w="662" w:type="pct"/>
            <w:tcBorders>
              <w:tl2br w:val="nil"/>
              <w:tr2bl w:val="nil"/>
            </w:tcBorders>
            <w:noWrap w:val="0"/>
            <w:vAlign w:val="center"/>
          </w:tcPr>
          <w:p w14:paraId="35C54D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2019-07-01</w:t>
            </w:r>
          </w:p>
        </w:tc>
      </w:tr>
      <w:tr w14:paraId="4621F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183D9E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10</w:t>
            </w:r>
          </w:p>
        </w:tc>
        <w:tc>
          <w:tcPr>
            <w:tcW w:w="2686" w:type="pct"/>
            <w:tcBorders>
              <w:tl2br w:val="nil"/>
              <w:tr2bl w:val="nil"/>
            </w:tcBorders>
            <w:noWrap w:val="0"/>
            <w:vAlign w:val="center"/>
          </w:tcPr>
          <w:p w14:paraId="1DC966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危险废物管理计划和管理台账制定技术导则</w:t>
            </w:r>
          </w:p>
        </w:tc>
        <w:tc>
          <w:tcPr>
            <w:tcW w:w="1253" w:type="pct"/>
            <w:tcBorders>
              <w:tl2br w:val="nil"/>
              <w:tr2bl w:val="nil"/>
            </w:tcBorders>
            <w:noWrap w:val="0"/>
            <w:vAlign w:val="center"/>
          </w:tcPr>
          <w:p w14:paraId="0873C8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HJ 1259-2022</w:t>
            </w:r>
          </w:p>
        </w:tc>
        <w:tc>
          <w:tcPr>
            <w:tcW w:w="662" w:type="pct"/>
            <w:tcBorders>
              <w:tl2br w:val="nil"/>
              <w:tr2bl w:val="nil"/>
            </w:tcBorders>
            <w:noWrap w:val="0"/>
            <w:vAlign w:val="center"/>
          </w:tcPr>
          <w:p w14:paraId="2D6873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2022.10.01</w:t>
            </w:r>
          </w:p>
        </w:tc>
      </w:tr>
      <w:tr w14:paraId="58764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4D7AA7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11</w:t>
            </w:r>
          </w:p>
        </w:tc>
        <w:tc>
          <w:tcPr>
            <w:tcW w:w="2686" w:type="pct"/>
            <w:tcBorders>
              <w:tl2br w:val="nil"/>
              <w:tr2bl w:val="nil"/>
            </w:tcBorders>
            <w:noWrap w:val="0"/>
            <w:vAlign w:val="center"/>
          </w:tcPr>
          <w:p w14:paraId="6E6BB2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水土保持综合治理技术规范</w:t>
            </w:r>
          </w:p>
        </w:tc>
        <w:tc>
          <w:tcPr>
            <w:tcW w:w="1253" w:type="pct"/>
            <w:tcBorders>
              <w:tl2br w:val="nil"/>
              <w:tr2bl w:val="nil"/>
            </w:tcBorders>
            <w:noWrap w:val="0"/>
            <w:vAlign w:val="center"/>
          </w:tcPr>
          <w:p w14:paraId="52314D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GB/T16453.1~6-2008</w:t>
            </w:r>
          </w:p>
        </w:tc>
        <w:tc>
          <w:tcPr>
            <w:tcW w:w="662" w:type="pct"/>
            <w:tcBorders>
              <w:tl2br w:val="nil"/>
              <w:tr2bl w:val="nil"/>
            </w:tcBorders>
            <w:noWrap w:val="0"/>
            <w:vAlign w:val="center"/>
          </w:tcPr>
          <w:p w14:paraId="2A4B8B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2009-02-01</w:t>
            </w:r>
          </w:p>
        </w:tc>
      </w:tr>
      <w:tr w14:paraId="2FD9F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13DA7D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12</w:t>
            </w:r>
          </w:p>
        </w:tc>
        <w:tc>
          <w:tcPr>
            <w:tcW w:w="2686" w:type="pct"/>
            <w:tcBorders>
              <w:tl2br w:val="nil"/>
              <w:tr2bl w:val="nil"/>
            </w:tcBorders>
            <w:noWrap w:val="0"/>
            <w:vAlign w:val="center"/>
          </w:tcPr>
          <w:p w14:paraId="6A7A02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生产建设项目水土保持技术标准</w:t>
            </w:r>
          </w:p>
        </w:tc>
        <w:tc>
          <w:tcPr>
            <w:tcW w:w="1253" w:type="pct"/>
            <w:tcBorders>
              <w:tl2br w:val="nil"/>
              <w:tr2bl w:val="nil"/>
            </w:tcBorders>
            <w:noWrap w:val="0"/>
            <w:vAlign w:val="center"/>
          </w:tcPr>
          <w:p w14:paraId="2DEFF3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GB50433-2018</w:t>
            </w:r>
          </w:p>
        </w:tc>
        <w:tc>
          <w:tcPr>
            <w:tcW w:w="662" w:type="pct"/>
            <w:tcBorders>
              <w:tl2br w:val="nil"/>
              <w:tr2bl w:val="nil"/>
            </w:tcBorders>
            <w:noWrap w:val="0"/>
            <w:vAlign w:val="center"/>
          </w:tcPr>
          <w:p w14:paraId="19D4F5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2019-09-03</w:t>
            </w:r>
          </w:p>
        </w:tc>
      </w:tr>
      <w:tr w14:paraId="1C1D1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315DC4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13</w:t>
            </w:r>
          </w:p>
        </w:tc>
        <w:tc>
          <w:tcPr>
            <w:tcW w:w="2686" w:type="pct"/>
            <w:tcBorders>
              <w:tl2br w:val="nil"/>
              <w:tr2bl w:val="nil"/>
            </w:tcBorders>
            <w:noWrap w:val="0"/>
            <w:vAlign w:val="center"/>
          </w:tcPr>
          <w:p w14:paraId="478BA1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危险化学品重大危险源辨识</w:t>
            </w:r>
          </w:p>
        </w:tc>
        <w:tc>
          <w:tcPr>
            <w:tcW w:w="1253" w:type="pct"/>
            <w:tcBorders>
              <w:tl2br w:val="nil"/>
              <w:tr2bl w:val="nil"/>
            </w:tcBorders>
            <w:noWrap w:val="0"/>
            <w:vAlign w:val="center"/>
          </w:tcPr>
          <w:p w14:paraId="1D9D2E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GB18218-2018</w:t>
            </w:r>
          </w:p>
        </w:tc>
        <w:tc>
          <w:tcPr>
            <w:tcW w:w="662" w:type="pct"/>
            <w:tcBorders>
              <w:tl2br w:val="nil"/>
              <w:tr2bl w:val="nil"/>
            </w:tcBorders>
            <w:noWrap w:val="0"/>
            <w:vAlign w:val="center"/>
          </w:tcPr>
          <w:p w14:paraId="72F3F3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2018-11-19</w:t>
            </w:r>
          </w:p>
        </w:tc>
      </w:tr>
      <w:tr w14:paraId="5267D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3DC3E5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14</w:t>
            </w:r>
          </w:p>
        </w:tc>
        <w:tc>
          <w:tcPr>
            <w:tcW w:w="2686" w:type="pct"/>
            <w:tcBorders>
              <w:tl2br w:val="nil"/>
              <w:tr2bl w:val="nil"/>
            </w:tcBorders>
            <w:noWrap w:val="0"/>
            <w:vAlign w:val="center"/>
          </w:tcPr>
          <w:p w14:paraId="48701F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石油天然气工业健康、安全与环境管理体系</w:t>
            </w:r>
          </w:p>
        </w:tc>
        <w:tc>
          <w:tcPr>
            <w:tcW w:w="1253" w:type="pct"/>
            <w:tcBorders>
              <w:tl2br w:val="nil"/>
              <w:tr2bl w:val="nil"/>
            </w:tcBorders>
            <w:noWrap w:val="0"/>
            <w:vAlign w:val="center"/>
          </w:tcPr>
          <w:p w14:paraId="7A23EB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SY/T6276-2014</w:t>
            </w:r>
          </w:p>
        </w:tc>
        <w:tc>
          <w:tcPr>
            <w:tcW w:w="662" w:type="pct"/>
            <w:tcBorders>
              <w:tl2br w:val="nil"/>
              <w:tr2bl w:val="nil"/>
            </w:tcBorders>
            <w:noWrap w:val="0"/>
            <w:vAlign w:val="center"/>
          </w:tcPr>
          <w:p w14:paraId="395D0C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2015-03-01</w:t>
            </w:r>
          </w:p>
        </w:tc>
      </w:tr>
      <w:tr w14:paraId="68505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2C2AD3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15</w:t>
            </w:r>
          </w:p>
        </w:tc>
        <w:tc>
          <w:tcPr>
            <w:tcW w:w="2686" w:type="pct"/>
            <w:tcBorders>
              <w:tl2br w:val="nil"/>
              <w:tr2bl w:val="nil"/>
            </w:tcBorders>
            <w:noWrap w:val="0"/>
            <w:vAlign w:val="center"/>
          </w:tcPr>
          <w:p w14:paraId="3F507F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石油化工环境保护设计规范</w:t>
            </w:r>
          </w:p>
        </w:tc>
        <w:tc>
          <w:tcPr>
            <w:tcW w:w="1253" w:type="pct"/>
            <w:tcBorders>
              <w:tl2br w:val="nil"/>
              <w:tr2bl w:val="nil"/>
            </w:tcBorders>
            <w:noWrap w:val="0"/>
            <w:vAlign w:val="center"/>
          </w:tcPr>
          <w:p w14:paraId="711225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SH/T3024-2017</w:t>
            </w:r>
          </w:p>
        </w:tc>
        <w:tc>
          <w:tcPr>
            <w:tcW w:w="662" w:type="pct"/>
            <w:tcBorders>
              <w:tl2br w:val="nil"/>
              <w:tr2bl w:val="nil"/>
            </w:tcBorders>
            <w:noWrap w:val="0"/>
            <w:vAlign w:val="center"/>
          </w:tcPr>
          <w:p w14:paraId="1032AA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2018-01-01</w:t>
            </w:r>
          </w:p>
        </w:tc>
      </w:tr>
      <w:tr w14:paraId="2EDB5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0F5E5D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16</w:t>
            </w:r>
          </w:p>
        </w:tc>
        <w:tc>
          <w:tcPr>
            <w:tcW w:w="2686" w:type="pct"/>
            <w:tcBorders>
              <w:tl2br w:val="nil"/>
              <w:tr2bl w:val="nil"/>
            </w:tcBorders>
            <w:noWrap w:val="0"/>
            <w:vAlign w:val="center"/>
          </w:tcPr>
          <w:p w14:paraId="46D007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油气田含油污泥综合利用污染控制要求</w:t>
            </w:r>
          </w:p>
        </w:tc>
        <w:tc>
          <w:tcPr>
            <w:tcW w:w="1253" w:type="pct"/>
            <w:tcBorders>
              <w:tl2br w:val="nil"/>
              <w:tr2bl w:val="nil"/>
            </w:tcBorders>
            <w:noWrap w:val="0"/>
            <w:vAlign w:val="center"/>
          </w:tcPr>
          <w:p w14:paraId="755323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DB 65/T 3998-2017</w:t>
            </w:r>
          </w:p>
        </w:tc>
        <w:tc>
          <w:tcPr>
            <w:tcW w:w="662" w:type="pct"/>
            <w:tcBorders>
              <w:tl2br w:val="nil"/>
              <w:tr2bl w:val="nil"/>
            </w:tcBorders>
            <w:noWrap w:val="0"/>
            <w:vAlign w:val="center"/>
          </w:tcPr>
          <w:p w14:paraId="5779F7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2017-05-30</w:t>
            </w:r>
          </w:p>
        </w:tc>
      </w:tr>
      <w:tr w14:paraId="7B851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3239D9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w:t>
            </w:r>
            <w:r>
              <w:rPr>
                <w:rFonts w:hint="eastAsia" w:cs="Times New Roman"/>
                <w:color w:val="auto"/>
                <w:sz w:val="21"/>
                <w:szCs w:val="21"/>
                <w:highlight w:val="none"/>
                <w:u w:val="none"/>
                <w:lang w:val="en-US" w:eastAsia="zh-CN"/>
              </w:rPr>
              <w:t>7</w:t>
            </w:r>
          </w:p>
        </w:tc>
        <w:tc>
          <w:tcPr>
            <w:tcW w:w="2686" w:type="pct"/>
            <w:tcBorders>
              <w:tl2br w:val="nil"/>
              <w:tr2bl w:val="nil"/>
            </w:tcBorders>
            <w:noWrap w:val="0"/>
            <w:vAlign w:val="center"/>
          </w:tcPr>
          <w:p w14:paraId="2E6F2F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油气田含油污泥及钻井固体废物处理处置技术规范</w:t>
            </w:r>
          </w:p>
        </w:tc>
        <w:tc>
          <w:tcPr>
            <w:tcW w:w="1253" w:type="pct"/>
            <w:tcBorders>
              <w:tl2br w:val="nil"/>
              <w:tr2bl w:val="nil"/>
            </w:tcBorders>
            <w:noWrap w:val="0"/>
            <w:vAlign w:val="center"/>
          </w:tcPr>
          <w:p w14:paraId="57D3EE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DB 65/T 3999-2017</w:t>
            </w:r>
          </w:p>
        </w:tc>
        <w:tc>
          <w:tcPr>
            <w:tcW w:w="662" w:type="pct"/>
            <w:tcBorders>
              <w:tl2br w:val="nil"/>
              <w:tr2bl w:val="nil"/>
            </w:tcBorders>
            <w:noWrap w:val="0"/>
            <w:vAlign w:val="center"/>
          </w:tcPr>
          <w:p w14:paraId="6C8CF5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2017-05-30</w:t>
            </w:r>
          </w:p>
        </w:tc>
      </w:tr>
      <w:tr w14:paraId="7CBD0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2E1D4F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w:t>
            </w:r>
            <w:r>
              <w:rPr>
                <w:rFonts w:hint="eastAsia" w:cs="Times New Roman"/>
                <w:color w:val="auto"/>
                <w:sz w:val="21"/>
                <w:szCs w:val="21"/>
                <w:highlight w:val="none"/>
                <w:u w:val="none"/>
                <w:lang w:val="en-US" w:eastAsia="zh-CN"/>
              </w:rPr>
              <w:t>8</w:t>
            </w:r>
          </w:p>
        </w:tc>
        <w:tc>
          <w:tcPr>
            <w:tcW w:w="2686" w:type="pct"/>
            <w:tcBorders>
              <w:tl2br w:val="nil"/>
              <w:tr2bl w:val="nil"/>
            </w:tcBorders>
            <w:noWrap w:val="0"/>
            <w:vAlign w:val="center"/>
          </w:tcPr>
          <w:p w14:paraId="2BD90F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陆上石油天然气开采含油污泥资源化综合利用及污染控制技术要求</w:t>
            </w:r>
          </w:p>
        </w:tc>
        <w:tc>
          <w:tcPr>
            <w:tcW w:w="1253" w:type="pct"/>
            <w:tcBorders>
              <w:tl2br w:val="nil"/>
              <w:tr2bl w:val="nil"/>
            </w:tcBorders>
            <w:noWrap w:val="0"/>
            <w:vAlign w:val="center"/>
          </w:tcPr>
          <w:p w14:paraId="31B58C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SY/T</w:t>
            </w:r>
            <w:r>
              <w:rPr>
                <w:rFonts w:hint="default" w:ascii="Times New Roman" w:hAnsi="Times New Roman" w:cs="Times New Roman"/>
                <w:color w:val="auto"/>
                <w:sz w:val="21"/>
                <w:szCs w:val="21"/>
                <w:highlight w:val="none"/>
                <w:u w:val="none"/>
                <w:lang w:val="en-US" w:eastAsia="zh-CN"/>
              </w:rPr>
              <w:t>7</w:t>
            </w:r>
            <w:r>
              <w:rPr>
                <w:rFonts w:hint="default" w:ascii="Times New Roman" w:hAnsi="Times New Roman" w:cs="Times New Roman"/>
                <w:color w:val="auto"/>
                <w:sz w:val="21"/>
                <w:szCs w:val="21"/>
                <w:highlight w:val="none"/>
                <w:u w:val="none"/>
              </w:rPr>
              <w:t>301-2016</w:t>
            </w:r>
          </w:p>
        </w:tc>
        <w:tc>
          <w:tcPr>
            <w:tcW w:w="662" w:type="pct"/>
            <w:tcBorders>
              <w:tl2br w:val="nil"/>
              <w:tr2bl w:val="nil"/>
            </w:tcBorders>
            <w:noWrap w:val="0"/>
            <w:vAlign w:val="center"/>
          </w:tcPr>
          <w:p w14:paraId="55C3C6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2017-05-01</w:t>
            </w:r>
          </w:p>
        </w:tc>
      </w:tr>
      <w:tr w14:paraId="0AC98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1130AB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19</w:t>
            </w:r>
          </w:p>
        </w:tc>
        <w:tc>
          <w:tcPr>
            <w:tcW w:w="2686" w:type="pct"/>
            <w:tcBorders>
              <w:tl2br w:val="nil"/>
              <w:tr2bl w:val="nil"/>
            </w:tcBorders>
            <w:noWrap w:val="0"/>
            <w:vAlign w:val="center"/>
          </w:tcPr>
          <w:p w14:paraId="39BDD2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建设项目危险废物环境影响评价技术指南</w:t>
            </w:r>
          </w:p>
        </w:tc>
        <w:tc>
          <w:tcPr>
            <w:tcW w:w="1253" w:type="pct"/>
            <w:tcBorders>
              <w:tl2br w:val="nil"/>
              <w:tr2bl w:val="nil"/>
            </w:tcBorders>
            <w:noWrap w:val="0"/>
            <w:vAlign w:val="center"/>
          </w:tcPr>
          <w:p w14:paraId="5E0F31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2017年第43号</w:t>
            </w:r>
          </w:p>
        </w:tc>
        <w:tc>
          <w:tcPr>
            <w:tcW w:w="662" w:type="pct"/>
            <w:tcBorders>
              <w:tl2br w:val="nil"/>
              <w:tr2bl w:val="nil"/>
            </w:tcBorders>
            <w:noWrap w:val="0"/>
            <w:vAlign w:val="center"/>
          </w:tcPr>
          <w:p w14:paraId="4304F6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2017-10-01</w:t>
            </w:r>
          </w:p>
        </w:tc>
      </w:tr>
      <w:tr w14:paraId="66D5E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08D0FD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2</w:t>
            </w:r>
            <w:r>
              <w:rPr>
                <w:rFonts w:hint="eastAsia" w:cs="Times New Roman"/>
                <w:color w:val="auto"/>
                <w:sz w:val="21"/>
                <w:szCs w:val="21"/>
                <w:highlight w:val="none"/>
                <w:u w:val="none"/>
                <w:lang w:val="en-US" w:eastAsia="zh-CN"/>
              </w:rPr>
              <w:t>0</w:t>
            </w:r>
          </w:p>
        </w:tc>
        <w:tc>
          <w:tcPr>
            <w:tcW w:w="2686" w:type="pct"/>
            <w:tcBorders>
              <w:tl2br w:val="nil"/>
              <w:tr2bl w:val="nil"/>
            </w:tcBorders>
            <w:noWrap w:val="0"/>
            <w:vAlign w:val="center"/>
          </w:tcPr>
          <w:p w14:paraId="5A82DD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bCs/>
                <w:color w:val="auto"/>
                <w:sz w:val="21"/>
                <w:szCs w:val="21"/>
                <w:highlight w:val="none"/>
                <w:u w:val="none"/>
                <w:lang w:val="en"/>
              </w:rPr>
              <w:t>陆上石油天然气开采业绿色矿山建设规范</w:t>
            </w:r>
          </w:p>
        </w:tc>
        <w:tc>
          <w:tcPr>
            <w:tcW w:w="1253" w:type="pct"/>
            <w:tcBorders>
              <w:tl2br w:val="nil"/>
              <w:tr2bl w:val="nil"/>
            </w:tcBorders>
            <w:noWrap w:val="0"/>
            <w:vAlign w:val="center"/>
          </w:tcPr>
          <w:p w14:paraId="448943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bCs/>
                <w:color w:val="auto"/>
                <w:sz w:val="21"/>
                <w:szCs w:val="21"/>
                <w:highlight w:val="none"/>
                <w:u w:val="none"/>
                <w:lang w:val="en"/>
              </w:rPr>
              <w:t>DZ/T 0317-2018</w:t>
            </w:r>
          </w:p>
        </w:tc>
        <w:tc>
          <w:tcPr>
            <w:tcW w:w="662" w:type="pct"/>
            <w:tcBorders>
              <w:tl2br w:val="nil"/>
              <w:tr2bl w:val="nil"/>
            </w:tcBorders>
            <w:noWrap w:val="0"/>
            <w:vAlign w:val="center"/>
          </w:tcPr>
          <w:p w14:paraId="208871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bCs/>
                <w:color w:val="auto"/>
                <w:sz w:val="21"/>
                <w:szCs w:val="21"/>
                <w:highlight w:val="none"/>
                <w:u w:val="none"/>
                <w:lang w:val="en"/>
              </w:rPr>
              <w:t>2018</w:t>
            </w:r>
            <w:r>
              <w:rPr>
                <w:rFonts w:hint="default" w:ascii="Times New Roman" w:hAnsi="Times New Roman" w:cs="Times New Roman"/>
                <w:bCs/>
                <w:color w:val="auto"/>
                <w:sz w:val="21"/>
                <w:szCs w:val="21"/>
                <w:highlight w:val="none"/>
                <w:u w:val="none"/>
              </w:rPr>
              <w:t>-10-01</w:t>
            </w:r>
          </w:p>
        </w:tc>
      </w:tr>
      <w:tr w14:paraId="45DAF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3D2829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2</w:t>
            </w:r>
            <w:r>
              <w:rPr>
                <w:rFonts w:hint="eastAsia" w:cs="Times New Roman"/>
                <w:color w:val="auto"/>
                <w:sz w:val="21"/>
                <w:szCs w:val="21"/>
                <w:highlight w:val="none"/>
                <w:u w:val="none"/>
                <w:lang w:val="en-US" w:eastAsia="zh-CN"/>
              </w:rPr>
              <w:t>1</w:t>
            </w:r>
          </w:p>
        </w:tc>
        <w:tc>
          <w:tcPr>
            <w:tcW w:w="2686" w:type="pct"/>
            <w:tcBorders>
              <w:tl2br w:val="nil"/>
              <w:tr2bl w:val="nil"/>
            </w:tcBorders>
            <w:noWrap w:val="0"/>
            <w:vAlign w:val="center"/>
          </w:tcPr>
          <w:p w14:paraId="3A84D2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矿山生态环境保护与恢复治理技术规范</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试行</w:t>
            </w:r>
            <w:r>
              <w:rPr>
                <w:rFonts w:hint="default" w:ascii="Times New Roman" w:hAnsi="Times New Roman" w:cs="Times New Roman"/>
                <w:color w:val="auto"/>
                <w:sz w:val="21"/>
                <w:szCs w:val="21"/>
                <w:highlight w:val="none"/>
                <w:u w:val="none"/>
                <w:lang w:eastAsia="zh-CN"/>
              </w:rPr>
              <w:t>）</w:t>
            </w:r>
          </w:p>
        </w:tc>
        <w:tc>
          <w:tcPr>
            <w:tcW w:w="1253" w:type="pct"/>
            <w:tcBorders>
              <w:tl2br w:val="nil"/>
              <w:tr2bl w:val="nil"/>
            </w:tcBorders>
            <w:noWrap w:val="0"/>
            <w:vAlign w:val="center"/>
          </w:tcPr>
          <w:p w14:paraId="223D92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HJ 651</w:t>
            </w:r>
            <w:r>
              <w:rPr>
                <w:rFonts w:hint="default" w:ascii="Times New Roman" w:hAnsi="Times New Roman" w:cs="Times New Roman"/>
                <w:color w:val="auto"/>
                <w:sz w:val="21"/>
                <w:szCs w:val="21"/>
                <w:highlight w:val="none"/>
                <w:u w:val="none"/>
                <w:lang w:val="en"/>
              </w:rPr>
              <w:t>-</w:t>
            </w:r>
            <w:r>
              <w:rPr>
                <w:rFonts w:hint="default" w:ascii="Times New Roman" w:hAnsi="Times New Roman" w:cs="Times New Roman"/>
                <w:color w:val="auto"/>
                <w:sz w:val="21"/>
                <w:szCs w:val="21"/>
                <w:highlight w:val="none"/>
                <w:u w:val="none"/>
              </w:rPr>
              <w:t>2013</w:t>
            </w:r>
          </w:p>
        </w:tc>
        <w:tc>
          <w:tcPr>
            <w:tcW w:w="662" w:type="pct"/>
            <w:tcBorders>
              <w:tl2br w:val="nil"/>
              <w:tr2bl w:val="nil"/>
            </w:tcBorders>
            <w:noWrap w:val="0"/>
            <w:vAlign w:val="center"/>
          </w:tcPr>
          <w:p w14:paraId="5E3D96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bCs/>
                <w:color w:val="auto"/>
                <w:sz w:val="21"/>
                <w:szCs w:val="21"/>
                <w:highlight w:val="none"/>
                <w:u w:val="none"/>
                <w:lang w:val="en"/>
              </w:rPr>
              <w:t>2013-07-23</w:t>
            </w:r>
          </w:p>
        </w:tc>
      </w:tr>
      <w:tr w14:paraId="693B9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3A21F1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2</w:t>
            </w:r>
            <w:r>
              <w:rPr>
                <w:rFonts w:hint="eastAsia" w:cs="Times New Roman"/>
                <w:color w:val="auto"/>
                <w:sz w:val="21"/>
                <w:szCs w:val="21"/>
                <w:highlight w:val="none"/>
                <w:u w:val="none"/>
                <w:lang w:val="en-US" w:eastAsia="zh-CN"/>
              </w:rPr>
              <w:t>2</w:t>
            </w:r>
          </w:p>
        </w:tc>
        <w:tc>
          <w:tcPr>
            <w:tcW w:w="2686" w:type="pct"/>
            <w:tcBorders>
              <w:tl2br w:val="nil"/>
              <w:tr2bl w:val="nil"/>
            </w:tcBorders>
            <w:noWrap w:val="0"/>
            <w:vAlign w:val="center"/>
          </w:tcPr>
          <w:p w14:paraId="7DF094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bCs/>
                <w:color w:val="auto"/>
                <w:sz w:val="21"/>
                <w:szCs w:val="21"/>
                <w:highlight w:val="none"/>
                <w:u w:val="none"/>
                <w:lang w:val="en"/>
              </w:rPr>
              <w:t>废弃井及长停井处置指南</w:t>
            </w:r>
          </w:p>
        </w:tc>
        <w:tc>
          <w:tcPr>
            <w:tcW w:w="1253" w:type="pct"/>
            <w:tcBorders>
              <w:tl2br w:val="nil"/>
              <w:tr2bl w:val="nil"/>
            </w:tcBorders>
            <w:noWrap w:val="0"/>
            <w:vAlign w:val="center"/>
          </w:tcPr>
          <w:p w14:paraId="480355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pacing w:val="-6"/>
                <w:sz w:val="21"/>
                <w:szCs w:val="21"/>
                <w:highlight w:val="none"/>
                <w:u w:val="none"/>
              </w:rPr>
            </w:pPr>
            <w:r>
              <w:rPr>
                <w:rFonts w:hint="default" w:ascii="Times New Roman" w:hAnsi="Times New Roman" w:cs="Times New Roman"/>
                <w:bCs/>
                <w:color w:val="auto"/>
                <w:spacing w:val="-6"/>
                <w:sz w:val="21"/>
                <w:szCs w:val="21"/>
                <w:highlight w:val="none"/>
                <w:u w:val="none"/>
                <w:lang w:val="en"/>
              </w:rPr>
              <w:t>SY/T6646-2017</w:t>
            </w:r>
          </w:p>
        </w:tc>
        <w:tc>
          <w:tcPr>
            <w:tcW w:w="662" w:type="pct"/>
            <w:tcBorders>
              <w:tl2br w:val="nil"/>
              <w:tr2bl w:val="nil"/>
            </w:tcBorders>
            <w:noWrap w:val="0"/>
            <w:vAlign w:val="center"/>
          </w:tcPr>
          <w:p w14:paraId="57E6E5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bCs/>
                <w:color w:val="auto"/>
                <w:sz w:val="21"/>
                <w:szCs w:val="21"/>
                <w:highlight w:val="none"/>
                <w:u w:val="none"/>
              </w:rPr>
              <w:t>2018-03-01</w:t>
            </w:r>
          </w:p>
        </w:tc>
      </w:tr>
      <w:tr w14:paraId="0A96F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1FB9A3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23</w:t>
            </w:r>
          </w:p>
        </w:tc>
        <w:tc>
          <w:tcPr>
            <w:tcW w:w="2686" w:type="pct"/>
            <w:tcBorders>
              <w:tl2br w:val="nil"/>
              <w:tr2bl w:val="nil"/>
            </w:tcBorders>
            <w:noWrap w:val="0"/>
            <w:vAlign w:val="center"/>
          </w:tcPr>
          <w:p w14:paraId="16E7BE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
              </w:rPr>
            </w:pPr>
            <w:r>
              <w:rPr>
                <w:rFonts w:hint="default" w:ascii="Times New Roman" w:hAnsi="Times New Roman" w:cs="Times New Roman"/>
                <w:color w:val="auto"/>
                <w:sz w:val="21"/>
                <w:szCs w:val="21"/>
                <w:highlight w:val="none"/>
                <w:u w:val="none"/>
                <w:lang w:val="en"/>
              </w:rPr>
              <w:t>一般工业固体废物贮存和填埋污染控制标准</w:t>
            </w:r>
          </w:p>
        </w:tc>
        <w:tc>
          <w:tcPr>
            <w:tcW w:w="1253" w:type="pct"/>
            <w:tcBorders>
              <w:tl2br w:val="nil"/>
              <w:tr2bl w:val="nil"/>
            </w:tcBorders>
            <w:noWrap w:val="0"/>
            <w:vAlign w:val="center"/>
          </w:tcPr>
          <w:p w14:paraId="366026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
              </w:rPr>
            </w:pPr>
            <w:r>
              <w:rPr>
                <w:rFonts w:hint="default" w:ascii="Times New Roman" w:hAnsi="Times New Roman" w:cs="Times New Roman"/>
                <w:color w:val="auto"/>
                <w:sz w:val="21"/>
                <w:szCs w:val="21"/>
                <w:highlight w:val="none"/>
                <w:u w:val="none"/>
                <w:lang w:val="en"/>
              </w:rPr>
              <w:t>GB 18599-2020</w:t>
            </w:r>
          </w:p>
        </w:tc>
        <w:tc>
          <w:tcPr>
            <w:tcW w:w="662" w:type="pct"/>
            <w:tcBorders>
              <w:tl2br w:val="nil"/>
              <w:tr2bl w:val="nil"/>
            </w:tcBorders>
            <w:noWrap w:val="0"/>
            <w:vAlign w:val="center"/>
          </w:tcPr>
          <w:p w14:paraId="739A32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
              </w:rPr>
            </w:pPr>
            <w:r>
              <w:rPr>
                <w:rFonts w:hint="default" w:ascii="Times New Roman" w:hAnsi="Times New Roman" w:cs="Times New Roman"/>
                <w:color w:val="auto"/>
                <w:sz w:val="21"/>
                <w:szCs w:val="21"/>
                <w:highlight w:val="none"/>
                <w:u w:val="none"/>
              </w:rPr>
              <w:t>2021-07-01 </w:t>
            </w:r>
          </w:p>
        </w:tc>
      </w:tr>
      <w:tr w14:paraId="4E835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615AA0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24</w:t>
            </w:r>
          </w:p>
        </w:tc>
        <w:tc>
          <w:tcPr>
            <w:tcW w:w="2686" w:type="pct"/>
            <w:tcBorders>
              <w:tl2br w:val="nil"/>
              <w:tr2bl w:val="nil"/>
            </w:tcBorders>
            <w:noWrap w:val="0"/>
            <w:vAlign w:val="center"/>
          </w:tcPr>
          <w:p w14:paraId="034A21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
              </w:rPr>
            </w:pPr>
            <w:r>
              <w:rPr>
                <w:rFonts w:hint="default" w:ascii="Times New Roman" w:hAnsi="Times New Roman" w:cs="Times New Roman"/>
                <w:color w:val="auto"/>
                <w:sz w:val="21"/>
                <w:szCs w:val="21"/>
                <w:highlight w:val="none"/>
                <w:u w:val="none"/>
                <w:lang w:val="zh-CN"/>
              </w:rPr>
              <w:t>危险废物鉴别标准通则</w:t>
            </w:r>
          </w:p>
        </w:tc>
        <w:tc>
          <w:tcPr>
            <w:tcW w:w="1253" w:type="pct"/>
            <w:tcBorders>
              <w:tl2br w:val="nil"/>
              <w:tr2bl w:val="nil"/>
            </w:tcBorders>
            <w:noWrap w:val="0"/>
            <w:vAlign w:val="center"/>
          </w:tcPr>
          <w:p w14:paraId="5181AD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
              </w:rPr>
            </w:pPr>
            <w:r>
              <w:rPr>
                <w:rFonts w:hint="default" w:ascii="Times New Roman" w:hAnsi="Times New Roman" w:cs="Times New Roman"/>
                <w:color w:val="auto"/>
                <w:sz w:val="21"/>
                <w:szCs w:val="21"/>
                <w:highlight w:val="none"/>
                <w:u w:val="none"/>
                <w:lang w:val="zh-CN"/>
              </w:rPr>
              <w:t>GB 5085.7</w:t>
            </w:r>
            <w:r>
              <w:rPr>
                <w:rFonts w:hint="default" w:ascii="Times New Roman" w:hAnsi="Times New Roman" w:eastAsia="宋体"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lang w:val="zh-CN"/>
              </w:rPr>
              <w:t>2019</w:t>
            </w:r>
          </w:p>
        </w:tc>
        <w:tc>
          <w:tcPr>
            <w:tcW w:w="662" w:type="pct"/>
            <w:tcBorders>
              <w:tl2br w:val="nil"/>
              <w:tr2bl w:val="nil"/>
            </w:tcBorders>
            <w:noWrap w:val="0"/>
            <w:vAlign w:val="center"/>
          </w:tcPr>
          <w:p w14:paraId="0EBF3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
              </w:rPr>
            </w:pPr>
            <w:r>
              <w:rPr>
                <w:rFonts w:hint="default" w:ascii="Times New Roman" w:hAnsi="Times New Roman" w:cs="Times New Roman"/>
                <w:color w:val="auto"/>
                <w:sz w:val="21"/>
                <w:szCs w:val="21"/>
                <w:highlight w:val="none"/>
                <w:u w:val="none"/>
              </w:rPr>
              <w:t>2021-01-01</w:t>
            </w:r>
          </w:p>
        </w:tc>
      </w:tr>
      <w:tr w14:paraId="3DEA0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66A02C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25</w:t>
            </w:r>
          </w:p>
        </w:tc>
        <w:tc>
          <w:tcPr>
            <w:tcW w:w="2686" w:type="pct"/>
            <w:tcBorders>
              <w:tl2br w:val="nil"/>
              <w:tr2bl w:val="nil"/>
            </w:tcBorders>
            <w:noWrap w:val="0"/>
            <w:vAlign w:val="center"/>
          </w:tcPr>
          <w:p w14:paraId="534F61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zh-CN"/>
              </w:rPr>
            </w:pPr>
            <w:r>
              <w:rPr>
                <w:rFonts w:hint="default" w:ascii="Times New Roman" w:hAnsi="Times New Roman" w:eastAsia="宋体" w:cs="Times New Roman"/>
                <w:color w:val="auto"/>
                <w:sz w:val="21"/>
                <w:szCs w:val="21"/>
                <w:highlight w:val="none"/>
                <w:u w:val="none"/>
                <w:lang w:val="en-US" w:eastAsia="zh-CN"/>
              </w:rPr>
              <w:t>危险废物识别标志设置技术规范</w:t>
            </w:r>
          </w:p>
        </w:tc>
        <w:tc>
          <w:tcPr>
            <w:tcW w:w="1253" w:type="pct"/>
            <w:tcBorders>
              <w:tl2br w:val="nil"/>
              <w:tr2bl w:val="nil"/>
            </w:tcBorders>
            <w:noWrap w:val="0"/>
            <w:vAlign w:val="center"/>
          </w:tcPr>
          <w:p w14:paraId="775253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zh-CN"/>
              </w:rPr>
            </w:pPr>
            <w:r>
              <w:rPr>
                <w:rFonts w:hint="default" w:ascii="Times New Roman" w:hAnsi="Times New Roman" w:eastAsia="宋体" w:cs="Times New Roman"/>
                <w:color w:val="auto"/>
                <w:sz w:val="21"/>
                <w:szCs w:val="21"/>
                <w:highlight w:val="none"/>
                <w:u w:val="none"/>
                <w:lang w:val="en-US" w:eastAsia="zh-CN"/>
              </w:rPr>
              <w:t>HJ1276-2022</w:t>
            </w:r>
          </w:p>
        </w:tc>
        <w:tc>
          <w:tcPr>
            <w:tcW w:w="662" w:type="pct"/>
            <w:tcBorders>
              <w:tl2br w:val="nil"/>
              <w:tr2bl w:val="nil"/>
            </w:tcBorders>
            <w:noWrap w:val="0"/>
            <w:vAlign w:val="center"/>
          </w:tcPr>
          <w:p w14:paraId="16FAD4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2023-07-01</w:t>
            </w:r>
          </w:p>
        </w:tc>
      </w:tr>
      <w:tr w14:paraId="14A12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0E8B83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26</w:t>
            </w:r>
          </w:p>
        </w:tc>
        <w:tc>
          <w:tcPr>
            <w:tcW w:w="2686" w:type="pct"/>
            <w:tcBorders>
              <w:tl2br w:val="nil"/>
              <w:tr2bl w:val="nil"/>
            </w:tcBorders>
            <w:noWrap w:val="0"/>
            <w:vAlign w:val="center"/>
          </w:tcPr>
          <w:p w14:paraId="6FC4AD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zh-CN"/>
              </w:rPr>
            </w:pPr>
            <w:r>
              <w:rPr>
                <w:rFonts w:hint="default" w:ascii="Times New Roman" w:hAnsi="Times New Roman" w:eastAsia="宋体" w:cs="Times New Roman"/>
                <w:color w:val="auto"/>
                <w:sz w:val="21"/>
                <w:szCs w:val="21"/>
                <w:highlight w:val="none"/>
                <w:u w:val="none"/>
                <w:lang w:val="en-US" w:eastAsia="zh-CN"/>
              </w:rPr>
              <w:t>危险废物贮存污染控制标准</w:t>
            </w:r>
          </w:p>
        </w:tc>
        <w:tc>
          <w:tcPr>
            <w:tcW w:w="1253" w:type="pct"/>
            <w:tcBorders>
              <w:tl2br w:val="nil"/>
              <w:tr2bl w:val="nil"/>
            </w:tcBorders>
            <w:noWrap w:val="0"/>
            <w:vAlign w:val="center"/>
          </w:tcPr>
          <w:p w14:paraId="1A4CDA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GB18597-2023</w:t>
            </w:r>
          </w:p>
        </w:tc>
        <w:tc>
          <w:tcPr>
            <w:tcW w:w="662" w:type="pct"/>
            <w:tcBorders>
              <w:tl2br w:val="nil"/>
              <w:tr2bl w:val="nil"/>
            </w:tcBorders>
            <w:noWrap w:val="0"/>
            <w:vAlign w:val="center"/>
          </w:tcPr>
          <w:p w14:paraId="6C1414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2023-07-01</w:t>
            </w:r>
          </w:p>
        </w:tc>
      </w:tr>
      <w:tr w14:paraId="1503F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6E84A3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27</w:t>
            </w:r>
          </w:p>
        </w:tc>
        <w:tc>
          <w:tcPr>
            <w:tcW w:w="2686" w:type="pct"/>
            <w:tcBorders>
              <w:tl2br w:val="nil"/>
              <w:tr2bl w:val="nil"/>
            </w:tcBorders>
            <w:noWrap w:val="0"/>
            <w:vAlign w:val="center"/>
          </w:tcPr>
          <w:p w14:paraId="0D7097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油气回收处理设施技术标准</w:t>
            </w:r>
          </w:p>
        </w:tc>
        <w:tc>
          <w:tcPr>
            <w:tcW w:w="1253" w:type="pct"/>
            <w:tcBorders>
              <w:tl2br w:val="nil"/>
              <w:tr2bl w:val="nil"/>
            </w:tcBorders>
            <w:noWrap w:val="0"/>
            <w:vAlign w:val="center"/>
          </w:tcPr>
          <w:p w14:paraId="481168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GB/T50759-2022</w:t>
            </w:r>
          </w:p>
        </w:tc>
        <w:tc>
          <w:tcPr>
            <w:tcW w:w="662" w:type="pct"/>
            <w:tcBorders>
              <w:tl2br w:val="nil"/>
              <w:tr2bl w:val="nil"/>
            </w:tcBorders>
            <w:noWrap w:val="0"/>
            <w:vAlign w:val="center"/>
          </w:tcPr>
          <w:p w14:paraId="4E353F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2022-12-01</w:t>
            </w:r>
          </w:p>
        </w:tc>
      </w:tr>
      <w:tr w14:paraId="312C4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tcBorders>
              <w:tl2br w:val="nil"/>
              <w:tr2bl w:val="nil"/>
            </w:tcBorders>
            <w:noWrap w:val="0"/>
            <w:vAlign w:val="center"/>
          </w:tcPr>
          <w:p w14:paraId="524D17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28</w:t>
            </w:r>
          </w:p>
        </w:tc>
        <w:tc>
          <w:tcPr>
            <w:tcW w:w="2686" w:type="pct"/>
            <w:tcBorders>
              <w:tl2br w:val="nil"/>
              <w:tr2bl w:val="nil"/>
            </w:tcBorders>
            <w:noWrap w:val="0"/>
            <w:vAlign w:val="center"/>
          </w:tcPr>
          <w:p w14:paraId="0ED65E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危险废物管理计划和管理台账制定技术导则</w:t>
            </w:r>
          </w:p>
        </w:tc>
        <w:tc>
          <w:tcPr>
            <w:tcW w:w="1253" w:type="pct"/>
            <w:tcBorders>
              <w:tl2br w:val="nil"/>
              <w:tr2bl w:val="nil"/>
            </w:tcBorders>
            <w:noWrap w:val="0"/>
            <w:vAlign w:val="center"/>
          </w:tcPr>
          <w:p w14:paraId="73278B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HJ 1259-2022</w:t>
            </w:r>
          </w:p>
        </w:tc>
        <w:tc>
          <w:tcPr>
            <w:tcW w:w="662" w:type="pct"/>
            <w:tcBorders>
              <w:tl2br w:val="nil"/>
              <w:tr2bl w:val="nil"/>
            </w:tcBorders>
            <w:noWrap w:val="0"/>
            <w:vAlign w:val="center"/>
          </w:tcPr>
          <w:p w14:paraId="117E0C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2022-10-01</w:t>
            </w:r>
          </w:p>
        </w:tc>
      </w:tr>
    </w:tbl>
    <w:p w14:paraId="7DAD3A77">
      <w:pPr>
        <w:keepNext w:val="0"/>
        <w:keepLines w:val="0"/>
        <w:pageBreakBefore w:val="0"/>
        <w:widowControl w:val="0"/>
        <w:kinsoku/>
        <w:wordWrap/>
        <w:overflowPunct/>
        <w:topLinePunct w:val="0"/>
        <w:autoSpaceDE/>
        <w:autoSpaceDN/>
        <w:bidi w:val="0"/>
        <w:adjustRightInd/>
        <w:snapToGrid w:val="0"/>
        <w:spacing w:before="313" w:beforeLines="10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1</w:t>
      </w: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相关文件和技术资料</w:t>
      </w:r>
    </w:p>
    <w:p w14:paraId="55DD981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（1）委托书，新疆油田分公司开发公司，202</w:t>
      </w:r>
      <w:r>
        <w:rPr>
          <w:rFonts w:hint="eastAsia" w:ascii="宋体" w:hAnsi="宋体" w:eastAsia="宋体" w:cs="宋体"/>
          <w:color w:val="auto"/>
          <w:sz w:val="24"/>
          <w:szCs w:val="24"/>
          <w:highlight w:val="none"/>
          <w:u w:val="none"/>
          <w:lang w:val="en-US" w:eastAsia="zh-CN" w:bidi="ar-SA"/>
        </w:rPr>
        <w:t>5.7</w:t>
      </w:r>
      <w:r>
        <w:rPr>
          <w:rFonts w:hint="default" w:ascii="宋体" w:hAnsi="宋体" w:eastAsia="宋体" w:cs="宋体"/>
          <w:color w:val="auto"/>
          <w:sz w:val="24"/>
          <w:szCs w:val="24"/>
          <w:highlight w:val="none"/>
          <w:u w:val="none"/>
          <w:lang w:val="zh-CN" w:eastAsia="zh-CN" w:bidi="ar-SA"/>
        </w:rPr>
        <w:t>；</w:t>
      </w:r>
    </w:p>
    <w:p w14:paraId="4D26467D">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（2）莫北油田莫 116 井区侏罗系三工河组气藏产能建设项目开发方案</w:t>
      </w:r>
      <w:r>
        <w:rPr>
          <w:rFonts w:hint="eastAsia" w:ascii="宋体" w:hAnsi="宋体" w:eastAsia="宋体" w:cs="宋体"/>
          <w:color w:val="auto"/>
          <w:sz w:val="24"/>
          <w:szCs w:val="24"/>
          <w:highlight w:val="none"/>
          <w:u w:val="none"/>
          <w:lang w:val="zh-CN" w:eastAsia="zh-CN" w:bidi="ar-SA"/>
        </w:rPr>
        <w:t>，</w:t>
      </w:r>
      <w:r>
        <w:rPr>
          <w:rFonts w:hint="default" w:ascii="宋体" w:hAnsi="宋体" w:eastAsia="宋体" w:cs="宋体"/>
          <w:color w:val="auto"/>
          <w:sz w:val="24"/>
          <w:szCs w:val="24"/>
          <w:highlight w:val="none"/>
          <w:u w:val="none"/>
          <w:lang w:val="zh-CN" w:eastAsia="zh-CN" w:bidi="ar-SA"/>
        </w:rPr>
        <w:t>中油（新疆）石油工程有限公司，202</w:t>
      </w:r>
      <w:r>
        <w:rPr>
          <w:rFonts w:hint="eastAsia" w:ascii="宋体" w:hAnsi="宋体" w:eastAsia="宋体" w:cs="宋体"/>
          <w:color w:val="auto"/>
          <w:sz w:val="24"/>
          <w:szCs w:val="24"/>
          <w:highlight w:val="none"/>
          <w:u w:val="none"/>
          <w:lang w:val="en-US" w:eastAsia="zh-CN" w:bidi="ar-SA"/>
        </w:rPr>
        <w:t>5.6</w:t>
      </w:r>
      <w:r>
        <w:rPr>
          <w:rFonts w:hint="default" w:ascii="宋体" w:hAnsi="宋体" w:eastAsia="宋体" w:cs="宋体"/>
          <w:color w:val="auto"/>
          <w:sz w:val="24"/>
          <w:szCs w:val="24"/>
          <w:highlight w:val="none"/>
          <w:u w:val="none"/>
          <w:lang w:val="zh-CN" w:eastAsia="zh-CN" w:bidi="ar-SA"/>
        </w:rPr>
        <w:t>；</w:t>
      </w:r>
    </w:p>
    <w:p w14:paraId="22F6E285">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zh-CN" w:eastAsia="zh-CN" w:bidi="ar-SA"/>
        </w:rPr>
        <w:t>（</w:t>
      </w:r>
      <w:r>
        <w:rPr>
          <w:rFonts w:hint="eastAsia" w:ascii="宋体" w:hAnsi="宋体" w:eastAsia="宋体" w:cs="宋体"/>
          <w:color w:val="auto"/>
          <w:sz w:val="24"/>
          <w:szCs w:val="24"/>
          <w:highlight w:val="none"/>
          <w:u w:val="none"/>
          <w:lang w:val="en-US" w:eastAsia="zh-CN" w:bidi="ar-SA"/>
        </w:rPr>
        <w:t>3</w:t>
      </w:r>
      <w:r>
        <w:rPr>
          <w:rFonts w:hint="eastAsia" w:ascii="宋体" w:hAnsi="宋体" w:eastAsia="宋体" w:cs="宋体"/>
          <w:color w:val="auto"/>
          <w:sz w:val="24"/>
          <w:szCs w:val="24"/>
          <w:highlight w:val="none"/>
          <w:u w:val="none"/>
          <w:lang w:val="zh-CN" w:eastAsia="zh-CN" w:bidi="ar-SA"/>
        </w:rPr>
        <w:t>）</w:t>
      </w:r>
      <w:r>
        <w:rPr>
          <w:rFonts w:hint="default" w:ascii="宋体" w:hAnsi="宋体" w:eastAsia="宋体" w:cs="宋体"/>
          <w:color w:val="auto"/>
          <w:sz w:val="24"/>
          <w:szCs w:val="24"/>
          <w:highlight w:val="none"/>
          <w:u w:val="none"/>
          <w:lang w:val="zh-CN" w:eastAsia="zh-CN" w:bidi="ar-SA"/>
        </w:rPr>
        <w:t>莫北油田莫116井区侏罗系三工河组气藏产能建设项目开发方案-钻井工程方案</w:t>
      </w:r>
      <w:r>
        <w:rPr>
          <w:rFonts w:hint="eastAsia" w:ascii="宋体" w:hAnsi="宋体" w:eastAsia="宋体" w:cs="宋体"/>
          <w:color w:val="auto"/>
          <w:sz w:val="24"/>
          <w:szCs w:val="24"/>
          <w:highlight w:val="none"/>
          <w:u w:val="none"/>
          <w:lang w:val="zh-CN" w:eastAsia="zh-CN" w:bidi="ar-SA"/>
        </w:rPr>
        <w:t>，新疆油田公司采油工艺研究院，</w:t>
      </w:r>
      <w:r>
        <w:rPr>
          <w:rFonts w:hint="eastAsia" w:ascii="宋体" w:hAnsi="宋体" w:eastAsia="宋体" w:cs="宋体"/>
          <w:color w:val="auto"/>
          <w:sz w:val="24"/>
          <w:szCs w:val="24"/>
          <w:highlight w:val="none"/>
          <w:u w:val="none"/>
          <w:lang w:val="en-US" w:eastAsia="zh-CN" w:bidi="ar-SA"/>
        </w:rPr>
        <w:t>2025.5；</w:t>
      </w:r>
    </w:p>
    <w:p w14:paraId="5CEED46C">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zh-CN" w:eastAsia="zh-CN" w:bidi="ar-SA"/>
        </w:rPr>
        <w:t>（</w:t>
      </w:r>
      <w:r>
        <w:rPr>
          <w:rFonts w:hint="eastAsia" w:ascii="宋体" w:hAnsi="宋体" w:eastAsia="宋体" w:cs="宋体"/>
          <w:color w:val="auto"/>
          <w:sz w:val="24"/>
          <w:szCs w:val="24"/>
          <w:highlight w:val="none"/>
          <w:u w:val="none"/>
          <w:lang w:val="en-US" w:eastAsia="zh-CN" w:bidi="ar-SA"/>
        </w:rPr>
        <w:t>4</w:t>
      </w:r>
      <w:r>
        <w:rPr>
          <w:rFonts w:hint="eastAsia" w:ascii="宋体" w:hAnsi="宋体" w:eastAsia="宋体" w:cs="宋体"/>
          <w:color w:val="auto"/>
          <w:sz w:val="24"/>
          <w:szCs w:val="24"/>
          <w:highlight w:val="none"/>
          <w:u w:val="none"/>
          <w:lang w:val="zh-CN" w:eastAsia="zh-CN" w:bidi="ar-SA"/>
        </w:rPr>
        <w:t>）</w:t>
      </w:r>
      <w:r>
        <w:rPr>
          <w:rFonts w:hint="default" w:ascii="宋体" w:hAnsi="宋体" w:eastAsia="宋体" w:cs="宋体"/>
          <w:color w:val="auto"/>
          <w:sz w:val="24"/>
          <w:szCs w:val="24"/>
          <w:highlight w:val="none"/>
          <w:u w:val="none"/>
          <w:lang w:val="zh-CN" w:eastAsia="zh-CN" w:bidi="ar-SA"/>
        </w:rPr>
        <w:t>莫北油田莫116井区侏罗系三工河组气藏产能建设项目开发方案（地质与气藏工程）</w:t>
      </w:r>
      <w:r>
        <w:rPr>
          <w:rFonts w:hint="eastAsia" w:ascii="宋体" w:hAnsi="宋体" w:eastAsia="宋体" w:cs="宋体"/>
          <w:color w:val="auto"/>
          <w:sz w:val="24"/>
          <w:szCs w:val="24"/>
          <w:highlight w:val="none"/>
          <w:u w:val="none"/>
          <w:lang w:val="zh-CN" w:eastAsia="zh-CN" w:bidi="ar-SA"/>
        </w:rPr>
        <w:t>，石西油田作业区，</w:t>
      </w:r>
      <w:r>
        <w:rPr>
          <w:rFonts w:hint="eastAsia" w:ascii="宋体" w:hAnsi="宋体" w:eastAsia="宋体" w:cs="宋体"/>
          <w:color w:val="auto"/>
          <w:sz w:val="24"/>
          <w:szCs w:val="24"/>
          <w:highlight w:val="none"/>
          <w:u w:val="none"/>
          <w:lang w:val="en-US" w:eastAsia="zh-CN" w:bidi="ar-SA"/>
        </w:rPr>
        <w:t>2024.3；</w:t>
      </w:r>
    </w:p>
    <w:p w14:paraId="705F06DD">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en-US" w:eastAsia="zh-CN" w:bidi="ar-SA"/>
        </w:rPr>
      </w:pPr>
      <w:r>
        <w:rPr>
          <w:rFonts w:hint="eastAsia" w:ascii="宋体" w:hAnsi="宋体" w:cs="宋体"/>
          <w:color w:val="auto"/>
          <w:sz w:val="24"/>
          <w:szCs w:val="24"/>
          <w:highlight w:val="none"/>
          <w:u w:val="none"/>
          <w:lang w:val="en-US" w:eastAsia="zh-CN" w:bidi="ar-SA"/>
        </w:rPr>
        <w:t>（5）莫116井区侏罗系三工河组气藏</w:t>
      </w:r>
      <w:r>
        <w:rPr>
          <w:rFonts w:hint="eastAsia" w:ascii="宋体" w:hAnsi="宋体" w:eastAsia="宋体" w:cs="宋体"/>
          <w:color w:val="auto"/>
          <w:sz w:val="24"/>
          <w:szCs w:val="24"/>
          <w:highlight w:val="none"/>
          <w:u w:val="none"/>
          <w:lang w:val="en-US" w:eastAsia="zh-CN" w:bidi="ar-SA"/>
        </w:rPr>
        <w:t>采气工程方案</w:t>
      </w:r>
      <w:r>
        <w:rPr>
          <w:rFonts w:hint="eastAsia" w:ascii="宋体" w:hAnsi="宋体" w:cs="宋体"/>
          <w:color w:val="auto"/>
          <w:sz w:val="24"/>
          <w:szCs w:val="24"/>
          <w:highlight w:val="none"/>
          <w:u w:val="none"/>
          <w:lang w:val="en-US" w:eastAsia="zh-CN" w:bidi="ar-SA"/>
        </w:rPr>
        <w:t>，中国石油新疆油田分公司采油工艺研究院，2025.5；</w:t>
      </w:r>
    </w:p>
    <w:p w14:paraId="7F139CF6">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Times New Roman" w:hAnsi="Times New Roman" w:eastAsia="宋体" w:cs="Times New Roman"/>
          <w:color w:val="auto"/>
          <w:sz w:val="24"/>
          <w:szCs w:val="24"/>
          <w:highlight w:val="none"/>
          <w:u w:val="none"/>
          <w:lang w:eastAsia="zh-CN"/>
        </w:rPr>
      </w:pPr>
      <w:r>
        <w:rPr>
          <w:rFonts w:hint="eastAsia" w:ascii="宋体" w:hAnsi="宋体" w:eastAsia="宋体" w:cs="宋体"/>
          <w:color w:val="auto"/>
          <w:sz w:val="24"/>
          <w:szCs w:val="24"/>
          <w:highlight w:val="none"/>
          <w:u w:val="none"/>
          <w:lang w:val="zh-CN" w:eastAsia="zh-CN" w:bidi="ar-SA"/>
        </w:rPr>
        <w:t>（</w:t>
      </w:r>
      <w:r>
        <w:rPr>
          <w:rFonts w:hint="eastAsia" w:ascii="宋体" w:hAnsi="宋体" w:cs="宋体"/>
          <w:color w:val="auto"/>
          <w:sz w:val="24"/>
          <w:szCs w:val="24"/>
          <w:highlight w:val="none"/>
          <w:u w:val="none"/>
          <w:lang w:val="en-US" w:eastAsia="zh-CN" w:bidi="ar-SA"/>
        </w:rPr>
        <w:t>6</w:t>
      </w:r>
      <w:r>
        <w:rPr>
          <w:rFonts w:hint="eastAsia" w:ascii="宋体" w:hAnsi="宋体" w:eastAsia="宋体" w:cs="宋体"/>
          <w:color w:val="auto"/>
          <w:sz w:val="24"/>
          <w:szCs w:val="24"/>
          <w:highlight w:val="none"/>
          <w:u w:val="none"/>
          <w:lang w:val="zh-CN" w:eastAsia="zh-CN" w:bidi="ar-SA"/>
        </w:rPr>
        <w:t>）</w:t>
      </w:r>
      <w:r>
        <w:rPr>
          <w:rFonts w:hint="default" w:ascii="宋体" w:hAnsi="宋体" w:eastAsia="宋体" w:cs="宋体"/>
          <w:color w:val="auto"/>
          <w:sz w:val="24"/>
          <w:szCs w:val="24"/>
          <w:highlight w:val="none"/>
          <w:u w:val="none"/>
          <w:lang w:val="zh-CN" w:eastAsia="zh-CN" w:bidi="ar-SA"/>
        </w:rPr>
        <w:t>工程其他相关资料</w:t>
      </w:r>
      <w:r>
        <w:rPr>
          <w:rFonts w:hint="eastAsia" w:ascii="宋体" w:hAnsi="宋体" w:eastAsia="宋体" w:cs="宋体"/>
          <w:color w:val="auto"/>
          <w:sz w:val="24"/>
          <w:szCs w:val="24"/>
          <w:highlight w:val="none"/>
          <w:u w:val="none"/>
          <w:lang w:val="zh-CN" w:eastAsia="zh-CN" w:bidi="ar-SA"/>
        </w:rPr>
        <w:t>。</w:t>
      </w:r>
    </w:p>
    <w:p w14:paraId="617BED9D">
      <w:pPr>
        <w:keepNext/>
        <w:keepLines/>
        <w:adjustRightInd/>
        <w:snapToGrid/>
        <w:spacing w:before="120" w:after="120" w:line="360" w:lineRule="auto"/>
        <w:jc w:val="left"/>
        <w:outlineLvl w:val="1"/>
        <w:rPr>
          <w:rFonts w:ascii="黑体" w:hAnsi="黑体" w:eastAsia="黑体" w:cs="Times New Roman"/>
          <w:b/>
          <w:bCs w:val="0"/>
          <w:color w:val="auto"/>
          <w:kern w:val="44"/>
          <w:sz w:val="28"/>
          <w:szCs w:val="24"/>
          <w:highlight w:val="none"/>
          <w:u w:val="none"/>
          <w:lang w:val="en-US" w:eastAsia="zh-CN" w:bidi="ar-SA"/>
        </w:rPr>
      </w:pPr>
      <w:bookmarkStart w:id="72" w:name="_Toc14536"/>
      <w:bookmarkStart w:id="73" w:name="_Toc22514"/>
      <w:bookmarkStart w:id="74" w:name="_Toc5544"/>
      <w:bookmarkStart w:id="75" w:name="_Toc1863"/>
      <w:bookmarkStart w:id="76" w:name="_Toc109382910"/>
      <w:bookmarkStart w:id="77" w:name="_Toc15722"/>
      <w:bookmarkStart w:id="78" w:name="_Toc36583803"/>
      <w:bookmarkStart w:id="79" w:name="_Toc507411704"/>
      <w:bookmarkStart w:id="80" w:name="_Toc390851520"/>
      <w:bookmarkStart w:id="81" w:name="_Toc500856903"/>
      <w:r>
        <w:rPr>
          <w:rFonts w:ascii="黑体" w:hAnsi="黑体" w:eastAsia="黑体" w:cs="Times New Roman"/>
          <w:b/>
          <w:bCs w:val="0"/>
          <w:color w:val="auto"/>
          <w:kern w:val="44"/>
          <w:sz w:val="28"/>
          <w:szCs w:val="24"/>
          <w:highlight w:val="none"/>
          <w:u w:val="none"/>
          <w:lang w:val="en-US" w:eastAsia="zh-CN" w:bidi="ar-SA"/>
        </w:rPr>
        <w:t>2.</w:t>
      </w:r>
      <w:r>
        <w:rPr>
          <w:rFonts w:hint="eastAsia" w:ascii="黑体" w:hAnsi="黑体" w:eastAsia="黑体" w:cs="Times New Roman"/>
          <w:b/>
          <w:bCs w:val="0"/>
          <w:color w:val="auto"/>
          <w:kern w:val="44"/>
          <w:sz w:val="28"/>
          <w:szCs w:val="24"/>
          <w:highlight w:val="none"/>
          <w:u w:val="none"/>
          <w:lang w:val="en-US" w:eastAsia="zh-CN" w:bidi="ar-SA"/>
        </w:rPr>
        <w:t>2</w:t>
      </w:r>
      <w:r>
        <w:rPr>
          <w:rFonts w:ascii="黑体" w:hAnsi="黑体" w:eastAsia="黑体" w:cs="Times New Roman"/>
          <w:b/>
          <w:bCs w:val="0"/>
          <w:color w:val="auto"/>
          <w:kern w:val="44"/>
          <w:sz w:val="28"/>
          <w:szCs w:val="24"/>
          <w:highlight w:val="none"/>
          <w:u w:val="none"/>
          <w:lang w:val="en-US" w:eastAsia="zh-CN" w:bidi="ar-SA"/>
        </w:rPr>
        <w:t>评价目的与原则</w:t>
      </w:r>
      <w:bookmarkEnd w:id="72"/>
      <w:bookmarkEnd w:id="73"/>
      <w:bookmarkEnd w:id="74"/>
    </w:p>
    <w:p w14:paraId="66F9DB49">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ascii="黑体" w:hAnsi="黑体" w:eastAsia="黑体" w:cs="Times New Roman"/>
          <w:b/>
          <w:bCs w:val="0"/>
          <w:color w:val="auto"/>
          <w:sz w:val="24"/>
          <w:szCs w:val="20"/>
          <w:highlight w:val="none"/>
          <w:u w:val="none"/>
          <w:lang w:val="en-US" w:eastAsia="zh-CN" w:bidi="ar-SA"/>
        </w:rPr>
      </w:pPr>
      <w:bookmarkStart w:id="82" w:name="_Toc173941784"/>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2</w:t>
      </w:r>
      <w:r>
        <w:rPr>
          <w:rFonts w:hint="default" w:ascii="黑体" w:hAnsi="黑体" w:eastAsia="黑体" w:cs="黑体"/>
          <w:b/>
          <w:color w:val="auto"/>
          <w:kern w:val="0"/>
          <w:sz w:val="24"/>
          <w:szCs w:val="24"/>
          <w:highlight w:val="none"/>
          <w:u w:val="none"/>
          <w:lang w:val="en-US" w:eastAsia="zh-CN"/>
        </w:rPr>
        <w:t>.1评价目的</w:t>
      </w:r>
      <w:bookmarkEnd w:id="82"/>
    </w:p>
    <w:p w14:paraId="22C74E5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（1）通过实地调查和现状监测，了解项目所在区域的自然环境、社会环境、自然资源及土地利用情况，掌握项目所在区域的环境质量和生态环境现状。</w:t>
      </w:r>
    </w:p>
    <w:p w14:paraId="051429B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（2）通过工程分析，明确</w:t>
      </w:r>
      <w:r>
        <w:rPr>
          <w:rFonts w:hint="eastAsia" w:ascii="Times New Roman" w:hAnsi="Times New Roman" w:eastAsia="宋体" w:cs="Times New Roman"/>
          <w:color w:val="auto"/>
          <w:sz w:val="24"/>
          <w:szCs w:val="21"/>
          <w:highlight w:val="none"/>
          <w:u w:val="none"/>
          <w:lang w:val="en-US" w:eastAsia="zh-CN" w:bidi="ar-SA"/>
        </w:rPr>
        <w:t>本工程</w:t>
      </w:r>
      <w:r>
        <w:rPr>
          <w:rFonts w:ascii="Times New Roman" w:hAnsi="Times New Roman" w:eastAsia="宋体" w:cs="Times New Roman"/>
          <w:color w:val="auto"/>
          <w:sz w:val="24"/>
          <w:szCs w:val="21"/>
          <w:highlight w:val="none"/>
          <w:u w:val="none"/>
          <w:lang w:val="en-US" w:eastAsia="zh-CN" w:bidi="ar-SA"/>
        </w:rPr>
        <w:t>各个生产阶段的主要污染源、污染物种类、排放强度，分析环境污染的影响特征，预测和评价</w:t>
      </w:r>
      <w:r>
        <w:rPr>
          <w:rFonts w:hint="eastAsia" w:ascii="Times New Roman" w:hAnsi="Times New Roman" w:eastAsia="宋体" w:cs="Times New Roman"/>
          <w:color w:val="auto"/>
          <w:sz w:val="24"/>
          <w:szCs w:val="21"/>
          <w:highlight w:val="none"/>
          <w:u w:val="none"/>
          <w:lang w:val="en-US" w:eastAsia="zh-CN" w:bidi="ar-SA"/>
        </w:rPr>
        <w:t>本工程</w:t>
      </w:r>
      <w:r>
        <w:rPr>
          <w:rFonts w:ascii="Times New Roman" w:hAnsi="Times New Roman" w:eastAsia="宋体" w:cs="Times New Roman"/>
          <w:color w:val="auto"/>
          <w:sz w:val="24"/>
          <w:szCs w:val="21"/>
          <w:highlight w:val="none"/>
          <w:u w:val="none"/>
          <w:lang w:val="en-US" w:eastAsia="zh-CN" w:bidi="ar-SA"/>
        </w:rPr>
        <w:t>施工期、运营期以及服役期满后对环境的影响程度，并提出应采取的污染防治和生态保护措施；分析论证施工期对自然资源的破坏程度。</w:t>
      </w:r>
    </w:p>
    <w:p w14:paraId="29FECE9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（3）评述拟采取的环境保护措施的可行性、合理性及清洁生产水平，并针对存在的问题，提出各个生产阶段不同的、有针对性的、切实可行的环保措施和建议。</w:t>
      </w:r>
    </w:p>
    <w:p w14:paraId="62DF1DB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（4）评价</w:t>
      </w:r>
      <w:r>
        <w:rPr>
          <w:rFonts w:hint="eastAsia" w:ascii="Times New Roman" w:hAnsi="Times New Roman" w:eastAsia="宋体" w:cs="Times New Roman"/>
          <w:color w:val="auto"/>
          <w:sz w:val="24"/>
          <w:szCs w:val="21"/>
          <w:highlight w:val="none"/>
          <w:u w:val="none"/>
          <w:lang w:val="en-US" w:eastAsia="zh-CN" w:bidi="ar-SA"/>
        </w:rPr>
        <w:t>本工程</w:t>
      </w:r>
      <w:r>
        <w:rPr>
          <w:rFonts w:ascii="Times New Roman" w:hAnsi="Times New Roman" w:eastAsia="宋体" w:cs="Times New Roman"/>
          <w:color w:val="auto"/>
          <w:sz w:val="24"/>
          <w:szCs w:val="21"/>
          <w:highlight w:val="none"/>
          <w:u w:val="none"/>
          <w:lang w:val="en-US" w:eastAsia="zh-CN" w:bidi="ar-SA"/>
        </w:rPr>
        <w:t>与国家产业政策、区域总体发展规划、清洁生产、达标排放和污染物排放总量控制的符合性。</w:t>
      </w:r>
    </w:p>
    <w:p w14:paraId="49D71C8C">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通过上述评价，论证项目在环境方面的可行性，给出环境影响评价结论，为</w:t>
      </w:r>
      <w:r>
        <w:rPr>
          <w:rFonts w:hint="eastAsia" w:ascii="Times New Roman" w:hAnsi="Times New Roman" w:eastAsia="宋体" w:cs="Times New Roman"/>
          <w:color w:val="auto"/>
          <w:sz w:val="24"/>
          <w:szCs w:val="21"/>
          <w:highlight w:val="none"/>
          <w:u w:val="none"/>
          <w:lang w:val="en-US" w:eastAsia="zh-CN" w:bidi="ar-SA"/>
        </w:rPr>
        <w:t>本工程</w:t>
      </w:r>
      <w:r>
        <w:rPr>
          <w:rFonts w:ascii="Times New Roman" w:hAnsi="Times New Roman" w:eastAsia="宋体" w:cs="Times New Roman"/>
          <w:color w:val="auto"/>
          <w:sz w:val="24"/>
          <w:szCs w:val="21"/>
          <w:highlight w:val="none"/>
          <w:u w:val="none"/>
          <w:lang w:val="en-US" w:eastAsia="zh-CN" w:bidi="ar-SA"/>
        </w:rPr>
        <w:t>的设计、施工、验收及建成投产后的环境管理提供技术依据，为生态环境主管部门提供决策依据。</w:t>
      </w:r>
    </w:p>
    <w:p w14:paraId="4217E8DE">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ascii="黑体" w:hAnsi="黑体" w:eastAsia="黑体" w:cs="Times New Roman"/>
          <w:b/>
          <w:bCs w:val="0"/>
          <w:color w:val="auto"/>
          <w:sz w:val="24"/>
          <w:szCs w:val="20"/>
          <w:highlight w:val="none"/>
          <w:u w:val="none"/>
          <w:lang w:val="en-US" w:eastAsia="zh-CN" w:bidi="ar-SA"/>
        </w:rPr>
      </w:pPr>
      <w:bookmarkStart w:id="83" w:name="_Toc330418976"/>
      <w:bookmarkStart w:id="84" w:name="_Toc465181726"/>
      <w:bookmarkStart w:id="85" w:name="_Toc312148932"/>
      <w:bookmarkStart w:id="86" w:name="_Toc313911248"/>
      <w:bookmarkStart w:id="87" w:name="_Toc329026108"/>
      <w:bookmarkStart w:id="88" w:name="_Toc330418761"/>
      <w:bookmarkStart w:id="89" w:name="_Toc173941785"/>
      <w:bookmarkStart w:id="90" w:name="_Toc332317906"/>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2</w:t>
      </w:r>
      <w:r>
        <w:rPr>
          <w:rFonts w:hint="default" w:ascii="黑体" w:hAnsi="黑体" w:eastAsia="黑体" w:cs="黑体"/>
          <w:b/>
          <w:color w:val="auto"/>
          <w:kern w:val="0"/>
          <w:sz w:val="24"/>
          <w:szCs w:val="24"/>
          <w:highlight w:val="none"/>
          <w:u w:val="none"/>
          <w:lang w:val="en-US" w:eastAsia="zh-CN"/>
        </w:rPr>
        <w:t>.2评价原则</w:t>
      </w:r>
      <w:bookmarkEnd w:id="83"/>
      <w:bookmarkEnd w:id="84"/>
      <w:bookmarkEnd w:id="85"/>
      <w:bookmarkEnd w:id="86"/>
      <w:bookmarkEnd w:id="87"/>
      <w:bookmarkEnd w:id="88"/>
      <w:bookmarkEnd w:id="89"/>
      <w:bookmarkEnd w:id="90"/>
    </w:p>
    <w:p w14:paraId="1CB6059D">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（1）依法评价</w:t>
      </w:r>
    </w:p>
    <w:p w14:paraId="5A70038B">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贯彻执行我国环境保护相关法律法规、标准、政策和规划等，优化</w:t>
      </w:r>
      <w:r>
        <w:rPr>
          <w:rFonts w:hint="eastAsia" w:ascii="Times New Roman" w:hAnsi="Times New Roman" w:eastAsia="宋体" w:cs="Times New Roman"/>
          <w:color w:val="auto"/>
          <w:sz w:val="24"/>
          <w:szCs w:val="21"/>
          <w:highlight w:val="none"/>
          <w:u w:val="none"/>
          <w:lang w:val="en-US" w:eastAsia="zh-CN" w:bidi="ar-SA"/>
        </w:rPr>
        <w:t>本工程</w:t>
      </w:r>
      <w:r>
        <w:rPr>
          <w:rFonts w:ascii="Times New Roman" w:hAnsi="Times New Roman" w:eastAsia="宋体" w:cs="Times New Roman"/>
          <w:color w:val="auto"/>
          <w:sz w:val="24"/>
          <w:szCs w:val="21"/>
          <w:highlight w:val="none"/>
          <w:u w:val="none"/>
          <w:lang w:val="en-US" w:eastAsia="zh-CN" w:bidi="ar-SA"/>
        </w:rPr>
        <w:t>建设，服务环境管理。</w:t>
      </w:r>
    </w:p>
    <w:p w14:paraId="3AA44540">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（2）科学评价</w:t>
      </w:r>
    </w:p>
    <w:p w14:paraId="6984AA20">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规范环境影响评价方法，科学分析</w:t>
      </w:r>
      <w:r>
        <w:rPr>
          <w:rFonts w:hint="eastAsia" w:ascii="Times New Roman" w:hAnsi="Times New Roman" w:eastAsia="宋体" w:cs="Times New Roman"/>
          <w:color w:val="auto"/>
          <w:sz w:val="24"/>
          <w:szCs w:val="21"/>
          <w:highlight w:val="none"/>
          <w:u w:val="none"/>
          <w:lang w:val="en-US" w:eastAsia="zh-CN" w:bidi="ar-SA"/>
        </w:rPr>
        <w:t>本工程</w:t>
      </w:r>
      <w:r>
        <w:rPr>
          <w:rFonts w:ascii="Times New Roman" w:hAnsi="Times New Roman" w:eastAsia="宋体" w:cs="Times New Roman"/>
          <w:color w:val="auto"/>
          <w:sz w:val="24"/>
          <w:szCs w:val="21"/>
          <w:highlight w:val="none"/>
          <w:u w:val="none"/>
          <w:lang w:val="en-US" w:eastAsia="zh-CN" w:bidi="ar-SA"/>
        </w:rPr>
        <w:t>建设对环境质量的影响。</w:t>
      </w:r>
    </w:p>
    <w:p w14:paraId="545180FA">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（3）突出重点</w:t>
      </w:r>
    </w:p>
    <w:p w14:paraId="7CA64968">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根据建设项目的工程内容及其特点，明确与环境要素间的作用效应关系，根据规划环境影响评价结论和审查意见，充分利用符合时效的数据资料及成果，对建设项目主要环境影响予以重点分析和评价。</w:t>
      </w:r>
    </w:p>
    <w:p w14:paraId="0F8BF655">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91" w:name="_Toc28202"/>
      <w:r>
        <w:rPr>
          <w:rFonts w:hint="default" w:ascii="黑体" w:hAnsi="黑体" w:eastAsia="黑体" w:cs="黑体"/>
          <w:color w:val="auto"/>
          <w:sz w:val="28"/>
          <w:szCs w:val="28"/>
          <w:u w:val="none"/>
          <w:lang w:val="en-US" w:eastAsia="zh-CN"/>
        </w:rPr>
        <w:t>2.</w:t>
      </w:r>
      <w:r>
        <w:rPr>
          <w:rFonts w:hint="eastAsia" w:ascii="黑体" w:hAnsi="黑体" w:eastAsia="黑体" w:cs="黑体"/>
          <w:color w:val="auto"/>
          <w:sz w:val="28"/>
          <w:szCs w:val="28"/>
          <w:u w:val="none"/>
          <w:lang w:val="en-US" w:eastAsia="zh-CN"/>
        </w:rPr>
        <w:t xml:space="preserve">3 </w:t>
      </w:r>
      <w:r>
        <w:rPr>
          <w:rFonts w:hint="default" w:ascii="黑体" w:hAnsi="黑体" w:eastAsia="黑体" w:cs="黑体"/>
          <w:color w:val="auto"/>
          <w:sz w:val="28"/>
          <w:szCs w:val="28"/>
          <w:u w:val="none"/>
          <w:lang w:val="en-US" w:eastAsia="zh-CN"/>
        </w:rPr>
        <w:t>环境影响因素和评价因子</w:t>
      </w:r>
      <w:bookmarkEnd w:id="75"/>
      <w:bookmarkEnd w:id="76"/>
      <w:bookmarkEnd w:id="77"/>
      <w:bookmarkEnd w:id="78"/>
      <w:bookmarkEnd w:id="79"/>
      <w:bookmarkEnd w:id="80"/>
      <w:bookmarkEnd w:id="81"/>
      <w:bookmarkEnd w:id="91"/>
    </w:p>
    <w:p w14:paraId="64CD627E">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92" w:name="_Toc500856904"/>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环境影响因素</w:t>
      </w:r>
      <w:bookmarkEnd w:id="92"/>
    </w:p>
    <w:p w14:paraId="480F37BC">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本工程主要包括钻井工程、地面工程、油气开采集输等作业内容，对环境的影响主要表现在施工期、运营期和退役期。施工期以井场</w:t>
      </w:r>
      <w:r>
        <w:rPr>
          <w:rFonts w:hint="eastAsia" w:ascii="宋体" w:hAnsi="宋体" w:eastAsia="宋体" w:cs="宋体"/>
          <w:color w:val="auto"/>
          <w:sz w:val="24"/>
          <w:szCs w:val="24"/>
          <w:highlight w:val="none"/>
          <w:u w:val="none"/>
          <w:lang w:val="zh-CN" w:eastAsia="zh-CN" w:bidi="ar-SA"/>
        </w:rPr>
        <w:t>、</w:t>
      </w:r>
      <w:r>
        <w:rPr>
          <w:rFonts w:hint="eastAsia" w:ascii="宋体" w:hAnsi="宋体" w:eastAsia="宋体" w:cs="宋体"/>
          <w:color w:val="auto"/>
          <w:sz w:val="24"/>
          <w:szCs w:val="24"/>
          <w:highlight w:val="none"/>
          <w:u w:val="none"/>
          <w:lang w:val="en-US" w:eastAsia="zh-CN" w:bidi="ar-SA"/>
        </w:rPr>
        <w:t>站场</w:t>
      </w:r>
      <w:r>
        <w:rPr>
          <w:rFonts w:hint="default" w:ascii="宋体" w:hAnsi="宋体" w:eastAsia="宋体" w:cs="宋体"/>
          <w:color w:val="auto"/>
          <w:sz w:val="24"/>
          <w:szCs w:val="24"/>
          <w:highlight w:val="none"/>
          <w:u w:val="none"/>
          <w:lang w:val="zh-CN" w:eastAsia="zh-CN" w:bidi="ar-SA"/>
        </w:rPr>
        <w:t>建设、管线敷设及道路建设等地面工程建设过程中造成的生态影响为主，运营期以油气开采和集输过程中产生的污染为主。</w:t>
      </w:r>
    </w:p>
    <w:p w14:paraId="29C4B9C1">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（1）施工期</w:t>
      </w:r>
    </w:p>
    <w:p w14:paraId="5EFB3D7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施工期建设工程包括钻井、</w:t>
      </w:r>
      <w:r>
        <w:rPr>
          <w:rFonts w:hint="eastAsia" w:ascii="宋体" w:hAnsi="宋体" w:eastAsia="宋体" w:cs="宋体"/>
          <w:color w:val="auto"/>
          <w:sz w:val="24"/>
          <w:szCs w:val="24"/>
          <w:highlight w:val="none"/>
          <w:u w:val="none"/>
          <w:lang w:val="en-US" w:eastAsia="zh-CN" w:bidi="ar-SA"/>
        </w:rPr>
        <w:t>地面工程</w:t>
      </w:r>
      <w:r>
        <w:rPr>
          <w:rFonts w:hint="default" w:ascii="宋体" w:hAnsi="宋体" w:eastAsia="宋体" w:cs="宋体"/>
          <w:color w:val="auto"/>
          <w:sz w:val="24"/>
          <w:szCs w:val="24"/>
          <w:highlight w:val="none"/>
          <w:u w:val="none"/>
          <w:lang w:val="zh-CN" w:eastAsia="zh-CN" w:bidi="ar-SA"/>
        </w:rPr>
        <w:t>建设，环境影响以生态影响为主。</w:t>
      </w:r>
    </w:p>
    <w:p w14:paraId="2B156CA8">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1）钻井</w:t>
      </w:r>
    </w:p>
    <w:p w14:paraId="24729C1B">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钻井工程主要包括井场平整等钻前工程、钻井及完井等。</w:t>
      </w:r>
    </w:p>
    <w:p w14:paraId="578DBB5B">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钻前工程：钻井的井位确定后，平整井场，修建井场道路；井场道路建好后，用汽车将钻井设备运至井场安装。井场道路建设的主要环境影响是施工占地造成的地表土壤和植被的破坏，引起水土流失和扬尘。</w:t>
      </w:r>
    </w:p>
    <w:p w14:paraId="20F36F4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钻井工程：钻井期间主要的环境影响因素为机械设备运转时产生的噪声，以及钻井产生的岩屑等固体废弃物。</w:t>
      </w:r>
    </w:p>
    <w:p w14:paraId="34E2CDA7">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完井：完井后清理井场，随即可开展采气生产或试采。完井后要清运井场废弃物，恢复地貌，做到工完料尽场地清。</w:t>
      </w:r>
    </w:p>
    <w:p w14:paraId="06832F49">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2）井场建设</w:t>
      </w:r>
    </w:p>
    <w:p w14:paraId="08406E1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构筑物建设的主要环境影响是施工占地和对生态环境的扰动。此外，施工期间各种机械、车辆排放的废气和噪声、施工丢弃的固体废物等，将对环境产生一定的影响。</w:t>
      </w:r>
    </w:p>
    <w:p w14:paraId="1EC3D868">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3）管线和道路建设</w:t>
      </w:r>
    </w:p>
    <w:p w14:paraId="2ED2B2F1">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管线和道路建设将破坏管道沿线的植被，主要的环境影响是对生态环境和水土流失的影响，以及施工扬尘对大气环境的影响。</w:t>
      </w:r>
    </w:p>
    <w:p w14:paraId="58E9D21B">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（2）运营期</w:t>
      </w:r>
    </w:p>
    <w:p w14:paraId="053CABA1">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运营期环境影响因素主要体现在油气开采、集输过程中无组织排放的挥发性有机物，废水主要为采出水、井下作业废水等，固体废物主要为含油污泥、油泥（砂）、清管废渣、落地原油、废弃含油抹布、劳保用品、废防渗材料。</w:t>
      </w:r>
    </w:p>
    <w:p w14:paraId="4F0D669C">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（3）退役期</w:t>
      </w:r>
    </w:p>
    <w:p w14:paraId="57F30392">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退役期，对完成油气开采的废弃井进行封堵内外井眼，拆除井口装置，清理场地工作，废气污染源主要为施工扬尘，噪声污染源主要为车辆噪声，固废污染源主要为废弃建筑残渣等一般工业固体废物以及设施拆除过程遗落地面的油泥等危废。</w:t>
      </w:r>
    </w:p>
    <w:p w14:paraId="16EA0E0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Times New Roman" w:hAnsi="Times New Roman" w:cs="Times New Roman"/>
          <w:color w:val="auto"/>
          <w:sz w:val="24"/>
          <w:szCs w:val="24"/>
          <w:u w:val="none"/>
        </w:rPr>
        <w:sectPr>
          <w:footerReference r:id="rId9" w:type="default"/>
          <w:pgSz w:w="11906" w:h="16838"/>
          <w:pgMar w:top="1474" w:right="1474" w:bottom="1474" w:left="1814" w:header="851" w:footer="992" w:gutter="0"/>
          <w:pgBorders>
            <w:top w:val="none" w:sz="0" w:space="0"/>
            <w:left w:val="none" w:sz="0" w:space="0"/>
            <w:bottom w:val="none" w:sz="0" w:space="0"/>
            <w:right w:val="none" w:sz="0" w:space="0"/>
          </w:pgBorders>
          <w:pgNumType w:fmt="decimal" w:start="1" w:chapStyle="1" w:chapSep="emDash"/>
          <w:cols w:space="0" w:num="1"/>
          <w:rtlGutter w:val="0"/>
          <w:docGrid w:type="linesAndChars" w:linePitch="312" w:charSpace="0"/>
        </w:sectPr>
      </w:pPr>
      <w:r>
        <w:rPr>
          <w:rFonts w:hint="default" w:ascii="宋体" w:hAnsi="宋体" w:eastAsia="宋体" w:cs="宋体"/>
          <w:color w:val="auto"/>
          <w:sz w:val="24"/>
          <w:szCs w:val="24"/>
          <w:highlight w:val="none"/>
          <w:u w:val="none"/>
          <w:lang w:val="zh-CN" w:eastAsia="zh-CN" w:bidi="ar-SA"/>
        </w:rPr>
        <w:t>油田开发的各个阶段，环境影响因子不同，根据工程分析和油气开发工艺特征，对油气开发过程中的施工期、运营期和退役期环境影响因子识别</w:t>
      </w:r>
      <w:r>
        <w:rPr>
          <w:rFonts w:hint="eastAsia" w:ascii="宋体" w:hAnsi="宋体" w:eastAsia="宋体" w:cs="宋体"/>
          <w:color w:val="auto"/>
          <w:sz w:val="24"/>
          <w:szCs w:val="24"/>
          <w:highlight w:val="none"/>
          <w:u w:val="none"/>
          <w:lang w:val="zh-CN" w:eastAsia="zh-CN" w:bidi="ar-SA"/>
        </w:rPr>
        <w:t>，</w:t>
      </w:r>
      <w:r>
        <w:rPr>
          <w:rFonts w:hint="default" w:ascii="宋体" w:hAnsi="宋体" w:eastAsia="宋体" w:cs="宋体"/>
          <w:color w:val="auto"/>
          <w:sz w:val="24"/>
          <w:szCs w:val="24"/>
          <w:highlight w:val="none"/>
          <w:u w:val="none"/>
          <w:lang w:val="zh-CN" w:eastAsia="zh-CN" w:bidi="ar-SA"/>
        </w:rPr>
        <w:t>见表2.</w:t>
      </w:r>
      <w:r>
        <w:rPr>
          <w:rFonts w:hint="eastAsia" w:ascii="宋体" w:hAnsi="宋体" w:cs="宋体"/>
          <w:color w:val="auto"/>
          <w:sz w:val="24"/>
          <w:szCs w:val="24"/>
          <w:highlight w:val="none"/>
          <w:u w:val="none"/>
          <w:lang w:val="en-US" w:eastAsia="zh-CN" w:bidi="ar-SA"/>
        </w:rPr>
        <w:t>3</w:t>
      </w:r>
      <w:r>
        <w:rPr>
          <w:rFonts w:hint="default" w:ascii="宋体" w:hAnsi="宋体" w:eastAsia="宋体" w:cs="宋体"/>
          <w:color w:val="auto"/>
          <w:sz w:val="24"/>
          <w:szCs w:val="24"/>
          <w:highlight w:val="none"/>
          <w:u w:val="none"/>
          <w:lang w:val="zh-CN" w:eastAsia="zh-CN" w:bidi="ar-SA"/>
        </w:rPr>
        <w:t>-1。</w:t>
      </w:r>
    </w:p>
    <w:p w14:paraId="60ADE2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表2.3-1  影响因素识别</w:t>
      </w:r>
    </w:p>
    <w:tbl>
      <w:tblPr>
        <w:tblStyle w:val="37"/>
        <w:tblW w:w="5041"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autofit"/>
        <w:tblCellMar>
          <w:top w:w="0" w:type="dxa"/>
          <w:left w:w="0" w:type="dxa"/>
          <w:bottom w:w="0" w:type="dxa"/>
          <w:right w:w="0" w:type="dxa"/>
        </w:tblCellMar>
      </w:tblPr>
      <w:tblGrid>
        <w:gridCol w:w="1162"/>
        <w:gridCol w:w="944"/>
        <w:gridCol w:w="1089"/>
        <w:gridCol w:w="994"/>
        <w:gridCol w:w="1122"/>
        <w:gridCol w:w="1202"/>
        <w:gridCol w:w="970"/>
        <w:gridCol w:w="1012"/>
        <w:gridCol w:w="1303"/>
        <w:gridCol w:w="795"/>
        <w:gridCol w:w="1320"/>
        <w:gridCol w:w="970"/>
        <w:gridCol w:w="1267"/>
        <w:gridCol w:w="679"/>
      </w:tblGrid>
      <w:tr w14:paraId="4F89B8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PrEx>
        <w:trPr>
          <w:trHeight w:val="397" w:hRule="atLeast"/>
        </w:trPr>
        <w:tc>
          <w:tcPr>
            <w:tcW w:w="392" w:type="pct"/>
            <w:vMerge w:val="restart"/>
            <w:tcBorders>
              <w:bottom w:val="single" w:color="000000" w:sz="12" w:space="0"/>
              <w:right w:val="single" w:color="000000" w:sz="12" w:space="0"/>
              <w:tl2br w:val="single" w:color="000000" w:sz="4" w:space="0"/>
            </w:tcBorders>
            <w:noWrap w:val="0"/>
            <w:vAlign w:val="top"/>
          </w:tcPr>
          <w:p w14:paraId="2B54D2F8">
            <w:pPr>
              <w:pStyle w:val="82"/>
              <w:keepNext w:val="0"/>
              <w:keepLines w:val="0"/>
              <w:pageBreakBefore w:val="0"/>
              <w:kinsoku/>
              <w:wordWrap/>
              <w:topLinePunct w:val="0"/>
              <w:bidi w:val="0"/>
              <w:spacing w:line="380" w:lineRule="exact"/>
              <w:rPr>
                <w:color w:val="auto"/>
                <w:sz w:val="21"/>
                <w:szCs w:val="21"/>
                <w:u w:val="none"/>
              </w:rPr>
            </w:pPr>
            <w:r>
              <w:rPr>
                <w:color w:val="auto"/>
                <w:sz w:val="21"/>
                <w:szCs w:val="21"/>
                <w:u w:val="none"/>
              </w:rPr>
              <w:t>影响</w:t>
            </w:r>
          </w:p>
          <w:p w14:paraId="6AA601E5">
            <w:pPr>
              <w:pStyle w:val="82"/>
              <w:keepNext w:val="0"/>
              <w:keepLines w:val="0"/>
              <w:pageBreakBefore w:val="0"/>
              <w:kinsoku/>
              <w:wordWrap/>
              <w:topLinePunct w:val="0"/>
              <w:bidi w:val="0"/>
              <w:spacing w:line="380" w:lineRule="exact"/>
              <w:rPr>
                <w:color w:val="auto"/>
                <w:sz w:val="21"/>
                <w:szCs w:val="21"/>
                <w:u w:val="none"/>
              </w:rPr>
            </w:pPr>
            <w:r>
              <w:rPr>
                <w:color w:val="auto"/>
                <w:sz w:val="21"/>
                <w:szCs w:val="21"/>
                <w:u w:val="none"/>
              </w:rPr>
              <w:t>因素</w:t>
            </w:r>
          </w:p>
          <w:p w14:paraId="364F0028">
            <w:pPr>
              <w:pStyle w:val="82"/>
              <w:keepNext w:val="0"/>
              <w:keepLines w:val="0"/>
              <w:pageBreakBefore w:val="0"/>
              <w:kinsoku/>
              <w:wordWrap/>
              <w:topLinePunct w:val="0"/>
              <w:bidi w:val="0"/>
              <w:spacing w:line="380" w:lineRule="exact"/>
              <w:rPr>
                <w:color w:val="auto"/>
                <w:sz w:val="21"/>
                <w:szCs w:val="21"/>
                <w:u w:val="none"/>
              </w:rPr>
            </w:pPr>
          </w:p>
          <w:p w14:paraId="38DF62C5">
            <w:pPr>
              <w:pStyle w:val="82"/>
              <w:keepNext w:val="0"/>
              <w:keepLines w:val="0"/>
              <w:pageBreakBefore w:val="0"/>
              <w:kinsoku/>
              <w:wordWrap/>
              <w:topLinePunct w:val="0"/>
              <w:bidi w:val="0"/>
              <w:spacing w:line="380" w:lineRule="exact"/>
              <w:rPr>
                <w:color w:val="auto"/>
                <w:sz w:val="21"/>
                <w:szCs w:val="21"/>
                <w:u w:val="none"/>
              </w:rPr>
            </w:pPr>
          </w:p>
          <w:p w14:paraId="72EC3CE6">
            <w:pPr>
              <w:pStyle w:val="82"/>
              <w:keepNext w:val="0"/>
              <w:keepLines w:val="0"/>
              <w:pageBreakBefore w:val="0"/>
              <w:kinsoku/>
              <w:wordWrap/>
              <w:topLinePunct w:val="0"/>
              <w:bidi w:val="0"/>
              <w:spacing w:line="380" w:lineRule="exact"/>
              <w:rPr>
                <w:color w:val="auto"/>
                <w:sz w:val="21"/>
                <w:szCs w:val="21"/>
                <w:u w:val="none"/>
              </w:rPr>
            </w:pPr>
          </w:p>
          <w:p w14:paraId="02035429">
            <w:pPr>
              <w:pStyle w:val="82"/>
              <w:keepNext w:val="0"/>
              <w:keepLines w:val="0"/>
              <w:pageBreakBefore w:val="0"/>
              <w:kinsoku/>
              <w:wordWrap/>
              <w:topLinePunct w:val="0"/>
              <w:bidi w:val="0"/>
              <w:spacing w:line="380" w:lineRule="exact"/>
              <w:rPr>
                <w:color w:val="auto"/>
                <w:sz w:val="21"/>
                <w:szCs w:val="21"/>
                <w:u w:val="none"/>
              </w:rPr>
            </w:pPr>
          </w:p>
          <w:p w14:paraId="3BE1E198">
            <w:pPr>
              <w:pStyle w:val="82"/>
              <w:keepNext w:val="0"/>
              <w:keepLines w:val="0"/>
              <w:pageBreakBefore w:val="0"/>
              <w:kinsoku/>
              <w:wordWrap/>
              <w:topLinePunct w:val="0"/>
              <w:bidi w:val="0"/>
              <w:spacing w:line="380" w:lineRule="exact"/>
              <w:jc w:val="both"/>
              <w:rPr>
                <w:color w:val="auto"/>
                <w:sz w:val="21"/>
                <w:szCs w:val="21"/>
                <w:u w:val="none"/>
              </w:rPr>
            </w:pPr>
            <w:r>
              <w:rPr>
                <w:color w:val="auto"/>
                <w:sz w:val="21"/>
                <w:szCs w:val="21"/>
                <w:u w:val="none"/>
              </w:rPr>
              <w:t>环</w:t>
            </w:r>
          </w:p>
          <w:p w14:paraId="2A29517E">
            <w:pPr>
              <w:pStyle w:val="82"/>
              <w:keepNext w:val="0"/>
              <w:keepLines w:val="0"/>
              <w:pageBreakBefore w:val="0"/>
              <w:kinsoku/>
              <w:wordWrap/>
              <w:topLinePunct w:val="0"/>
              <w:bidi w:val="0"/>
              <w:spacing w:line="380" w:lineRule="exact"/>
              <w:jc w:val="both"/>
              <w:rPr>
                <w:color w:val="auto"/>
                <w:sz w:val="21"/>
                <w:szCs w:val="21"/>
                <w:u w:val="none"/>
              </w:rPr>
            </w:pPr>
            <w:r>
              <w:rPr>
                <w:color w:val="auto"/>
                <w:sz w:val="21"/>
                <w:szCs w:val="21"/>
                <w:u w:val="none"/>
              </w:rPr>
              <w:t>境</w:t>
            </w:r>
          </w:p>
          <w:p w14:paraId="6B3FE6D7">
            <w:pPr>
              <w:pStyle w:val="82"/>
              <w:keepNext w:val="0"/>
              <w:keepLines w:val="0"/>
              <w:pageBreakBefore w:val="0"/>
              <w:kinsoku/>
              <w:wordWrap/>
              <w:topLinePunct w:val="0"/>
              <w:bidi w:val="0"/>
              <w:spacing w:line="380" w:lineRule="exact"/>
              <w:jc w:val="both"/>
              <w:rPr>
                <w:color w:val="auto"/>
                <w:sz w:val="21"/>
                <w:szCs w:val="21"/>
                <w:u w:val="none"/>
              </w:rPr>
            </w:pPr>
            <w:r>
              <w:rPr>
                <w:color w:val="auto"/>
                <w:sz w:val="21"/>
                <w:szCs w:val="21"/>
                <w:u w:val="none"/>
              </w:rPr>
              <w:t>因</w:t>
            </w:r>
          </w:p>
          <w:p w14:paraId="238D4198">
            <w:pPr>
              <w:pStyle w:val="82"/>
              <w:keepNext w:val="0"/>
              <w:keepLines w:val="0"/>
              <w:pageBreakBefore w:val="0"/>
              <w:kinsoku/>
              <w:wordWrap/>
              <w:topLinePunct w:val="0"/>
              <w:bidi w:val="0"/>
              <w:spacing w:line="380" w:lineRule="exact"/>
              <w:jc w:val="both"/>
              <w:rPr>
                <w:color w:val="auto"/>
                <w:sz w:val="21"/>
                <w:szCs w:val="21"/>
                <w:u w:val="none"/>
              </w:rPr>
            </w:pPr>
            <w:r>
              <w:rPr>
                <w:color w:val="auto"/>
                <w:sz w:val="21"/>
                <w:szCs w:val="21"/>
                <w:u w:val="none"/>
              </w:rPr>
              <w:t>素</w:t>
            </w:r>
          </w:p>
        </w:tc>
        <w:tc>
          <w:tcPr>
            <w:tcW w:w="1803" w:type="pct"/>
            <w:gridSpan w:val="5"/>
            <w:tcBorders>
              <w:left w:val="single" w:color="000000" w:sz="12" w:space="0"/>
              <w:tl2br w:val="nil"/>
              <w:tr2bl w:val="nil"/>
            </w:tcBorders>
            <w:noWrap w:val="0"/>
            <w:vAlign w:val="top"/>
          </w:tcPr>
          <w:p w14:paraId="1E4C9618">
            <w:pPr>
              <w:pStyle w:val="82"/>
              <w:keepNext w:val="0"/>
              <w:keepLines w:val="0"/>
              <w:pageBreakBefore w:val="0"/>
              <w:kinsoku/>
              <w:wordWrap/>
              <w:topLinePunct w:val="0"/>
              <w:bidi w:val="0"/>
              <w:spacing w:line="380" w:lineRule="exact"/>
              <w:rPr>
                <w:color w:val="auto"/>
                <w:sz w:val="21"/>
                <w:szCs w:val="21"/>
                <w:u w:val="none"/>
              </w:rPr>
            </w:pPr>
            <w:r>
              <w:rPr>
                <w:color w:val="auto"/>
                <w:position w:val="-2"/>
                <w:sz w:val="21"/>
                <w:szCs w:val="21"/>
                <w:u w:val="none"/>
              </w:rPr>
              <w:t>施工期</w:t>
            </w:r>
          </w:p>
        </w:tc>
        <w:tc>
          <w:tcPr>
            <w:tcW w:w="1820" w:type="pct"/>
            <w:gridSpan w:val="5"/>
            <w:tcBorders>
              <w:tl2br w:val="nil"/>
              <w:tr2bl w:val="nil"/>
            </w:tcBorders>
            <w:noWrap w:val="0"/>
            <w:vAlign w:val="top"/>
          </w:tcPr>
          <w:p w14:paraId="14E6BDD5">
            <w:pPr>
              <w:pStyle w:val="82"/>
              <w:keepNext w:val="0"/>
              <w:keepLines w:val="0"/>
              <w:pageBreakBefore w:val="0"/>
              <w:kinsoku/>
              <w:wordWrap/>
              <w:topLinePunct w:val="0"/>
              <w:bidi w:val="0"/>
              <w:spacing w:line="380" w:lineRule="exact"/>
              <w:rPr>
                <w:color w:val="auto"/>
                <w:sz w:val="21"/>
                <w:szCs w:val="21"/>
                <w:u w:val="none"/>
              </w:rPr>
            </w:pPr>
            <w:r>
              <w:rPr>
                <w:color w:val="auto"/>
                <w:position w:val="-2"/>
                <w:sz w:val="21"/>
                <w:szCs w:val="21"/>
                <w:u w:val="none"/>
              </w:rPr>
              <w:t>运营期</w:t>
            </w:r>
          </w:p>
        </w:tc>
        <w:tc>
          <w:tcPr>
            <w:tcW w:w="983" w:type="pct"/>
            <w:gridSpan w:val="3"/>
            <w:tcBorders>
              <w:tl2br w:val="nil"/>
              <w:tr2bl w:val="nil"/>
            </w:tcBorders>
            <w:noWrap w:val="0"/>
            <w:vAlign w:val="top"/>
          </w:tcPr>
          <w:p w14:paraId="4D8F8A4D">
            <w:pPr>
              <w:pStyle w:val="82"/>
              <w:keepNext w:val="0"/>
              <w:keepLines w:val="0"/>
              <w:pageBreakBefore w:val="0"/>
              <w:kinsoku/>
              <w:wordWrap/>
              <w:topLinePunct w:val="0"/>
              <w:bidi w:val="0"/>
              <w:spacing w:line="380" w:lineRule="exact"/>
              <w:rPr>
                <w:color w:val="auto"/>
                <w:position w:val="-2"/>
                <w:sz w:val="21"/>
                <w:szCs w:val="21"/>
                <w:u w:val="none"/>
              </w:rPr>
            </w:pPr>
            <w:r>
              <w:rPr>
                <w:color w:val="auto"/>
                <w:position w:val="-2"/>
                <w:sz w:val="21"/>
                <w:szCs w:val="21"/>
                <w:u w:val="none"/>
              </w:rPr>
              <w:t>退役期</w:t>
            </w:r>
          </w:p>
        </w:tc>
      </w:tr>
      <w:tr w14:paraId="2DFB34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vMerge w:val="continue"/>
            <w:tcBorders>
              <w:top w:val="single" w:color="000000" w:sz="12" w:space="0"/>
              <w:bottom w:val="single" w:color="000000" w:sz="12" w:space="0"/>
              <w:right w:val="single" w:color="000000" w:sz="12" w:space="0"/>
              <w:tl2br w:val="nil"/>
              <w:tr2bl w:val="nil"/>
            </w:tcBorders>
            <w:noWrap w:val="0"/>
            <w:vAlign w:val="top"/>
          </w:tcPr>
          <w:p w14:paraId="42E492DC">
            <w:pPr>
              <w:pStyle w:val="82"/>
              <w:keepNext w:val="0"/>
              <w:keepLines w:val="0"/>
              <w:pageBreakBefore w:val="0"/>
              <w:kinsoku/>
              <w:wordWrap/>
              <w:topLinePunct w:val="0"/>
              <w:bidi w:val="0"/>
              <w:spacing w:line="380" w:lineRule="exact"/>
              <w:rPr>
                <w:color w:val="auto"/>
                <w:sz w:val="21"/>
                <w:szCs w:val="21"/>
                <w:u w:val="none"/>
              </w:rPr>
            </w:pPr>
          </w:p>
        </w:tc>
        <w:tc>
          <w:tcPr>
            <w:tcW w:w="318" w:type="pct"/>
            <w:tcBorders>
              <w:left w:val="single" w:color="000000" w:sz="12" w:space="0"/>
              <w:tl2br w:val="nil"/>
              <w:tr2bl w:val="nil"/>
            </w:tcBorders>
            <w:noWrap w:val="0"/>
            <w:vAlign w:val="center"/>
          </w:tcPr>
          <w:p w14:paraId="53886AC4">
            <w:pPr>
              <w:pStyle w:val="82"/>
              <w:keepNext w:val="0"/>
              <w:keepLines w:val="0"/>
              <w:pageBreakBefore w:val="0"/>
              <w:kinsoku/>
              <w:wordWrap/>
              <w:topLinePunct w:val="0"/>
              <w:bidi w:val="0"/>
              <w:spacing w:line="380" w:lineRule="exact"/>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生态影响</w:t>
            </w:r>
          </w:p>
        </w:tc>
        <w:tc>
          <w:tcPr>
            <w:tcW w:w="367" w:type="pct"/>
            <w:tcBorders>
              <w:tl2br w:val="nil"/>
              <w:tr2bl w:val="nil"/>
            </w:tcBorders>
            <w:noWrap w:val="0"/>
            <w:vAlign w:val="center"/>
          </w:tcPr>
          <w:p w14:paraId="30F3480D">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废气</w:t>
            </w:r>
          </w:p>
        </w:tc>
        <w:tc>
          <w:tcPr>
            <w:tcW w:w="335" w:type="pct"/>
            <w:tcBorders>
              <w:tl2br w:val="nil"/>
              <w:tr2bl w:val="nil"/>
            </w:tcBorders>
            <w:noWrap w:val="0"/>
            <w:vAlign w:val="center"/>
          </w:tcPr>
          <w:p w14:paraId="416A8CB5">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废水</w:t>
            </w:r>
          </w:p>
        </w:tc>
        <w:tc>
          <w:tcPr>
            <w:tcW w:w="378" w:type="pct"/>
            <w:tcBorders>
              <w:tl2br w:val="nil"/>
              <w:tr2bl w:val="nil"/>
            </w:tcBorders>
            <w:noWrap w:val="0"/>
            <w:vAlign w:val="center"/>
          </w:tcPr>
          <w:p w14:paraId="274EE8BE">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固体废物</w:t>
            </w:r>
          </w:p>
        </w:tc>
        <w:tc>
          <w:tcPr>
            <w:tcW w:w="404" w:type="pct"/>
            <w:tcBorders>
              <w:tl2br w:val="nil"/>
              <w:tr2bl w:val="nil"/>
            </w:tcBorders>
            <w:noWrap w:val="0"/>
            <w:vAlign w:val="center"/>
          </w:tcPr>
          <w:p w14:paraId="0C6B6397">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噪声</w:t>
            </w:r>
          </w:p>
        </w:tc>
        <w:tc>
          <w:tcPr>
            <w:tcW w:w="327" w:type="pct"/>
            <w:tcBorders>
              <w:tl2br w:val="nil"/>
              <w:tr2bl w:val="nil"/>
            </w:tcBorders>
            <w:noWrap w:val="0"/>
            <w:vAlign w:val="center"/>
          </w:tcPr>
          <w:p w14:paraId="70615FE3">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废气</w:t>
            </w:r>
          </w:p>
        </w:tc>
        <w:tc>
          <w:tcPr>
            <w:tcW w:w="341" w:type="pct"/>
            <w:tcBorders>
              <w:tl2br w:val="nil"/>
              <w:tr2bl w:val="nil"/>
            </w:tcBorders>
            <w:noWrap w:val="0"/>
            <w:vAlign w:val="center"/>
          </w:tcPr>
          <w:p w14:paraId="424A680E">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废水</w:t>
            </w:r>
          </w:p>
        </w:tc>
        <w:tc>
          <w:tcPr>
            <w:tcW w:w="439" w:type="pct"/>
            <w:tcBorders>
              <w:tl2br w:val="nil"/>
              <w:tr2bl w:val="nil"/>
            </w:tcBorders>
            <w:noWrap w:val="0"/>
            <w:vAlign w:val="center"/>
          </w:tcPr>
          <w:p w14:paraId="73345A50">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固体废物</w:t>
            </w:r>
          </w:p>
        </w:tc>
        <w:tc>
          <w:tcPr>
            <w:tcW w:w="268" w:type="pct"/>
            <w:tcBorders>
              <w:tl2br w:val="nil"/>
              <w:tr2bl w:val="nil"/>
            </w:tcBorders>
            <w:noWrap w:val="0"/>
            <w:vAlign w:val="center"/>
          </w:tcPr>
          <w:p w14:paraId="36B4BC69">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噪声</w:t>
            </w:r>
          </w:p>
        </w:tc>
        <w:tc>
          <w:tcPr>
            <w:tcW w:w="445" w:type="pct"/>
            <w:tcBorders>
              <w:tl2br w:val="nil"/>
              <w:tr2bl w:val="nil"/>
            </w:tcBorders>
            <w:noWrap w:val="0"/>
            <w:vAlign w:val="center"/>
          </w:tcPr>
          <w:p w14:paraId="583BB1AB">
            <w:pPr>
              <w:pStyle w:val="82"/>
              <w:keepNext w:val="0"/>
              <w:keepLines w:val="0"/>
              <w:pageBreakBefore w:val="0"/>
              <w:kinsoku/>
              <w:wordWrap/>
              <w:topLinePunct w:val="0"/>
              <w:bidi w:val="0"/>
              <w:spacing w:line="380" w:lineRule="exact"/>
              <w:rPr>
                <w:color w:val="auto"/>
                <w:sz w:val="21"/>
                <w:szCs w:val="21"/>
                <w:highlight w:val="none"/>
                <w:u w:val="none"/>
              </w:rPr>
            </w:pPr>
            <w:r>
              <w:rPr>
                <w:rFonts w:hint="eastAsia"/>
                <w:color w:val="auto"/>
                <w:sz w:val="21"/>
                <w:szCs w:val="21"/>
                <w:highlight w:val="none"/>
                <w:u w:val="none"/>
                <w:lang w:val="en-US" w:eastAsia="zh-CN"/>
              </w:rPr>
              <w:t>环境</w:t>
            </w:r>
            <w:r>
              <w:rPr>
                <w:color w:val="auto"/>
                <w:sz w:val="21"/>
                <w:szCs w:val="21"/>
                <w:highlight w:val="none"/>
                <w:u w:val="none"/>
              </w:rPr>
              <w:t>风险</w:t>
            </w:r>
          </w:p>
        </w:tc>
        <w:tc>
          <w:tcPr>
            <w:tcW w:w="327" w:type="pct"/>
            <w:tcBorders>
              <w:tl2br w:val="nil"/>
              <w:tr2bl w:val="nil"/>
            </w:tcBorders>
            <w:noWrap w:val="0"/>
            <w:vAlign w:val="center"/>
          </w:tcPr>
          <w:p w14:paraId="0BD93B3C">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废气</w:t>
            </w:r>
          </w:p>
        </w:tc>
        <w:tc>
          <w:tcPr>
            <w:tcW w:w="427" w:type="pct"/>
            <w:tcBorders>
              <w:tl2br w:val="nil"/>
              <w:tr2bl w:val="nil"/>
            </w:tcBorders>
            <w:noWrap w:val="0"/>
            <w:vAlign w:val="center"/>
          </w:tcPr>
          <w:p w14:paraId="39CCA61E">
            <w:pPr>
              <w:pStyle w:val="82"/>
              <w:keepNext w:val="0"/>
              <w:keepLines w:val="0"/>
              <w:pageBreakBefore w:val="0"/>
              <w:kinsoku/>
              <w:wordWrap/>
              <w:topLinePunct w:val="0"/>
              <w:bidi w:val="0"/>
              <w:spacing w:line="380" w:lineRule="exact"/>
              <w:rPr>
                <w:color w:val="auto"/>
                <w:sz w:val="21"/>
                <w:szCs w:val="21"/>
                <w:highlight w:val="none"/>
                <w:u w:val="none"/>
              </w:rPr>
            </w:pPr>
            <w:r>
              <w:rPr>
                <w:color w:val="auto"/>
                <w:sz w:val="21"/>
                <w:szCs w:val="21"/>
                <w:highlight w:val="none"/>
                <w:u w:val="none"/>
              </w:rPr>
              <w:t>固体废物</w:t>
            </w:r>
          </w:p>
        </w:tc>
        <w:tc>
          <w:tcPr>
            <w:tcW w:w="228" w:type="pct"/>
            <w:tcBorders>
              <w:tl2br w:val="nil"/>
              <w:tr2bl w:val="nil"/>
            </w:tcBorders>
            <w:noWrap w:val="0"/>
            <w:vAlign w:val="center"/>
          </w:tcPr>
          <w:p w14:paraId="4DA2461B">
            <w:pPr>
              <w:pStyle w:val="82"/>
              <w:keepNext w:val="0"/>
              <w:keepLines w:val="0"/>
              <w:pageBreakBefore w:val="0"/>
              <w:kinsoku/>
              <w:wordWrap/>
              <w:topLinePunct w:val="0"/>
              <w:bidi w:val="0"/>
              <w:spacing w:line="380" w:lineRule="exact"/>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生态影响</w:t>
            </w:r>
          </w:p>
        </w:tc>
      </w:tr>
      <w:tr w14:paraId="3B741E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vMerge w:val="continue"/>
            <w:tcBorders>
              <w:top w:val="single" w:color="000000" w:sz="12" w:space="0"/>
              <w:bottom w:val="single" w:color="000000" w:sz="12" w:space="0"/>
              <w:right w:val="single" w:color="000000" w:sz="12" w:space="0"/>
              <w:tl2br w:val="nil"/>
              <w:tr2bl w:val="nil"/>
            </w:tcBorders>
            <w:noWrap w:val="0"/>
            <w:vAlign w:val="top"/>
          </w:tcPr>
          <w:p w14:paraId="2C3B6D1B">
            <w:pPr>
              <w:pStyle w:val="82"/>
              <w:keepNext w:val="0"/>
              <w:keepLines w:val="0"/>
              <w:pageBreakBefore w:val="0"/>
              <w:kinsoku/>
              <w:wordWrap/>
              <w:topLinePunct w:val="0"/>
              <w:bidi w:val="0"/>
              <w:spacing w:line="380" w:lineRule="exact"/>
              <w:rPr>
                <w:color w:val="auto"/>
                <w:sz w:val="21"/>
                <w:szCs w:val="21"/>
                <w:u w:val="none"/>
              </w:rPr>
            </w:pPr>
          </w:p>
        </w:tc>
        <w:tc>
          <w:tcPr>
            <w:tcW w:w="318" w:type="pct"/>
            <w:tcBorders>
              <w:left w:val="single" w:color="000000" w:sz="12" w:space="0"/>
              <w:tl2br w:val="nil"/>
              <w:tr2bl w:val="nil"/>
            </w:tcBorders>
            <w:noWrap w:val="0"/>
            <w:vAlign w:val="top"/>
          </w:tcPr>
          <w:p w14:paraId="2C4235DB">
            <w:pPr>
              <w:pStyle w:val="82"/>
              <w:keepNext w:val="0"/>
              <w:keepLines w:val="0"/>
              <w:pageBreakBefore w:val="0"/>
              <w:kinsoku/>
              <w:wordWrap/>
              <w:topLinePunct w:val="0"/>
              <w:bidi w:val="0"/>
              <w:spacing w:line="380" w:lineRule="exact"/>
              <w:jc w:val="left"/>
              <w:rPr>
                <w:rFonts w:hint="default"/>
                <w:color w:val="auto"/>
                <w:sz w:val="21"/>
                <w:szCs w:val="21"/>
                <w:highlight w:val="none"/>
                <w:u w:val="none"/>
                <w:lang w:val="en-US"/>
              </w:rPr>
            </w:pPr>
            <w:r>
              <w:rPr>
                <w:rFonts w:hint="eastAsia" w:ascii="Times New Roman" w:hAnsi="Times New Roman" w:eastAsia="宋体" w:cs="Times New Roman"/>
                <w:color w:val="auto"/>
                <w:sz w:val="21"/>
                <w:szCs w:val="21"/>
                <w:highlight w:val="none"/>
                <w:u w:val="none"/>
                <w:lang w:val="en-US" w:eastAsia="zh-CN"/>
              </w:rPr>
              <w:t>钻前工程、钻井工程和地面工程</w:t>
            </w:r>
            <w:r>
              <w:rPr>
                <w:rFonts w:hint="default" w:ascii="Times New Roman" w:hAnsi="Times New Roman" w:eastAsia="宋体" w:cs="Times New Roman"/>
                <w:color w:val="auto"/>
                <w:sz w:val="21"/>
                <w:szCs w:val="21"/>
                <w:highlight w:val="none"/>
                <w:u w:val="none"/>
                <w:lang w:val="en-US" w:eastAsia="zh-CN"/>
              </w:rPr>
              <w:t>造成的地表土壤和植被的破坏</w:t>
            </w:r>
            <w:r>
              <w:rPr>
                <w:rFonts w:hint="eastAsia" w:ascii="Times New Roman" w:hAnsi="Times New Roman" w:eastAsia="宋体" w:cs="Times New Roman"/>
                <w:color w:val="auto"/>
                <w:sz w:val="21"/>
                <w:szCs w:val="21"/>
                <w:highlight w:val="none"/>
                <w:u w:val="none"/>
                <w:lang w:val="en-US" w:eastAsia="zh-CN"/>
              </w:rPr>
              <w:t>等。</w:t>
            </w:r>
          </w:p>
        </w:tc>
        <w:tc>
          <w:tcPr>
            <w:tcW w:w="367" w:type="pct"/>
            <w:tcBorders>
              <w:tl2br w:val="nil"/>
              <w:tr2bl w:val="nil"/>
            </w:tcBorders>
            <w:noWrap w:val="0"/>
            <w:vAlign w:val="top"/>
          </w:tcPr>
          <w:p w14:paraId="43F82D7C">
            <w:pPr>
              <w:keepNext w:val="0"/>
              <w:keepLines w:val="0"/>
              <w:pageBreakBefore w:val="0"/>
              <w:widowControl/>
              <w:suppressLineNumbers w:val="0"/>
              <w:kinsoku/>
              <w:wordWrap/>
              <w:topLinePunct w:val="0"/>
              <w:bidi w:val="0"/>
              <w:spacing w:line="380" w:lineRule="exact"/>
              <w:jc w:val="left"/>
              <w:rPr>
                <w:color w:val="auto"/>
                <w:sz w:val="21"/>
                <w:szCs w:val="21"/>
                <w:highlight w:val="none"/>
                <w:u w:val="none"/>
              </w:rPr>
            </w:pPr>
            <w:r>
              <w:rPr>
                <w:rFonts w:hint="eastAsia"/>
                <w:color w:val="auto"/>
                <w:sz w:val="21"/>
                <w:szCs w:val="21"/>
                <w:highlight w:val="none"/>
                <w:u w:val="none"/>
              </w:rPr>
              <w:t>施工机械和车辆废气、施工扬尘</w:t>
            </w:r>
            <w:r>
              <w:rPr>
                <w:rFonts w:hint="eastAsia" w:ascii="宋体" w:hAnsi="宋体" w:eastAsia="宋体" w:cs="宋体"/>
                <w:color w:val="auto"/>
                <w:kern w:val="0"/>
                <w:sz w:val="21"/>
                <w:szCs w:val="21"/>
                <w:highlight w:val="none"/>
                <w:u w:val="none"/>
                <w:lang w:val="en-US" w:eastAsia="zh-CN" w:bidi="ar"/>
              </w:rPr>
              <w:t>、测试放喷、钻井及储层改造废气。</w:t>
            </w:r>
          </w:p>
        </w:tc>
        <w:tc>
          <w:tcPr>
            <w:tcW w:w="335" w:type="pct"/>
            <w:tcBorders>
              <w:tl2br w:val="nil"/>
              <w:tr2bl w:val="nil"/>
            </w:tcBorders>
            <w:noWrap w:val="0"/>
            <w:vAlign w:val="top"/>
          </w:tcPr>
          <w:p w14:paraId="113A72DD">
            <w:pPr>
              <w:keepNext w:val="0"/>
              <w:keepLines w:val="0"/>
              <w:pageBreakBefore w:val="0"/>
              <w:widowControl/>
              <w:suppressLineNumbers w:val="0"/>
              <w:kinsoku/>
              <w:wordWrap/>
              <w:topLinePunct w:val="0"/>
              <w:bidi w:val="0"/>
              <w:spacing w:line="380" w:lineRule="exact"/>
              <w:jc w:val="left"/>
              <w:rPr>
                <w:rFonts w:hint="default" w:eastAsia="宋体"/>
                <w:color w:val="auto"/>
                <w:sz w:val="21"/>
                <w:szCs w:val="21"/>
                <w:highlight w:val="none"/>
                <w:u w:val="none"/>
                <w:lang w:val="en-US" w:eastAsia="zh-CN"/>
              </w:rPr>
            </w:pPr>
            <w:r>
              <w:rPr>
                <w:rFonts w:hint="eastAsia"/>
                <w:color w:val="auto"/>
                <w:sz w:val="21"/>
                <w:szCs w:val="21"/>
                <w:highlight w:val="none"/>
                <w:u w:val="none"/>
              </w:rPr>
              <w:t>钻井废水、</w:t>
            </w:r>
            <w:r>
              <w:rPr>
                <w:color w:val="auto"/>
                <w:sz w:val="21"/>
                <w:szCs w:val="21"/>
                <w:highlight w:val="none"/>
                <w:u w:val="none"/>
              </w:rPr>
              <w:t>试压废</w:t>
            </w:r>
            <w:r>
              <w:rPr>
                <w:rFonts w:hint="eastAsia" w:ascii="Times New Roman" w:hAnsi="Times New Roman" w:eastAsia="宋体" w:cs="Times New Roman"/>
                <w:color w:val="auto"/>
                <w:kern w:val="2"/>
                <w:sz w:val="21"/>
                <w:szCs w:val="21"/>
                <w:highlight w:val="none"/>
                <w:u w:val="none"/>
                <w:lang w:val="en-US" w:eastAsia="zh-CN" w:bidi="ar-SA"/>
              </w:rPr>
              <w:t>水、生活污水。</w:t>
            </w:r>
          </w:p>
        </w:tc>
        <w:tc>
          <w:tcPr>
            <w:tcW w:w="378" w:type="pct"/>
            <w:tcBorders>
              <w:tl2br w:val="nil"/>
              <w:tr2bl w:val="nil"/>
            </w:tcBorders>
            <w:noWrap w:val="0"/>
            <w:vAlign w:val="top"/>
          </w:tcPr>
          <w:p w14:paraId="7CDE6ACA">
            <w:pPr>
              <w:pStyle w:val="82"/>
              <w:keepNext w:val="0"/>
              <w:keepLines w:val="0"/>
              <w:pageBreakBefore w:val="0"/>
              <w:kinsoku/>
              <w:wordWrap/>
              <w:topLinePunct w:val="0"/>
              <w:bidi w:val="0"/>
              <w:spacing w:line="380" w:lineRule="exact"/>
              <w:jc w:val="left"/>
              <w:rPr>
                <w:color w:val="auto"/>
                <w:sz w:val="21"/>
                <w:szCs w:val="21"/>
                <w:highlight w:val="none"/>
                <w:u w:val="none"/>
              </w:rPr>
            </w:pPr>
            <w:r>
              <w:rPr>
                <w:rFonts w:hint="eastAsia"/>
                <w:color w:val="auto"/>
                <w:sz w:val="21"/>
                <w:szCs w:val="21"/>
                <w:highlight w:val="none"/>
                <w:u w:val="none"/>
              </w:rPr>
              <w:t>钻井泥浆、岩屑、</w:t>
            </w:r>
            <w:r>
              <w:rPr>
                <w:color w:val="auto"/>
                <w:sz w:val="21"/>
                <w:szCs w:val="21"/>
                <w:highlight w:val="none"/>
                <w:u w:val="none"/>
              </w:rPr>
              <w:t>生活垃圾、建筑垃圾</w:t>
            </w:r>
            <w:r>
              <w:rPr>
                <w:rFonts w:hint="eastAsia"/>
                <w:color w:val="auto"/>
                <w:spacing w:val="-17"/>
                <w:sz w:val="21"/>
                <w:szCs w:val="21"/>
                <w:highlight w:val="none"/>
                <w:u w:val="none"/>
              </w:rPr>
              <w:t>、弃土弃方、废油和含油废弃物</w:t>
            </w:r>
            <w:r>
              <w:rPr>
                <w:rFonts w:hint="eastAsia"/>
                <w:color w:val="auto"/>
                <w:spacing w:val="-17"/>
                <w:sz w:val="21"/>
                <w:szCs w:val="21"/>
                <w:highlight w:val="none"/>
                <w:u w:val="none"/>
                <w:lang w:eastAsia="zh-CN"/>
              </w:rPr>
              <w:t>。</w:t>
            </w:r>
          </w:p>
        </w:tc>
        <w:tc>
          <w:tcPr>
            <w:tcW w:w="404" w:type="pct"/>
            <w:tcBorders>
              <w:tl2br w:val="nil"/>
              <w:tr2bl w:val="nil"/>
            </w:tcBorders>
            <w:noWrap w:val="0"/>
            <w:vAlign w:val="top"/>
          </w:tcPr>
          <w:p w14:paraId="14734F15">
            <w:pPr>
              <w:keepNext w:val="0"/>
              <w:keepLines w:val="0"/>
              <w:pageBreakBefore w:val="0"/>
              <w:widowControl/>
              <w:suppressLineNumbers w:val="0"/>
              <w:kinsoku/>
              <w:wordWrap/>
              <w:topLinePunct w:val="0"/>
              <w:bidi w:val="0"/>
              <w:spacing w:line="380" w:lineRule="exact"/>
              <w:jc w:val="left"/>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none"/>
                <w:lang w:val="en-US" w:eastAsia="zh-CN" w:bidi="ar"/>
              </w:rPr>
              <w:t>各类施工机械和运输车辆噪声。</w:t>
            </w:r>
          </w:p>
          <w:p w14:paraId="06AE71DD">
            <w:pPr>
              <w:keepNext w:val="0"/>
              <w:keepLines w:val="0"/>
              <w:pageBreakBefore w:val="0"/>
              <w:widowControl/>
              <w:suppressLineNumbers w:val="0"/>
              <w:kinsoku/>
              <w:wordWrap/>
              <w:topLinePunct w:val="0"/>
              <w:bidi w:val="0"/>
              <w:spacing w:line="380" w:lineRule="exact"/>
              <w:jc w:val="left"/>
              <w:rPr>
                <w:rFonts w:hint="eastAsia" w:ascii="宋体" w:hAnsi="宋体" w:eastAsia="宋体" w:cs="宋体"/>
                <w:color w:val="auto"/>
                <w:kern w:val="0"/>
                <w:sz w:val="21"/>
                <w:szCs w:val="21"/>
                <w:highlight w:val="none"/>
                <w:u w:val="none"/>
                <w:lang w:val="en-US" w:eastAsia="zh-CN" w:bidi="ar"/>
              </w:rPr>
            </w:pPr>
          </w:p>
        </w:tc>
        <w:tc>
          <w:tcPr>
            <w:tcW w:w="327" w:type="pct"/>
            <w:tcBorders>
              <w:tl2br w:val="nil"/>
              <w:tr2bl w:val="nil"/>
            </w:tcBorders>
            <w:noWrap w:val="0"/>
            <w:vAlign w:val="top"/>
          </w:tcPr>
          <w:p w14:paraId="3B1A8B4D">
            <w:pPr>
              <w:keepNext w:val="0"/>
              <w:keepLines w:val="0"/>
              <w:pageBreakBefore w:val="0"/>
              <w:widowControl/>
              <w:suppressLineNumbers w:val="0"/>
              <w:kinsoku/>
              <w:wordWrap/>
              <w:topLinePunct w:val="0"/>
              <w:bidi w:val="0"/>
              <w:spacing w:line="380" w:lineRule="exact"/>
              <w:jc w:val="left"/>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none"/>
                <w:lang w:val="en-US" w:eastAsia="zh-CN" w:bidi="ar"/>
              </w:rPr>
              <w:t>无组织非甲烷总烃、</w:t>
            </w:r>
            <w:r>
              <w:rPr>
                <w:rFonts w:hint="eastAsia" w:ascii="宋体" w:hAnsi="宋体" w:cs="宋体"/>
                <w:color w:val="auto"/>
                <w:kern w:val="0"/>
                <w:sz w:val="21"/>
                <w:szCs w:val="21"/>
                <w:highlight w:val="none"/>
                <w:u w:val="none"/>
                <w:lang w:val="en-US" w:eastAsia="zh-CN" w:bidi="ar"/>
              </w:rPr>
              <w:t>硫化氢、</w:t>
            </w:r>
            <w:r>
              <w:rPr>
                <w:rFonts w:hint="eastAsia" w:ascii="宋体" w:hAnsi="宋体" w:eastAsia="宋体" w:cs="宋体"/>
                <w:color w:val="auto"/>
                <w:kern w:val="0"/>
                <w:sz w:val="21"/>
                <w:szCs w:val="21"/>
                <w:highlight w:val="none"/>
                <w:u w:val="none"/>
                <w:lang w:val="en-US" w:eastAsia="zh-CN" w:bidi="ar"/>
              </w:rPr>
              <w:t>温室气体排放。</w:t>
            </w:r>
          </w:p>
        </w:tc>
        <w:tc>
          <w:tcPr>
            <w:tcW w:w="341" w:type="pct"/>
            <w:tcBorders>
              <w:tl2br w:val="nil"/>
              <w:tr2bl w:val="nil"/>
            </w:tcBorders>
            <w:noWrap w:val="0"/>
            <w:vAlign w:val="top"/>
          </w:tcPr>
          <w:p w14:paraId="2F066DC9">
            <w:pPr>
              <w:pStyle w:val="82"/>
              <w:keepNext w:val="0"/>
              <w:keepLines w:val="0"/>
              <w:pageBreakBefore w:val="0"/>
              <w:kinsoku/>
              <w:wordWrap/>
              <w:topLinePunct w:val="0"/>
              <w:bidi w:val="0"/>
              <w:spacing w:line="380" w:lineRule="exact"/>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采出水、井下作业废液、洗井废水等</w:t>
            </w:r>
            <w:r>
              <w:rPr>
                <w:rFonts w:hint="eastAsia"/>
                <w:color w:val="auto"/>
                <w:sz w:val="21"/>
                <w:szCs w:val="21"/>
                <w:highlight w:val="none"/>
                <w:u w:val="none"/>
                <w:lang w:val="en-US" w:eastAsia="zh-CN"/>
              </w:rPr>
              <w:t>。</w:t>
            </w:r>
          </w:p>
        </w:tc>
        <w:tc>
          <w:tcPr>
            <w:tcW w:w="439" w:type="pct"/>
            <w:tcBorders>
              <w:tl2br w:val="nil"/>
              <w:tr2bl w:val="nil"/>
            </w:tcBorders>
            <w:noWrap w:val="0"/>
            <w:vAlign w:val="top"/>
          </w:tcPr>
          <w:p w14:paraId="0F19002B">
            <w:pPr>
              <w:keepNext w:val="0"/>
              <w:keepLines w:val="0"/>
              <w:pageBreakBefore w:val="0"/>
              <w:kinsoku/>
              <w:wordWrap/>
              <w:topLinePunct w:val="0"/>
              <w:bidi w:val="0"/>
              <w:spacing w:line="380" w:lineRule="exact"/>
              <w:jc w:val="left"/>
              <w:rPr>
                <w:rFonts w:hint="eastAsia" w:eastAsia="宋体"/>
                <w:color w:val="auto"/>
                <w:sz w:val="21"/>
                <w:szCs w:val="21"/>
                <w:highlight w:val="none"/>
                <w:u w:val="none"/>
                <w:lang w:eastAsia="zh-CN"/>
              </w:rPr>
            </w:pPr>
            <w:r>
              <w:rPr>
                <w:rFonts w:hint="eastAsia"/>
                <w:color w:val="auto"/>
                <w:spacing w:val="-17"/>
                <w:sz w:val="21"/>
                <w:szCs w:val="21"/>
                <w:highlight w:val="none"/>
                <w:u w:val="none"/>
              </w:rPr>
              <w:t>含油污泥、油泥（砂）、清管废渣、落地原油、废弃含油抹布、劳保用品、废防渗材料</w:t>
            </w:r>
            <w:r>
              <w:rPr>
                <w:rFonts w:hint="eastAsia"/>
                <w:color w:val="auto"/>
                <w:spacing w:val="-17"/>
                <w:sz w:val="21"/>
                <w:szCs w:val="21"/>
                <w:highlight w:val="none"/>
                <w:u w:val="none"/>
                <w:lang w:eastAsia="zh-CN"/>
              </w:rPr>
              <w:t>。</w:t>
            </w:r>
          </w:p>
        </w:tc>
        <w:tc>
          <w:tcPr>
            <w:tcW w:w="268" w:type="pct"/>
            <w:tcBorders>
              <w:tl2br w:val="nil"/>
              <w:tr2bl w:val="nil"/>
            </w:tcBorders>
            <w:noWrap w:val="0"/>
            <w:vAlign w:val="top"/>
          </w:tcPr>
          <w:p w14:paraId="4055978F">
            <w:pPr>
              <w:pStyle w:val="82"/>
              <w:keepNext w:val="0"/>
              <w:keepLines w:val="0"/>
              <w:pageBreakBefore w:val="0"/>
              <w:kinsoku/>
              <w:wordWrap/>
              <w:topLinePunct w:val="0"/>
              <w:bidi w:val="0"/>
              <w:spacing w:line="380" w:lineRule="exact"/>
              <w:jc w:val="left"/>
              <w:rPr>
                <w:color w:val="auto"/>
                <w:sz w:val="21"/>
                <w:szCs w:val="21"/>
                <w:highlight w:val="none"/>
                <w:u w:val="none"/>
              </w:rPr>
            </w:pPr>
            <w:r>
              <w:rPr>
                <w:color w:val="auto"/>
                <w:sz w:val="21"/>
                <w:szCs w:val="21"/>
                <w:highlight w:val="none"/>
                <w:u w:val="none"/>
              </w:rPr>
              <w:t>设备</w:t>
            </w:r>
          </w:p>
          <w:p w14:paraId="2314EE2C">
            <w:pPr>
              <w:pStyle w:val="82"/>
              <w:keepNext w:val="0"/>
              <w:keepLines w:val="0"/>
              <w:pageBreakBefore w:val="0"/>
              <w:kinsoku/>
              <w:wordWrap/>
              <w:topLinePunct w:val="0"/>
              <w:bidi w:val="0"/>
              <w:spacing w:line="380" w:lineRule="exact"/>
              <w:jc w:val="left"/>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噪声</w:t>
            </w:r>
          </w:p>
        </w:tc>
        <w:tc>
          <w:tcPr>
            <w:tcW w:w="445" w:type="pct"/>
            <w:tcBorders>
              <w:tl2br w:val="nil"/>
              <w:tr2bl w:val="nil"/>
            </w:tcBorders>
            <w:noWrap w:val="0"/>
            <w:vAlign w:val="top"/>
          </w:tcPr>
          <w:p w14:paraId="2FFF9214">
            <w:pPr>
              <w:pStyle w:val="82"/>
              <w:keepNext w:val="0"/>
              <w:keepLines w:val="0"/>
              <w:pageBreakBefore w:val="0"/>
              <w:kinsoku/>
              <w:wordWrap/>
              <w:topLinePunct w:val="0"/>
              <w:bidi w:val="0"/>
              <w:spacing w:line="380" w:lineRule="exact"/>
              <w:jc w:val="left"/>
              <w:rPr>
                <w:color w:val="auto"/>
                <w:sz w:val="21"/>
                <w:szCs w:val="21"/>
                <w:highlight w:val="none"/>
                <w:u w:val="none"/>
              </w:rPr>
            </w:pPr>
            <w:r>
              <w:rPr>
                <w:rFonts w:hint="eastAsia"/>
                <w:color w:val="auto"/>
                <w:sz w:val="21"/>
                <w:szCs w:val="21"/>
                <w:highlight w:val="none"/>
                <w:u w:val="none"/>
              </w:rPr>
              <w:t>石油、天然气等危险物质泄漏，以及火灾、爆炸、井喷等</w:t>
            </w:r>
            <w:r>
              <w:rPr>
                <w:rFonts w:hint="eastAsia"/>
                <w:color w:val="auto"/>
                <w:sz w:val="21"/>
                <w:szCs w:val="21"/>
                <w:highlight w:val="none"/>
                <w:u w:val="none"/>
                <w:lang w:val="en-US" w:eastAsia="zh-CN"/>
              </w:rPr>
              <w:t>事故</w:t>
            </w:r>
            <w:r>
              <w:rPr>
                <w:rFonts w:hint="eastAsia"/>
                <w:color w:val="auto"/>
                <w:sz w:val="21"/>
                <w:szCs w:val="21"/>
                <w:highlight w:val="none"/>
                <w:u w:val="none"/>
              </w:rPr>
              <w:t>引发的伴生/次生污染物</w:t>
            </w:r>
          </w:p>
        </w:tc>
        <w:tc>
          <w:tcPr>
            <w:tcW w:w="327" w:type="pct"/>
            <w:tcBorders>
              <w:tl2br w:val="nil"/>
              <w:tr2bl w:val="nil"/>
            </w:tcBorders>
            <w:noWrap w:val="0"/>
            <w:vAlign w:val="top"/>
          </w:tcPr>
          <w:p w14:paraId="69B8E050">
            <w:pPr>
              <w:pStyle w:val="82"/>
              <w:keepNext w:val="0"/>
              <w:keepLines w:val="0"/>
              <w:pageBreakBefore w:val="0"/>
              <w:kinsoku/>
              <w:wordWrap/>
              <w:topLinePunct w:val="0"/>
              <w:bidi w:val="0"/>
              <w:spacing w:line="380" w:lineRule="exact"/>
              <w:jc w:val="left"/>
              <w:rPr>
                <w:color w:val="auto"/>
                <w:sz w:val="21"/>
                <w:szCs w:val="21"/>
                <w:highlight w:val="none"/>
                <w:u w:val="none"/>
              </w:rPr>
            </w:pPr>
            <w:r>
              <w:rPr>
                <w:color w:val="auto"/>
                <w:sz w:val="21"/>
                <w:szCs w:val="21"/>
                <w:highlight w:val="none"/>
                <w:u w:val="none"/>
              </w:rPr>
              <w:t>构筑物拆卸扬尘</w:t>
            </w:r>
          </w:p>
        </w:tc>
        <w:tc>
          <w:tcPr>
            <w:tcW w:w="427" w:type="pct"/>
            <w:tcBorders>
              <w:tl2br w:val="nil"/>
              <w:tr2bl w:val="nil"/>
            </w:tcBorders>
            <w:noWrap w:val="0"/>
            <w:vAlign w:val="top"/>
          </w:tcPr>
          <w:p w14:paraId="24654FD1">
            <w:pPr>
              <w:pStyle w:val="82"/>
              <w:keepNext w:val="0"/>
              <w:keepLines w:val="0"/>
              <w:pageBreakBefore w:val="0"/>
              <w:kinsoku/>
              <w:wordWrap/>
              <w:topLinePunct w:val="0"/>
              <w:bidi w:val="0"/>
              <w:spacing w:line="380" w:lineRule="exact"/>
              <w:jc w:val="center"/>
              <w:rPr>
                <w:color w:val="auto"/>
                <w:sz w:val="21"/>
                <w:szCs w:val="21"/>
                <w:highlight w:val="none"/>
                <w:u w:val="none"/>
              </w:rPr>
            </w:pPr>
            <w:r>
              <w:rPr>
                <w:rFonts w:hint="eastAsia"/>
                <w:color w:val="auto"/>
                <w:sz w:val="21"/>
                <w:szCs w:val="21"/>
                <w:highlight w:val="none"/>
                <w:u w:val="none"/>
                <w:lang w:val="en-US" w:eastAsia="zh-CN"/>
              </w:rPr>
              <w:t>地面设施拆除、井场清理等环节产生的废弃管道和设备、建筑垃圾、含油污泥等。</w:t>
            </w:r>
          </w:p>
        </w:tc>
        <w:tc>
          <w:tcPr>
            <w:tcW w:w="228" w:type="pct"/>
            <w:tcBorders>
              <w:tl2br w:val="nil"/>
              <w:tr2bl w:val="nil"/>
            </w:tcBorders>
            <w:noWrap w:val="0"/>
            <w:vAlign w:val="top"/>
          </w:tcPr>
          <w:p w14:paraId="1CE4E0A8">
            <w:pPr>
              <w:pStyle w:val="82"/>
              <w:keepNext w:val="0"/>
              <w:keepLines w:val="0"/>
              <w:pageBreakBefore w:val="0"/>
              <w:kinsoku/>
              <w:wordWrap/>
              <w:topLinePunct w:val="0"/>
              <w:bidi w:val="0"/>
              <w:spacing w:line="380" w:lineRule="exact"/>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土地复垦</w:t>
            </w:r>
          </w:p>
        </w:tc>
      </w:tr>
      <w:tr w14:paraId="50EA83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tcBorders>
              <w:top w:val="single" w:color="000000" w:sz="12" w:space="0"/>
              <w:tl2br w:val="nil"/>
              <w:tr2bl w:val="nil"/>
            </w:tcBorders>
            <w:noWrap w:val="0"/>
            <w:vAlign w:val="center"/>
          </w:tcPr>
          <w:p w14:paraId="6B723E15">
            <w:pPr>
              <w:keepNext w:val="0"/>
              <w:keepLines w:val="0"/>
              <w:pageBreakBefore w:val="0"/>
              <w:kinsoku/>
              <w:wordWrap/>
              <w:topLinePunct w:val="0"/>
              <w:bidi w:val="0"/>
              <w:snapToGrid w:val="0"/>
              <w:spacing w:line="380" w:lineRule="exact"/>
              <w:jc w:val="center"/>
              <w:rPr>
                <w:rFonts w:hint="default" w:ascii="Calibri" w:hAnsi="Calibri"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地表水</w:t>
            </w:r>
          </w:p>
        </w:tc>
        <w:tc>
          <w:tcPr>
            <w:tcW w:w="318" w:type="pct"/>
            <w:tcBorders>
              <w:tl2br w:val="nil"/>
              <w:tr2bl w:val="nil"/>
            </w:tcBorders>
            <w:noWrap w:val="0"/>
            <w:vAlign w:val="top"/>
          </w:tcPr>
          <w:p w14:paraId="7135574C">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67" w:type="pct"/>
            <w:tcBorders>
              <w:tl2br w:val="nil"/>
              <w:tr2bl w:val="nil"/>
            </w:tcBorders>
            <w:noWrap w:val="0"/>
            <w:vAlign w:val="top"/>
          </w:tcPr>
          <w:p w14:paraId="041D2A86">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35" w:type="pct"/>
            <w:tcBorders>
              <w:tl2br w:val="nil"/>
              <w:tr2bl w:val="nil"/>
            </w:tcBorders>
            <w:noWrap w:val="0"/>
            <w:vAlign w:val="top"/>
          </w:tcPr>
          <w:p w14:paraId="22CF70FC">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78" w:type="pct"/>
            <w:tcBorders>
              <w:tl2br w:val="nil"/>
              <w:tr2bl w:val="nil"/>
            </w:tcBorders>
            <w:noWrap w:val="0"/>
            <w:vAlign w:val="top"/>
          </w:tcPr>
          <w:p w14:paraId="4AC11618">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04" w:type="pct"/>
            <w:tcBorders>
              <w:tl2br w:val="nil"/>
              <w:tr2bl w:val="nil"/>
            </w:tcBorders>
            <w:noWrap w:val="0"/>
            <w:vAlign w:val="top"/>
          </w:tcPr>
          <w:p w14:paraId="3EB47922">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27" w:type="pct"/>
            <w:tcBorders>
              <w:tl2br w:val="nil"/>
              <w:tr2bl w:val="nil"/>
            </w:tcBorders>
            <w:noWrap w:val="0"/>
            <w:vAlign w:val="top"/>
          </w:tcPr>
          <w:p w14:paraId="6C654038">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41" w:type="pct"/>
            <w:tcBorders>
              <w:tl2br w:val="nil"/>
              <w:tr2bl w:val="nil"/>
            </w:tcBorders>
            <w:noWrap w:val="0"/>
            <w:vAlign w:val="top"/>
          </w:tcPr>
          <w:p w14:paraId="253C4065">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39" w:type="pct"/>
            <w:tcBorders>
              <w:tl2br w:val="nil"/>
              <w:tr2bl w:val="nil"/>
            </w:tcBorders>
            <w:noWrap w:val="0"/>
            <w:vAlign w:val="top"/>
          </w:tcPr>
          <w:p w14:paraId="717E432D">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268" w:type="pct"/>
            <w:tcBorders>
              <w:tl2br w:val="nil"/>
              <w:tr2bl w:val="nil"/>
            </w:tcBorders>
            <w:noWrap w:val="0"/>
            <w:vAlign w:val="top"/>
          </w:tcPr>
          <w:p w14:paraId="56A40A47">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45" w:type="pct"/>
            <w:tcBorders>
              <w:tl2br w:val="nil"/>
              <w:tr2bl w:val="nil"/>
            </w:tcBorders>
            <w:noWrap w:val="0"/>
            <w:vAlign w:val="top"/>
          </w:tcPr>
          <w:p w14:paraId="5ECFC43B">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27" w:type="pct"/>
            <w:tcBorders>
              <w:tl2br w:val="nil"/>
              <w:tr2bl w:val="nil"/>
            </w:tcBorders>
            <w:noWrap w:val="0"/>
            <w:vAlign w:val="top"/>
          </w:tcPr>
          <w:p w14:paraId="190EFDDB">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27" w:type="pct"/>
            <w:tcBorders>
              <w:tl2br w:val="nil"/>
              <w:tr2bl w:val="nil"/>
            </w:tcBorders>
            <w:noWrap w:val="0"/>
            <w:vAlign w:val="top"/>
          </w:tcPr>
          <w:p w14:paraId="6EECABAA">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228" w:type="pct"/>
            <w:tcBorders>
              <w:tl2br w:val="nil"/>
              <w:tr2bl w:val="nil"/>
            </w:tcBorders>
            <w:noWrap w:val="0"/>
            <w:vAlign w:val="top"/>
          </w:tcPr>
          <w:p w14:paraId="5EF73DF0">
            <w:pPr>
              <w:pStyle w:val="82"/>
              <w:keepNext w:val="0"/>
              <w:keepLines w:val="0"/>
              <w:pageBreakBefore w:val="0"/>
              <w:kinsoku/>
              <w:wordWrap/>
              <w:topLinePunct w:val="0"/>
              <w:bidi w:val="0"/>
              <w:spacing w:line="380" w:lineRule="exact"/>
              <w:rPr>
                <w:color w:val="auto"/>
                <w:w w:val="85"/>
                <w:sz w:val="21"/>
                <w:szCs w:val="21"/>
                <w:highlight w:val="yellow"/>
                <w:u w:val="none"/>
              </w:rPr>
            </w:pPr>
            <w:r>
              <w:rPr>
                <w:color w:val="auto"/>
                <w:position w:val="-2"/>
                <w:sz w:val="21"/>
                <w:szCs w:val="21"/>
                <w:u w:val="none"/>
              </w:rPr>
              <w:t>〇</w:t>
            </w:r>
          </w:p>
        </w:tc>
      </w:tr>
      <w:tr w14:paraId="0B76AC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tcBorders>
              <w:tl2br w:val="nil"/>
              <w:tr2bl w:val="nil"/>
            </w:tcBorders>
            <w:noWrap w:val="0"/>
            <w:vAlign w:val="center"/>
          </w:tcPr>
          <w:p w14:paraId="6AD1956E">
            <w:pPr>
              <w:keepNext w:val="0"/>
              <w:keepLines w:val="0"/>
              <w:pageBreakBefore w:val="0"/>
              <w:kinsoku/>
              <w:wordWrap/>
              <w:topLinePunct w:val="0"/>
              <w:bidi w:val="0"/>
              <w:snapToGrid w:val="0"/>
              <w:spacing w:line="380" w:lineRule="exact"/>
              <w:jc w:val="center"/>
              <w:rPr>
                <w:rFonts w:ascii="Calibri" w:hAnsi="Calibri" w:eastAsia="宋体" w:cs="Times New Roman"/>
                <w:color w:val="auto"/>
                <w:kern w:val="2"/>
                <w:sz w:val="21"/>
                <w:szCs w:val="21"/>
                <w:u w:val="none"/>
                <w:lang w:val="en-US" w:eastAsia="zh-CN" w:bidi="ar-SA"/>
              </w:rPr>
            </w:pPr>
            <w:r>
              <w:rPr>
                <w:color w:val="auto"/>
                <w:sz w:val="21"/>
                <w:szCs w:val="21"/>
                <w:u w:val="none"/>
              </w:rPr>
              <w:t>地下水</w:t>
            </w:r>
          </w:p>
        </w:tc>
        <w:tc>
          <w:tcPr>
            <w:tcW w:w="318" w:type="pct"/>
            <w:tcBorders>
              <w:tl2br w:val="nil"/>
              <w:tr2bl w:val="nil"/>
            </w:tcBorders>
            <w:noWrap w:val="0"/>
            <w:vAlign w:val="top"/>
          </w:tcPr>
          <w:p w14:paraId="65F0A8EB">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67" w:type="pct"/>
            <w:tcBorders>
              <w:tl2br w:val="nil"/>
              <w:tr2bl w:val="nil"/>
            </w:tcBorders>
            <w:noWrap w:val="0"/>
            <w:vAlign w:val="top"/>
          </w:tcPr>
          <w:p w14:paraId="432319E5">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35" w:type="pct"/>
            <w:tcBorders>
              <w:tl2br w:val="nil"/>
              <w:tr2bl w:val="nil"/>
            </w:tcBorders>
            <w:noWrap w:val="0"/>
            <w:vAlign w:val="top"/>
          </w:tcPr>
          <w:p w14:paraId="0B6D865E">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78" w:type="pct"/>
            <w:tcBorders>
              <w:tl2br w:val="nil"/>
              <w:tr2bl w:val="nil"/>
            </w:tcBorders>
            <w:noWrap w:val="0"/>
            <w:vAlign w:val="top"/>
          </w:tcPr>
          <w:p w14:paraId="461638D7">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04" w:type="pct"/>
            <w:tcBorders>
              <w:tl2br w:val="nil"/>
              <w:tr2bl w:val="nil"/>
            </w:tcBorders>
            <w:noWrap w:val="0"/>
            <w:vAlign w:val="top"/>
          </w:tcPr>
          <w:p w14:paraId="60FCA46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27" w:type="pct"/>
            <w:tcBorders>
              <w:tl2br w:val="nil"/>
              <w:tr2bl w:val="nil"/>
            </w:tcBorders>
            <w:noWrap w:val="0"/>
            <w:vAlign w:val="top"/>
          </w:tcPr>
          <w:p w14:paraId="301A8BBA">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41" w:type="pct"/>
            <w:tcBorders>
              <w:tl2br w:val="nil"/>
              <w:tr2bl w:val="nil"/>
            </w:tcBorders>
            <w:noWrap w:val="0"/>
            <w:vAlign w:val="top"/>
          </w:tcPr>
          <w:p w14:paraId="7273A7D8">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39" w:type="pct"/>
            <w:tcBorders>
              <w:tl2br w:val="nil"/>
              <w:tr2bl w:val="nil"/>
            </w:tcBorders>
            <w:noWrap w:val="0"/>
            <w:vAlign w:val="top"/>
          </w:tcPr>
          <w:p w14:paraId="1A0B912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rFonts w:hint="default" w:ascii="Times New Roman" w:hAnsi="Times New Roman" w:cs="Times New Roman"/>
                <w:b/>
                <w:color w:val="auto"/>
                <w:sz w:val="18"/>
                <w:szCs w:val="18"/>
                <w:u w:val="none"/>
              </w:rPr>
              <w:t>+</w:t>
            </w:r>
          </w:p>
        </w:tc>
        <w:tc>
          <w:tcPr>
            <w:tcW w:w="268" w:type="pct"/>
            <w:tcBorders>
              <w:tl2br w:val="nil"/>
              <w:tr2bl w:val="nil"/>
            </w:tcBorders>
            <w:noWrap w:val="0"/>
            <w:vAlign w:val="top"/>
          </w:tcPr>
          <w:p w14:paraId="65167D7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45" w:type="pct"/>
            <w:tcBorders>
              <w:tl2br w:val="nil"/>
              <w:tr2bl w:val="nil"/>
            </w:tcBorders>
            <w:noWrap w:val="0"/>
            <w:vAlign w:val="top"/>
          </w:tcPr>
          <w:p w14:paraId="7EBA7F3C">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27" w:type="pct"/>
            <w:tcBorders>
              <w:tl2br w:val="nil"/>
              <w:tr2bl w:val="nil"/>
            </w:tcBorders>
            <w:noWrap w:val="0"/>
            <w:vAlign w:val="top"/>
          </w:tcPr>
          <w:p w14:paraId="7E91E67D">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27" w:type="pct"/>
            <w:tcBorders>
              <w:tl2br w:val="nil"/>
              <w:tr2bl w:val="nil"/>
            </w:tcBorders>
            <w:noWrap w:val="0"/>
            <w:vAlign w:val="top"/>
          </w:tcPr>
          <w:p w14:paraId="64F86D82">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28" w:type="pct"/>
            <w:tcBorders>
              <w:tl2br w:val="nil"/>
              <w:tr2bl w:val="nil"/>
            </w:tcBorders>
            <w:noWrap w:val="0"/>
            <w:vAlign w:val="top"/>
          </w:tcPr>
          <w:p w14:paraId="43247469">
            <w:pPr>
              <w:pStyle w:val="82"/>
              <w:keepNext w:val="0"/>
              <w:keepLines w:val="0"/>
              <w:pageBreakBefore w:val="0"/>
              <w:kinsoku/>
              <w:wordWrap/>
              <w:topLinePunct w:val="0"/>
              <w:bidi w:val="0"/>
              <w:spacing w:line="380" w:lineRule="exact"/>
              <w:rPr>
                <w:color w:val="auto"/>
                <w:position w:val="-2"/>
                <w:sz w:val="21"/>
                <w:szCs w:val="21"/>
                <w:highlight w:val="yellow"/>
                <w:u w:val="none"/>
              </w:rPr>
            </w:pPr>
            <w:r>
              <w:rPr>
                <w:color w:val="auto"/>
                <w:position w:val="-2"/>
                <w:sz w:val="21"/>
                <w:szCs w:val="21"/>
                <w:u w:val="none"/>
              </w:rPr>
              <w:t>〇</w:t>
            </w:r>
          </w:p>
        </w:tc>
      </w:tr>
      <w:tr w14:paraId="3EB929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tcBorders>
              <w:tl2br w:val="nil"/>
              <w:tr2bl w:val="nil"/>
            </w:tcBorders>
            <w:noWrap w:val="0"/>
            <w:vAlign w:val="center"/>
          </w:tcPr>
          <w:p w14:paraId="5E58A2C3">
            <w:pPr>
              <w:keepNext w:val="0"/>
              <w:keepLines w:val="0"/>
              <w:pageBreakBefore w:val="0"/>
              <w:kinsoku/>
              <w:wordWrap/>
              <w:topLinePunct w:val="0"/>
              <w:bidi w:val="0"/>
              <w:snapToGrid w:val="0"/>
              <w:spacing w:line="380" w:lineRule="exact"/>
              <w:jc w:val="center"/>
              <w:rPr>
                <w:rFonts w:hint="default" w:ascii="Calibri" w:hAnsi="Calibri" w:eastAsia="宋体" w:cs="Times New Roman"/>
                <w:color w:val="auto"/>
                <w:kern w:val="2"/>
                <w:sz w:val="21"/>
                <w:szCs w:val="21"/>
                <w:u w:val="none"/>
                <w:lang w:val="en-US" w:eastAsia="zh-CN" w:bidi="ar-SA"/>
              </w:rPr>
            </w:pPr>
            <w:r>
              <w:rPr>
                <w:color w:val="auto"/>
                <w:sz w:val="21"/>
                <w:szCs w:val="21"/>
                <w:u w:val="none"/>
              </w:rPr>
              <w:t>大气环境</w:t>
            </w:r>
          </w:p>
        </w:tc>
        <w:tc>
          <w:tcPr>
            <w:tcW w:w="318" w:type="pct"/>
            <w:tcBorders>
              <w:tl2br w:val="nil"/>
              <w:tr2bl w:val="nil"/>
            </w:tcBorders>
            <w:noWrap w:val="0"/>
            <w:vAlign w:val="top"/>
          </w:tcPr>
          <w:p w14:paraId="74157529">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67" w:type="pct"/>
            <w:tcBorders>
              <w:tl2br w:val="nil"/>
              <w:tr2bl w:val="nil"/>
            </w:tcBorders>
            <w:noWrap w:val="0"/>
            <w:vAlign w:val="top"/>
          </w:tcPr>
          <w:p w14:paraId="6D364483">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35" w:type="pct"/>
            <w:tcBorders>
              <w:tl2br w:val="nil"/>
              <w:tr2bl w:val="nil"/>
            </w:tcBorders>
            <w:noWrap w:val="0"/>
            <w:vAlign w:val="top"/>
          </w:tcPr>
          <w:p w14:paraId="2EFEEAF0">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78" w:type="pct"/>
            <w:tcBorders>
              <w:tl2br w:val="nil"/>
              <w:tr2bl w:val="nil"/>
            </w:tcBorders>
            <w:noWrap w:val="0"/>
            <w:vAlign w:val="top"/>
          </w:tcPr>
          <w:p w14:paraId="7E93251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04" w:type="pct"/>
            <w:tcBorders>
              <w:tl2br w:val="nil"/>
              <w:tr2bl w:val="nil"/>
            </w:tcBorders>
            <w:noWrap w:val="0"/>
            <w:vAlign w:val="top"/>
          </w:tcPr>
          <w:p w14:paraId="487E53F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27" w:type="pct"/>
            <w:tcBorders>
              <w:tl2br w:val="nil"/>
              <w:tr2bl w:val="nil"/>
            </w:tcBorders>
            <w:noWrap w:val="0"/>
            <w:vAlign w:val="top"/>
          </w:tcPr>
          <w:p w14:paraId="2FB9DC7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41" w:type="pct"/>
            <w:tcBorders>
              <w:tl2br w:val="nil"/>
              <w:tr2bl w:val="nil"/>
            </w:tcBorders>
            <w:noWrap w:val="0"/>
            <w:vAlign w:val="top"/>
          </w:tcPr>
          <w:p w14:paraId="6AEC06A0">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39" w:type="pct"/>
            <w:tcBorders>
              <w:tl2br w:val="nil"/>
              <w:tr2bl w:val="nil"/>
            </w:tcBorders>
            <w:noWrap w:val="0"/>
            <w:vAlign w:val="top"/>
          </w:tcPr>
          <w:p w14:paraId="3FF9A133">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68" w:type="pct"/>
            <w:tcBorders>
              <w:tl2br w:val="nil"/>
              <w:tr2bl w:val="nil"/>
            </w:tcBorders>
            <w:noWrap w:val="0"/>
            <w:vAlign w:val="top"/>
          </w:tcPr>
          <w:p w14:paraId="156249D5">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45" w:type="pct"/>
            <w:tcBorders>
              <w:tl2br w:val="nil"/>
              <w:tr2bl w:val="nil"/>
            </w:tcBorders>
            <w:noWrap w:val="0"/>
            <w:vAlign w:val="top"/>
          </w:tcPr>
          <w:p w14:paraId="77847EA2">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27" w:type="pct"/>
            <w:tcBorders>
              <w:tl2br w:val="nil"/>
              <w:tr2bl w:val="nil"/>
            </w:tcBorders>
            <w:noWrap w:val="0"/>
            <w:vAlign w:val="top"/>
          </w:tcPr>
          <w:p w14:paraId="51F085EF">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27" w:type="pct"/>
            <w:tcBorders>
              <w:tl2br w:val="nil"/>
              <w:tr2bl w:val="nil"/>
            </w:tcBorders>
            <w:noWrap w:val="0"/>
            <w:vAlign w:val="top"/>
          </w:tcPr>
          <w:p w14:paraId="1A55F9E6">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28" w:type="pct"/>
            <w:tcBorders>
              <w:tl2br w:val="nil"/>
              <w:tr2bl w:val="nil"/>
            </w:tcBorders>
            <w:noWrap w:val="0"/>
            <w:vAlign w:val="top"/>
          </w:tcPr>
          <w:p w14:paraId="6C91222F">
            <w:pPr>
              <w:pStyle w:val="82"/>
              <w:keepNext w:val="0"/>
              <w:keepLines w:val="0"/>
              <w:pageBreakBefore w:val="0"/>
              <w:kinsoku/>
              <w:wordWrap/>
              <w:topLinePunct w:val="0"/>
              <w:bidi w:val="0"/>
              <w:spacing w:line="380" w:lineRule="exact"/>
              <w:rPr>
                <w:color w:val="auto"/>
                <w:position w:val="-2"/>
                <w:sz w:val="21"/>
                <w:szCs w:val="21"/>
                <w:highlight w:val="yellow"/>
                <w:u w:val="none"/>
              </w:rPr>
            </w:pPr>
            <w:r>
              <w:rPr>
                <w:rFonts w:hint="default" w:ascii="Times New Roman" w:hAnsi="Times New Roman" w:cs="Times New Roman"/>
                <w:b/>
                <w:color w:val="auto"/>
                <w:sz w:val="18"/>
                <w:szCs w:val="18"/>
                <w:u w:val="none"/>
              </w:rPr>
              <w:t>+</w:t>
            </w:r>
          </w:p>
        </w:tc>
      </w:tr>
      <w:tr w14:paraId="16B438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tcBorders>
              <w:tl2br w:val="nil"/>
              <w:tr2bl w:val="nil"/>
            </w:tcBorders>
            <w:noWrap w:val="0"/>
            <w:vAlign w:val="center"/>
          </w:tcPr>
          <w:p w14:paraId="28100CF2">
            <w:pPr>
              <w:keepNext w:val="0"/>
              <w:keepLines w:val="0"/>
              <w:pageBreakBefore w:val="0"/>
              <w:kinsoku/>
              <w:wordWrap/>
              <w:topLinePunct w:val="0"/>
              <w:bidi w:val="0"/>
              <w:snapToGrid w:val="0"/>
              <w:spacing w:line="380" w:lineRule="exact"/>
              <w:jc w:val="center"/>
              <w:rPr>
                <w:rFonts w:ascii="Calibri" w:hAnsi="Calibri" w:eastAsia="宋体" w:cs="Times New Roman"/>
                <w:color w:val="auto"/>
                <w:kern w:val="2"/>
                <w:sz w:val="21"/>
                <w:szCs w:val="21"/>
                <w:u w:val="none"/>
                <w:lang w:val="en-US" w:eastAsia="zh-CN" w:bidi="ar-SA"/>
              </w:rPr>
            </w:pPr>
            <w:r>
              <w:rPr>
                <w:color w:val="auto"/>
                <w:sz w:val="21"/>
                <w:szCs w:val="21"/>
                <w:u w:val="none"/>
              </w:rPr>
              <w:t>声环境</w:t>
            </w:r>
          </w:p>
        </w:tc>
        <w:tc>
          <w:tcPr>
            <w:tcW w:w="318" w:type="pct"/>
            <w:tcBorders>
              <w:tl2br w:val="nil"/>
              <w:tr2bl w:val="nil"/>
            </w:tcBorders>
            <w:noWrap w:val="0"/>
            <w:vAlign w:val="top"/>
          </w:tcPr>
          <w:p w14:paraId="77C6FBB9">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67" w:type="pct"/>
            <w:tcBorders>
              <w:tl2br w:val="nil"/>
              <w:tr2bl w:val="nil"/>
            </w:tcBorders>
            <w:noWrap w:val="0"/>
            <w:vAlign w:val="top"/>
          </w:tcPr>
          <w:p w14:paraId="7686384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35" w:type="pct"/>
            <w:tcBorders>
              <w:tl2br w:val="nil"/>
              <w:tr2bl w:val="nil"/>
            </w:tcBorders>
            <w:noWrap w:val="0"/>
            <w:vAlign w:val="top"/>
          </w:tcPr>
          <w:p w14:paraId="0BEA718D">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78" w:type="pct"/>
            <w:tcBorders>
              <w:tl2br w:val="nil"/>
              <w:tr2bl w:val="nil"/>
            </w:tcBorders>
            <w:noWrap w:val="0"/>
            <w:vAlign w:val="top"/>
          </w:tcPr>
          <w:p w14:paraId="39B34737">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04" w:type="pct"/>
            <w:tcBorders>
              <w:tl2br w:val="nil"/>
              <w:tr2bl w:val="nil"/>
            </w:tcBorders>
            <w:noWrap w:val="0"/>
            <w:vAlign w:val="top"/>
          </w:tcPr>
          <w:p w14:paraId="7A38BF59">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27" w:type="pct"/>
            <w:tcBorders>
              <w:tl2br w:val="nil"/>
              <w:tr2bl w:val="nil"/>
            </w:tcBorders>
            <w:noWrap w:val="0"/>
            <w:vAlign w:val="top"/>
          </w:tcPr>
          <w:p w14:paraId="712983A3">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41" w:type="pct"/>
            <w:tcBorders>
              <w:tl2br w:val="nil"/>
              <w:tr2bl w:val="nil"/>
            </w:tcBorders>
            <w:noWrap w:val="0"/>
            <w:vAlign w:val="top"/>
          </w:tcPr>
          <w:p w14:paraId="7A7E16DD">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39" w:type="pct"/>
            <w:tcBorders>
              <w:tl2br w:val="nil"/>
              <w:tr2bl w:val="nil"/>
            </w:tcBorders>
            <w:noWrap w:val="0"/>
            <w:vAlign w:val="top"/>
          </w:tcPr>
          <w:p w14:paraId="50CB915C">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268" w:type="pct"/>
            <w:tcBorders>
              <w:tl2br w:val="nil"/>
              <w:tr2bl w:val="nil"/>
            </w:tcBorders>
            <w:noWrap w:val="0"/>
            <w:vAlign w:val="top"/>
          </w:tcPr>
          <w:p w14:paraId="57DF2A1F">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45" w:type="pct"/>
            <w:tcBorders>
              <w:tl2br w:val="nil"/>
              <w:tr2bl w:val="nil"/>
            </w:tcBorders>
            <w:noWrap w:val="0"/>
            <w:vAlign w:val="top"/>
          </w:tcPr>
          <w:p w14:paraId="249B52FA">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27" w:type="pct"/>
            <w:tcBorders>
              <w:tl2br w:val="nil"/>
              <w:tr2bl w:val="nil"/>
            </w:tcBorders>
            <w:noWrap w:val="0"/>
            <w:vAlign w:val="top"/>
          </w:tcPr>
          <w:p w14:paraId="12E22C29">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27" w:type="pct"/>
            <w:tcBorders>
              <w:tl2br w:val="nil"/>
              <w:tr2bl w:val="nil"/>
            </w:tcBorders>
            <w:noWrap w:val="0"/>
            <w:vAlign w:val="top"/>
          </w:tcPr>
          <w:p w14:paraId="6BC19574">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228" w:type="pct"/>
            <w:tcBorders>
              <w:tl2br w:val="nil"/>
              <w:tr2bl w:val="nil"/>
            </w:tcBorders>
            <w:noWrap w:val="0"/>
            <w:vAlign w:val="top"/>
          </w:tcPr>
          <w:p w14:paraId="7054F525">
            <w:pPr>
              <w:pStyle w:val="82"/>
              <w:keepNext w:val="0"/>
              <w:keepLines w:val="0"/>
              <w:pageBreakBefore w:val="0"/>
              <w:kinsoku/>
              <w:wordWrap/>
              <w:topLinePunct w:val="0"/>
              <w:bidi w:val="0"/>
              <w:spacing w:line="380" w:lineRule="exact"/>
              <w:rPr>
                <w:color w:val="auto"/>
                <w:position w:val="-2"/>
                <w:sz w:val="21"/>
                <w:szCs w:val="21"/>
                <w:highlight w:val="yellow"/>
                <w:u w:val="none"/>
              </w:rPr>
            </w:pPr>
            <w:r>
              <w:rPr>
                <w:rFonts w:hint="default" w:ascii="Times New Roman" w:hAnsi="Times New Roman" w:cs="Times New Roman"/>
                <w:b/>
                <w:color w:val="auto"/>
                <w:sz w:val="18"/>
                <w:szCs w:val="18"/>
                <w:u w:val="none"/>
              </w:rPr>
              <w:t>+</w:t>
            </w:r>
          </w:p>
        </w:tc>
      </w:tr>
      <w:tr w14:paraId="707180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tcBorders>
              <w:tl2br w:val="nil"/>
              <w:tr2bl w:val="nil"/>
            </w:tcBorders>
            <w:noWrap w:val="0"/>
            <w:vAlign w:val="center"/>
          </w:tcPr>
          <w:p w14:paraId="1D84A055">
            <w:pPr>
              <w:keepNext w:val="0"/>
              <w:keepLines w:val="0"/>
              <w:pageBreakBefore w:val="0"/>
              <w:kinsoku/>
              <w:wordWrap/>
              <w:topLinePunct w:val="0"/>
              <w:bidi w:val="0"/>
              <w:snapToGrid w:val="0"/>
              <w:spacing w:line="380" w:lineRule="exact"/>
              <w:jc w:val="center"/>
              <w:rPr>
                <w:rFonts w:ascii="Calibri" w:hAnsi="Calibri" w:eastAsia="宋体" w:cs="Times New Roman"/>
                <w:color w:val="auto"/>
                <w:kern w:val="2"/>
                <w:sz w:val="21"/>
                <w:szCs w:val="21"/>
                <w:u w:val="none"/>
                <w:lang w:val="en-US" w:eastAsia="zh-CN" w:bidi="ar-SA"/>
              </w:rPr>
            </w:pPr>
            <w:r>
              <w:rPr>
                <w:color w:val="auto"/>
                <w:sz w:val="21"/>
                <w:szCs w:val="21"/>
                <w:u w:val="none"/>
              </w:rPr>
              <w:t>土壤环境</w:t>
            </w:r>
          </w:p>
        </w:tc>
        <w:tc>
          <w:tcPr>
            <w:tcW w:w="318" w:type="pct"/>
            <w:tcBorders>
              <w:tl2br w:val="nil"/>
              <w:tr2bl w:val="nil"/>
            </w:tcBorders>
            <w:noWrap w:val="0"/>
            <w:vAlign w:val="top"/>
          </w:tcPr>
          <w:p w14:paraId="2133D7C2">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67" w:type="pct"/>
            <w:tcBorders>
              <w:tl2br w:val="nil"/>
              <w:tr2bl w:val="nil"/>
            </w:tcBorders>
            <w:noWrap w:val="0"/>
            <w:vAlign w:val="top"/>
          </w:tcPr>
          <w:p w14:paraId="36976F0D">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35" w:type="pct"/>
            <w:tcBorders>
              <w:tl2br w:val="nil"/>
              <w:tr2bl w:val="nil"/>
            </w:tcBorders>
            <w:noWrap w:val="0"/>
            <w:vAlign w:val="top"/>
          </w:tcPr>
          <w:p w14:paraId="779897D0">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78" w:type="pct"/>
            <w:tcBorders>
              <w:tl2br w:val="nil"/>
              <w:tr2bl w:val="nil"/>
            </w:tcBorders>
            <w:noWrap w:val="0"/>
            <w:vAlign w:val="top"/>
          </w:tcPr>
          <w:p w14:paraId="7144974C">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04" w:type="pct"/>
            <w:tcBorders>
              <w:tl2br w:val="nil"/>
              <w:tr2bl w:val="nil"/>
            </w:tcBorders>
            <w:noWrap w:val="0"/>
            <w:vAlign w:val="top"/>
          </w:tcPr>
          <w:p w14:paraId="7AE6BA87">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27" w:type="pct"/>
            <w:tcBorders>
              <w:tl2br w:val="nil"/>
              <w:tr2bl w:val="nil"/>
            </w:tcBorders>
            <w:noWrap w:val="0"/>
            <w:vAlign w:val="top"/>
          </w:tcPr>
          <w:p w14:paraId="005760C4">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41" w:type="pct"/>
            <w:tcBorders>
              <w:tl2br w:val="nil"/>
              <w:tr2bl w:val="nil"/>
            </w:tcBorders>
            <w:noWrap w:val="0"/>
            <w:vAlign w:val="top"/>
          </w:tcPr>
          <w:p w14:paraId="225291EC">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39" w:type="pct"/>
            <w:tcBorders>
              <w:tl2br w:val="nil"/>
              <w:tr2bl w:val="nil"/>
            </w:tcBorders>
            <w:noWrap w:val="0"/>
            <w:vAlign w:val="top"/>
          </w:tcPr>
          <w:p w14:paraId="51561118">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68" w:type="pct"/>
            <w:tcBorders>
              <w:tl2br w:val="nil"/>
              <w:tr2bl w:val="nil"/>
            </w:tcBorders>
            <w:noWrap w:val="0"/>
            <w:vAlign w:val="top"/>
          </w:tcPr>
          <w:p w14:paraId="0570D4A0">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45" w:type="pct"/>
            <w:tcBorders>
              <w:tl2br w:val="nil"/>
              <w:tr2bl w:val="nil"/>
            </w:tcBorders>
            <w:noWrap w:val="0"/>
            <w:vAlign w:val="top"/>
          </w:tcPr>
          <w:p w14:paraId="2FDA2566">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27" w:type="pct"/>
            <w:tcBorders>
              <w:tl2br w:val="nil"/>
              <w:tr2bl w:val="nil"/>
            </w:tcBorders>
            <w:noWrap w:val="0"/>
            <w:vAlign w:val="top"/>
          </w:tcPr>
          <w:p w14:paraId="34AA613B">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27" w:type="pct"/>
            <w:tcBorders>
              <w:tl2br w:val="nil"/>
              <w:tr2bl w:val="nil"/>
            </w:tcBorders>
            <w:noWrap w:val="0"/>
            <w:vAlign w:val="top"/>
          </w:tcPr>
          <w:p w14:paraId="17AB7D23">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28" w:type="pct"/>
            <w:tcBorders>
              <w:tl2br w:val="nil"/>
              <w:tr2bl w:val="nil"/>
            </w:tcBorders>
            <w:noWrap w:val="0"/>
            <w:vAlign w:val="top"/>
          </w:tcPr>
          <w:p w14:paraId="2571C942">
            <w:pPr>
              <w:pStyle w:val="82"/>
              <w:keepNext w:val="0"/>
              <w:keepLines w:val="0"/>
              <w:pageBreakBefore w:val="0"/>
              <w:kinsoku/>
              <w:wordWrap/>
              <w:topLinePunct w:val="0"/>
              <w:bidi w:val="0"/>
              <w:spacing w:line="380" w:lineRule="exact"/>
              <w:rPr>
                <w:color w:val="auto"/>
                <w:w w:val="85"/>
                <w:sz w:val="21"/>
                <w:szCs w:val="21"/>
                <w:highlight w:val="yellow"/>
                <w:u w:val="none"/>
              </w:rPr>
            </w:pPr>
            <w:r>
              <w:rPr>
                <w:color w:val="auto"/>
                <w:w w:val="85"/>
                <w:sz w:val="21"/>
                <w:szCs w:val="21"/>
                <w:u w:val="none"/>
              </w:rPr>
              <w:t>+</w:t>
            </w:r>
          </w:p>
        </w:tc>
      </w:tr>
      <w:tr w14:paraId="6851C2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tcBorders>
              <w:tl2br w:val="nil"/>
              <w:tr2bl w:val="nil"/>
            </w:tcBorders>
            <w:noWrap w:val="0"/>
            <w:vAlign w:val="center"/>
          </w:tcPr>
          <w:p w14:paraId="7F031EA8">
            <w:pPr>
              <w:keepNext w:val="0"/>
              <w:keepLines w:val="0"/>
              <w:pageBreakBefore w:val="0"/>
              <w:kinsoku/>
              <w:wordWrap/>
              <w:topLinePunct w:val="0"/>
              <w:bidi w:val="0"/>
              <w:snapToGrid w:val="0"/>
              <w:spacing w:line="380" w:lineRule="exact"/>
              <w:jc w:val="center"/>
              <w:rPr>
                <w:rFonts w:ascii="Calibri" w:hAnsi="Calibri" w:eastAsia="宋体" w:cs="Times New Roman"/>
                <w:color w:val="auto"/>
                <w:kern w:val="2"/>
                <w:sz w:val="21"/>
                <w:szCs w:val="21"/>
                <w:u w:val="none"/>
                <w:lang w:val="en-US" w:eastAsia="zh-CN" w:bidi="ar-SA"/>
              </w:rPr>
            </w:pPr>
            <w:r>
              <w:rPr>
                <w:color w:val="auto"/>
                <w:sz w:val="21"/>
                <w:szCs w:val="21"/>
                <w:u w:val="none"/>
              </w:rPr>
              <w:t>陆</w:t>
            </w:r>
            <w:r>
              <w:rPr>
                <w:rFonts w:hint="eastAsia"/>
                <w:color w:val="auto"/>
                <w:sz w:val="21"/>
                <w:szCs w:val="21"/>
                <w:u w:val="none"/>
                <w:lang w:val="en-US" w:eastAsia="zh-CN"/>
              </w:rPr>
              <w:t>生</w:t>
            </w:r>
            <w:r>
              <w:rPr>
                <w:color w:val="auto"/>
                <w:sz w:val="21"/>
                <w:szCs w:val="21"/>
                <w:u w:val="none"/>
              </w:rPr>
              <w:t>动物</w:t>
            </w:r>
          </w:p>
        </w:tc>
        <w:tc>
          <w:tcPr>
            <w:tcW w:w="318" w:type="pct"/>
            <w:tcBorders>
              <w:tl2br w:val="nil"/>
              <w:tr2bl w:val="nil"/>
            </w:tcBorders>
            <w:noWrap w:val="0"/>
            <w:vAlign w:val="top"/>
          </w:tcPr>
          <w:p w14:paraId="2BCE0063">
            <w:pPr>
              <w:pStyle w:val="82"/>
              <w:keepNext w:val="0"/>
              <w:keepLines w:val="0"/>
              <w:pageBreakBefore w:val="0"/>
              <w:kinsoku/>
              <w:wordWrap/>
              <w:topLinePunct w:val="0"/>
              <w:bidi w:val="0"/>
              <w:spacing w:line="380" w:lineRule="exact"/>
              <w:rPr>
                <w:rFonts w:hint="eastAsia" w:ascii="Calibri" w:hAnsi="Calibri" w:eastAsia="宋体" w:cs="Times New Roman"/>
                <w:color w:val="auto"/>
                <w:kern w:val="2"/>
                <w:sz w:val="21"/>
                <w:szCs w:val="21"/>
                <w:u w:val="none"/>
                <w:lang w:val="en-US" w:eastAsia="zh-CN" w:bidi="ar-SA"/>
              </w:rPr>
            </w:pPr>
            <w:r>
              <w:rPr>
                <w:color w:val="auto"/>
                <w:w w:val="85"/>
                <w:sz w:val="21"/>
                <w:szCs w:val="21"/>
                <w:u w:val="none"/>
              </w:rPr>
              <w:t>+</w:t>
            </w:r>
            <w:r>
              <w:rPr>
                <w:rFonts w:hint="eastAsia"/>
                <w:color w:val="auto"/>
                <w:w w:val="85"/>
                <w:sz w:val="21"/>
                <w:szCs w:val="21"/>
                <w:u w:val="none"/>
                <w:lang w:val="en-US" w:eastAsia="zh-CN"/>
              </w:rPr>
              <w:t>+</w:t>
            </w:r>
          </w:p>
        </w:tc>
        <w:tc>
          <w:tcPr>
            <w:tcW w:w="367" w:type="pct"/>
            <w:tcBorders>
              <w:tl2br w:val="nil"/>
              <w:tr2bl w:val="nil"/>
            </w:tcBorders>
            <w:noWrap w:val="0"/>
            <w:vAlign w:val="top"/>
          </w:tcPr>
          <w:p w14:paraId="1CFA3E54">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35" w:type="pct"/>
            <w:tcBorders>
              <w:tl2br w:val="nil"/>
              <w:tr2bl w:val="nil"/>
            </w:tcBorders>
            <w:noWrap w:val="0"/>
            <w:vAlign w:val="top"/>
          </w:tcPr>
          <w:p w14:paraId="56403D92">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78" w:type="pct"/>
            <w:tcBorders>
              <w:tl2br w:val="nil"/>
              <w:tr2bl w:val="nil"/>
            </w:tcBorders>
            <w:noWrap w:val="0"/>
            <w:vAlign w:val="top"/>
          </w:tcPr>
          <w:p w14:paraId="28A24094">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04" w:type="pct"/>
            <w:tcBorders>
              <w:tl2br w:val="nil"/>
              <w:tr2bl w:val="nil"/>
            </w:tcBorders>
            <w:noWrap w:val="0"/>
            <w:vAlign w:val="top"/>
          </w:tcPr>
          <w:p w14:paraId="2745223A">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27" w:type="pct"/>
            <w:tcBorders>
              <w:tl2br w:val="nil"/>
              <w:tr2bl w:val="nil"/>
            </w:tcBorders>
            <w:noWrap w:val="0"/>
            <w:vAlign w:val="top"/>
          </w:tcPr>
          <w:p w14:paraId="1322658E">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41" w:type="pct"/>
            <w:tcBorders>
              <w:tl2br w:val="nil"/>
              <w:tr2bl w:val="nil"/>
            </w:tcBorders>
            <w:noWrap w:val="0"/>
            <w:vAlign w:val="top"/>
          </w:tcPr>
          <w:p w14:paraId="5184186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39" w:type="pct"/>
            <w:tcBorders>
              <w:tl2br w:val="nil"/>
              <w:tr2bl w:val="nil"/>
            </w:tcBorders>
            <w:noWrap w:val="0"/>
            <w:vAlign w:val="top"/>
          </w:tcPr>
          <w:p w14:paraId="49AC0CB0">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68" w:type="pct"/>
            <w:tcBorders>
              <w:tl2br w:val="nil"/>
              <w:tr2bl w:val="nil"/>
            </w:tcBorders>
            <w:noWrap w:val="0"/>
            <w:vAlign w:val="top"/>
          </w:tcPr>
          <w:p w14:paraId="7A0F2680">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45" w:type="pct"/>
            <w:tcBorders>
              <w:tl2br w:val="nil"/>
              <w:tr2bl w:val="nil"/>
            </w:tcBorders>
            <w:noWrap w:val="0"/>
            <w:vAlign w:val="top"/>
          </w:tcPr>
          <w:p w14:paraId="06061ABD">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27" w:type="pct"/>
            <w:tcBorders>
              <w:tl2br w:val="nil"/>
              <w:tr2bl w:val="nil"/>
            </w:tcBorders>
            <w:noWrap w:val="0"/>
            <w:vAlign w:val="top"/>
          </w:tcPr>
          <w:p w14:paraId="325E2AF8">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27" w:type="pct"/>
            <w:tcBorders>
              <w:tl2br w:val="nil"/>
              <w:tr2bl w:val="nil"/>
            </w:tcBorders>
            <w:noWrap w:val="0"/>
            <w:vAlign w:val="top"/>
          </w:tcPr>
          <w:p w14:paraId="2528CFA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28" w:type="pct"/>
            <w:tcBorders>
              <w:tl2br w:val="nil"/>
              <w:tr2bl w:val="nil"/>
            </w:tcBorders>
            <w:noWrap w:val="0"/>
            <w:vAlign w:val="top"/>
          </w:tcPr>
          <w:p w14:paraId="15C420E8">
            <w:pPr>
              <w:pStyle w:val="82"/>
              <w:keepNext w:val="0"/>
              <w:keepLines w:val="0"/>
              <w:pageBreakBefore w:val="0"/>
              <w:kinsoku/>
              <w:wordWrap/>
              <w:topLinePunct w:val="0"/>
              <w:bidi w:val="0"/>
              <w:spacing w:line="380" w:lineRule="exact"/>
              <w:rPr>
                <w:color w:val="auto"/>
                <w:w w:val="85"/>
                <w:sz w:val="21"/>
                <w:szCs w:val="21"/>
                <w:highlight w:val="yellow"/>
                <w:u w:val="none"/>
              </w:rPr>
            </w:pPr>
            <w:r>
              <w:rPr>
                <w:color w:val="auto"/>
                <w:w w:val="85"/>
                <w:sz w:val="21"/>
                <w:szCs w:val="21"/>
                <w:u w:val="none"/>
              </w:rPr>
              <w:t>+</w:t>
            </w:r>
          </w:p>
        </w:tc>
      </w:tr>
      <w:tr w14:paraId="4730E0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tcBorders>
              <w:tl2br w:val="nil"/>
              <w:tr2bl w:val="nil"/>
            </w:tcBorders>
            <w:noWrap w:val="0"/>
            <w:vAlign w:val="center"/>
          </w:tcPr>
          <w:p w14:paraId="260BBC86">
            <w:pPr>
              <w:keepNext w:val="0"/>
              <w:keepLines w:val="0"/>
              <w:pageBreakBefore w:val="0"/>
              <w:kinsoku/>
              <w:wordWrap/>
              <w:topLinePunct w:val="0"/>
              <w:bidi w:val="0"/>
              <w:snapToGrid w:val="0"/>
              <w:spacing w:line="380" w:lineRule="exact"/>
              <w:jc w:val="center"/>
              <w:rPr>
                <w:rFonts w:ascii="Calibri" w:hAnsi="Calibri" w:eastAsia="宋体" w:cs="Times New Roman"/>
                <w:color w:val="auto"/>
                <w:kern w:val="2"/>
                <w:sz w:val="21"/>
                <w:szCs w:val="21"/>
                <w:u w:val="none"/>
                <w:lang w:val="en-US" w:eastAsia="zh-CN" w:bidi="ar-SA"/>
              </w:rPr>
            </w:pPr>
            <w:r>
              <w:rPr>
                <w:color w:val="auto"/>
                <w:sz w:val="21"/>
                <w:szCs w:val="21"/>
                <w:u w:val="none"/>
              </w:rPr>
              <w:t>陆生植被</w:t>
            </w:r>
          </w:p>
        </w:tc>
        <w:tc>
          <w:tcPr>
            <w:tcW w:w="318" w:type="pct"/>
            <w:tcBorders>
              <w:tl2br w:val="nil"/>
              <w:tr2bl w:val="nil"/>
            </w:tcBorders>
            <w:noWrap w:val="0"/>
            <w:vAlign w:val="top"/>
          </w:tcPr>
          <w:p w14:paraId="7CAD9FFF">
            <w:pPr>
              <w:pStyle w:val="82"/>
              <w:keepNext w:val="0"/>
              <w:keepLines w:val="0"/>
              <w:pageBreakBefore w:val="0"/>
              <w:kinsoku/>
              <w:wordWrap/>
              <w:topLinePunct w:val="0"/>
              <w:bidi w:val="0"/>
              <w:spacing w:line="380" w:lineRule="exact"/>
              <w:rPr>
                <w:rFonts w:hint="eastAsia" w:ascii="Calibri" w:hAnsi="Calibri" w:eastAsia="宋体" w:cs="Times New Roman"/>
                <w:color w:val="auto"/>
                <w:kern w:val="2"/>
                <w:sz w:val="21"/>
                <w:szCs w:val="21"/>
                <w:u w:val="none"/>
                <w:lang w:val="en-US" w:eastAsia="zh-CN" w:bidi="ar-SA"/>
              </w:rPr>
            </w:pPr>
            <w:r>
              <w:rPr>
                <w:color w:val="auto"/>
                <w:w w:val="85"/>
                <w:sz w:val="21"/>
                <w:szCs w:val="21"/>
                <w:u w:val="none"/>
              </w:rPr>
              <w:t>+</w:t>
            </w:r>
            <w:r>
              <w:rPr>
                <w:rFonts w:hint="eastAsia"/>
                <w:color w:val="auto"/>
                <w:w w:val="85"/>
                <w:sz w:val="21"/>
                <w:szCs w:val="21"/>
                <w:u w:val="none"/>
                <w:lang w:val="en-US" w:eastAsia="zh-CN"/>
              </w:rPr>
              <w:t>+</w:t>
            </w:r>
          </w:p>
        </w:tc>
        <w:tc>
          <w:tcPr>
            <w:tcW w:w="367" w:type="pct"/>
            <w:tcBorders>
              <w:tl2br w:val="nil"/>
              <w:tr2bl w:val="nil"/>
            </w:tcBorders>
            <w:noWrap w:val="0"/>
            <w:vAlign w:val="top"/>
          </w:tcPr>
          <w:p w14:paraId="5DE6F13D">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35" w:type="pct"/>
            <w:tcBorders>
              <w:tl2br w:val="nil"/>
              <w:tr2bl w:val="nil"/>
            </w:tcBorders>
            <w:noWrap w:val="0"/>
            <w:vAlign w:val="top"/>
          </w:tcPr>
          <w:p w14:paraId="1BB8DEA0">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78" w:type="pct"/>
            <w:tcBorders>
              <w:tl2br w:val="nil"/>
              <w:tr2bl w:val="nil"/>
            </w:tcBorders>
            <w:noWrap w:val="0"/>
            <w:vAlign w:val="top"/>
          </w:tcPr>
          <w:p w14:paraId="20B2125E">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04" w:type="pct"/>
            <w:tcBorders>
              <w:tl2br w:val="nil"/>
              <w:tr2bl w:val="nil"/>
            </w:tcBorders>
            <w:noWrap w:val="0"/>
            <w:vAlign w:val="top"/>
          </w:tcPr>
          <w:p w14:paraId="66771868">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27" w:type="pct"/>
            <w:tcBorders>
              <w:tl2br w:val="nil"/>
              <w:tr2bl w:val="nil"/>
            </w:tcBorders>
            <w:noWrap w:val="0"/>
            <w:vAlign w:val="top"/>
          </w:tcPr>
          <w:p w14:paraId="3C5E92B2">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41" w:type="pct"/>
            <w:tcBorders>
              <w:tl2br w:val="nil"/>
              <w:tr2bl w:val="nil"/>
            </w:tcBorders>
            <w:noWrap w:val="0"/>
            <w:vAlign w:val="top"/>
          </w:tcPr>
          <w:p w14:paraId="725098BA">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39" w:type="pct"/>
            <w:tcBorders>
              <w:tl2br w:val="nil"/>
              <w:tr2bl w:val="nil"/>
            </w:tcBorders>
            <w:noWrap w:val="0"/>
            <w:vAlign w:val="top"/>
          </w:tcPr>
          <w:p w14:paraId="67DFAA9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68" w:type="pct"/>
            <w:tcBorders>
              <w:tl2br w:val="nil"/>
              <w:tr2bl w:val="nil"/>
            </w:tcBorders>
            <w:noWrap w:val="0"/>
            <w:vAlign w:val="top"/>
          </w:tcPr>
          <w:p w14:paraId="6BDA4B1B">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45" w:type="pct"/>
            <w:tcBorders>
              <w:tl2br w:val="nil"/>
              <w:tr2bl w:val="nil"/>
            </w:tcBorders>
            <w:noWrap w:val="0"/>
            <w:vAlign w:val="top"/>
          </w:tcPr>
          <w:p w14:paraId="12E6A696">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27" w:type="pct"/>
            <w:tcBorders>
              <w:tl2br w:val="nil"/>
              <w:tr2bl w:val="nil"/>
            </w:tcBorders>
            <w:noWrap w:val="0"/>
            <w:vAlign w:val="top"/>
          </w:tcPr>
          <w:p w14:paraId="757AEEC4">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27" w:type="pct"/>
            <w:tcBorders>
              <w:tl2br w:val="nil"/>
              <w:tr2bl w:val="nil"/>
            </w:tcBorders>
            <w:noWrap w:val="0"/>
            <w:vAlign w:val="top"/>
          </w:tcPr>
          <w:p w14:paraId="288604C6">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28" w:type="pct"/>
            <w:tcBorders>
              <w:tl2br w:val="nil"/>
              <w:tr2bl w:val="nil"/>
            </w:tcBorders>
            <w:noWrap w:val="0"/>
            <w:vAlign w:val="top"/>
          </w:tcPr>
          <w:p w14:paraId="27B440BF">
            <w:pPr>
              <w:pStyle w:val="82"/>
              <w:keepNext w:val="0"/>
              <w:keepLines w:val="0"/>
              <w:pageBreakBefore w:val="0"/>
              <w:kinsoku/>
              <w:wordWrap/>
              <w:topLinePunct w:val="0"/>
              <w:bidi w:val="0"/>
              <w:spacing w:line="380" w:lineRule="exact"/>
              <w:rPr>
                <w:color w:val="auto"/>
                <w:w w:val="85"/>
                <w:sz w:val="21"/>
                <w:szCs w:val="21"/>
                <w:highlight w:val="yellow"/>
                <w:u w:val="none"/>
              </w:rPr>
            </w:pPr>
            <w:r>
              <w:rPr>
                <w:color w:val="auto"/>
                <w:w w:val="85"/>
                <w:sz w:val="21"/>
                <w:szCs w:val="21"/>
                <w:u w:val="none"/>
              </w:rPr>
              <w:t>+</w:t>
            </w:r>
          </w:p>
        </w:tc>
      </w:tr>
      <w:tr w14:paraId="1E8712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tcBorders>
              <w:tl2br w:val="nil"/>
              <w:tr2bl w:val="nil"/>
            </w:tcBorders>
            <w:noWrap w:val="0"/>
            <w:vAlign w:val="center"/>
          </w:tcPr>
          <w:p w14:paraId="4C582CF5">
            <w:pPr>
              <w:keepNext w:val="0"/>
              <w:keepLines w:val="0"/>
              <w:pageBreakBefore w:val="0"/>
              <w:kinsoku/>
              <w:wordWrap/>
              <w:topLinePunct w:val="0"/>
              <w:bidi w:val="0"/>
              <w:snapToGrid w:val="0"/>
              <w:spacing w:line="380" w:lineRule="exact"/>
              <w:jc w:val="center"/>
              <w:rPr>
                <w:rFonts w:ascii="Calibri" w:hAnsi="Calibri" w:eastAsia="宋体" w:cs="Times New Roman"/>
                <w:color w:val="auto"/>
                <w:kern w:val="2"/>
                <w:sz w:val="21"/>
                <w:szCs w:val="21"/>
                <w:u w:val="none"/>
                <w:lang w:val="en-US" w:eastAsia="zh-CN" w:bidi="ar-SA"/>
              </w:rPr>
            </w:pPr>
            <w:r>
              <w:rPr>
                <w:color w:val="auto"/>
                <w:sz w:val="21"/>
                <w:szCs w:val="21"/>
                <w:u w:val="none"/>
              </w:rPr>
              <w:t>水土流失</w:t>
            </w:r>
          </w:p>
        </w:tc>
        <w:tc>
          <w:tcPr>
            <w:tcW w:w="318" w:type="pct"/>
            <w:tcBorders>
              <w:tl2br w:val="nil"/>
              <w:tr2bl w:val="nil"/>
            </w:tcBorders>
            <w:noWrap w:val="0"/>
            <w:vAlign w:val="top"/>
          </w:tcPr>
          <w:p w14:paraId="30E91E93">
            <w:pPr>
              <w:pStyle w:val="82"/>
              <w:keepNext w:val="0"/>
              <w:keepLines w:val="0"/>
              <w:pageBreakBefore w:val="0"/>
              <w:kinsoku/>
              <w:wordWrap/>
              <w:topLinePunct w:val="0"/>
              <w:bidi w:val="0"/>
              <w:spacing w:line="380" w:lineRule="exact"/>
              <w:rPr>
                <w:color w:val="auto"/>
                <w:w w:val="85"/>
                <w:sz w:val="21"/>
                <w:szCs w:val="21"/>
                <w:highlight w:val="yellow"/>
                <w:u w:val="none"/>
              </w:rPr>
            </w:pPr>
            <w:r>
              <w:rPr>
                <w:color w:val="auto"/>
                <w:w w:val="85"/>
                <w:sz w:val="21"/>
                <w:szCs w:val="21"/>
                <w:u w:val="none"/>
              </w:rPr>
              <w:t>++</w:t>
            </w:r>
          </w:p>
        </w:tc>
        <w:tc>
          <w:tcPr>
            <w:tcW w:w="367" w:type="pct"/>
            <w:tcBorders>
              <w:tl2br w:val="nil"/>
              <w:tr2bl w:val="nil"/>
            </w:tcBorders>
            <w:noWrap w:val="0"/>
            <w:vAlign w:val="top"/>
          </w:tcPr>
          <w:p w14:paraId="0F051B04">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35" w:type="pct"/>
            <w:tcBorders>
              <w:tl2br w:val="nil"/>
              <w:tr2bl w:val="nil"/>
            </w:tcBorders>
            <w:noWrap w:val="0"/>
            <w:vAlign w:val="top"/>
          </w:tcPr>
          <w:p w14:paraId="6FBE54F9">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78" w:type="pct"/>
            <w:tcBorders>
              <w:tl2br w:val="nil"/>
              <w:tr2bl w:val="nil"/>
            </w:tcBorders>
            <w:noWrap w:val="0"/>
            <w:vAlign w:val="top"/>
          </w:tcPr>
          <w:p w14:paraId="494CA16C">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04" w:type="pct"/>
            <w:tcBorders>
              <w:tl2br w:val="nil"/>
              <w:tr2bl w:val="nil"/>
            </w:tcBorders>
            <w:noWrap w:val="0"/>
            <w:vAlign w:val="top"/>
          </w:tcPr>
          <w:p w14:paraId="30BD695D">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327" w:type="pct"/>
            <w:tcBorders>
              <w:tl2br w:val="nil"/>
              <w:tr2bl w:val="nil"/>
            </w:tcBorders>
            <w:noWrap w:val="0"/>
            <w:vAlign w:val="top"/>
          </w:tcPr>
          <w:p w14:paraId="36D1B3C2">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41" w:type="pct"/>
            <w:tcBorders>
              <w:tl2br w:val="nil"/>
              <w:tr2bl w:val="nil"/>
            </w:tcBorders>
            <w:noWrap w:val="0"/>
            <w:vAlign w:val="top"/>
          </w:tcPr>
          <w:p w14:paraId="541D2121">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39" w:type="pct"/>
            <w:tcBorders>
              <w:tl2br w:val="nil"/>
              <w:tr2bl w:val="nil"/>
            </w:tcBorders>
            <w:noWrap w:val="0"/>
            <w:vAlign w:val="top"/>
          </w:tcPr>
          <w:p w14:paraId="497F1FFC">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68" w:type="pct"/>
            <w:tcBorders>
              <w:tl2br w:val="nil"/>
              <w:tr2bl w:val="nil"/>
            </w:tcBorders>
            <w:noWrap w:val="0"/>
            <w:vAlign w:val="top"/>
          </w:tcPr>
          <w:p w14:paraId="2A08A6DE">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position w:val="-2"/>
                <w:sz w:val="21"/>
                <w:szCs w:val="21"/>
                <w:u w:val="none"/>
              </w:rPr>
              <w:t>〇</w:t>
            </w:r>
          </w:p>
        </w:tc>
        <w:tc>
          <w:tcPr>
            <w:tcW w:w="445" w:type="pct"/>
            <w:tcBorders>
              <w:tl2br w:val="nil"/>
              <w:tr2bl w:val="nil"/>
            </w:tcBorders>
            <w:noWrap w:val="0"/>
            <w:vAlign w:val="top"/>
          </w:tcPr>
          <w:p w14:paraId="508B91FB">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327" w:type="pct"/>
            <w:tcBorders>
              <w:tl2br w:val="nil"/>
              <w:tr2bl w:val="nil"/>
            </w:tcBorders>
            <w:noWrap w:val="0"/>
            <w:vAlign w:val="top"/>
          </w:tcPr>
          <w:p w14:paraId="03E3A213">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427" w:type="pct"/>
            <w:tcBorders>
              <w:tl2br w:val="nil"/>
              <w:tr2bl w:val="nil"/>
            </w:tcBorders>
            <w:noWrap w:val="0"/>
            <w:vAlign w:val="top"/>
          </w:tcPr>
          <w:p w14:paraId="6BF685C8">
            <w:pPr>
              <w:pStyle w:val="82"/>
              <w:keepNext w:val="0"/>
              <w:keepLines w:val="0"/>
              <w:pageBreakBefore w:val="0"/>
              <w:kinsoku/>
              <w:wordWrap/>
              <w:topLinePunct w:val="0"/>
              <w:bidi w:val="0"/>
              <w:spacing w:line="380" w:lineRule="exact"/>
              <w:rPr>
                <w:rFonts w:ascii="Calibri" w:hAnsi="Calibri" w:eastAsia="宋体" w:cs="Times New Roman"/>
                <w:color w:val="auto"/>
                <w:kern w:val="2"/>
                <w:sz w:val="21"/>
                <w:szCs w:val="21"/>
                <w:u w:val="none"/>
                <w:lang w:val="en-US" w:eastAsia="zh-CN" w:bidi="ar-SA"/>
              </w:rPr>
            </w:pPr>
            <w:r>
              <w:rPr>
                <w:color w:val="auto"/>
                <w:w w:val="85"/>
                <w:sz w:val="21"/>
                <w:szCs w:val="21"/>
                <w:u w:val="none"/>
              </w:rPr>
              <w:t>+</w:t>
            </w:r>
          </w:p>
        </w:tc>
        <w:tc>
          <w:tcPr>
            <w:tcW w:w="228" w:type="pct"/>
            <w:tcBorders>
              <w:tl2br w:val="nil"/>
              <w:tr2bl w:val="nil"/>
            </w:tcBorders>
            <w:noWrap w:val="0"/>
            <w:vAlign w:val="top"/>
          </w:tcPr>
          <w:p w14:paraId="68172F5F">
            <w:pPr>
              <w:pStyle w:val="82"/>
              <w:keepNext w:val="0"/>
              <w:keepLines w:val="0"/>
              <w:pageBreakBefore w:val="0"/>
              <w:kinsoku/>
              <w:wordWrap/>
              <w:topLinePunct w:val="0"/>
              <w:bidi w:val="0"/>
              <w:spacing w:line="380" w:lineRule="exact"/>
              <w:rPr>
                <w:rFonts w:ascii="Calibri" w:hAnsi="Calibri" w:eastAsia="宋体" w:cs="Times New Roman"/>
                <w:color w:val="auto"/>
                <w:w w:val="85"/>
                <w:kern w:val="2"/>
                <w:sz w:val="21"/>
                <w:szCs w:val="21"/>
                <w:highlight w:val="yellow"/>
                <w:u w:val="none"/>
                <w:lang w:val="en-US" w:eastAsia="zh-CN" w:bidi="ar-SA"/>
              </w:rPr>
            </w:pPr>
            <w:r>
              <w:rPr>
                <w:color w:val="auto"/>
                <w:w w:val="85"/>
                <w:sz w:val="21"/>
                <w:szCs w:val="21"/>
                <w:u w:val="none"/>
              </w:rPr>
              <w:t>+</w:t>
            </w:r>
          </w:p>
        </w:tc>
      </w:tr>
      <w:tr w14:paraId="05867F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392" w:type="pct"/>
            <w:tcBorders>
              <w:tl2br w:val="nil"/>
              <w:tr2bl w:val="nil"/>
            </w:tcBorders>
            <w:noWrap w:val="0"/>
            <w:vAlign w:val="center"/>
          </w:tcPr>
          <w:p w14:paraId="4EA45499">
            <w:pPr>
              <w:keepNext w:val="0"/>
              <w:keepLines w:val="0"/>
              <w:pageBreakBefore w:val="0"/>
              <w:kinsoku/>
              <w:wordWrap/>
              <w:topLinePunct w:val="0"/>
              <w:bidi w:val="0"/>
              <w:snapToGrid w:val="0"/>
              <w:spacing w:line="380" w:lineRule="exact"/>
              <w:jc w:val="center"/>
              <w:rPr>
                <w:rFonts w:hint="default" w:ascii="Calibri" w:hAnsi="Calibri" w:eastAsia="宋体" w:cs="Times New Roman"/>
                <w:color w:val="auto"/>
                <w:kern w:val="2"/>
                <w:sz w:val="21"/>
                <w:szCs w:val="21"/>
                <w:u w:val="none"/>
                <w:lang w:val="en-US" w:eastAsia="zh-CN" w:bidi="ar-SA"/>
              </w:rPr>
            </w:pPr>
            <w:r>
              <w:rPr>
                <w:rFonts w:hint="eastAsia"/>
                <w:color w:val="auto"/>
                <w:sz w:val="21"/>
                <w:szCs w:val="21"/>
                <w:u w:val="none"/>
                <w:lang w:val="en-US" w:eastAsia="zh-CN"/>
              </w:rPr>
              <w:t>生态敏感区</w:t>
            </w:r>
          </w:p>
        </w:tc>
        <w:tc>
          <w:tcPr>
            <w:tcW w:w="318" w:type="pct"/>
            <w:tcBorders>
              <w:tl2br w:val="nil"/>
              <w:tr2bl w:val="nil"/>
            </w:tcBorders>
            <w:noWrap w:val="0"/>
            <w:vAlign w:val="top"/>
          </w:tcPr>
          <w:p w14:paraId="14433CB9">
            <w:pPr>
              <w:pStyle w:val="82"/>
              <w:keepNext w:val="0"/>
              <w:keepLines w:val="0"/>
              <w:pageBreakBefore w:val="0"/>
              <w:kinsoku/>
              <w:wordWrap/>
              <w:topLinePunct w:val="0"/>
              <w:bidi w:val="0"/>
              <w:spacing w:line="380" w:lineRule="exact"/>
              <w:rPr>
                <w:color w:val="auto"/>
                <w:w w:val="85"/>
                <w:sz w:val="21"/>
                <w:szCs w:val="21"/>
                <w:highlight w:val="yellow"/>
                <w:u w:val="none"/>
              </w:rPr>
            </w:pPr>
          </w:p>
        </w:tc>
        <w:tc>
          <w:tcPr>
            <w:tcW w:w="367" w:type="pct"/>
            <w:tcBorders>
              <w:tl2br w:val="nil"/>
              <w:tr2bl w:val="nil"/>
            </w:tcBorders>
            <w:noWrap w:val="0"/>
            <w:vAlign w:val="top"/>
          </w:tcPr>
          <w:p w14:paraId="363C2F20">
            <w:pPr>
              <w:pStyle w:val="82"/>
              <w:keepNext w:val="0"/>
              <w:keepLines w:val="0"/>
              <w:pageBreakBefore w:val="0"/>
              <w:kinsoku/>
              <w:wordWrap/>
              <w:topLinePunct w:val="0"/>
              <w:bidi w:val="0"/>
              <w:spacing w:line="380" w:lineRule="exact"/>
              <w:rPr>
                <w:color w:val="auto"/>
                <w:w w:val="85"/>
                <w:sz w:val="21"/>
                <w:szCs w:val="21"/>
                <w:highlight w:val="yellow"/>
                <w:u w:val="none"/>
              </w:rPr>
            </w:pPr>
          </w:p>
        </w:tc>
        <w:tc>
          <w:tcPr>
            <w:tcW w:w="335" w:type="pct"/>
            <w:tcBorders>
              <w:tl2br w:val="nil"/>
              <w:tr2bl w:val="nil"/>
            </w:tcBorders>
            <w:noWrap w:val="0"/>
            <w:vAlign w:val="top"/>
          </w:tcPr>
          <w:p w14:paraId="5190C27A">
            <w:pPr>
              <w:pStyle w:val="82"/>
              <w:keepNext w:val="0"/>
              <w:keepLines w:val="0"/>
              <w:pageBreakBefore w:val="0"/>
              <w:kinsoku/>
              <w:wordWrap/>
              <w:topLinePunct w:val="0"/>
              <w:bidi w:val="0"/>
              <w:spacing w:line="380" w:lineRule="exact"/>
              <w:rPr>
                <w:color w:val="auto"/>
                <w:position w:val="-2"/>
                <w:sz w:val="21"/>
                <w:szCs w:val="21"/>
                <w:highlight w:val="yellow"/>
                <w:u w:val="none"/>
              </w:rPr>
            </w:pPr>
          </w:p>
        </w:tc>
        <w:tc>
          <w:tcPr>
            <w:tcW w:w="378" w:type="pct"/>
            <w:tcBorders>
              <w:tl2br w:val="nil"/>
              <w:tr2bl w:val="nil"/>
            </w:tcBorders>
            <w:noWrap w:val="0"/>
            <w:vAlign w:val="top"/>
          </w:tcPr>
          <w:p w14:paraId="4E8BCB93">
            <w:pPr>
              <w:pStyle w:val="82"/>
              <w:keepNext w:val="0"/>
              <w:keepLines w:val="0"/>
              <w:pageBreakBefore w:val="0"/>
              <w:kinsoku/>
              <w:wordWrap/>
              <w:topLinePunct w:val="0"/>
              <w:bidi w:val="0"/>
              <w:spacing w:line="380" w:lineRule="exact"/>
              <w:rPr>
                <w:color w:val="auto"/>
                <w:w w:val="85"/>
                <w:sz w:val="21"/>
                <w:szCs w:val="21"/>
                <w:highlight w:val="yellow"/>
                <w:u w:val="none"/>
              </w:rPr>
            </w:pPr>
          </w:p>
        </w:tc>
        <w:tc>
          <w:tcPr>
            <w:tcW w:w="404" w:type="pct"/>
            <w:tcBorders>
              <w:tl2br w:val="nil"/>
              <w:tr2bl w:val="nil"/>
            </w:tcBorders>
            <w:noWrap w:val="0"/>
            <w:vAlign w:val="top"/>
          </w:tcPr>
          <w:p w14:paraId="25F13418">
            <w:pPr>
              <w:pStyle w:val="82"/>
              <w:keepNext w:val="0"/>
              <w:keepLines w:val="0"/>
              <w:pageBreakBefore w:val="0"/>
              <w:kinsoku/>
              <w:wordWrap/>
              <w:topLinePunct w:val="0"/>
              <w:bidi w:val="0"/>
              <w:spacing w:line="380" w:lineRule="exact"/>
              <w:rPr>
                <w:color w:val="auto"/>
                <w:w w:val="85"/>
                <w:sz w:val="21"/>
                <w:szCs w:val="21"/>
                <w:highlight w:val="yellow"/>
                <w:u w:val="none"/>
              </w:rPr>
            </w:pPr>
          </w:p>
        </w:tc>
        <w:tc>
          <w:tcPr>
            <w:tcW w:w="327" w:type="pct"/>
            <w:tcBorders>
              <w:tl2br w:val="nil"/>
              <w:tr2bl w:val="nil"/>
            </w:tcBorders>
            <w:noWrap w:val="0"/>
            <w:vAlign w:val="top"/>
          </w:tcPr>
          <w:p w14:paraId="5B638C14">
            <w:pPr>
              <w:pStyle w:val="82"/>
              <w:keepNext w:val="0"/>
              <w:keepLines w:val="0"/>
              <w:pageBreakBefore w:val="0"/>
              <w:kinsoku/>
              <w:wordWrap/>
              <w:topLinePunct w:val="0"/>
              <w:bidi w:val="0"/>
              <w:spacing w:line="380" w:lineRule="exact"/>
              <w:rPr>
                <w:color w:val="auto"/>
                <w:w w:val="85"/>
                <w:sz w:val="21"/>
                <w:szCs w:val="21"/>
                <w:highlight w:val="yellow"/>
                <w:u w:val="none"/>
              </w:rPr>
            </w:pPr>
          </w:p>
        </w:tc>
        <w:tc>
          <w:tcPr>
            <w:tcW w:w="341" w:type="pct"/>
            <w:tcBorders>
              <w:tl2br w:val="nil"/>
              <w:tr2bl w:val="nil"/>
            </w:tcBorders>
            <w:noWrap w:val="0"/>
            <w:vAlign w:val="top"/>
          </w:tcPr>
          <w:p w14:paraId="6AA91A88">
            <w:pPr>
              <w:pStyle w:val="82"/>
              <w:keepNext w:val="0"/>
              <w:keepLines w:val="0"/>
              <w:pageBreakBefore w:val="0"/>
              <w:kinsoku/>
              <w:wordWrap/>
              <w:topLinePunct w:val="0"/>
              <w:bidi w:val="0"/>
              <w:spacing w:line="380" w:lineRule="exact"/>
              <w:rPr>
                <w:color w:val="auto"/>
                <w:position w:val="-2"/>
                <w:sz w:val="21"/>
                <w:szCs w:val="21"/>
                <w:highlight w:val="yellow"/>
                <w:u w:val="none"/>
              </w:rPr>
            </w:pPr>
          </w:p>
        </w:tc>
        <w:tc>
          <w:tcPr>
            <w:tcW w:w="439" w:type="pct"/>
            <w:tcBorders>
              <w:tl2br w:val="nil"/>
              <w:tr2bl w:val="nil"/>
            </w:tcBorders>
            <w:noWrap w:val="0"/>
            <w:vAlign w:val="top"/>
          </w:tcPr>
          <w:p w14:paraId="7D253156">
            <w:pPr>
              <w:pStyle w:val="82"/>
              <w:keepNext w:val="0"/>
              <w:keepLines w:val="0"/>
              <w:pageBreakBefore w:val="0"/>
              <w:kinsoku/>
              <w:wordWrap/>
              <w:topLinePunct w:val="0"/>
              <w:bidi w:val="0"/>
              <w:spacing w:line="380" w:lineRule="exact"/>
              <w:rPr>
                <w:color w:val="auto"/>
                <w:w w:val="85"/>
                <w:sz w:val="21"/>
                <w:szCs w:val="21"/>
                <w:highlight w:val="yellow"/>
                <w:u w:val="none"/>
              </w:rPr>
            </w:pPr>
          </w:p>
        </w:tc>
        <w:tc>
          <w:tcPr>
            <w:tcW w:w="268" w:type="pct"/>
            <w:tcBorders>
              <w:tl2br w:val="nil"/>
              <w:tr2bl w:val="nil"/>
            </w:tcBorders>
            <w:noWrap w:val="0"/>
            <w:vAlign w:val="top"/>
          </w:tcPr>
          <w:p w14:paraId="410A5222">
            <w:pPr>
              <w:pStyle w:val="82"/>
              <w:keepNext w:val="0"/>
              <w:keepLines w:val="0"/>
              <w:pageBreakBefore w:val="0"/>
              <w:kinsoku/>
              <w:wordWrap/>
              <w:topLinePunct w:val="0"/>
              <w:bidi w:val="0"/>
              <w:spacing w:line="380" w:lineRule="exact"/>
              <w:rPr>
                <w:color w:val="auto"/>
                <w:position w:val="-2"/>
                <w:sz w:val="21"/>
                <w:szCs w:val="21"/>
                <w:highlight w:val="yellow"/>
                <w:u w:val="none"/>
              </w:rPr>
            </w:pPr>
          </w:p>
        </w:tc>
        <w:tc>
          <w:tcPr>
            <w:tcW w:w="445" w:type="pct"/>
            <w:tcBorders>
              <w:tl2br w:val="nil"/>
              <w:tr2bl w:val="nil"/>
            </w:tcBorders>
            <w:noWrap w:val="0"/>
            <w:vAlign w:val="top"/>
          </w:tcPr>
          <w:p w14:paraId="498DD6D9">
            <w:pPr>
              <w:pStyle w:val="82"/>
              <w:keepNext w:val="0"/>
              <w:keepLines w:val="0"/>
              <w:pageBreakBefore w:val="0"/>
              <w:kinsoku/>
              <w:wordWrap/>
              <w:topLinePunct w:val="0"/>
              <w:bidi w:val="0"/>
              <w:spacing w:line="380" w:lineRule="exact"/>
              <w:rPr>
                <w:color w:val="auto"/>
                <w:w w:val="85"/>
                <w:sz w:val="21"/>
                <w:szCs w:val="21"/>
                <w:highlight w:val="yellow"/>
                <w:u w:val="none"/>
              </w:rPr>
            </w:pPr>
          </w:p>
        </w:tc>
        <w:tc>
          <w:tcPr>
            <w:tcW w:w="327" w:type="pct"/>
            <w:tcBorders>
              <w:tl2br w:val="nil"/>
              <w:tr2bl w:val="nil"/>
            </w:tcBorders>
            <w:noWrap w:val="0"/>
            <w:vAlign w:val="top"/>
          </w:tcPr>
          <w:p w14:paraId="2D5CEC0B">
            <w:pPr>
              <w:pStyle w:val="82"/>
              <w:keepNext w:val="0"/>
              <w:keepLines w:val="0"/>
              <w:pageBreakBefore w:val="0"/>
              <w:kinsoku/>
              <w:wordWrap/>
              <w:topLinePunct w:val="0"/>
              <w:bidi w:val="0"/>
              <w:spacing w:line="380" w:lineRule="exact"/>
              <w:rPr>
                <w:color w:val="auto"/>
                <w:w w:val="85"/>
                <w:sz w:val="21"/>
                <w:szCs w:val="21"/>
                <w:highlight w:val="yellow"/>
                <w:u w:val="none"/>
              </w:rPr>
            </w:pPr>
          </w:p>
        </w:tc>
        <w:tc>
          <w:tcPr>
            <w:tcW w:w="427" w:type="pct"/>
            <w:tcBorders>
              <w:tl2br w:val="nil"/>
              <w:tr2bl w:val="nil"/>
            </w:tcBorders>
            <w:noWrap w:val="0"/>
            <w:vAlign w:val="top"/>
          </w:tcPr>
          <w:p w14:paraId="02510D40">
            <w:pPr>
              <w:pStyle w:val="82"/>
              <w:keepNext w:val="0"/>
              <w:keepLines w:val="0"/>
              <w:pageBreakBefore w:val="0"/>
              <w:kinsoku/>
              <w:wordWrap/>
              <w:topLinePunct w:val="0"/>
              <w:bidi w:val="0"/>
              <w:spacing w:line="380" w:lineRule="exact"/>
              <w:rPr>
                <w:color w:val="auto"/>
                <w:w w:val="85"/>
                <w:sz w:val="21"/>
                <w:szCs w:val="21"/>
                <w:highlight w:val="yellow"/>
                <w:u w:val="none"/>
              </w:rPr>
            </w:pPr>
          </w:p>
        </w:tc>
        <w:tc>
          <w:tcPr>
            <w:tcW w:w="228" w:type="pct"/>
            <w:tcBorders>
              <w:tl2br w:val="nil"/>
              <w:tr2bl w:val="nil"/>
            </w:tcBorders>
            <w:noWrap w:val="0"/>
            <w:vAlign w:val="top"/>
          </w:tcPr>
          <w:p w14:paraId="0DC62B01">
            <w:pPr>
              <w:pStyle w:val="82"/>
              <w:keepNext w:val="0"/>
              <w:keepLines w:val="0"/>
              <w:pageBreakBefore w:val="0"/>
              <w:kinsoku/>
              <w:wordWrap/>
              <w:topLinePunct w:val="0"/>
              <w:bidi w:val="0"/>
              <w:spacing w:line="380" w:lineRule="exact"/>
              <w:rPr>
                <w:color w:val="auto"/>
                <w:w w:val="85"/>
                <w:sz w:val="21"/>
                <w:szCs w:val="21"/>
                <w:highlight w:val="yellow"/>
                <w:u w:val="none"/>
              </w:rPr>
            </w:pPr>
          </w:p>
        </w:tc>
      </w:tr>
    </w:tbl>
    <w:p w14:paraId="68C01FED">
      <w:pPr>
        <w:rPr>
          <w:rFonts w:hint="default" w:ascii="Times New Roman" w:hAnsi="Times New Roman" w:cs="Times New Roman"/>
          <w:color w:val="auto"/>
          <w:sz w:val="18"/>
          <w:szCs w:val="18"/>
          <w:u w:val="none"/>
        </w:rPr>
      </w:pPr>
      <w:r>
        <w:rPr>
          <w:rFonts w:hint="default" w:ascii="Times New Roman" w:hAnsi="Times New Roman" w:cs="Times New Roman"/>
          <w:b/>
          <w:color w:val="auto"/>
          <w:sz w:val="18"/>
          <w:szCs w:val="18"/>
          <w:u w:val="none"/>
        </w:rPr>
        <w:t>注：〇：无影响；+：短期不利影响；++ ：长期不利影响。</w:t>
      </w:r>
    </w:p>
    <w:p w14:paraId="11CEBF6B">
      <w:pPr>
        <w:pStyle w:val="6"/>
        <w:rPr>
          <w:rFonts w:hint="default" w:ascii="Times New Roman" w:hAnsi="Times New Roman" w:cs="Times New Roman"/>
          <w:color w:val="auto"/>
          <w:u w:val="none"/>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hapStyle="1" w:chapSep="emDash"/>
          <w:cols w:space="720" w:num="1"/>
          <w:docGrid w:type="linesAndChars" w:linePitch="312" w:charSpace="0"/>
        </w:sectPr>
      </w:pPr>
    </w:p>
    <w:p w14:paraId="578F7C45">
      <w:pPr>
        <w:pStyle w:val="55"/>
        <w:spacing w:after="0"/>
        <w:rPr>
          <w:rFonts w:hint="default" w:ascii="Times New Roman" w:hAnsi="Times New Roman" w:cs="Times New Roman"/>
          <w:color w:val="auto"/>
          <w:highlight w:val="none"/>
          <w:u w:val="none"/>
        </w:rPr>
      </w:pPr>
      <w:bookmarkStart w:id="93" w:name="_Toc500856905"/>
      <w:r>
        <w:rPr>
          <w:rFonts w:hint="default" w:ascii="Times New Roman" w:hAnsi="Times New Roman" w:cs="Times New Roman"/>
          <w:color w:val="auto"/>
          <w:highlight w:val="none"/>
          <w:u w:val="none"/>
        </w:rPr>
        <w:t>2.</w:t>
      </w:r>
      <w:r>
        <w:rPr>
          <w:rFonts w:hint="eastAsia" w:cs="Times New Roman"/>
          <w:color w:val="auto"/>
          <w:highlight w:val="none"/>
          <w:u w:val="none"/>
          <w:lang w:val="en-US" w:eastAsia="zh-CN"/>
        </w:rPr>
        <w:t>3</w:t>
      </w:r>
      <w:r>
        <w:rPr>
          <w:rFonts w:hint="default" w:ascii="Times New Roman" w:hAnsi="Times New Roman" w:cs="Times New Roman"/>
          <w:color w:val="auto"/>
          <w:highlight w:val="none"/>
          <w:u w:val="none"/>
        </w:rPr>
        <w:t>.2</w:t>
      </w:r>
      <w:r>
        <w:rPr>
          <w:rFonts w:hint="eastAsia" w:cs="Times New Roman"/>
          <w:color w:val="auto"/>
          <w:highlight w:val="none"/>
          <w:u w:val="none"/>
          <w:lang w:val="en-US" w:eastAsia="zh-CN"/>
        </w:rPr>
        <w:t xml:space="preserve"> </w:t>
      </w:r>
      <w:r>
        <w:rPr>
          <w:rFonts w:hint="default" w:ascii="Times New Roman" w:hAnsi="Times New Roman" w:cs="Times New Roman"/>
          <w:color w:val="auto"/>
          <w:highlight w:val="none"/>
          <w:u w:val="none"/>
        </w:rPr>
        <w:t>评价因子</w:t>
      </w:r>
    </w:p>
    <w:p w14:paraId="02C68894">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根据《环境影响评价技术导则 陆地石油天然气开发建设项目》（HJ349-2023），评价因子见表2.</w:t>
      </w:r>
      <w:r>
        <w:rPr>
          <w:rFonts w:hint="eastAsia" w:cs="Times New Roman"/>
          <w:color w:val="auto"/>
          <w:sz w:val="24"/>
          <w:szCs w:val="24"/>
          <w:u w:val="none"/>
          <w:lang w:val="en-US" w:eastAsia="zh-CN"/>
        </w:rPr>
        <w:t>3</w:t>
      </w:r>
      <w:r>
        <w:rPr>
          <w:rFonts w:hint="default" w:ascii="Times New Roman" w:hAnsi="Times New Roman" w:cs="Times New Roman"/>
          <w:color w:val="auto"/>
          <w:sz w:val="24"/>
          <w:szCs w:val="24"/>
          <w:u w:val="none"/>
        </w:rPr>
        <w:t>-2。</w:t>
      </w:r>
    </w:p>
    <w:p w14:paraId="4CC2A7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表2.3-2  建设项目环境影响评价因子一览表</w:t>
      </w:r>
    </w:p>
    <w:tbl>
      <w:tblPr>
        <w:tblStyle w:val="37"/>
        <w:tblW w:w="5025"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autofit"/>
        <w:tblCellMar>
          <w:top w:w="0" w:type="dxa"/>
          <w:left w:w="0" w:type="dxa"/>
          <w:bottom w:w="0" w:type="dxa"/>
          <w:right w:w="0" w:type="dxa"/>
        </w:tblCellMar>
      </w:tblPr>
      <w:tblGrid>
        <w:gridCol w:w="1625"/>
        <w:gridCol w:w="990"/>
        <w:gridCol w:w="1549"/>
        <w:gridCol w:w="894"/>
        <w:gridCol w:w="3566"/>
        <w:gridCol w:w="2188"/>
        <w:gridCol w:w="3206"/>
        <w:gridCol w:w="1487"/>
      </w:tblGrid>
      <w:tr w14:paraId="7CF6AB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524" w:type="pct"/>
            <w:tcBorders>
              <w:bottom w:val="single" w:color="000000" w:sz="4" w:space="0"/>
              <w:right w:val="single" w:color="000000" w:sz="4" w:space="0"/>
              <w:tl2br w:val="single" w:color="000000" w:sz="4" w:space="0"/>
            </w:tcBorders>
            <w:vAlign w:val="center"/>
          </w:tcPr>
          <w:p w14:paraId="36F395B5">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环境要素</w:t>
            </w:r>
          </w:p>
          <w:p w14:paraId="1682A5B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单项工程</w:t>
            </w:r>
          </w:p>
        </w:tc>
        <w:tc>
          <w:tcPr>
            <w:tcW w:w="319" w:type="pct"/>
            <w:tcBorders>
              <w:left w:val="single" w:color="000000" w:sz="4" w:space="0"/>
              <w:tl2br w:val="nil"/>
              <w:tr2bl w:val="nil"/>
            </w:tcBorders>
            <w:vAlign w:val="center"/>
          </w:tcPr>
          <w:p w14:paraId="493854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时期</w:t>
            </w:r>
          </w:p>
        </w:tc>
        <w:tc>
          <w:tcPr>
            <w:tcW w:w="499" w:type="pct"/>
            <w:tcBorders>
              <w:tl2br w:val="nil"/>
              <w:tr2bl w:val="nil"/>
            </w:tcBorders>
            <w:vAlign w:val="center"/>
          </w:tcPr>
          <w:p w14:paraId="4A2620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大气</w:t>
            </w:r>
          </w:p>
        </w:tc>
        <w:tc>
          <w:tcPr>
            <w:tcW w:w="288" w:type="pct"/>
            <w:tcBorders>
              <w:tl2br w:val="nil"/>
              <w:tr2bl w:val="nil"/>
            </w:tcBorders>
            <w:vAlign w:val="center"/>
          </w:tcPr>
          <w:p w14:paraId="556EF5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地表水</w:t>
            </w:r>
          </w:p>
        </w:tc>
        <w:tc>
          <w:tcPr>
            <w:tcW w:w="1149" w:type="pct"/>
            <w:tcBorders>
              <w:tl2br w:val="nil"/>
              <w:tr2bl w:val="nil"/>
            </w:tcBorders>
            <w:vAlign w:val="center"/>
          </w:tcPr>
          <w:p w14:paraId="6B5FD04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地下水</w:t>
            </w:r>
          </w:p>
        </w:tc>
        <w:tc>
          <w:tcPr>
            <w:tcW w:w="705" w:type="pct"/>
            <w:tcBorders>
              <w:tl2br w:val="nil"/>
              <w:tr2bl w:val="nil"/>
            </w:tcBorders>
            <w:vAlign w:val="center"/>
          </w:tcPr>
          <w:p w14:paraId="629C67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土壤</w:t>
            </w:r>
          </w:p>
        </w:tc>
        <w:tc>
          <w:tcPr>
            <w:tcW w:w="1033" w:type="pct"/>
            <w:tcBorders>
              <w:tl2br w:val="nil"/>
              <w:tr2bl w:val="nil"/>
            </w:tcBorders>
            <w:vAlign w:val="center"/>
          </w:tcPr>
          <w:p w14:paraId="0421FB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生态</w:t>
            </w:r>
          </w:p>
        </w:tc>
        <w:tc>
          <w:tcPr>
            <w:tcW w:w="479" w:type="pct"/>
            <w:tcBorders>
              <w:tl2br w:val="nil"/>
              <w:tr2bl w:val="nil"/>
            </w:tcBorders>
            <w:vAlign w:val="center"/>
          </w:tcPr>
          <w:p w14:paraId="51025E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噪声</w:t>
            </w:r>
          </w:p>
        </w:tc>
      </w:tr>
      <w:tr w14:paraId="780412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524" w:type="pct"/>
            <w:tcBorders>
              <w:top w:val="single" w:color="000000" w:sz="4" w:space="0"/>
              <w:tl2br w:val="nil"/>
              <w:tr2bl w:val="nil"/>
            </w:tcBorders>
            <w:vAlign w:val="center"/>
          </w:tcPr>
          <w:p w14:paraId="4DBC5E4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钻前工程</w:t>
            </w:r>
          </w:p>
        </w:tc>
        <w:tc>
          <w:tcPr>
            <w:tcW w:w="319" w:type="pct"/>
            <w:tcBorders>
              <w:tl2br w:val="nil"/>
              <w:tr2bl w:val="nil"/>
            </w:tcBorders>
            <w:vAlign w:val="center"/>
          </w:tcPr>
          <w:p w14:paraId="553F74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施工期</w:t>
            </w:r>
          </w:p>
        </w:tc>
        <w:tc>
          <w:tcPr>
            <w:tcW w:w="499" w:type="pct"/>
            <w:tcBorders>
              <w:tl2br w:val="nil"/>
              <w:tr2bl w:val="nil"/>
            </w:tcBorders>
            <w:vAlign w:val="center"/>
          </w:tcPr>
          <w:p w14:paraId="1F9119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颗粒物</w:t>
            </w:r>
          </w:p>
        </w:tc>
        <w:tc>
          <w:tcPr>
            <w:tcW w:w="288" w:type="pct"/>
            <w:tcBorders>
              <w:tl2br w:val="nil"/>
              <w:tr2bl w:val="nil"/>
            </w:tcBorders>
            <w:vAlign w:val="center"/>
          </w:tcPr>
          <w:p w14:paraId="1E827B6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w:t>
            </w:r>
          </w:p>
        </w:tc>
        <w:tc>
          <w:tcPr>
            <w:tcW w:w="1149" w:type="pct"/>
            <w:tcBorders>
              <w:tl2br w:val="nil"/>
              <w:tr2bl w:val="nil"/>
            </w:tcBorders>
            <w:vAlign w:val="center"/>
          </w:tcPr>
          <w:p w14:paraId="664135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u w:val="none"/>
                <w:lang w:eastAsia="zh-CN"/>
              </w:rPr>
            </w:pPr>
            <w:r>
              <w:rPr>
                <w:rFonts w:hint="eastAsia" w:ascii="宋体" w:hAnsi="宋体" w:cs="宋体"/>
                <w:color w:val="auto"/>
                <w:sz w:val="21"/>
                <w:szCs w:val="21"/>
                <w:highlight w:val="none"/>
                <w:u w:val="none"/>
                <w:lang w:val="en-US" w:eastAsia="zh-CN"/>
              </w:rPr>
              <w:t>/</w:t>
            </w:r>
          </w:p>
        </w:tc>
        <w:tc>
          <w:tcPr>
            <w:tcW w:w="705" w:type="pct"/>
            <w:tcBorders>
              <w:tl2br w:val="nil"/>
              <w:tr2bl w:val="nil"/>
            </w:tcBorders>
            <w:vAlign w:val="center"/>
          </w:tcPr>
          <w:p w14:paraId="7B20FD7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033" w:type="pct"/>
            <w:tcBorders>
              <w:tl2br w:val="nil"/>
              <w:tr2bl w:val="nil"/>
            </w:tcBorders>
            <w:vAlign w:val="center"/>
          </w:tcPr>
          <w:p w14:paraId="27EDB97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地表扰动面积及类型、生态系统完整性</w:t>
            </w:r>
          </w:p>
        </w:tc>
        <w:tc>
          <w:tcPr>
            <w:tcW w:w="479" w:type="pct"/>
            <w:tcBorders>
              <w:tl2br w:val="nil"/>
              <w:tr2bl w:val="nil"/>
            </w:tcBorders>
            <w:vAlign w:val="center"/>
          </w:tcPr>
          <w:p w14:paraId="0BA8FE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r>
      <w:tr w14:paraId="4075B7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524" w:type="pct"/>
            <w:tcBorders>
              <w:tl2br w:val="nil"/>
              <w:tr2bl w:val="nil"/>
            </w:tcBorders>
            <w:vAlign w:val="center"/>
          </w:tcPr>
          <w:p w14:paraId="5E50E4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钻井工程</w:t>
            </w:r>
          </w:p>
        </w:tc>
        <w:tc>
          <w:tcPr>
            <w:tcW w:w="319" w:type="pct"/>
            <w:tcBorders>
              <w:tl2br w:val="nil"/>
              <w:tr2bl w:val="nil"/>
            </w:tcBorders>
            <w:vAlign w:val="center"/>
          </w:tcPr>
          <w:p w14:paraId="2D7D59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施工期</w:t>
            </w:r>
          </w:p>
        </w:tc>
        <w:tc>
          <w:tcPr>
            <w:tcW w:w="499" w:type="pct"/>
            <w:tcBorders>
              <w:tl2br w:val="nil"/>
              <w:tr2bl w:val="nil"/>
            </w:tcBorders>
            <w:vAlign w:val="center"/>
          </w:tcPr>
          <w:p w14:paraId="16A7AC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SO</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rPr>
              <w:t>、NO</w:t>
            </w:r>
            <w:r>
              <w:rPr>
                <w:rFonts w:hint="eastAsia" w:ascii="宋体" w:hAnsi="宋体" w:eastAsia="宋体" w:cs="宋体"/>
                <w:color w:val="auto"/>
                <w:sz w:val="21"/>
                <w:szCs w:val="21"/>
                <w:u w:val="none"/>
                <w:vertAlign w:val="subscript"/>
              </w:rPr>
              <w:t>X</w:t>
            </w:r>
            <w:r>
              <w:rPr>
                <w:rFonts w:hint="eastAsia" w:ascii="宋体" w:hAnsi="宋体" w:eastAsia="宋体" w:cs="宋体"/>
                <w:color w:val="auto"/>
                <w:sz w:val="21"/>
                <w:szCs w:val="21"/>
                <w:u w:val="none"/>
              </w:rPr>
              <w:t>、</w:t>
            </w:r>
          </w:p>
          <w:p w14:paraId="0C3CCA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非甲烷总烃</w:t>
            </w:r>
          </w:p>
        </w:tc>
        <w:tc>
          <w:tcPr>
            <w:tcW w:w="288" w:type="pct"/>
            <w:tcBorders>
              <w:tl2br w:val="nil"/>
              <w:tr2bl w:val="nil"/>
            </w:tcBorders>
            <w:vAlign w:val="center"/>
          </w:tcPr>
          <w:p w14:paraId="5BF007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w:t>
            </w:r>
          </w:p>
        </w:tc>
        <w:tc>
          <w:tcPr>
            <w:tcW w:w="1149" w:type="pct"/>
            <w:vMerge w:val="restart"/>
            <w:tcBorders>
              <w:tl2br w:val="nil"/>
              <w:tr2bl w:val="nil"/>
            </w:tcBorders>
            <w:vAlign w:val="center"/>
          </w:tcPr>
          <w:p w14:paraId="2C86B0F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pH值、氨氮、硝酸盐氮、亚硝酸盐氮、挥发酚、氰化物、砷、汞、六价铬、总硬度、铅、镉、铁、锰、溶解性总固体、耗氧量、硫酸盐、氟化物、石油类</w:t>
            </w:r>
            <w:r>
              <w:rPr>
                <w:rFonts w:hint="eastAsia" w:ascii="宋体" w:hAnsi="宋体" w:cs="宋体"/>
                <w:color w:val="auto"/>
                <w:sz w:val="21"/>
                <w:szCs w:val="21"/>
                <w:highlight w:val="none"/>
                <w:u w:val="none"/>
                <w:lang w:val="en-US" w:eastAsia="zh-CN"/>
              </w:rPr>
              <w:t>等</w:t>
            </w:r>
          </w:p>
        </w:tc>
        <w:tc>
          <w:tcPr>
            <w:tcW w:w="705" w:type="pct"/>
            <w:vMerge w:val="restart"/>
            <w:tcBorders>
              <w:tl2br w:val="nil"/>
              <w:tr2bl w:val="nil"/>
            </w:tcBorders>
            <w:vAlign w:val="center"/>
          </w:tcPr>
          <w:p w14:paraId="77AA5D1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pH值、石油类、石油烃（C</w:t>
            </w:r>
            <w:r>
              <w:rPr>
                <w:rFonts w:hint="eastAsia" w:ascii="宋体" w:hAnsi="宋体" w:eastAsia="宋体" w:cs="宋体"/>
                <w:color w:val="auto"/>
                <w:sz w:val="21"/>
                <w:szCs w:val="21"/>
                <w:u w:val="none"/>
                <w:vertAlign w:val="subscript"/>
              </w:rPr>
              <w:t>6</w:t>
            </w:r>
            <w:r>
              <w:rPr>
                <w:rFonts w:hint="eastAsia" w:ascii="宋体" w:hAnsi="宋体" w:eastAsia="宋体" w:cs="宋体"/>
                <w:color w:val="auto"/>
                <w:sz w:val="21"/>
                <w:szCs w:val="21"/>
                <w:u w:val="none"/>
              </w:rPr>
              <w:t>~C</w:t>
            </w:r>
            <w:r>
              <w:rPr>
                <w:rFonts w:hint="eastAsia" w:ascii="宋体" w:hAnsi="宋体" w:eastAsia="宋体" w:cs="宋体"/>
                <w:color w:val="auto"/>
                <w:sz w:val="21"/>
                <w:szCs w:val="21"/>
                <w:u w:val="none"/>
                <w:vertAlign w:val="subscript"/>
              </w:rPr>
              <w:t>9</w:t>
            </w:r>
            <w:r>
              <w:rPr>
                <w:rFonts w:hint="eastAsia" w:ascii="宋体" w:hAnsi="宋体" w:eastAsia="宋体" w:cs="宋体"/>
                <w:color w:val="auto"/>
                <w:sz w:val="21"/>
                <w:szCs w:val="21"/>
                <w:u w:val="none"/>
              </w:rPr>
              <w:t>）、石油烃（C</w:t>
            </w:r>
            <w:r>
              <w:rPr>
                <w:rFonts w:hint="eastAsia" w:ascii="宋体" w:hAnsi="宋体" w:eastAsia="宋体" w:cs="宋体"/>
                <w:color w:val="auto"/>
                <w:sz w:val="21"/>
                <w:szCs w:val="21"/>
                <w:u w:val="none"/>
                <w:vertAlign w:val="subscript"/>
              </w:rPr>
              <w:t>10</w:t>
            </w:r>
            <w:r>
              <w:rPr>
                <w:rFonts w:hint="eastAsia" w:ascii="宋体" w:hAnsi="宋体" w:eastAsia="宋体" w:cs="宋体"/>
                <w:color w:val="auto"/>
                <w:sz w:val="21"/>
                <w:szCs w:val="21"/>
                <w:u w:val="none"/>
              </w:rPr>
              <w:t>~C</w:t>
            </w:r>
            <w:r>
              <w:rPr>
                <w:rFonts w:hint="eastAsia" w:ascii="宋体" w:hAnsi="宋体" w:eastAsia="宋体" w:cs="宋体"/>
                <w:color w:val="auto"/>
                <w:sz w:val="21"/>
                <w:szCs w:val="21"/>
                <w:u w:val="none"/>
                <w:vertAlign w:val="subscript"/>
              </w:rPr>
              <w:t>40</w:t>
            </w:r>
            <w:r>
              <w:rPr>
                <w:rFonts w:hint="eastAsia" w:ascii="宋体" w:hAnsi="宋体" w:eastAsia="宋体" w:cs="宋体"/>
                <w:color w:val="auto"/>
                <w:sz w:val="21"/>
                <w:szCs w:val="21"/>
                <w:u w:val="none"/>
              </w:rPr>
              <w:t>）、汞、砷、六价铬、土壤盐分含量等</w:t>
            </w:r>
          </w:p>
        </w:tc>
        <w:tc>
          <w:tcPr>
            <w:tcW w:w="1033" w:type="pct"/>
            <w:tcBorders>
              <w:tl2br w:val="nil"/>
              <w:tr2bl w:val="nil"/>
            </w:tcBorders>
            <w:vAlign w:val="center"/>
          </w:tcPr>
          <w:p w14:paraId="30BF2DD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479" w:type="pct"/>
            <w:tcBorders>
              <w:tl2br w:val="nil"/>
              <w:tr2bl w:val="nil"/>
            </w:tcBorders>
            <w:vAlign w:val="center"/>
          </w:tcPr>
          <w:p w14:paraId="702C5FB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昼间等效声级</w:t>
            </w:r>
          </w:p>
          <w:p w14:paraId="08AA1E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（L</w:t>
            </w:r>
            <w:r>
              <w:rPr>
                <w:rFonts w:hint="eastAsia" w:ascii="宋体" w:hAnsi="宋体" w:eastAsia="宋体" w:cs="宋体"/>
                <w:color w:val="auto"/>
                <w:sz w:val="21"/>
                <w:szCs w:val="21"/>
                <w:u w:val="none"/>
                <w:vertAlign w:val="subscript"/>
              </w:rPr>
              <w:t>d</w:t>
            </w:r>
            <w:r>
              <w:rPr>
                <w:rFonts w:hint="eastAsia" w:ascii="宋体" w:hAnsi="宋体" w:eastAsia="宋体" w:cs="宋体"/>
                <w:color w:val="auto"/>
                <w:sz w:val="21"/>
                <w:szCs w:val="21"/>
                <w:u w:val="none"/>
              </w:rPr>
              <w:t>）、夜间等效声级（L</w:t>
            </w:r>
            <w:r>
              <w:rPr>
                <w:rFonts w:hint="eastAsia" w:ascii="宋体" w:hAnsi="宋体" w:eastAsia="宋体" w:cs="宋体"/>
                <w:color w:val="auto"/>
                <w:sz w:val="21"/>
                <w:szCs w:val="21"/>
                <w:u w:val="none"/>
                <w:vertAlign w:val="subscript"/>
              </w:rPr>
              <w:t>n</w:t>
            </w:r>
            <w:r>
              <w:rPr>
                <w:rFonts w:hint="eastAsia" w:ascii="宋体" w:hAnsi="宋体" w:eastAsia="宋体" w:cs="宋体"/>
                <w:color w:val="auto"/>
                <w:sz w:val="21"/>
                <w:szCs w:val="21"/>
                <w:u w:val="none"/>
              </w:rPr>
              <w:t>）</w:t>
            </w:r>
          </w:p>
        </w:tc>
      </w:tr>
      <w:tr w14:paraId="64F7DF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524" w:type="pct"/>
            <w:tcBorders>
              <w:tl2br w:val="nil"/>
              <w:tr2bl w:val="nil"/>
            </w:tcBorders>
            <w:vAlign w:val="center"/>
          </w:tcPr>
          <w:p w14:paraId="2DBC6EE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储层改造工程</w:t>
            </w:r>
          </w:p>
        </w:tc>
        <w:tc>
          <w:tcPr>
            <w:tcW w:w="319" w:type="pct"/>
            <w:tcBorders>
              <w:tl2br w:val="nil"/>
              <w:tr2bl w:val="nil"/>
            </w:tcBorders>
            <w:vAlign w:val="center"/>
          </w:tcPr>
          <w:p w14:paraId="643C4D7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施工期</w:t>
            </w:r>
          </w:p>
        </w:tc>
        <w:tc>
          <w:tcPr>
            <w:tcW w:w="499" w:type="pct"/>
            <w:tcBorders>
              <w:tl2br w:val="nil"/>
              <w:tr2bl w:val="nil"/>
            </w:tcBorders>
            <w:vAlign w:val="center"/>
          </w:tcPr>
          <w:p w14:paraId="1885D43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SO</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rPr>
              <w:t>、NO</w:t>
            </w:r>
            <w:r>
              <w:rPr>
                <w:rFonts w:hint="eastAsia" w:ascii="宋体" w:hAnsi="宋体" w:eastAsia="宋体" w:cs="宋体"/>
                <w:color w:val="auto"/>
                <w:sz w:val="21"/>
                <w:szCs w:val="21"/>
                <w:u w:val="none"/>
                <w:vertAlign w:val="subscript"/>
              </w:rPr>
              <w:t>X</w:t>
            </w:r>
            <w:r>
              <w:rPr>
                <w:rFonts w:hint="eastAsia" w:ascii="宋体" w:hAnsi="宋体" w:eastAsia="宋体" w:cs="宋体"/>
                <w:color w:val="auto"/>
                <w:sz w:val="21"/>
                <w:szCs w:val="21"/>
                <w:u w:val="none"/>
              </w:rPr>
              <w:t>、</w:t>
            </w:r>
          </w:p>
          <w:p w14:paraId="2F03F14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非甲烷总烃</w:t>
            </w:r>
          </w:p>
        </w:tc>
        <w:tc>
          <w:tcPr>
            <w:tcW w:w="288" w:type="pct"/>
            <w:tcBorders>
              <w:tl2br w:val="nil"/>
              <w:tr2bl w:val="nil"/>
            </w:tcBorders>
            <w:vAlign w:val="center"/>
          </w:tcPr>
          <w:p w14:paraId="2D6954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w:t>
            </w:r>
          </w:p>
        </w:tc>
        <w:tc>
          <w:tcPr>
            <w:tcW w:w="1149" w:type="pct"/>
            <w:vMerge w:val="continue"/>
            <w:tcBorders>
              <w:tl2br w:val="nil"/>
              <w:tr2bl w:val="nil"/>
            </w:tcBorders>
            <w:vAlign w:val="center"/>
          </w:tcPr>
          <w:p w14:paraId="603F6D7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u w:val="none"/>
              </w:rPr>
            </w:pPr>
          </w:p>
        </w:tc>
        <w:tc>
          <w:tcPr>
            <w:tcW w:w="705" w:type="pct"/>
            <w:vMerge w:val="continue"/>
            <w:tcBorders>
              <w:tl2br w:val="nil"/>
              <w:tr2bl w:val="nil"/>
            </w:tcBorders>
            <w:vAlign w:val="center"/>
          </w:tcPr>
          <w:p w14:paraId="6B71EE3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u w:val="none"/>
              </w:rPr>
            </w:pPr>
          </w:p>
        </w:tc>
        <w:tc>
          <w:tcPr>
            <w:tcW w:w="1033" w:type="pct"/>
            <w:tcBorders>
              <w:tl2br w:val="nil"/>
              <w:tr2bl w:val="nil"/>
            </w:tcBorders>
            <w:vAlign w:val="center"/>
          </w:tcPr>
          <w:p w14:paraId="57860A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479" w:type="pct"/>
            <w:tcBorders>
              <w:tl2br w:val="nil"/>
              <w:tr2bl w:val="nil"/>
            </w:tcBorders>
            <w:vAlign w:val="center"/>
          </w:tcPr>
          <w:p w14:paraId="0BDEA5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昼间等效声级</w:t>
            </w:r>
          </w:p>
          <w:p w14:paraId="1A0C59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（L</w:t>
            </w:r>
            <w:r>
              <w:rPr>
                <w:rFonts w:hint="eastAsia" w:ascii="宋体" w:hAnsi="宋体" w:eastAsia="宋体" w:cs="宋体"/>
                <w:color w:val="auto"/>
                <w:sz w:val="21"/>
                <w:szCs w:val="21"/>
                <w:u w:val="none"/>
                <w:vertAlign w:val="subscript"/>
              </w:rPr>
              <w:t>d</w:t>
            </w:r>
            <w:r>
              <w:rPr>
                <w:rFonts w:hint="eastAsia" w:ascii="宋体" w:hAnsi="宋体" w:eastAsia="宋体" w:cs="宋体"/>
                <w:color w:val="auto"/>
                <w:sz w:val="21"/>
                <w:szCs w:val="21"/>
                <w:u w:val="none"/>
              </w:rPr>
              <w:t>）、夜间等效声级（L</w:t>
            </w:r>
            <w:r>
              <w:rPr>
                <w:rFonts w:hint="eastAsia" w:ascii="宋体" w:hAnsi="宋体" w:eastAsia="宋体" w:cs="宋体"/>
                <w:color w:val="auto"/>
                <w:sz w:val="21"/>
                <w:szCs w:val="21"/>
                <w:u w:val="none"/>
                <w:vertAlign w:val="subscript"/>
              </w:rPr>
              <w:t>n</w:t>
            </w:r>
            <w:r>
              <w:rPr>
                <w:rFonts w:hint="eastAsia" w:ascii="宋体" w:hAnsi="宋体" w:eastAsia="宋体" w:cs="宋体"/>
                <w:color w:val="auto"/>
                <w:sz w:val="21"/>
                <w:szCs w:val="21"/>
                <w:u w:val="none"/>
              </w:rPr>
              <w:t>）</w:t>
            </w:r>
          </w:p>
        </w:tc>
      </w:tr>
      <w:tr w14:paraId="3DCDC4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524" w:type="pct"/>
            <w:vMerge w:val="restart"/>
            <w:tcBorders>
              <w:tl2br w:val="nil"/>
              <w:tr2bl w:val="nil"/>
            </w:tcBorders>
            <w:vAlign w:val="center"/>
          </w:tcPr>
          <w:p w14:paraId="2C8B10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油气集输工程</w:t>
            </w:r>
          </w:p>
        </w:tc>
        <w:tc>
          <w:tcPr>
            <w:tcW w:w="319" w:type="pct"/>
            <w:tcBorders>
              <w:tl2br w:val="nil"/>
              <w:tr2bl w:val="nil"/>
            </w:tcBorders>
            <w:vAlign w:val="center"/>
          </w:tcPr>
          <w:p w14:paraId="6B89CD4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施工期</w:t>
            </w:r>
          </w:p>
        </w:tc>
        <w:tc>
          <w:tcPr>
            <w:tcW w:w="499" w:type="pct"/>
            <w:tcBorders>
              <w:tl2br w:val="nil"/>
              <w:tr2bl w:val="nil"/>
            </w:tcBorders>
            <w:vAlign w:val="center"/>
          </w:tcPr>
          <w:p w14:paraId="78D519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颗粒物</w:t>
            </w:r>
          </w:p>
        </w:tc>
        <w:tc>
          <w:tcPr>
            <w:tcW w:w="288" w:type="pct"/>
            <w:tcBorders>
              <w:tl2br w:val="nil"/>
              <w:tr2bl w:val="nil"/>
            </w:tcBorders>
            <w:vAlign w:val="center"/>
          </w:tcPr>
          <w:p w14:paraId="4432A2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w:t>
            </w:r>
          </w:p>
        </w:tc>
        <w:tc>
          <w:tcPr>
            <w:tcW w:w="1149" w:type="pct"/>
            <w:vMerge w:val="restart"/>
            <w:tcBorders>
              <w:tl2br w:val="nil"/>
              <w:tr2bl w:val="nil"/>
            </w:tcBorders>
            <w:vAlign w:val="center"/>
          </w:tcPr>
          <w:p w14:paraId="6BC3A86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耗氧量、氨氮、石油类等</w:t>
            </w:r>
          </w:p>
        </w:tc>
        <w:tc>
          <w:tcPr>
            <w:tcW w:w="705" w:type="pct"/>
            <w:tcBorders>
              <w:tl2br w:val="nil"/>
              <w:tr2bl w:val="nil"/>
            </w:tcBorders>
            <w:vAlign w:val="center"/>
          </w:tcPr>
          <w:p w14:paraId="49483D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033" w:type="pct"/>
            <w:tcBorders>
              <w:tl2br w:val="nil"/>
              <w:tr2bl w:val="nil"/>
            </w:tcBorders>
            <w:vAlign w:val="center"/>
          </w:tcPr>
          <w:p w14:paraId="4ACC75D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地表扰动面积及类型、植被覆盖度、生物量损失、物种多样性、生态系统完整性等</w:t>
            </w:r>
          </w:p>
        </w:tc>
        <w:tc>
          <w:tcPr>
            <w:tcW w:w="479" w:type="pct"/>
            <w:tcBorders>
              <w:tl2br w:val="nil"/>
              <w:tr2bl w:val="nil"/>
            </w:tcBorders>
            <w:vAlign w:val="center"/>
          </w:tcPr>
          <w:p w14:paraId="165992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r>
      <w:tr w14:paraId="1D501F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jc w:val="center"/>
        </w:trPr>
        <w:tc>
          <w:tcPr>
            <w:tcW w:w="524" w:type="pct"/>
            <w:vMerge w:val="continue"/>
            <w:tcBorders>
              <w:tl2br w:val="nil"/>
              <w:tr2bl w:val="nil"/>
            </w:tcBorders>
            <w:vAlign w:val="center"/>
          </w:tcPr>
          <w:p w14:paraId="5A7D216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319" w:type="pct"/>
            <w:tcBorders>
              <w:tl2br w:val="nil"/>
              <w:tr2bl w:val="nil"/>
            </w:tcBorders>
            <w:vAlign w:val="center"/>
          </w:tcPr>
          <w:p w14:paraId="625634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val="en-US" w:eastAsia="zh-CN"/>
              </w:rPr>
              <w:t>运营期</w:t>
            </w:r>
          </w:p>
        </w:tc>
        <w:tc>
          <w:tcPr>
            <w:tcW w:w="499" w:type="pct"/>
            <w:tcBorders>
              <w:tl2br w:val="nil"/>
              <w:tr2bl w:val="nil"/>
            </w:tcBorders>
            <w:vAlign w:val="center"/>
          </w:tcPr>
          <w:p w14:paraId="11AD165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硫化氢、非甲烷总烃</w:t>
            </w:r>
          </w:p>
        </w:tc>
        <w:tc>
          <w:tcPr>
            <w:tcW w:w="288" w:type="pct"/>
            <w:tcBorders>
              <w:tl2br w:val="nil"/>
              <w:tr2bl w:val="nil"/>
            </w:tcBorders>
            <w:vAlign w:val="center"/>
          </w:tcPr>
          <w:p w14:paraId="695F05E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w:t>
            </w:r>
          </w:p>
        </w:tc>
        <w:tc>
          <w:tcPr>
            <w:tcW w:w="1149" w:type="pct"/>
            <w:vMerge w:val="continue"/>
            <w:tcBorders>
              <w:tl2br w:val="nil"/>
              <w:tr2bl w:val="nil"/>
            </w:tcBorders>
            <w:vAlign w:val="center"/>
          </w:tcPr>
          <w:p w14:paraId="7A28135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u w:val="none"/>
              </w:rPr>
            </w:pPr>
          </w:p>
        </w:tc>
        <w:tc>
          <w:tcPr>
            <w:tcW w:w="705" w:type="pct"/>
            <w:tcBorders>
              <w:tl2br w:val="nil"/>
              <w:tr2bl w:val="nil"/>
            </w:tcBorders>
            <w:vAlign w:val="center"/>
          </w:tcPr>
          <w:p w14:paraId="5FBCB00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石油烃（C</w:t>
            </w:r>
            <w:r>
              <w:rPr>
                <w:rFonts w:hint="eastAsia" w:ascii="宋体" w:hAnsi="宋体" w:eastAsia="宋体" w:cs="宋体"/>
                <w:color w:val="auto"/>
                <w:sz w:val="21"/>
                <w:szCs w:val="21"/>
                <w:u w:val="none"/>
                <w:vertAlign w:val="subscript"/>
              </w:rPr>
              <w:t>10</w:t>
            </w:r>
            <w:r>
              <w:rPr>
                <w:rFonts w:hint="eastAsia" w:ascii="宋体" w:hAnsi="宋体" w:eastAsia="宋体" w:cs="宋体"/>
                <w:color w:val="auto"/>
                <w:sz w:val="21"/>
                <w:szCs w:val="21"/>
                <w:u w:val="none"/>
              </w:rPr>
              <w:t>~C</w:t>
            </w:r>
            <w:r>
              <w:rPr>
                <w:rFonts w:hint="eastAsia" w:ascii="宋体" w:hAnsi="宋体" w:eastAsia="宋体" w:cs="宋体"/>
                <w:color w:val="auto"/>
                <w:sz w:val="21"/>
                <w:szCs w:val="21"/>
                <w:u w:val="none"/>
                <w:vertAlign w:val="subscript"/>
              </w:rPr>
              <w:t>40</w:t>
            </w:r>
            <w:r>
              <w:rPr>
                <w:rFonts w:hint="eastAsia" w:ascii="宋体" w:hAnsi="宋体" w:eastAsia="宋体" w:cs="宋体"/>
                <w:color w:val="auto"/>
                <w:sz w:val="21"/>
                <w:szCs w:val="21"/>
                <w:u w:val="none"/>
              </w:rPr>
              <w:t>）</w:t>
            </w:r>
          </w:p>
        </w:tc>
        <w:tc>
          <w:tcPr>
            <w:tcW w:w="1033" w:type="pct"/>
            <w:tcBorders>
              <w:tl2br w:val="nil"/>
              <w:tr2bl w:val="nil"/>
            </w:tcBorders>
            <w:vAlign w:val="center"/>
          </w:tcPr>
          <w:p w14:paraId="214407E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土壤肥力或林地立地条件、生物多样性、生态系统完整性等</w:t>
            </w:r>
          </w:p>
        </w:tc>
        <w:tc>
          <w:tcPr>
            <w:tcW w:w="479" w:type="pct"/>
            <w:tcBorders>
              <w:tl2br w:val="nil"/>
              <w:tr2bl w:val="nil"/>
            </w:tcBorders>
            <w:vAlign w:val="center"/>
          </w:tcPr>
          <w:p w14:paraId="70D219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昼间等效声级</w:t>
            </w:r>
          </w:p>
          <w:p w14:paraId="100F758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（L</w:t>
            </w:r>
            <w:r>
              <w:rPr>
                <w:rFonts w:hint="eastAsia" w:ascii="宋体" w:hAnsi="宋体" w:eastAsia="宋体" w:cs="宋体"/>
                <w:color w:val="auto"/>
                <w:sz w:val="21"/>
                <w:szCs w:val="21"/>
                <w:u w:val="none"/>
                <w:vertAlign w:val="subscript"/>
              </w:rPr>
              <w:t>d</w:t>
            </w:r>
            <w:r>
              <w:rPr>
                <w:rFonts w:hint="eastAsia" w:ascii="宋体" w:hAnsi="宋体" w:eastAsia="宋体" w:cs="宋体"/>
                <w:color w:val="auto"/>
                <w:sz w:val="21"/>
                <w:szCs w:val="21"/>
                <w:u w:val="none"/>
              </w:rPr>
              <w:t>）、夜间等效声级（L</w:t>
            </w:r>
            <w:r>
              <w:rPr>
                <w:rFonts w:hint="eastAsia" w:ascii="宋体" w:hAnsi="宋体" w:eastAsia="宋体" w:cs="宋体"/>
                <w:color w:val="auto"/>
                <w:sz w:val="21"/>
                <w:szCs w:val="21"/>
                <w:u w:val="none"/>
                <w:vertAlign w:val="subscript"/>
              </w:rPr>
              <w:t>n</w:t>
            </w:r>
            <w:r>
              <w:rPr>
                <w:rFonts w:hint="eastAsia" w:ascii="宋体" w:hAnsi="宋体" w:eastAsia="宋体" w:cs="宋体"/>
                <w:color w:val="auto"/>
                <w:sz w:val="21"/>
                <w:szCs w:val="21"/>
                <w:u w:val="none"/>
              </w:rPr>
              <w:t>）</w:t>
            </w:r>
          </w:p>
        </w:tc>
      </w:tr>
    </w:tbl>
    <w:p w14:paraId="16820A16">
      <w:pPr>
        <w:pStyle w:val="55"/>
        <w:spacing w:after="0"/>
        <w:rPr>
          <w:rFonts w:hint="default" w:ascii="Times New Roman" w:hAnsi="Times New Roman" w:cs="Times New Roman"/>
          <w:color w:val="auto"/>
          <w:u w:val="none"/>
        </w:rPr>
        <w:sectPr>
          <w:footerReference r:id="rId10"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bookmarkEnd w:id="93"/>
    <w:p w14:paraId="07762ADD">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94" w:name="_Toc361761822"/>
      <w:bookmarkStart w:id="95" w:name="_Toc374724176"/>
      <w:bookmarkStart w:id="96" w:name="_Toc10324"/>
      <w:bookmarkStart w:id="97" w:name="_Toc280954980"/>
      <w:bookmarkStart w:id="98" w:name="_Toc297590925"/>
      <w:bookmarkStart w:id="99" w:name="_Toc412"/>
      <w:bookmarkStart w:id="100" w:name="_Toc280954903"/>
      <w:bookmarkStart w:id="101" w:name="_Toc109382911"/>
      <w:bookmarkStart w:id="102" w:name="_Toc508291878"/>
      <w:bookmarkStart w:id="103" w:name="_Toc353966730"/>
      <w:bookmarkStart w:id="104" w:name="_Toc297590772"/>
      <w:bookmarkStart w:id="105" w:name="_Toc7460"/>
      <w:r>
        <w:rPr>
          <w:rFonts w:hint="default" w:ascii="黑体" w:hAnsi="黑体" w:eastAsia="黑体" w:cs="黑体"/>
          <w:color w:val="auto"/>
          <w:sz w:val="28"/>
          <w:szCs w:val="28"/>
          <w:u w:val="none"/>
          <w:lang w:val="en-US" w:eastAsia="zh-CN"/>
        </w:rPr>
        <w:t>2.</w:t>
      </w:r>
      <w:r>
        <w:rPr>
          <w:rFonts w:hint="eastAsia" w:ascii="黑体" w:hAnsi="黑体" w:eastAsia="黑体" w:cs="黑体"/>
          <w:color w:val="auto"/>
          <w:sz w:val="28"/>
          <w:szCs w:val="28"/>
          <w:u w:val="none"/>
          <w:lang w:val="en-US" w:eastAsia="zh-CN"/>
        </w:rPr>
        <w:t xml:space="preserve">4 </w:t>
      </w:r>
      <w:r>
        <w:rPr>
          <w:rFonts w:hint="default" w:ascii="黑体" w:hAnsi="黑体" w:eastAsia="黑体" w:cs="黑体"/>
          <w:color w:val="auto"/>
          <w:sz w:val="28"/>
          <w:szCs w:val="28"/>
          <w:u w:val="none"/>
          <w:lang w:val="en-US" w:eastAsia="zh-CN"/>
        </w:rPr>
        <w:t>环境功能区划</w:t>
      </w:r>
      <w:bookmarkEnd w:id="94"/>
      <w:bookmarkEnd w:id="95"/>
      <w:bookmarkEnd w:id="96"/>
      <w:bookmarkEnd w:id="97"/>
      <w:bookmarkEnd w:id="98"/>
      <w:bookmarkEnd w:id="99"/>
      <w:bookmarkEnd w:id="100"/>
      <w:bookmarkEnd w:id="101"/>
      <w:bookmarkEnd w:id="102"/>
      <w:bookmarkEnd w:id="103"/>
      <w:bookmarkEnd w:id="104"/>
      <w:r>
        <w:rPr>
          <w:rFonts w:hint="eastAsia" w:ascii="黑体" w:hAnsi="黑体" w:eastAsia="黑体" w:cs="黑体"/>
          <w:color w:val="auto"/>
          <w:sz w:val="28"/>
          <w:szCs w:val="28"/>
          <w:u w:val="none"/>
          <w:lang w:val="en-US" w:eastAsia="zh-CN"/>
        </w:rPr>
        <w:t>及评价标准</w:t>
      </w:r>
      <w:bookmarkEnd w:id="105"/>
    </w:p>
    <w:p w14:paraId="56B85C3C">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106" w:name="_Toc330457759"/>
      <w:bookmarkStart w:id="107" w:name="_Toc313911261"/>
      <w:bookmarkStart w:id="108" w:name="_Toc339279448"/>
      <w:bookmarkStart w:id="109" w:name="_Toc355253832"/>
      <w:bookmarkStart w:id="110" w:name="_Toc337551362"/>
      <w:bookmarkStart w:id="111" w:name="_Toc338688632"/>
      <w:bookmarkStart w:id="112" w:name="_Toc312148945"/>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环境</w:t>
      </w:r>
      <w:r>
        <w:rPr>
          <w:rFonts w:hint="eastAsia" w:ascii="黑体" w:hAnsi="黑体" w:eastAsia="黑体" w:cs="黑体"/>
          <w:b/>
          <w:color w:val="auto"/>
          <w:kern w:val="0"/>
          <w:sz w:val="24"/>
          <w:szCs w:val="24"/>
          <w:highlight w:val="none"/>
          <w:u w:val="none"/>
          <w:lang w:val="en-US" w:eastAsia="zh-CN"/>
        </w:rPr>
        <w:t>功能区划</w:t>
      </w:r>
    </w:p>
    <w:p w14:paraId="5D9A2B5D">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（1）生态功能区划</w:t>
      </w:r>
    </w:p>
    <w:p w14:paraId="68D57B07">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根据《新疆生态功能区划》（2005版），项目区属于准噶尔盆地温性干旱荒漠与绿洲生态功能区（Ⅱ），准噶尔盆地中部固定、半固定沙漠生态亚区（Ⅱ3），古尔班通古特沙漠化敏感及植被保护生态功能区（</w:t>
      </w:r>
      <w:r>
        <w:rPr>
          <w:rFonts w:hint="eastAsia" w:ascii="宋体" w:hAnsi="宋体" w:eastAsia="宋体" w:cs="宋体"/>
          <w:color w:val="auto"/>
          <w:sz w:val="24"/>
          <w:szCs w:val="24"/>
          <w:highlight w:val="none"/>
          <w:u w:val="none"/>
          <w:lang w:val="en-US" w:eastAsia="zh-CN" w:bidi="ar-SA"/>
        </w:rPr>
        <w:t>23</w:t>
      </w:r>
      <w:r>
        <w:rPr>
          <w:rFonts w:hint="default" w:ascii="宋体" w:hAnsi="宋体" w:eastAsia="宋体" w:cs="宋体"/>
          <w:color w:val="auto"/>
          <w:sz w:val="24"/>
          <w:szCs w:val="24"/>
          <w:highlight w:val="none"/>
          <w:u w:val="none"/>
          <w:lang w:val="zh-CN" w:eastAsia="zh-CN" w:bidi="ar-SA"/>
        </w:rPr>
        <w:t>）。</w:t>
      </w:r>
    </w:p>
    <w:p w14:paraId="3A7738F8">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bookmarkStart w:id="113" w:name="_Toc173941795"/>
      <w:r>
        <w:rPr>
          <w:rFonts w:hint="eastAsia" w:ascii="宋体" w:hAnsi="宋体" w:eastAsia="宋体" w:cs="宋体"/>
          <w:color w:val="auto"/>
          <w:sz w:val="24"/>
          <w:szCs w:val="24"/>
          <w:highlight w:val="none"/>
          <w:u w:val="none"/>
          <w:lang w:val="en-US" w:eastAsia="zh-CN" w:bidi="ar-SA"/>
        </w:rPr>
        <w:t>（2）地下水环境</w:t>
      </w:r>
      <w:bookmarkEnd w:id="113"/>
      <w:r>
        <w:rPr>
          <w:rFonts w:hint="eastAsia" w:ascii="宋体" w:hAnsi="宋体" w:eastAsia="宋体" w:cs="宋体"/>
          <w:color w:val="auto"/>
          <w:sz w:val="24"/>
          <w:szCs w:val="24"/>
          <w:highlight w:val="none"/>
          <w:u w:val="none"/>
          <w:lang w:val="en-US" w:eastAsia="zh-CN" w:bidi="ar-SA"/>
        </w:rPr>
        <w:t>功能区划</w:t>
      </w:r>
    </w:p>
    <w:p w14:paraId="085E3ADC">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根据《地下水质量标准》（GB/T14848-2017）中地下水分类标准，该区域地下水按Ⅲ类功能区。</w:t>
      </w:r>
    </w:p>
    <w:p w14:paraId="384B1172">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（3）地表水环境功能区划</w:t>
      </w:r>
    </w:p>
    <w:p w14:paraId="0DA997F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本项目位于准噶尔盆地腹部古尔班通古特沙漠腹地，周边5km范围无地表水体。</w:t>
      </w:r>
    </w:p>
    <w:p w14:paraId="48C748D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（4）环境空气功能区划</w:t>
      </w:r>
    </w:p>
    <w:p w14:paraId="69AF918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根据《环境空气质量标准》（GB3095-2012）及修改单的要求，项目所在区域属于二类功能区。</w:t>
      </w:r>
    </w:p>
    <w:p w14:paraId="6088F52C">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bookmarkStart w:id="114" w:name="_Toc173941796"/>
      <w:r>
        <w:rPr>
          <w:rFonts w:hint="eastAsia" w:ascii="宋体" w:hAnsi="宋体" w:eastAsia="宋体" w:cs="宋体"/>
          <w:color w:val="auto"/>
          <w:sz w:val="24"/>
          <w:szCs w:val="24"/>
          <w:highlight w:val="none"/>
          <w:u w:val="none"/>
          <w:lang w:val="en-US" w:eastAsia="zh-CN" w:bidi="ar-SA"/>
        </w:rPr>
        <w:t>（5）声环境</w:t>
      </w:r>
      <w:bookmarkEnd w:id="114"/>
      <w:r>
        <w:rPr>
          <w:rFonts w:hint="eastAsia" w:ascii="宋体" w:hAnsi="宋体" w:eastAsia="宋体" w:cs="宋体"/>
          <w:color w:val="auto"/>
          <w:sz w:val="24"/>
          <w:szCs w:val="24"/>
          <w:highlight w:val="none"/>
          <w:u w:val="none"/>
          <w:lang w:val="en-US" w:eastAsia="zh-CN" w:bidi="ar-SA"/>
        </w:rPr>
        <w:t>功能区划</w:t>
      </w:r>
    </w:p>
    <w:p w14:paraId="7CEE6F85">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项目区为油田开发区，远离呼图壁县城镇规划区，目前暂未进行声环境功能区划，根据《声环境质量标准》（GB3096-2008）要求，划定为2类声环境功能区。</w:t>
      </w:r>
    </w:p>
    <w:p w14:paraId="68BA6E67">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2</w:t>
      </w:r>
      <w:r>
        <w:rPr>
          <w:rFonts w:hint="default" w:ascii="黑体" w:hAnsi="黑体" w:eastAsia="黑体" w:cs="黑体"/>
          <w:b/>
          <w:color w:val="auto"/>
          <w:kern w:val="0"/>
          <w:sz w:val="24"/>
          <w:szCs w:val="24"/>
          <w:highlight w:val="none"/>
          <w:u w:val="none"/>
          <w:lang w:val="en-US" w:eastAsia="zh-CN"/>
        </w:rPr>
        <w:t>环境</w:t>
      </w:r>
      <w:r>
        <w:rPr>
          <w:rFonts w:hint="eastAsia" w:ascii="黑体" w:hAnsi="黑体" w:eastAsia="黑体" w:cs="黑体"/>
          <w:b/>
          <w:color w:val="auto"/>
          <w:kern w:val="0"/>
          <w:sz w:val="24"/>
          <w:szCs w:val="24"/>
          <w:highlight w:val="none"/>
          <w:u w:val="none"/>
          <w:lang w:val="en-US" w:eastAsia="zh-CN"/>
        </w:rPr>
        <w:t>质量标准</w:t>
      </w:r>
    </w:p>
    <w:bookmarkEnd w:id="106"/>
    <w:bookmarkEnd w:id="107"/>
    <w:bookmarkEnd w:id="108"/>
    <w:bookmarkEnd w:id="109"/>
    <w:bookmarkEnd w:id="110"/>
    <w:bookmarkEnd w:id="111"/>
    <w:bookmarkEnd w:id="112"/>
    <w:p w14:paraId="219F4FF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根据项目所在区域的自然环境特点，采用以下评价因子及环境标准。</w:t>
      </w:r>
    </w:p>
    <w:p w14:paraId="2D8B325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（1）环境空气</w:t>
      </w:r>
    </w:p>
    <w:p w14:paraId="16F1E36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黑体" w:cs="Times New Roman"/>
          <w:b/>
          <w:color w:val="auto"/>
          <w:kern w:val="0"/>
          <w:sz w:val="21"/>
          <w:szCs w:val="21"/>
          <w:highlight w:val="none"/>
          <w:u w:val="none"/>
        </w:rPr>
      </w:pPr>
      <w:r>
        <w:rPr>
          <w:rFonts w:hint="default" w:ascii="Times New Roman" w:hAnsi="Times New Roman" w:cs="Times New Roman"/>
          <w:snapToGrid w:val="0"/>
          <w:color w:val="auto"/>
          <w:kern w:val="0"/>
          <w:sz w:val="24"/>
          <w:szCs w:val="24"/>
          <w:highlight w:val="none"/>
          <w:u w:val="none"/>
        </w:rPr>
        <w:t>环境空气质量评价中SO</w:t>
      </w:r>
      <w:r>
        <w:rPr>
          <w:rFonts w:hint="default" w:ascii="Times New Roman" w:hAnsi="Times New Roman" w:cs="Times New Roman"/>
          <w:snapToGrid w:val="0"/>
          <w:color w:val="auto"/>
          <w:kern w:val="0"/>
          <w:sz w:val="24"/>
          <w:szCs w:val="24"/>
          <w:highlight w:val="none"/>
          <w:u w:val="none"/>
          <w:vertAlign w:val="subscript"/>
        </w:rPr>
        <w:t>2</w:t>
      </w:r>
      <w:r>
        <w:rPr>
          <w:rFonts w:hint="default" w:ascii="Times New Roman" w:hAnsi="Times New Roman" w:cs="Times New Roman"/>
          <w:snapToGrid w:val="0"/>
          <w:color w:val="auto"/>
          <w:kern w:val="0"/>
          <w:sz w:val="24"/>
          <w:szCs w:val="24"/>
          <w:highlight w:val="none"/>
          <w:u w:val="none"/>
        </w:rPr>
        <w:t>、NO</w:t>
      </w:r>
      <w:r>
        <w:rPr>
          <w:rFonts w:hint="default" w:ascii="Times New Roman" w:hAnsi="Times New Roman" w:cs="Times New Roman"/>
          <w:snapToGrid w:val="0"/>
          <w:color w:val="auto"/>
          <w:kern w:val="0"/>
          <w:sz w:val="24"/>
          <w:szCs w:val="24"/>
          <w:highlight w:val="none"/>
          <w:u w:val="none"/>
          <w:vertAlign w:val="subscript"/>
        </w:rPr>
        <w:t>2</w:t>
      </w:r>
      <w:r>
        <w:rPr>
          <w:rFonts w:hint="default" w:ascii="Times New Roman" w:hAnsi="Times New Roman" w:cs="Times New Roman"/>
          <w:snapToGrid w:val="0"/>
          <w:color w:val="auto"/>
          <w:kern w:val="0"/>
          <w:sz w:val="24"/>
          <w:szCs w:val="24"/>
          <w:highlight w:val="none"/>
          <w:u w:val="none"/>
        </w:rPr>
        <w:t>、PM</w:t>
      </w:r>
      <w:r>
        <w:rPr>
          <w:rFonts w:hint="default" w:ascii="Times New Roman" w:hAnsi="Times New Roman" w:cs="Times New Roman"/>
          <w:snapToGrid w:val="0"/>
          <w:color w:val="auto"/>
          <w:kern w:val="0"/>
          <w:sz w:val="24"/>
          <w:szCs w:val="24"/>
          <w:highlight w:val="none"/>
          <w:u w:val="none"/>
          <w:vertAlign w:val="subscript"/>
        </w:rPr>
        <w:t>2.5</w:t>
      </w:r>
      <w:r>
        <w:rPr>
          <w:rFonts w:hint="default" w:ascii="Times New Roman" w:hAnsi="Times New Roman" w:cs="Times New Roman"/>
          <w:snapToGrid w:val="0"/>
          <w:color w:val="auto"/>
          <w:kern w:val="0"/>
          <w:sz w:val="24"/>
          <w:szCs w:val="24"/>
          <w:highlight w:val="none"/>
          <w:u w:val="none"/>
        </w:rPr>
        <w:t>、PM</w:t>
      </w:r>
      <w:r>
        <w:rPr>
          <w:rFonts w:hint="default" w:ascii="Times New Roman" w:hAnsi="Times New Roman" w:cs="Times New Roman"/>
          <w:snapToGrid w:val="0"/>
          <w:color w:val="auto"/>
          <w:kern w:val="0"/>
          <w:sz w:val="24"/>
          <w:szCs w:val="24"/>
          <w:highlight w:val="none"/>
          <w:u w:val="none"/>
          <w:vertAlign w:val="subscript"/>
        </w:rPr>
        <w:t>10</w:t>
      </w:r>
      <w:r>
        <w:rPr>
          <w:rFonts w:hint="default" w:ascii="Times New Roman" w:hAnsi="Times New Roman" w:cs="Times New Roman"/>
          <w:snapToGrid w:val="0"/>
          <w:color w:val="auto"/>
          <w:kern w:val="0"/>
          <w:sz w:val="24"/>
          <w:szCs w:val="24"/>
          <w:highlight w:val="none"/>
          <w:u w:val="none"/>
        </w:rPr>
        <w:t>、CO、O</w:t>
      </w:r>
      <w:r>
        <w:rPr>
          <w:rFonts w:hint="default" w:ascii="Times New Roman" w:hAnsi="Times New Roman" w:cs="Times New Roman"/>
          <w:snapToGrid w:val="0"/>
          <w:color w:val="auto"/>
          <w:kern w:val="0"/>
          <w:sz w:val="24"/>
          <w:szCs w:val="24"/>
          <w:highlight w:val="none"/>
          <w:u w:val="none"/>
          <w:vertAlign w:val="subscript"/>
        </w:rPr>
        <w:t>3</w:t>
      </w:r>
      <w:r>
        <w:rPr>
          <w:rFonts w:hint="default" w:ascii="Times New Roman" w:hAnsi="Times New Roman" w:cs="Times New Roman"/>
          <w:snapToGrid w:val="0"/>
          <w:color w:val="auto"/>
          <w:kern w:val="0"/>
          <w:sz w:val="24"/>
          <w:szCs w:val="24"/>
          <w:highlight w:val="none"/>
          <w:u w:val="none"/>
        </w:rPr>
        <w:t>六项指标执行《环境空气质量标准》（GB3095-2012）二级标准。对于未作出规定的非甲烷总烃参照执行《大气污染物综合排放标准详解》</w:t>
      </w:r>
      <w:r>
        <w:rPr>
          <w:rFonts w:hint="default" w:ascii="Times New Roman" w:hAnsi="Times New Roman" w:cs="Times New Roman"/>
          <w:color w:val="auto"/>
          <w:kern w:val="24"/>
          <w:sz w:val="24"/>
          <w:szCs w:val="24"/>
          <w:highlight w:val="none"/>
          <w:u w:val="none"/>
          <w:lang w:val="en-US" w:eastAsia="zh-CN"/>
        </w:rPr>
        <w:t>2000</w:t>
      </w:r>
      <w:r>
        <w:rPr>
          <w:rFonts w:hint="default" w:ascii="Times New Roman" w:hAnsi="Times New Roman" w:cs="Times New Roman"/>
          <w:color w:val="auto"/>
          <w:kern w:val="24"/>
          <w:sz w:val="24"/>
          <w:szCs w:val="24"/>
          <w:highlight w:val="none"/>
          <w:u w:val="none"/>
        </w:rPr>
        <w:t>μg/m</w:t>
      </w:r>
      <w:r>
        <w:rPr>
          <w:rFonts w:hint="default" w:ascii="Times New Roman" w:hAnsi="Times New Roman" w:cs="Times New Roman"/>
          <w:color w:val="auto"/>
          <w:kern w:val="24"/>
          <w:sz w:val="24"/>
          <w:szCs w:val="24"/>
          <w:highlight w:val="none"/>
          <w:u w:val="none"/>
          <w:vertAlign w:val="superscript"/>
          <w:lang w:val="en-US" w:eastAsia="zh-CN"/>
        </w:rPr>
        <w:t>3</w:t>
      </w:r>
      <w:r>
        <w:rPr>
          <w:rFonts w:hint="default" w:ascii="Times New Roman" w:hAnsi="Times New Roman" w:cs="Times New Roman"/>
          <w:snapToGrid w:val="0"/>
          <w:color w:val="auto"/>
          <w:kern w:val="0"/>
          <w:sz w:val="24"/>
          <w:szCs w:val="24"/>
          <w:highlight w:val="none"/>
          <w:u w:val="none"/>
        </w:rPr>
        <w:t>的标准，H</w:t>
      </w:r>
      <w:r>
        <w:rPr>
          <w:rFonts w:hint="default" w:ascii="Times New Roman" w:hAnsi="Times New Roman" w:cs="Times New Roman"/>
          <w:snapToGrid w:val="0"/>
          <w:color w:val="auto"/>
          <w:kern w:val="0"/>
          <w:sz w:val="24"/>
          <w:szCs w:val="24"/>
          <w:highlight w:val="none"/>
          <w:u w:val="none"/>
          <w:vertAlign w:val="subscript"/>
        </w:rPr>
        <w:t>2</w:t>
      </w:r>
      <w:r>
        <w:rPr>
          <w:rFonts w:hint="default" w:ascii="Times New Roman" w:hAnsi="Times New Roman" w:cs="Times New Roman"/>
          <w:snapToGrid w:val="0"/>
          <w:color w:val="auto"/>
          <w:kern w:val="0"/>
          <w:sz w:val="24"/>
          <w:szCs w:val="24"/>
          <w:highlight w:val="none"/>
          <w:u w:val="none"/>
        </w:rPr>
        <w:t>S参考执行《环境影响评价技术导则</w:t>
      </w:r>
      <w:r>
        <w:rPr>
          <w:rFonts w:hint="eastAsia" w:ascii="Times New Roman" w:hAnsi="Times New Roman" w:cs="Times New Roman"/>
          <w:snapToGrid w:val="0"/>
          <w:color w:val="auto"/>
          <w:kern w:val="0"/>
          <w:sz w:val="24"/>
          <w:szCs w:val="24"/>
          <w:highlight w:val="none"/>
          <w:u w:val="none"/>
          <w:lang w:val="en-US" w:eastAsia="zh-CN"/>
        </w:rPr>
        <w:t xml:space="preserve"> </w:t>
      </w:r>
      <w:r>
        <w:rPr>
          <w:rFonts w:hint="default" w:ascii="Times New Roman" w:hAnsi="Times New Roman" w:cs="Times New Roman"/>
          <w:snapToGrid w:val="0"/>
          <w:color w:val="auto"/>
          <w:kern w:val="0"/>
          <w:sz w:val="24"/>
          <w:szCs w:val="24"/>
          <w:highlight w:val="none"/>
          <w:u w:val="none"/>
        </w:rPr>
        <w:t>大气环境》（HJ2.2-2018）附录D中的1h平均浓度限值10μg/m</w:t>
      </w:r>
      <w:r>
        <w:rPr>
          <w:rFonts w:hint="default" w:ascii="Times New Roman" w:hAnsi="Times New Roman" w:cs="Times New Roman"/>
          <w:snapToGrid w:val="0"/>
          <w:color w:val="auto"/>
          <w:kern w:val="0"/>
          <w:sz w:val="24"/>
          <w:szCs w:val="24"/>
          <w:highlight w:val="none"/>
          <w:u w:val="none"/>
          <w:vertAlign w:val="superscript"/>
          <w:lang w:val="en-US" w:eastAsia="zh-CN"/>
        </w:rPr>
        <w:t>3</w:t>
      </w:r>
      <w:r>
        <w:rPr>
          <w:rFonts w:hint="default" w:ascii="Times New Roman" w:hAnsi="Times New Roman" w:cs="Times New Roman"/>
          <w:snapToGrid w:val="0"/>
          <w:color w:val="auto"/>
          <w:kern w:val="0"/>
          <w:sz w:val="24"/>
          <w:szCs w:val="24"/>
          <w:highlight w:val="none"/>
          <w:u w:val="none"/>
        </w:rPr>
        <w:t>。指标标准取值</w:t>
      </w:r>
      <w:r>
        <w:rPr>
          <w:rFonts w:hint="eastAsia" w:cs="Times New Roman"/>
          <w:snapToGrid w:val="0"/>
          <w:color w:val="auto"/>
          <w:kern w:val="0"/>
          <w:sz w:val="24"/>
          <w:szCs w:val="24"/>
          <w:highlight w:val="none"/>
          <w:u w:val="none"/>
          <w:lang w:eastAsia="zh-CN"/>
        </w:rPr>
        <w:t>，</w:t>
      </w:r>
      <w:r>
        <w:rPr>
          <w:rFonts w:hint="default" w:ascii="Times New Roman" w:hAnsi="Times New Roman" w:cs="Times New Roman"/>
          <w:snapToGrid w:val="0"/>
          <w:color w:val="auto"/>
          <w:kern w:val="0"/>
          <w:sz w:val="24"/>
          <w:szCs w:val="24"/>
          <w:highlight w:val="none"/>
          <w:u w:val="none"/>
        </w:rPr>
        <w:t>见表2.</w:t>
      </w:r>
      <w:r>
        <w:rPr>
          <w:rFonts w:hint="eastAsia" w:cs="Times New Roman"/>
          <w:snapToGrid w:val="0"/>
          <w:color w:val="auto"/>
          <w:kern w:val="0"/>
          <w:sz w:val="24"/>
          <w:szCs w:val="24"/>
          <w:highlight w:val="none"/>
          <w:u w:val="none"/>
          <w:lang w:val="en-US" w:eastAsia="zh-CN"/>
        </w:rPr>
        <w:t>4</w:t>
      </w:r>
      <w:r>
        <w:rPr>
          <w:rFonts w:hint="default" w:ascii="Times New Roman" w:hAnsi="Times New Roman" w:cs="Times New Roman"/>
          <w:snapToGrid w:val="0"/>
          <w:color w:val="auto"/>
          <w:kern w:val="0"/>
          <w:sz w:val="24"/>
          <w:szCs w:val="24"/>
          <w:highlight w:val="none"/>
          <w:u w:val="none"/>
        </w:rPr>
        <w:t>-1。</w:t>
      </w:r>
    </w:p>
    <w:p w14:paraId="5B48F3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45E710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4E4CF3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表2.4-1  环境空气质量标准</w:t>
      </w:r>
    </w:p>
    <w:tbl>
      <w:tblPr>
        <w:tblStyle w:val="37"/>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Layout w:type="autofit"/>
        <w:tblCellMar>
          <w:top w:w="0" w:type="dxa"/>
          <w:left w:w="108" w:type="dxa"/>
          <w:bottom w:w="0" w:type="dxa"/>
          <w:right w:w="108" w:type="dxa"/>
        </w:tblCellMar>
      </w:tblPr>
      <w:tblGrid>
        <w:gridCol w:w="504"/>
        <w:gridCol w:w="2085"/>
        <w:gridCol w:w="1021"/>
        <w:gridCol w:w="1399"/>
        <w:gridCol w:w="1378"/>
        <w:gridCol w:w="2443"/>
      </w:tblGrid>
      <w:tr w14:paraId="41F189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vMerge w:val="restart"/>
            <w:tcBorders>
              <w:tl2br w:val="nil"/>
              <w:tr2bl w:val="nil"/>
            </w:tcBorders>
            <w:noWrap w:val="0"/>
            <w:vAlign w:val="center"/>
          </w:tcPr>
          <w:p w14:paraId="1E6821FD">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序号</w:t>
            </w:r>
          </w:p>
        </w:tc>
        <w:tc>
          <w:tcPr>
            <w:tcW w:w="1180" w:type="pct"/>
            <w:vMerge w:val="restart"/>
            <w:tcBorders>
              <w:tl2br w:val="nil"/>
              <w:tr2bl w:val="nil"/>
            </w:tcBorders>
            <w:noWrap w:val="0"/>
            <w:vAlign w:val="center"/>
          </w:tcPr>
          <w:p w14:paraId="658F36F0">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评价因子</w:t>
            </w:r>
          </w:p>
        </w:tc>
        <w:tc>
          <w:tcPr>
            <w:tcW w:w="2150" w:type="pct"/>
            <w:gridSpan w:val="3"/>
            <w:tcBorders>
              <w:tl2br w:val="nil"/>
              <w:tr2bl w:val="nil"/>
            </w:tcBorders>
            <w:noWrap w:val="0"/>
            <w:vAlign w:val="center"/>
          </w:tcPr>
          <w:p w14:paraId="321651F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二级标准限值（</w:t>
            </w:r>
            <w:r>
              <w:rPr>
                <w:rFonts w:hint="eastAsia" w:ascii="宋体" w:hAnsi="宋体" w:eastAsia="宋体" w:cs="宋体"/>
                <w:bCs/>
                <w:color w:val="auto"/>
                <w:kern w:val="24"/>
                <w:sz w:val="21"/>
                <w:szCs w:val="21"/>
                <w:highlight w:val="none"/>
                <w:u w:val="none"/>
              </w:rPr>
              <w:t>μg</w:t>
            </w:r>
            <w:r>
              <w:rPr>
                <w:rFonts w:hint="eastAsia" w:ascii="宋体" w:hAnsi="宋体" w:eastAsia="宋体" w:cs="宋体"/>
                <w:bCs/>
                <w:color w:val="auto"/>
                <w:kern w:val="0"/>
                <w:sz w:val="21"/>
                <w:szCs w:val="21"/>
                <w:highlight w:val="none"/>
                <w:u w:val="none"/>
              </w:rPr>
              <w:t>/m</w:t>
            </w:r>
            <w:r>
              <w:rPr>
                <w:rFonts w:hint="eastAsia" w:ascii="宋体" w:hAnsi="宋体" w:eastAsia="宋体" w:cs="宋体"/>
                <w:bCs/>
                <w:color w:val="auto"/>
                <w:kern w:val="0"/>
                <w:sz w:val="21"/>
                <w:szCs w:val="21"/>
                <w:highlight w:val="none"/>
                <w:u w:val="none"/>
                <w:vertAlign w:val="superscript"/>
                <w:lang w:val="en-US" w:eastAsia="zh-CN"/>
              </w:rPr>
              <w:t>3</w:t>
            </w:r>
            <w:r>
              <w:rPr>
                <w:rFonts w:hint="eastAsia" w:ascii="宋体" w:hAnsi="宋体" w:eastAsia="宋体" w:cs="宋体"/>
                <w:bCs/>
                <w:color w:val="auto"/>
                <w:kern w:val="0"/>
                <w:sz w:val="21"/>
                <w:szCs w:val="21"/>
                <w:highlight w:val="none"/>
                <w:u w:val="none"/>
              </w:rPr>
              <w:t>）</w:t>
            </w:r>
          </w:p>
        </w:tc>
        <w:tc>
          <w:tcPr>
            <w:tcW w:w="1383" w:type="pct"/>
            <w:vMerge w:val="restart"/>
            <w:tcBorders>
              <w:tl2br w:val="nil"/>
              <w:tr2bl w:val="nil"/>
            </w:tcBorders>
            <w:noWrap w:val="0"/>
            <w:vAlign w:val="center"/>
          </w:tcPr>
          <w:p w14:paraId="2935049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标准来源</w:t>
            </w:r>
          </w:p>
        </w:tc>
      </w:tr>
      <w:tr w14:paraId="70C7B3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vMerge w:val="continue"/>
            <w:tcBorders>
              <w:tl2br w:val="nil"/>
              <w:tr2bl w:val="nil"/>
            </w:tcBorders>
            <w:noWrap w:val="0"/>
            <w:vAlign w:val="center"/>
          </w:tcPr>
          <w:p w14:paraId="52EE963B">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p>
        </w:tc>
        <w:tc>
          <w:tcPr>
            <w:tcW w:w="1180" w:type="pct"/>
            <w:vMerge w:val="continue"/>
            <w:tcBorders>
              <w:tl2br w:val="nil"/>
              <w:tr2bl w:val="nil"/>
            </w:tcBorders>
            <w:noWrap w:val="0"/>
            <w:vAlign w:val="center"/>
          </w:tcPr>
          <w:p w14:paraId="7CDD85F5">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p>
        </w:tc>
        <w:tc>
          <w:tcPr>
            <w:tcW w:w="578" w:type="pct"/>
            <w:tcBorders>
              <w:tl2br w:val="nil"/>
              <w:tr2bl w:val="nil"/>
            </w:tcBorders>
            <w:noWrap w:val="0"/>
            <w:vAlign w:val="center"/>
          </w:tcPr>
          <w:p w14:paraId="60018C21">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年平均</w:t>
            </w:r>
          </w:p>
        </w:tc>
        <w:tc>
          <w:tcPr>
            <w:tcW w:w="792" w:type="pct"/>
            <w:tcBorders>
              <w:tl2br w:val="nil"/>
              <w:tr2bl w:val="nil"/>
            </w:tcBorders>
            <w:noWrap w:val="0"/>
            <w:vAlign w:val="center"/>
          </w:tcPr>
          <w:p w14:paraId="05F5C507">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24小时平均</w:t>
            </w:r>
          </w:p>
        </w:tc>
        <w:tc>
          <w:tcPr>
            <w:tcW w:w="779" w:type="pct"/>
            <w:tcBorders>
              <w:tl2br w:val="nil"/>
              <w:tr2bl w:val="nil"/>
            </w:tcBorders>
            <w:noWrap w:val="0"/>
            <w:vAlign w:val="center"/>
          </w:tcPr>
          <w:p w14:paraId="68CF963D">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1小时平均</w:t>
            </w:r>
          </w:p>
        </w:tc>
        <w:tc>
          <w:tcPr>
            <w:tcW w:w="1383" w:type="pct"/>
            <w:vMerge w:val="continue"/>
            <w:tcBorders>
              <w:tl2br w:val="nil"/>
              <w:tr2bl w:val="nil"/>
            </w:tcBorders>
            <w:noWrap w:val="0"/>
            <w:vAlign w:val="center"/>
          </w:tcPr>
          <w:p w14:paraId="31E8D878">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p>
        </w:tc>
      </w:tr>
      <w:tr w14:paraId="6FD52A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tcBorders>
              <w:tl2br w:val="nil"/>
              <w:tr2bl w:val="nil"/>
            </w:tcBorders>
            <w:noWrap w:val="0"/>
            <w:vAlign w:val="center"/>
          </w:tcPr>
          <w:p w14:paraId="2270D215">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1</w:t>
            </w:r>
          </w:p>
        </w:tc>
        <w:tc>
          <w:tcPr>
            <w:tcW w:w="1180" w:type="pct"/>
            <w:tcBorders>
              <w:tl2br w:val="nil"/>
              <w:tr2bl w:val="nil"/>
            </w:tcBorders>
            <w:noWrap w:val="0"/>
            <w:vAlign w:val="center"/>
          </w:tcPr>
          <w:p w14:paraId="34770E2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二氧化硫（SO</w:t>
            </w:r>
            <w:r>
              <w:rPr>
                <w:rFonts w:hint="eastAsia" w:ascii="宋体" w:hAnsi="宋体" w:eastAsia="宋体" w:cs="宋体"/>
                <w:bCs/>
                <w:color w:val="auto"/>
                <w:kern w:val="0"/>
                <w:sz w:val="21"/>
                <w:szCs w:val="21"/>
                <w:highlight w:val="none"/>
                <w:u w:val="none"/>
                <w:vertAlign w:val="subscript"/>
              </w:rPr>
              <w:t>2</w:t>
            </w:r>
            <w:r>
              <w:rPr>
                <w:rFonts w:hint="eastAsia" w:ascii="宋体" w:hAnsi="宋体" w:eastAsia="宋体" w:cs="宋体"/>
                <w:bCs/>
                <w:color w:val="auto"/>
                <w:kern w:val="0"/>
                <w:sz w:val="21"/>
                <w:szCs w:val="21"/>
                <w:highlight w:val="none"/>
                <w:u w:val="none"/>
              </w:rPr>
              <w:t>）</w:t>
            </w:r>
          </w:p>
        </w:tc>
        <w:tc>
          <w:tcPr>
            <w:tcW w:w="578" w:type="pct"/>
            <w:tcBorders>
              <w:tl2br w:val="nil"/>
              <w:tr2bl w:val="nil"/>
            </w:tcBorders>
            <w:noWrap w:val="0"/>
            <w:vAlign w:val="center"/>
          </w:tcPr>
          <w:p w14:paraId="2C4613B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60</w:t>
            </w:r>
          </w:p>
        </w:tc>
        <w:tc>
          <w:tcPr>
            <w:tcW w:w="792" w:type="pct"/>
            <w:tcBorders>
              <w:tl2br w:val="nil"/>
              <w:tr2bl w:val="nil"/>
            </w:tcBorders>
            <w:noWrap w:val="0"/>
            <w:vAlign w:val="center"/>
          </w:tcPr>
          <w:p w14:paraId="0EE7CC05">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150</w:t>
            </w:r>
          </w:p>
        </w:tc>
        <w:tc>
          <w:tcPr>
            <w:tcW w:w="779" w:type="pct"/>
            <w:tcBorders>
              <w:tl2br w:val="nil"/>
              <w:tr2bl w:val="nil"/>
            </w:tcBorders>
            <w:noWrap w:val="0"/>
            <w:vAlign w:val="center"/>
          </w:tcPr>
          <w:p w14:paraId="68E78052">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500</w:t>
            </w:r>
          </w:p>
        </w:tc>
        <w:tc>
          <w:tcPr>
            <w:tcW w:w="1383" w:type="pct"/>
            <w:vMerge w:val="restart"/>
            <w:tcBorders>
              <w:tl2br w:val="nil"/>
              <w:tr2bl w:val="nil"/>
            </w:tcBorders>
            <w:noWrap w:val="0"/>
            <w:vAlign w:val="center"/>
          </w:tcPr>
          <w:p w14:paraId="5495058C">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《环境空气质量标准》（GB3095-2012）及修改单</w:t>
            </w:r>
          </w:p>
        </w:tc>
      </w:tr>
      <w:tr w14:paraId="1B402D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tcBorders>
              <w:tl2br w:val="nil"/>
              <w:tr2bl w:val="nil"/>
            </w:tcBorders>
            <w:noWrap w:val="0"/>
            <w:vAlign w:val="center"/>
          </w:tcPr>
          <w:p w14:paraId="53A70E1C">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2</w:t>
            </w:r>
          </w:p>
        </w:tc>
        <w:tc>
          <w:tcPr>
            <w:tcW w:w="1180" w:type="pct"/>
            <w:tcBorders>
              <w:tl2br w:val="nil"/>
              <w:tr2bl w:val="nil"/>
            </w:tcBorders>
            <w:noWrap w:val="0"/>
            <w:vAlign w:val="center"/>
          </w:tcPr>
          <w:p w14:paraId="16B09FA7">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二氧化氮（NO</w:t>
            </w:r>
            <w:r>
              <w:rPr>
                <w:rFonts w:hint="eastAsia" w:ascii="宋体" w:hAnsi="宋体" w:eastAsia="宋体" w:cs="宋体"/>
                <w:bCs/>
                <w:color w:val="auto"/>
                <w:kern w:val="0"/>
                <w:sz w:val="21"/>
                <w:szCs w:val="21"/>
                <w:highlight w:val="none"/>
                <w:u w:val="none"/>
                <w:vertAlign w:val="subscript"/>
              </w:rPr>
              <w:t>2</w:t>
            </w:r>
            <w:r>
              <w:rPr>
                <w:rFonts w:hint="eastAsia" w:ascii="宋体" w:hAnsi="宋体" w:eastAsia="宋体" w:cs="宋体"/>
                <w:bCs/>
                <w:color w:val="auto"/>
                <w:kern w:val="0"/>
                <w:sz w:val="21"/>
                <w:szCs w:val="21"/>
                <w:highlight w:val="none"/>
                <w:u w:val="none"/>
              </w:rPr>
              <w:t>）</w:t>
            </w:r>
          </w:p>
        </w:tc>
        <w:tc>
          <w:tcPr>
            <w:tcW w:w="578" w:type="pct"/>
            <w:tcBorders>
              <w:tl2br w:val="nil"/>
              <w:tr2bl w:val="nil"/>
            </w:tcBorders>
            <w:noWrap/>
            <w:vAlign w:val="center"/>
          </w:tcPr>
          <w:p w14:paraId="762190FA">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50</w:t>
            </w:r>
          </w:p>
        </w:tc>
        <w:tc>
          <w:tcPr>
            <w:tcW w:w="792" w:type="pct"/>
            <w:tcBorders>
              <w:tl2br w:val="nil"/>
              <w:tr2bl w:val="nil"/>
            </w:tcBorders>
            <w:noWrap/>
            <w:vAlign w:val="center"/>
          </w:tcPr>
          <w:p w14:paraId="49D0A112">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80</w:t>
            </w:r>
          </w:p>
        </w:tc>
        <w:tc>
          <w:tcPr>
            <w:tcW w:w="779" w:type="pct"/>
            <w:tcBorders>
              <w:tl2br w:val="nil"/>
              <w:tr2bl w:val="nil"/>
            </w:tcBorders>
            <w:noWrap/>
            <w:vAlign w:val="center"/>
          </w:tcPr>
          <w:p w14:paraId="6225361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200</w:t>
            </w:r>
          </w:p>
        </w:tc>
        <w:tc>
          <w:tcPr>
            <w:tcW w:w="1383" w:type="pct"/>
            <w:vMerge w:val="continue"/>
            <w:tcBorders>
              <w:tl2br w:val="nil"/>
              <w:tr2bl w:val="nil"/>
            </w:tcBorders>
            <w:noWrap w:val="0"/>
            <w:vAlign w:val="center"/>
          </w:tcPr>
          <w:p w14:paraId="51AF2269">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宋体" w:hAnsi="宋体" w:eastAsia="宋体" w:cs="宋体"/>
                <w:bCs/>
                <w:color w:val="auto"/>
                <w:kern w:val="0"/>
                <w:sz w:val="21"/>
                <w:szCs w:val="21"/>
                <w:highlight w:val="none"/>
                <w:u w:val="none"/>
              </w:rPr>
            </w:pPr>
          </w:p>
        </w:tc>
      </w:tr>
      <w:tr w14:paraId="3C3C9E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tcBorders>
              <w:tl2br w:val="nil"/>
              <w:tr2bl w:val="nil"/>
            </w:tcBorders>
            <w:noWrap w:val="0"/>
            <w:vAlign w:val="center"/>
          </w:tcPr>
          <w:p w14:paraId="489CAAA9">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3</w:t>
            </w:r>
          </w:p>
        </w:tc>
        <w:tc>
          <w:tcPr>
            <w:tcW w:w="1180" w:type="pct"/>
            <w:tcBorders>
              <w:tl2br w:val="nil"/>
              <w:tr2bl w:val="nil"/>
            </w:tcBorders>
            <w:noWrap w:val="0"/>
            <w:vAlign w:val="center"/>
          </w:tcPr>
          <w:p w14:paraId="6D016BCC">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细颗粒物（PM</w:t>
            </w:r>
            <w:r>
              <w:rPr>
                <w:rFonts w:hint="eastAsia" w:ascii="宋体" w:hAnsi="宋体" w:eastAsia="宋体" w:cs="宋体"/>
                <w:bCs/>
                <w:color w:val="auto"/>
                <w:kern w:val="0"/>
                <w:sz w:val="21"/>
                <w:szCs w:val="21"/>
                <w:highlight w:val="none"/>
                <w:u w:val="none"/>
                <w:vertAlign w:val="subscript"/>
              </w:rPr>
              <w:t>2.5</w:t>
            </w:r>
            <w:r>
              <w:rPr>
                <w:rFonts w:hint="eastAsia" w:ascii="宋体" w:hAnsi="宋体" w:eastAsia="宋体" w:cs="宋体"/>
                <w:bCs/>
                <w:color w:val="auto"/>
                <w:kern w:val="0"/>
                <w:sz w:val="21"/>
                <w:szCs w:val="21"/>
                <w:highlight w:val="none"/>
                <w:u w:val="none"/>
              </w:rPr>
              <w:t>）</w:t>
            </w:r>
          </w:p>
        </w:tc>
        <w:tc>
          <w:tcPr>
            <w:tcW w:w="578" w:type="pct"/>
            <w:tcBorders>
              <w:tl2br w:val="nil"/>
              <w:tr2bl w:val="nil"/>
            </w:tcBorders>
            <w:noWrap/>
            <w:vAlign w:val="center"/>
          </w:tcPr>
          <w:p w14:paraId="7A45BE77">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35</w:t>
            </w:r>
          </w:p>
        </w:tc>
        <w:tc>
          <w:tcPr>
            <w:tcW w:w="792" w:type="pct"/>
            <w:tcBorders>
              <w:tl2br w:val="nil"/>
              <w:tr2bl w:val="nil"/>
            </w:tcBorders>
            <w:noWrap/>
            <w:vAlign w:val="center"/>
          </w:tcPr>
          <w:p w14:paraId="122F7F98">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75</w:t>
            </w:r>
          </w:p>
        </w:tc>
        <w:tc>
          <w:tcPr>
            <w:tcW w:w="779" w:type="pct"/>
            <w:tcBorders>
              <w:tl2br w:val="nil"/>
              <w:tr2bl w:val="nil"/>
            </w:tcBorders>
            <w:noWrap/>
            <w:vAlign w:val="center"/>
          </w:tcPr>
          <w:p w14:paraId="2F76C943">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w:t>
            </w:r>
          </w:p>
        </w:tc>
        <w:tc>
          <w:tcPr>
            <w:tcW w:w="1383" w:type="pct"/>
            <w:vMerge w:val="continue"/>
            <w:tcBorders>
              <w:tl2br w:val="nil"/>
              <w:tr2bl w:val="nil"/>
            </w:tcBorders>
            <w:noWrap w:val="0"/>
            <w:vAlign w:val="center"/>
          </w:tcPr>
          <w:p w14:paraId="69ACCC4D">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宋体" w:hAnsi="宋体" w:eastAsia="宋体" w:cs="宋体"/>
                <w:bCs/>
                <w:color w:val="auto"/>
                <w:kern w:val="0"/>
                <w:sz w:val="21"/>
                <w:szCs w:val="21"/>
                <w:highlight w:val="none"/>
                <w:u w:val="none"/>
              </w:rPr>
            </w:pPr>
          </w:p>
        </w:tc>
      </w:tr>
      <w:tr w14:paraId="3EB317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tcBorders>
              <w:tl2br w:val="nil"/>
              <w:tr2bl w:val="nil"/>
            </w:tcBorders>
            <w:noWrap w:val="0"/>
            <w:vAlign w:val="center"/>
          </w:tcPr>
          <w:p w14:paraId="2C5A1C86">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4</w:t>
            </w:r>
          </w:p>
        </w:tc>
        <w:tc>
          <w:tcPr>
            <w:tcW w:w="1180" w:type="pct"/>
            <w:tcBorders>
              <w:tl2br w:val="nil"/>
              <w:tr2bl w:val="nil"/>
            </w:tcBorders>
            <w:noWrap w:val="0"/>
            <w:vAlign w:val="center"/>
          </w:tcPr>
          <w:p w14:paraId="6163522D">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可吸入颗粒物（PM</w:t>
            </w:r>
            <w:r>
              <w:rPr>
                <w:rFonts w:hint="eastAsia" w:ascii="宋体" w:hAnsi="宋体" w:eastAsia="宋体" w:cs="宋体"/>
                <w:bCs/>
                <w:color w:val="auto"/>
                <w:kern w:val="0"/>
                <w:sz w:val="21"/>
                <w:szCs w:val="21"/>
                <w:highlight w:val="none"/>
                <w:u w:val="none"/>
                <w:vertAlign w:val="subscript"/>
              </w:rPr>
              <w:t>10</w:t>
            </w:r>
            <w:r>
              <w:rPr>
                <w:rFonts w:hint="eastAsia" w:ascii="宋体" w:hAnsi="宋体" w:eastAsia="宋体" w:cs="宋体"/>
                <w:bCs/>
                <w:color w:val="auto"/>
                <w:kern w:val="0"/>
                <w:sz w:val="21"/>
                <w:szCs w:val="21"/>
                <w:highlight w:val="none"/>
                <w:u w:val="none"/>
              </w:rPr>
              <w:t>）</w:t>
            </w:r>
          </w:p>
        </w:tc>
        <w:tc>
          <w:tcPr>
            <w:tcW w:w="578" w:type="pct"/>
            <w:tcBorders>
              <w:tl2br w:val="nil"/>
              <w:tr2bl w:val="nil"/>
            </w:tcBorders>
            <w:noWrap/>
            <w:vAlign w:val="center"/>
          </w:tcPr>
          <w:p w14:paraId="27E44040">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70</w:t>
            </w:r>
          </w:p>
        </w:tc>
        <w:tc>
          <w:tcPr>
            <w:tcW w:w="792" w:type="pct"/>
            <w:tcBorders>
              <w:tl2br w:val="nil"/>
              <w:tr2bl w:val="nil"/>
            </w:tcBorders>
            <w:noWrap/>
            <w:vAlign w:val="center"/>
          </w:tcPr>
          <w:p w14:paraId="1613E4C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150</w:t>
            </w:r>
          </w:p>
        </w:tc>
        <w:tc>
          <w:tcPr>
            <w:tcW w:w="779" w:type="pct"/>
            <w:tcBorders>
              <w:tl2br w:val="nil"/>
              <w:tr2bl w:val="nil"/>
            </w:tcBorders>
            <w:noWrap w:val="0"/>
            <w:vAlign w:val="center"/>
          </w:tcPr>
          <w:p w14:paraId="4E5F88E6">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w:t>
            </w:r>
          </w:p>
        </w:tc>
        <w:tc>
          <w:tcPr>
            <w:tcW w:w="1383" w:type="pct"/>
            <w:vMerge w:val="continue"/>
            <w:tcBorders>
              <w:tl2br w:val="nil"/>
              <w:tr2bl w:val="nil"/>
            </w:tcBorders>
            <w:noWrap w:val="0"/>
            <w:vAlign w:val="center"/>
          </w:tcPr>
          <w:p w14:paraId="47C915CB">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宋体" w:hAnsi="宋体" w:eastAsia="宋体" w:cs="宋体"/>
                <w:bCs/>
                <w:color w:val="auto"/>
                <w:kern w:val="0"/>
                <w:sz w:val="21"/>
                <w:szCs w:val="21"/>
                <w:highlight w:val="none"/>
                <w:u w:val="none"/>
              </w:rPr>
            </w:pPr>
          </w:p>
        </w:tc>
      </w:tr>
      <w:tr w14:paraId="7F325A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tcBorders>
              <w:tl2br w:val="nil"/>
              <w:tr2bl w:val="nil"/>
            </w:tcBorders>
            <w:noWrap w:val="0"/>
            <w:vAlign w:val="center"/>
          </w:tcPr>
          <w:p w14:paraId="7E9B8B9D">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5</w:t>
            </w:r>
          </w:p>
        </w:tc>
        <w:tc>
          <w:tcPr>
            <w:tcW w:w="1180" w:type="pct"/>
            <w:tcBorders>
              <w:tl2br w:val="nil"/>
              <w:tr2bl w:val="nil"/>
            </w:tcBorders>
            <w:noWrap w:val="0"/>
            <w:vAlign w:val="center"/>
          </w:tcPr>
          <w:p w14:paraId="37A8F541">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一氧化碳（CO）</w:t>
            </w:r>
          </w:p>
        </w:tc>
        <w:tc>
          <w:tcPr>
            <w:tcW w:w="578" w:type="pct"/>
            <w:tcBorders>
              <w:tl2br w:val="nil"/>
              <w:tr2bl w:val="nil"/>
            </w:tcBorders>
            <w:noWrap/>
            <w:vAlign w:val="center"/>
          </w:tcPr>
          <w:p w14:paraId="771077A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w:t>
            </w:r>
          </w:p>
        </w:tc>
        <w:tc>
          <w:tcPr>
            <w:tcW w:w="792" w:type="pct"/>
            <w:tcBorders>
              <w:tl2br w:val="nil"/>
              <w:tr2bl w:val="nil"/>
            </w:tcBorders>
            <w:noWrap/>
            <w:vAlign w:val="center"/>
          </w:tcPr>
          <w:p w14:paraId="2863FC5D">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4000</w:t>
            </w:r>
          </w:p>
        </w:tc>
        <w:tc>
          <w:tcPr>
            <w:tcW w:w="779" w:type="pct"/>
            <w:tcBorders>
              <w:tl2br w:val="nil"/>
              <w:tr2bl w:val="nil"/>
            </w:tcBorders>
            <w:noWrap w:val="0"/>
            <w:vAlign w:val="center"/>
          </w:tcPr>
          <w:p w14:paraId="4CC9F505">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10000</w:t>
            </w:r>
          </w:p>
        </w:tc>
        <w:tc>
          <w:tcPr>
            <w:tcW w:w="1383" w:type="pct"/>
            <w:vMerge w:val="continue"/>
            <w:tcBorders>
              <w:tl2br w:val="nil"/>
              <w:tr2bl w:val="nil"/>
            </w:tcBorders>
            <w:noWrap w:val="0"/>
            <w:vAlign w:val="center"/>
          </w:tcPr>
          <w:p w14:paraId="26C22DA0">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宋体" w:hAnsi="宋体" w:eastAsia="宋体" w:cs="宋体"/>
                <w:bCs/>
                <w:color w:val="auto"/>
                <w:kern w:val="0"/>
                <w:sz w:val="21"/>
                <w:szCs w:val="21"/>
                <w:highlight w:val="none"/>
                <w:u w:val="none"/>
              </w:rPr>
            </w:pPr>
          </w:p>
        </w:tc>
      </w:tr>
      <w:tr w14:paraId="02DCA9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tcBorders>
              <w:tl2br w:val="nil"/>
              <w:tr2bl w:val="nil"/>
            </w:tcBorders>
            <w:noWrap w:val="0"/>
            <w:vAlign w:val="center"/>
          </w:tcPr>
          <w:p w14:paraId="6842034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6</w:t>
            </w:r>
          </w:p>
        </w:tc>
        <w:tc>
          <w:tcPr>
            <w:tcW w:w="1180" w:type="pct"/>
            <w:tcBorders>
              <w:tl2br w:val="nil"/>
              <w:tr2bl w:val="nil"/>
            </w:tcBorders>
            <w:noWrap w:val="0"/>
            <w:vAlign w:val="center"/>
          </w:tcPr>
          <w:p w14:paraId="0825C97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臭氧（O</w:t>
            </w:r>
            <w:r>
              <w:rPr>
                <w:rFonts w:hint="eastAsia" w:ascii="宋体" w:hAnsi="宋体" w:eastAsia="宋体" w:cs="宋体"/>
                <w:bCs/>
                <w:color w:val="auto"/>
                <w:kern w:val="0"/>
                <w:sz w:val="21"/>
                <w:szCs w:val="21"/>
                <w:highlight w:val="none"/>
                <w:u w:val="none"/>
                <w:vertAlign w:val="subscript"/>
              </w:rPr>
              <w:t>3</w:t>
            </w:r>
            <w:r>
              <w:rPr>
                <w:rFonts w:hint="eastAsia" w:ascii="宋体" w:hAnsi="宋体" w:eastAsia="宋体" w:cs="宋体"/>
                <w:bCs/>
                <w:color w:val="auto"/>
                <w:kern w:val="0"/>
                <w:sz w:val="21"/>
                <w:szCs w:val="21"/>
                <w:highlight w:val="none"/>
                <w:u w:val="none"/>
              </w:rPr>
              <w:t>）</w:t>
            </w:r>
          </w:p>
        </w:tc>
        <w:tc>
          <w:tcPr>
            <w:tcW w:w="578" w:type="pct"/>
            <w:tcBorders>
              <w:tl2br w:val="nil"/>
              <w:tr2bl w:val="nil"/>
            </w:tcBorders>
            <w:noWrap/>
            <w:vAlign w:val="center"/>
          </w:tcPr>
          <w:p w14:paraId="1371F277">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w:t>
            </w:r>
          </w:p>
        </w:tc>
        <w:tc>
          <w:tcPr>
            <w:tcW w:w="792" w:type="pct"/>
            <w:tcBorders>
              <w:tl2br w:val="nil"/>
              <w:tr2bl w:val="nil"/>
            </w:tcBorders>
            <w:noWrap/>
            <w:vAlign w:val="center"/>
          </w:tcPr>
          <w:p w14:paraId="28CE444B">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160</w:t>
            </w:r>
          </w:p>
        </w:tc>
        <w:tc>
          <w:tcPr>
            <w:tcW w:w="779" w:type="pct"/>
            <w:tcBorders>
              <w:tl2br w:val="nil"/>
              <w:tr2bl w:val="nil"/>
            </w:tcBorders>
            <w:noWrap w:val="0"/>
            <w:vAlign w:val="center"/>
          </w:tcPr>
          <w:p w14:paraId="735F72A3">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200</w:t>
            </w:r>
          </w:p>
        </w:tc>
        <w:tc>
          <w:tcPr>
            <w:tcW w:w="1383" w:type="pct"/>
            <w:vMerge w:val="continue"/>
            <w:tcBorders>
              <w:tl2br w:val="nil"/>
              <w:tr2bl w:val="nil"/>
            </w:tcBorders>
            <w:noWrap w:val="0"/>
            <w:vAlign w:val="center"/>
          </w:tcPr>
          <w:p w14:paraId="07CBA2EC">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宋体" w:hAnsi="宋体" w:eastAsia="宋体" w:cs="宋体"/>
                <w:bCs/>
                <w:color w:val="auto"/>
                <w:kern w:val="0"/>
                <w:sz w:val="21"/>
                <w:szCs w:val="21"/>
                <w:highlight w:val="none"/>
                <w:u w:val="none"/>
              </w:rPr>
            </w:pPr>
          </w:p>
        </w:tc>
      </w:tr>
      <w:tr w14:paraId="74D5F4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tcBorders>
              <w:tl2br w:val="nil"/>
              <w:tr2bl w:val="nil"/>
            </w:tcBorders>
            <w:noWrap w:val="0"/>
            <w:vAlign w:val="center"/>
          </w:tcPr>
          <w:p w14:paraId="16EC36EC">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7</w:t>
            </w:r>
          </w:p>
        </w:tc>
        <w:tc>
          <w:tcPr>
            <w:tcW w:w="1180" w:type="pct"/>
            <w:tcBorders>
              <w:tl2br w:val="nil"/>
              <w:tr2bl w:val="nil"/>
            </w:tcBorders>
            <w:noWrap w:val="0"/>
            <w:vAlign w:val="center"/>
          </w:tcPr>
          <w:p w14:paraId="0C2AD5C2">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氮氧化物（NOx）</w:t>
            </w:r>
          </w:p>
        </w:tc>
        <w:tc>
          <w:tcPr>
            <w:tcW w:w="578" w:type="pct"/>
            <w:tcBorders>
              <w:tl2br w:val="nil"/>
              <w:tr2bl w:val="nil"/>
            </w:tcBorders>
            <w:noWrap/>
            <w:vAlign w:val="center"/>
          </w:tcPr>
          <w:p w14:paraId="2474A6F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50</w:t>
            </w:r>
          </w:p>
        </w:tc>
        <w:tc>
          <w:tcPr>
            <w:tcW w:w="792" w:type="pct"/>
            <w:tcBorders>
              <w:tl2br w:val="nil"/>
              <w:tr2bl w:val="nil"/>
            </w:tcBorders>
            <w:noWrap/>
            <w:vAlign w:val="center"/>
          </w:tcPr>
          <w:p w14:paraId="0F352ACB">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100</w:t>
            </w:r>
          </w:p>
        </w:tc>
        <w:tc>
          <w:tcPr>
            <w:tcW w:w="779" w:type="pct"/>
            <w:tcBorders>
              <w:tl2br w:val="nil"/>
              <w:tr2bl w:val="nil"/>
            </w:tcBorders>
            <w:noWrap w:val="0"/>
            <w:vAlign w:val="center"/>
          </w:tcPr>
          <w:p w14:paraId="5A4EFFB8">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250</w:t>
            </w:r>
          </w:p>
        </w:tc>
        <w:tc>
          <w:tcPr>
            <w:tcW w:w="1383" w:type="pct"/>
            <w:vMerge w:val="continue"/>
            <w:tcBorders>
              <w:tl2br w:val="nil"/>
              <w:tr2bl w:val="nil"/>
            </w:tcBorders>
            <w:noWrap w:val="0"/>
            <w:vAlign w:val="center"/>
          </w:tcPr>
          <w:p w14:paraId="507F4C9D">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宋体" w:hAnsi="宋体" w:eastAsia="宋体" w:cs="宋体"/>
                <w:bCs/>
                <w:color w:val="auto"/>
                <w:kern w:val="0"/>
                <w:sz w:val="21"/>
                <w:szCs w:val="21"/>
                <w:highlight w:val="none"/>
                <w:u w:val="none"/>
              </w:rPr>
            </w:pPr>
          </w:p>
        </w:tc>
      </w:tr>
      <w:tr w14:paraId="7AD76E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tcBorders>
              <w:tl2br w:val="nil"/>
              <w:tr2bl w:val="nil"/>
            </w:tcBorders>
            <w:noWrap w:val="0"/>
            <w:vAlign w:val="center"/>
          </w:tcPr>
          <w:p w14:paraId="711F9B0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eastAsia="zh-CN"/>
              </w:rPr>
            </w:pPr>
            <w:r>
              <w:rPr>
                <w:rFonts w:hint="eastAsia" w:ascii="宋体" w:hAnsi="宋体" w:eastAsia="宋体" w:cs="宋体"/>
                <w:bCs/>
                <w:color w:val="auto"/>
                <w:kern w:val="0"/>
                <w:sz w:val="21"/>
                <w:szCs w:val="21"/>
                <w:highlight w:val="none"/>
                <w:u w:val="none"/>
                <w:lang w:val="en-US" w:eastAsia="zh-CN"/>
              </w:rPr>
              <w:t>8</w:t>
            </w:r>
          </w:p>
        </w:tc>
        <w:tc>
          <w:tcPr>
            <w:tcW w:w="1180" w:type="pct"/>
            <w:tcBorders>
              <w:tl2br w:val="nil"/>
              <w:tr2bl w:val="nil"/>
            </w:tcBorders>
            <w:noWrap w:val="0"/>
            <w:vAlign w:val="center"/>
          </w:tcPr>
          <w:p w14:paraId="672776DE">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非甲烷总烃</w:t>
            </w:r>
          </w:p>
        </w:tc>
        <w:tc>
          <w:tcPr>
            <w:tcW w:w="578" w:type="pct"/>
            <w:tcBorders>
              <w:tl2br w:val="nil"/>
              <w:tr2bl w:val="nil"/>
            </w:tcBorders>
            <w:noWrap w:val="0"/>
            <w:vAlign w:val="center"/>
          </w:tcPr>
          <w:p w14:paraId="7BC9EF16">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w:t>
            </w:r>
          </w:p>
        </w:tc>
        <w:tc>
          <w:tcPr>
            <w:tcW w:w="792" w:type="pct"/>
            <w:tcBorders>
              <w:tl2br w:val="nil"/>
              <w:tr2bl w:val="nil"/>
            </w:tcBorders>
            <w:noWrap w:val="0"/>
            <w:vAlign w:val="center"/>
          </w:tcPr>
          <w:p w14:paraId="10DAA28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w:t>
            </w:r>
          </w:p>
        </w:tc>
        <w:tc>
          <w:tcPr>
            <w:tcW w:w="779" w:type="pct"/>
            <w:tcBorders>
              <w:tl2br w:val="nil"/>
              <w:tr2bl w:val="nil"/>
            </w:tcBorders>
            <w:noWrap w:val="0"/>
            <w:vAlign w:val="center"/>
          </w:tcPr>
          <w:p w14:paraId="06AC883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2000</w:t>
            </w:r>
          </w:p>
        </w:tc>
        <w:tc>
          <w:tcPr>
            <w:tcW w:w="1383" w:type="pct"/>
            <w:tcBorders>
              <w:tl2br w:val="nil"/>
              <w:tr2bl w:val="nil"/>
            </w:tcBorders>
            <w:noWrap w:val="0"/>
            <w:vAlign w:val="center"/>
          </w:tcPr>
          <w:p w14:paraId="5B1E20D0">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《大气污染物综合排放标准》详解</w:t>
            </w:r>
          </w:p>
        </w:tc>
      </w:tr>
      <w:tr w14:paraId="1F4458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3" w:hRule="atLeast"/>
        </w:trPr>
        <w:tc>
          <w:tcPr>
            <w:tcW w:w="285" w:type="pct"/>
            <w:tcBorders>
              <w:tl2br w:val="nil"/>
              <w:tr2bl w:val="nil"/>
            </w:tcBorders>
            <w:noWrap w:val="0"/>
            <w:vAlign w:val="center"/>
          </w:tcPr>
          <w:p w14:paraId="4A31D4B6">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eastAsia="zh-CN"/>
              </w:rPr>
            </w:pPr>
            <w:r>
              <w:rPr>
                <w:rFonts w:hint="eastAsia" w:ascii="宋体" w:hAnsi="宋体" w:eastAsia="宋体" w:cs="宋体"/>
                <w:bCs/>
                <w:color w:val="auto"/>
                <w:kern w:val="0"/>
                <w:sz w:val="21"/>
                <w:szCs w:val="21"/>
                <w:highlight w:val="none"/>
                <w:u w:val="none"/>
                <w:lang w:val="en-US" w:eastAsia="zh-CN"/>
              </w:rPr>
              <w:t>9</w:t>
            </w:r>
          </w:p>
        </w:tc>
        <w:tc>
          <w:tcPr>
            <w:tcW w:w="1180" w:type="pct"/>
            <w:tcBorders>
              <w:tl2br w:val="nil"/>
              <w:tr2bl w:val="nil"/>
            </w:tcBorders>
            <w:noWrap w:val="0"/>
            <w:vAlign w:val="center"/>
          </w:tcPr>
          <w:p w14:paraId="75223A1B">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硫化氢</w:t>
            </w:r>
          </w:p>
        </w:tc>
        <w:tc>
          <w:tcPr>
            <w:tcW w:w="578" w:type="pct"/>
            <w:tcBorders>
              <w:tl2br w:val="nil"/>
              <w:tr2bl w:val="nil"/>
            </w:tcBorders>
            <w:noWrap w:val="0"/>
            <w:vAlign w:val="center"/>
          </w:tcPr>
          <w:p w14:paraId="455C1D42">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w:t>
            </w:r>
          </w:p>
        </w:tc>
        <w:tc>
          <w:tcPr>
            <w:tcW w:w="792" w:type="pct"/>
            <w:tcBorders>
              <w:tl2br w:val="nil"/>
              <w:tr2bl w:val="nil"/>
            </w:tcBorders>
            <w:noWrap w:val="0"/>
            <w:vAlign w:val="center"/>
          </w:tcPr>
          <w:p w14:paraId="627DD0F1">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lang w:val="en-US" w:eastAsia="zh-CN"/>
              </w:rPr>
            </w:pPr>
            <w:r>
              <w:rPr>
                <w:rFonts w:hint="eastAsia" w:ascii="宋体" w:hAnsi="宋体" w:eastAsia="宋体" w:cs="宋体"/>
                <w:bCs/>
                <w:color w:val="auto"/>
                <w:kern w:val="0"/>
                <w:sz w:val="21"/>
                <w:szCs w:val="21"/>
                <w:highlight w:val="none"/>
                <w:u w:val="none"/>
                <w:lang w:val="en-US" w:eastAsia="zh-CN"/>
              </w:rPr>
              <w:t>/</w:t>
            </w:r>
          </w:p>
        </w:tc>
        <w:tc>
          <w:tcPr>
            <w:tcW w:w="779" w:type="pct"/>
            <w:tcBorders>
              <w:tl2br w:val="nil"/>
              <w:tr2bl w:val="nil"/>
            </w:tcBorders>
            <w:noWrap w:val="0"/>
            <w:vAlign w:val="center"/>
          </w:tcPr>
          <w:p w14:paraId="72ED10E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0"/>
                <w:sz w:val="21"/>
                <w:szCs w:val="21"/>
                <w:highlight w:val="none"/>
                <w:u w:val="none"/>
              </w:rPr>
              <w:t>10</w:t>
            </w:r>
          </w:p>
        </w:tc>
        <w:tc>
          <w:tcPr>
            <w:tcW w:w="1383" w:type="pct"/>
            <w:tcBorders>
              <w:tl2br w:val="nil"/>
              <w:tr2bl w:val="nil"/>
            </w:tcBorders>
            <w:noWrap w:val="0"/>
            <w:vAlign w:val="center"/>
          </w:tcPr>
          <w:p w14:paraId="30C2718A">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宋体" w:hAnsi="宋体" w:eastAsia="宋体" w:cs="宋体"/>
                <w:bCs/>
                <w:color w:val="auto"/>
                <w:kern w:val="0"/>
                <w:sz w:val="21"/>
                <w:szCs w:val="21"/>
                <w:highlight w:val="none"/>
                <w:u w:val="none"/>
              </w:rPr>
            </w:pPr>
            <w:r>
              <w:rPr>
                <w:rFonts w:hint="eastAsia" w:ascii="宋体" w:hAnsi="宋体" w:eastAsia="宋体" w:cs="宋体"/>
                <w:bCs/>
                <w:color w:val="auto"/>
                <w:kern w:val="24"/>
                <w:sz w:val="21"/>
                <w:szCs w:val="21"/>
                <w:highlight w:val="none"/>
                <w:u w:val="none"/>
              </w:rPr>
              <w:t>《环境影响评价技术导则大气环境》（HJ2.2-2018）附录D中的1h平均浓度限值</w:t>
            </w:r>
          </w:p>
        </w:tc>
      </w:tr>
    </w:tbl>
    <w:p w14:paraId="63FE77DD">
      <w:pPr>
        <w:widowControl/>
        <w:spacing w:line="240" w:lineRule="auto"/>
        <w:jc w:val="left"/>
        <w:rPr>
          <w:rFonts w:hint="default" w:ascii="Times New Roman" w:hAnsi="Times New Roman" w:cs="Times New Roman"/>
          <w:color w:val="auto"/>
          <w:kern w:val="0"/>
          <w:sz w:val="24"/>
          <w:szCs w:val="24"/>
          <w:highlight w:val="none"/>
          <w:u w:val="none"/>
          <w:lang w:eastAsia="zh-CN"/>
        </w:rPr>
      </w:pPr>
      <w:r>
        <w:rPr>
          <w:rFonts w:hint="default" w:ascii="Times New Roman" w:hAnsi="Times New Roman" w:cs="Times New Roman"/>
          <w:b w:val="0"/>
          <w:bCs w:val="0"/>
          <w:color w:val="auto"/>
          <w:kern w:val="0"/>
          <w:sz w:val="21"/>
          <w:szCs w:val="21"/>
          <w:highlight w:val="none"/>
          <w:u w:val="none"/>
          <w:lang w:val="en-US" w:eastAsia="zh-CN"/>
        </w:rPr>
        <w:t>注：</w:t>
      </w:r>
      <w:r>
        <w:rPr>
          <w:rFonts w:hint="default" w:ascii="Times New Roman" w:hAnsi="Times New Roman" w:cs="Times New Roman"/>
          <w:b w:val="0"/>
          <w:bCs w:val="0"/>
          <w:color w:val="auto"/>
          <w:kern w:val="0"/>
          <w:sz w:val="21"/>
          <w:szCs w:val="21"/>
          <w:highlight w:val="none"/>
          <w:u w:val="none"/>
        </w:rPr>
        <w:t>O</w:t>
      </w:r>
      <w:r>
        <w:rPr>
          <w:rFonts w:hint="default" w:ascii="Times New Roman" w:hAnsi="Times New Roman" w:cs="Times New Roman"/>
          <w:b w:val="0"/>
          <w:bCs w:val="0"/>
          <w:color w:val="auto"/>
          <w:kern w:val="0"/>
          <w:sz w:val="21"/>
          <w:szCs w:val="21"/>
          <w:highlight w:val="none"/>
          <w:u w:val="none"/>
          <w:vertAlign w:val="subscript"/>
        </w:rPr>
        <w:t>3</w:t>
      </w:r>
      <w:r>
        <w:rPr>
          <w:rFonts w:hint="default" w:ascii="Times New Roman" w:hAnsi="Times New Roman" w:cs="Times New Roman"/>
          <w:b w:val="0"/>
          <w:bCs w:val="0"/>
          <w:color w:val="auto"/>
          <w:kern w:val="0"/>
          <w:sz w:val="21"/>
          <w:szCs w:val="21"/>
          <w:highlight w:val="none"/>
          <w:u w:val="none"/>
          <w:vertAlign w:val="baseline"/>
          <w:lang w:val="en-US" w:eastAsia="zh-CN"/>
        </w:rPr>
        <w:t>日最大8小时平均值为160</w:t>
      </w:r>
      <w:r>
        <w:rPr>
          <w:rFonts w:hint="default" w:ascii="Times New Roman" w:hAnsi="Times New Roman" w:cs="Times New Roman"/>
          <w:b w:val="0"/>
          <w:bCs w:val="0"/>
          <w:color w:val="auto"/>
          <w:kern w:val="24"/>
          <w:sz w:val="21"/>
          <w:szCs w:val="21"/>
          <w:highlight w:val="none"/>
          <w:u w:val="none"/>
        </w:rPr>
        <w:t>μg</w:t>
      </w:r>
      <w:r>
        <w:rPr>
          <w:rFonts w:hint="default" w:ascii="Times New Roman" w:hAnsi="Times New Roman" w:cs="Times New Roman"/>
          <w:b w:val="0"/>
          <w:bCs w:val="0"/>
          <w:color w:val="auto"/>
          <w:kern w:val="0"/>
          <w:sz w:val="21"/>
          <w:szCs w:val="21"/>
          <w:highlight w:val="none"/>
          <w:u w:val="none"/>
        </w:rPr>
        <w:t>/m³</w:t>
      </w:r>
    </w:p>
    <w:p w14:paraId="68FF230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eastAsia" w:ascii="宋体" w:hAnsi="宋体" w:eastAsia="宋体" w:cs="宋体"/>
          <w:color w:val="auto"/>
          <w:sz w:val="24"/>
          <w:szCs w:val="24"/>
          <w:highlight w:val="none"/>
          <w:u w:val="none"/>
          <w:lang w:val="zh-CN" w:eastAsia="zh-CN" w:bidi="ar-SA"/>
        </w:rPr>
        <w:t>（</w:t>
      </w:r>
      <w:r>
        <w:rPr>
          <w:rFonts w:hint="eastAsia" w:ascii="宋体" w:hAnsi="宋体" w:eastAsia="宋体" w:cs="宋体"/>
          <w:color w:val="auto"/>
          <w:sz w:val="24"/>
          <w:szCs w:val="24"/>
          <w:highlight w:val="none"/>
          <w:u w:val="none"/>
          <w:lang w:val="en-US" w:eastAsia="zh-CN" w:bidi="ar-SA"/>
        </w:rPr>
        <w:t>2</w:t>
      </w:r>
      <w:r>
        <w:rPr>
          <w:rFonts w:hint="eastAsia" w:ascii="宋体" w:hAnsi="宋体" w:eastAsia="宋体" w:cs="宋体"/>
          <w:color w:val="auto"/>
          <w:sz w:val="24"/>
          <w:szCs w:val="24"/>
          <w:highlight w:val="none"/>
          <w:u w:val="none"/>
          <w:lang w:val="zh-CN" w:eastAsia="zh-CN" w:bidi="ar-SA"/>
        </w:rPr>
        <w:t>）</w:t>
      </w:r>
      <w:r>
        <w:rPr>
          <w:rFonts w:hint="default" w:ascii="宋体" w:hAnsi="宋体" w:eastAsia="宋体" w:cs="宋体"/>
          <w:color w:val="auto"/>
          <w:sz w:val="24"/>
          <w:szCs w:val="24"/>
          <w:highlight w:val="none"/>
          <w:u w:val="none"/>
          <w:lang w:val="zh-CN" w:eastAsia="zh-CN" w:bidi="ar-SA"/>
        </w:rPr>
        <w:t>水环境</w:t>
      </w:r>
    </w:p>
    <w:p w14:paraId="7104FFD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en-US" w:eastAsia="zh-CN" w:bidi="ar-SA"/>
        </w:rPr>
      </w:pPr>
      <w:r>
        <w:rPr>
          <w:rFonts w:hint="default" w:ascii="宋体" w:hAnsi="宋体" w:eastAsia="宋体" w:cs="宋体"/>
          <w:color w:val="auto"/>
          <w:sz w:val="24"/>
          <w:szCs w:val="24"/>
          <w:highlight w:val="none"/>
          <w:u w:val="none"/>
          <w:lang w:val="zh-CN" w:eastAsia="zh-CN" w:bidi="ar-SA"/>
        </w:rPr>
        <w:t>项目区位于准噶尔盆地腹部古尔班通古特沙漠腹地</w:t>
      </w:r>
      <w:r>
        <w:rPr>
          <w:rFonts w:hint="eastAsia" w:ascii="宋体" w:hAnsi="宋体" w:eastAsia="宋体" w:cs="宋体"/>
          <w:color w:val="auto"/>
          <w:sz w:val="24"/>
          <w:szCs w:val="24"/>
          <w:highlight w:val="none"/>
          <w:u w:val="none"/>
          <w:lang w:val="zh-CN" w:eastAsia="zh-CN" w:bidi="ar-SA"/>
        </w:rPr>
        <w:t>，</w:t>
      </w:r>
      <w:r>
        <w:rPr>
          <w:rFonts w:hint="eastAsia" w:ascii="宋体" w:hAnsi="宋体" w:eastAsia="宋体" w:cs="宋体"/>
          <w:color w:val="auto"/>
          <w:sz w:val="24"/>
          <w:szCs w:val="24"/>
          <w:highlight w:val="none"/>
          <w:u w:val="none"/>
          <w:lang w:val="en-US" w:eastAsia="zh-CN" w:bidi="ar-SA"/>
        </w:rPr>
        <w:t>周边5km范围内无地表水体。</w:t>
      </w:r>
    </w:p>
    <w:p w14:paraId="20778155">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评价区地下水</w:t>
      </w:r>
      <w:r>
        <w:rPr>
          <w:rFonts w:hint="default" w:ascii="宋体" w:hAnsi="宋体" w:eastAsia="宋体" w:cs="宋体"/>
          <w:color w:val="auto"/>
          <w:sz w:val="24"/>
          <w:szCs w:val="24"/>
          <w:highlight w:val="none"/>
          <w:u w:val="none"/>
          <w:lang w:val="en-US" w:eastAsia="zh-CN" w:bidi="ar-SA"/>
        </w:rPr>
        <w:t>因</w:t>
      </w:r>
      <w:r>
        <w:rPr>
          <w:rFonts w:hint="default" w:ascii="宋体" w:hAnsi="宋体" w:eastAsia="宋体" w:cs="宋体"/>
          <w:color w:val="auto"/>
          <w:sz w:val="24"/>
          <w:szCs w:val="24"/>
          <w:highlight w:val="none"/>
          <w:u w:val="none"/>
          <w:lang w:val="zh-CN" w:eastAsia="zh-CN" w:bidi="ar-SA"/>
        </w:rPr>
        <w:t>自然地质因素</w:t>
      </w:r>
      <w:r>
        <w:rPr>
          <w:rFonts w:hint="default" w:ascii="宋体" w:hAnsi="宋体" w:eastAsia="宋体" w:cs="宋体"/>
          <w:color w:val="auto"/>
          <w:sz w:val="24"/>
          <w:szCs w:val="24"/>
          <w:highlight w:val="none"/>
          <w:u w:val="none"/>
          <w:lang w:val="en-US" w:eastAsia="zh-CN" w:bidi="ar-SA"/>
        </w:rPr>
        <w:t>影响</w:t>
      </w:r>
      <w:r>
        <w:rPr>
          <w:rFonts w:hint="default" w:ascii="宋体" w:hAnsi="宋体" w:eastAsia="宋体" w:cs="宋体"/>
          <w:color w:val="auto"/>
          <w:sz w:val="24"/>
          <w:szCs w:val="24"/>
          <w:highlight w:val="none"/>
          <w:u w:val="none"/>
          <w:lang w:val="zh-CN" w:eastAsia="zh-CN" w:bidi="ar-SA"/>
        </w:rPr>
        <w:t>，属较差水质，执行《地下水质量标准》（GB/T14848-2017）中的</w:t>
      </w:r>
      <w:r>
        <w:rPr>
          <w:rFonts w:hint="default" w:ascii="宋体" w:hAnsi="宋体" w:eastAsia="宋体" w:cs="宋体"/>
          <w:color w:val="auto"/>
          <w:sz w:val="24"/>
          <w:szCs w:val="24"/>
          <w:highlight w:val="none"/>
          <w:u w:val="none"/>
          <w:lang w:val="zh-CN" w:eastAsia="zh-CN" w:bidi="ar-SA"/>
        </w:rPr>
        <w:fldChar w:fldCharType="begin"/>
      </w:r>
      <w:r>
        <w:rPr>
          <w:rFonts w:hint="default" w:ascii="宋体" w:hAnsi="宋体" w:eastAsia="宋体" w:cs="宋体"/>
          <w:color w:val="auto"/>
          <w:sz w:val="24"/>
          <w:szCs w:val="24"/>
          <w:highlight w:val="none"/>
          <w:u w:val="none"/>
          <w:lang w:val="zh-CN" w:eastAsia="zh-CN" w:bidi="ar-SA"/>
        </w:rPr>
        <w:instrText xml:space="preserve"> = 3 \* ROMAN \* MERGEFORMAT </w:instrText>
      </w:r>
      <w:r>
        <w:rPr>
          <w:rFonts w:hint="default" w:ascii="宋体" w:hAnsi="宋体" w:eastAsia="宋体" w:cs="宋体"/>
          <w:color w:val="auto"/>
          <w:sz w:val="24"/>
          <w:szCs w:val="24"/>
          <w:highlight w:val="none"/>
          <w:u w:val="none"/>
          <w:lang w:val="zh-CN" w:eastAsia="zh-CN" w:bidi="ar-SA"/>
        </w:rPr>
        <w:fldChar w:fldCharType="separate"/>
      </w:r>
      <w:r>
        <w:rPr>
          <w:rFonts w:hint="default" w:ascii="宋体" w:hAnsi="宋体" w:eastAsia="宋体" w:cs="宋体"/>
          <w:color w:val="auto"/>
          <w:sz w:val="24"/>
          <w:szCs w:val="24"/>
          <w:highlight w:val="none"/>
          <w:u w:val="none"/>
          <w:lang w:val="zh-CN" w:eastAsia="zh-CN" w:bidi="ar-SA"/>
        </w:rPr>
        <w:t>III</w:t>
      </w:r>
      <w:r>
        <w:rPr>
          <w:rFonts w:hint="default" w:ascii="宋体" w:hAnsi="宋体" w:eastAsia="宋体" w:cs="宋体"/>
          <w:color w:val="auto"/>
          <w:sz w:val="24"/>
          <w:szCs w:val="24"/>
          <w:highlight w:val="none"/>
          <w:u w:val="none"/>
          <w:lang w:val="zh-CN" w:eastAsia="zh-CN" w:bidi="ar-SA"/>
        </w:rPr>
        <w:fldChar w:fldCharType="end"/>
      </w:r>
      <w:r>
        <w:rPr>
          <w:rFonts w:hint="default" w:ascii="宋体" w:hAnsi="宋体" w:eastAsia="宋体" w:cs="宋体"/>
          <w:color w:val="auto"/>
          <w:sz w:val="24"/>
          <w:szCs w:val="24"/>
          <w:highlight w:val="none"/>
          <w:u w:val="none"/>
          <w:lang w:val="zh-CN" w:eastAsia="zh-CN" w:bidi="ar-SA"/>
        </w:rPr>
        <w:t>类标准，石油类参照《地表水环境质量标准》（GB3838-2002）中的III类标准值。</w:t>
      </w:r>
    </w:p>
    <w:p w14:paraId="35472CFB">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Times New Roman" w:hAnsi="Times New Roman" w:eastAsia="黑体" w:cs="Times New Roman"/>
          <w:b/>
          <w:color w:val="auto"/>
          <w:kern w:val="0"/>
          <w:sz w:val="21"/>
          <w:szCs w:val="21"/>
          <w:highlight w:val="none"/>
          <w:u w:val="none"/>
        </w:rPr>
      </w:pPr>
      <w:r>
        <w:rPr>
          <w:rFonts w:hint="default" w:ascii="宋体" w:hAnsi="宋体" w:eastAsia="宋体" w:cs="宋体"/>
          <w:color w:val="auto"/>
          <w:sz w:val="24"/>
          <w:szCs w:val="24"/>
          <w:highlight w:val="none"/>
          <w:u w:val="none"/>
          <w:lang w:val="zh-CN" w:eastAsia="zh-CN" w:bidi="ar-SA"/>
        </w:rPr>
        <w:t>地下水水质评价标准值</w:t>
      </w:r>
      <w:r>
        <w:rPr>
          <w:rFonts w:hint="eastAsia" w:ascii="宋体" w:hAnsi="宋体" w:eastAsia="宋体" w:cs="宋体"/>
          <w:color w:val="auto"/>
          <w:sz w:val="24"/>
          <w:szCs w:val="24"/>
          <w:highlight w:val="none"/>
          <w:u w:val="none"/>
          <w:lang w:val="zh-CN" w:eastAsia="zh-CN" w:bidi="ar-SA"/>
        </w:rPr>
        <w:t>，</w:t>
      </w:r>
      <w:r>
        <w:rPr>
          <w:rFonts w:hint="default" w:ascii="宋体" w:hAnsi="宋体" w:eastAsia="宋体" w:cs="宋体"/>
          <w:color w:val="auto"/>
          <w:sz w:val="24"/>
          <w:szCs w:val="24"/>
          <w:highlight w:val="none"/>
          <w:u w:val="none"/>
          <w:lang w:val="zh-CN" w:eastAsia="zh-CN" w:bidi="ar-SA"/>
        </w:rPr>
        <w:t>见表2.</w:t>
      </w:r>
      <w:r>
        <w:rPr>
          <w:rFonts w:hint="eastAsia" w:ascii="宋体" w:hAnsi="宋体" w:eastAsia="宋体" w:cs="宋体"/>
          <w:color w:val="auto"/>
          <w:sz w:val="24"/>
          <w:szCs w:val="24"/>
          <w:highlight w:val="none"/>
          <w:u w:val="none"/>
          <w:lang w:val="en-US" w:eastAsia="zh-CN" w:bidi="ar-SA"/>
        </w:rPr>
        <w:t>4</w:t>
      </w:r>
      <w:r>
        <w:rPr>
          <w:rFonts w:hint="default" w:ascii="宋体" w:hAnsi="宋体" w:eastAsia="宋体" w:cs="宋体"/>
          <w:color w:val="auto"/>
          <w:sz w:val="24"/>
          <w:szCs w:val="24"/>
          <w:highlight w:val="none"/>
          <w:u w:val="none"/>
          <w:lang w:val="zh-CN" w:eastAsia="zh-CN" w:bidi="ar-SA"/>
        </w:rPr>
        <w:t>-2。</w:t>
      </w:r>
    </w:p>
    <w:p w14:paraId="24AD9E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表2.4-2  地下水质量标准值单位：mg/L</w:t>
      </w:r>
    </w:p>
    <w:tbl>
      <w:tblPr>
        <w:tblStyle w:val="37"/>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Layout w:type="autofit"/>
        <w:tblCellMar>
          <w:top w:w="0" w:type="dxa"/>
          <w:left w:w="108" w:type="dxa"/>
          <w:bottom w:w="0" w:type="dxa"/>
          <w:right w:w="108" w:type="dxa"/>
        </w:tblCellMar>
      </w:tblPr>
      <w:tblGrid>
        <w:gridCol w:w="1274"/>
        <w:gridCol w:w="2271"/>
        <w:gridCol w:w="1194"/>
        <w:gridCol w:w="1094"/>
        <w:gridCol w:w="1786"/>
        <w:gridCol w:w="1211"/>
      </w:tblGrid>
      <w:tr w14:paraId="03E4B2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blHeader/>
        </w:trPr>
        <w:tc>
          <w:tcPr>
            <w:tcW w:w="721" w:type="pct"/>
            <w:tcBorders>
              <w:tl2br w:val="nil"/>
              <w:tr2bl w:val="nil"/>
            </w:tcBorders>
            <w:noWrap w:val="0"/>
            <w:vAlign w:val="center"/>
          </w:tcPr>
          <w:p w14:paraId="2D14FD93">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序号</w:t>
            </w:r>
          </w:p>
        </w:tc>
        <w:tc>
          <w:tcPr>
            <w:tcW w:w="1285" w:type="pct"/>
            <w:tcBorders>
              <w:tl2br w:val="nil"/>
              <w:tr2bl w:val="nil"/>
            </w:tcBorders>
            <w:noWrap w:val="0"/>
            <w:vAlign w:val="center"/>
          </w:tcPr>
          <w:p w14:paraId="36765E47">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项</w:t>
            </w:r>
            <w:r>
              <w:rPr>
                <w:rFonts w:hint="eastAsia" w:ascii="宋体" w:hAnsi="宋体" w:cs="宋体"/>
                <w:color w:val="auto"/>
                <w:kern w:val="0"/>
                <w:sz w:val="21"/>
                <w:szCs w:val="21"/>
                <w:highlight w:val="none"/>
                <w:u w:val="none"/>
                <w:lang w:val="en-US" w:eastAsia="zh-CN"/>
              </w:rPr>
              <w:t xml:space="preserve">  </w:t>
            </w:r>
            <w:r>
              <w:rPr>
                <w:rFonts w:hint="eastAsia" w:ascii="宋体" w:hAnsi="宋体" w:eastAsia="宋体" w:cs="宋体"/>
                <w:color w:val="auto"/>
                <w:kern w:val="0"/>
                <w:sz w:val="21"/>
                <w:szCs w:val="21"/>
                <w:highlight w:val="none"/>
                <w:u w:val="none"/>
              </w:rPr>
              <w:t>目</w:t>
            </w:r>
          </w:p>
        </w:tc>
        <w:tc>
          <w:tcPr>
            <w:tcW w:w="676" w:type="pct"/>
            <w:tcBorders>
              <w:tl2br w:val="nil"/>
              <w:tr2bl w:val="nil"/>
            </w:tcBorders>
            <w:noWrap w:val="0"/>
            <w:vAlign w:val="center"/>
          </w:tcPr>
          <w:p w14:paraId="47AE739D">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标准限值</w:t>
            </w:r>
          </w:p>
        </w:tc>
        <w:tc>
          <w:tcPr>
            <w:tcW w:w="619" w:type="pct"/>
            <w:tcBorders>
              <w:tl2br w:val="nil"/>
              <w:tr2bl w:val="nil"/>
            </w:tcBorders>
            <w:noWrap w:val="0"/>
            <w:vAlign w:val="center"/>
          </w:tcPr>
          <w:p w14:paraId="697B569C">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序号</w:t>
            </w:r>
          </w:p>
        </w:tc>
        <w:tc>
          <w:tcPr>
            <w:tcW w:w="1011" w:type="pct"/>
            <w:tcBorders>
              <w:tl2br w:val="nil"/>
              <w:tr2bl w:val="nil"/>
            </w:tcBorders>
            <w:noWrap w:val="0"/>
            <w:vAlign w:val="center"/>
          </w:tcPr>
          <w:p w14:paraId="22D0BC7B">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项目</w:t>
            </w:r>
          </w:p>
        </w:tc>
        <w:tc>
          <w:tcPr>
            <w:tcW w:w="685" w:type="pct"/>
            <w:tcBorders>
              <w:tl2br w:val="nil"/>
              <w:tr2bl w:val="nil"/>
            </w:tcBorders>
            <w:noWrap w:val="0"/>
            <w:vAlign w:val="center"/>
          </w:tcPr>
          <w:p w14:paraId="5BF93E6C">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标准限值</w:t>
            </w:r>
          </w:p>
        </w:tc>
      </w:tr>
      <w:tr w14:paraId="6AF655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396F28EA">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1</w:t>
            </w:r>
          </w:p>
        </w:tc>
        <w:tc>
          <w:tcPr>
            <w:tcW w:w="1285" w:type="pct"/>
            <w:tcBorders>
              <w:tl2br w:val="nil"/>
              <w:tr2bl w:val="nil"/>
            </w:tcBorders>
            <w:noWrap w:val="0"/>
            <w:vAlign w:val="center"/>
          </w:tcPr>
          <w:p w14:paraId="5B730151">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pH（无量纲）</w:t>
            </w:r>
          </w:p>
        </w:tc>
        <w:tc>
          <w:tcPr>
            <w:tcW w:w="676" w:type="pct"/>
            <w:tcBorders>
              <w:tl2br w:val="nil"/>
              <w:tr2bl w:val="nil"/>
            </w:tcBorders>
            <w:noWrap w:val="0"/>
            <w:vAlign w:val="center"/>
          </w:tcPr>
          <w:p w14:paraId="39717122">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6.5~8.5</w:t>
            </w:r>
          </w:p>
        </w:tc>
        <w:tc>
          <w:tcPr>
            <w:tcW w:w="619" w:type="pct"/>
            <w:tcBorders>
              <w:tl2br w:val="nil"/>
              <w:tr2bl w:val="nil"/>
            </w:tcBorders>
            <w:noWrap w:val="0"/>
            <w:vAlign w:val="center"/>
          </w:tcPr>
          <w:p w14:paraId="1A5A8892">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14</w:t>
            </w:r>
          </w:p>
        </w:tc>
        <w:tc>
          <w:tcPr>
            <w:tcW w:w="1011" w:type="pct"/>
            <w:tcBorders>
              <w:tl2br w:val="nil"/>
              <w:tr2bl w:val="nil"/>
            </w:tcBorders>
            <w:noWrap w:val="0"/>
            <w:vAlign w:val="center"/>
          </w:tcPr>
          <w:p w14:paraId="05A66BE8">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汞</w:t>
            </w:r>
          </w:p>
        </w:tc>
        <w:tc>
          <w:tcPr>
            <w:tcW w:w="685" w:type="pct"/>
            <w:tcBorders>
              <w:tl2br w:val="nil"/>
              <w:tr2bl w:val="nil"/>
            </w:tcBorders>
            <w:noWrap w:val="0"/>
            <w:vAlign w:val="center"/>
          </w:tcPr>
          <w:p w14:paraId="533D9C4B">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≤0.001</w:t>
            </w:r>
          </w:p>
        </w:tc>
      </w:tr>
      <w:tr w14:paraId="2C6A44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75A6B892">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2</w:t>
            </w:r>
          </w:p>
        </w:tc>
        <w:tc>
          <w:tcPr>
            <w:tcW w:w="1285" w:type="pct"/>
            <w:tcBorders>
              <w:tl2br w:val="nil"/>
              <w:tr2bl w:val="nil"/>
            </w:tcBorders>
            <w:noWrap w:val="0"/>
            <w:vAlign w:val="center"/>
          </w:tcPr>
          <w:p w14:paraId="1953B9EE">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总硬度</w:t>
            </w:r>
          </w:p>
        </w:tc>
        <w:tc>
          <w:tcPr>
            <w:tcW w:w="676" w:type="pct"/>
            <w:tcBorders>
              <w:tl2br w:val="nil"/>
              <w:tr2bl w:val="nil"/>
            </w:tcBorders>
            <w:noWrap w:val="0"/>
            <w:vAlign w:val="center"/>
          </w:tcPr>
          <w:p w14:paraId="7C7495D3">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≤450</w:t>
            </w:r>
          </w:p>
        </w:tc>
        <w:tc>
          <w:tcPr>
            <w:tcW w:w="619" w:type="pct"/>
            <w:tcBorders>
              <w:tl2br w:val="nil"/>
              <w:tr2bl w:val="nil"/>
            </w:tcBorders>
            <w:noWrap w:val="0"/>
            <w:vAlign w:val="center"/>
          </w:tcPr>
          <w:p w14:paraId="6AB0B5E9">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15</w:t>
            </w:r>
          </w:p>
        </w:tc>
        <w:tc>
          <w:tcPr>
            <w:tcW w:w="1011" w:type="pct"/>
            <w:tcBorders>
              <w:tl2br w:val="nil"/>
              <w:tr2bl w:val="nil"/>
            </w:tcBorders>
            <w:noWrap w:val="0"/>
            <w:vAlign w:val="center"/>
          </w:tcPr>
          <w:p w14:paraId="625E7597">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砷</w:t>
            </w:r>
          </w:p>
        </w:tc>
        <w:tc>
          <w:tcPr>
            <w:tcW w:w="685" w:type="pct"/>
            <w:tcBorders>
              <w:tl2br w:val="nil"/>
              <w:tr2bl w:val="nil"/>
            </w:tcBorders>
            <w:noWrap w:val="0"/>
            <w:vAlign w:val="center"/>
          </w:tcPr>
          <w:p w14:paraId="5CAF23CF">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≤0.01</w:t>
            </w:r>
          </w:p>
        </w:tc>
      </w:tr>
      <w:tr w14:paraId="5B5426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2CF07720">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3</w:t>
            </w:r>
          </w:p>
        </w:tc>
        <w:tc>
          <w:tcPr>
            <w:tcW w:w="1285" w:type="pct"/>
            <w:tcBorders>
              <w:tl2br w:val="nil"/>
              <w:tr2bl w:val="nil"/>
            </w:tcBorders>
            <w:noWrap w:val="0"/>
            <w:vAlign w:val="center"/>
          </w:tcPr>
          <w:p w14:paraId="7A04CF3C">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溶解性总固体</w:t>
            </w:r>
          </w:p>
        </w:tc>
        <w:tc>
          <w:tcPr>
            <w:tcW w:w="676" w:type="pct"/>
            <w:tcBorders>
              <w:tl2br w:val="nil"/>
              <w:tr2bl w:val="nil"/>
            </w:tcBorders>
            <w:noWrap w:val="0"/>
            <w:vAlign w:val="center"/>
          </w:tcPr>
          <w:p w14:paraId="3389FE45">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≤1000</w:t>
            </w:r>
          </w:p>
        </w:tc>
        <w:tc>
          <w:tcPr>
            <w:tcW w:w="619" w:type="pct"/>
            <w:tcBorders>
              <w:tl2br w:val="nil"/>
              <w:tr2bl w:val="nil"/>
            </w:tcBorders>
            <w:noWrap w:val="0"/>
            <w:vAlign w:val="center"/>
          </w:tcPr>
          <w:p w14:paraId="0468E677">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16</w:t>
            </w:r>
          </w:p>
        </w:tc>
        <w:tc>
          <w:tcPr>
            <w:tcW w:w="1011" w:type="pct"/>
            <w:tcBorders>
              <w:tl2br w:val="nil"/>
              <w:tr2bl w:val="nil"/>
            </w:tcBorders>
            <w:noWrap w:val="0"/>
            <w:vAlign w:val="center"/>
          </w:tcPr>
          <w:p w14:paraId="23D5FECC">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镉</w:t>
            </w:r>
          </w:p>
        </w:tc>
        <w:tc>
          <w:tcPr>
            <w:tcW w:w="685" w:type="pct"/>
            <w:tcBorders>
              <w:tl2br w:val="nil"/>
              <w:tr2bl w:val="nil"/>
            </w:tcBorders>
            <w:noWrap w:val="0"/>
            <w:vAlign w:val="center"/>
          </w:tcPr>
          <w:p w14:paraId="62908A7F">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≤0.005</w:t>
            </w:r>
          </w:p>
        </w:tc>
      </w:tr>
      <w:tr w14:paraId="14F182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1FA53C7E">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4</w:t>
            </w:r>
          </w:p>
        </w:tc>
        <w:tc>
          <w:tcPr>
            <w:tcW w:w="1285" w:type="pct"/>
            <w:tcBorders>
              <w:tl2br w:val="nil"/>
              <w:tr2bl w:val="nil"/>
            </w:tcBorders>
            <w:noWrap w:val="0"/>
            <w:vAlign w:val="center"/>
          </w:tcPr>
          <w:p w14:paraId="2699ACF7">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硫酸盐</w:t>
            </w:r>
          </w:p>
        </w:tc>
        <w:tc>
          <w:tcPr>
            <w:tcW w:w="676" w:type="pct"/>
            <w:tcBorders>
              <w:tl2br w:val="nil"/>
              <w:tr2bl w:val="nil"/>
            </w:tcBorders>
            <w:noWrap w:val="0"/>
            <w:vAlign w:val="center"/>
          </w:tcPr>
          <w:p w14:paraId="751E8C3A">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≤250</w:t>
            </w:r>
          </w:p>
        </w:tc>
        <w:tc>
          <w:tcPr>
            <w:tcW w:w="619" w:type="pct"/>
            <w:tcBorders>
              <w:tl2br w:val="nil"/>
              <w:tr2bl w:val="nil"/>
            </w:tcBorders>
            <w:noWrap w:val="0"/>
            <w:vAlign w:val="center"/>
          </w:tcPr>
          <w:p w14:paraId="690E6752">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17</w:t>
            </w:r>
          </w:p>
        </w:tc>
        <w:tc>
          <w:tcPr>
            <w:tcW w:w="1011" w:type="pct"/>
            <w:tcBorders>
              <w:tl2br w:val="nil"/>
              <w:tr2bl w:val="nil"/>
            </w:tcBorders>
            <w:noWrap w:val="0"/>
            <w:vAlign w:val="center"/>
          </w:tcPr>
          <w:p w14:paraId="3B74454F">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六价铬</w:t>
            </w:r>
          </w:p>
        </w:tc>
        <w:tc>
          <w:tcPr>
            <w:tcW w:w="685" w:type="pct"/>
            <w:tcBorders>
              <w:tl2br w:val="nil"/>
              <w:tr2bl w:val="nil"/>
            </w:tcBorders>
            <w:noWrap w:val="0"/>
            <w:vAlign w:val="center"/>
          </w:tcPr>
          <w:p w14:paraId="3E7D03BE">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≤0.05</w:t>
            </w:r>
          </w:p>
        </w:tc>
      </w:tr>
      <w:tr w14:paraId="11B3A5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13AE52C3">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5</w:t>
            </w:r>
          </w:p>
        </w:tc>
        <w:tc>
          <w:tcPr>
            <w:tcW w:w="1285" w:type="pct"/>
            <w:tcBorders>
              <w:tl2br w:val="nil"/>
              <w:tr2bl w:val="nil"/>
            </w:tcBorders>
            <w:noWrap w:val="0"/>
            <w:vAlign w:val="center"/>
          </w:tcPr>
          <w:p w14:paraId="15AA7B0F">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氯化物</w:t>
            </w:r>
          </w:p>
        </w:tc>
        <w:tc>
          <w:tcPr>
            <w:tcW w:w="676" w:type="pct"/>
            <w:tcBorders>
              <w:tl2br w:val="nil"/>
              <w:tr2bl w:val="nil"/>
            </w:tcBorders>
            <w:noWrap w:val="0"/>
            <w:vAlign w:val="center"/>
          </w:tcPr>
          <w:p w14:paraId="2B6163F4">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≤250</w:t>
            </w:r>
          </w:p>
        </w:tc>
        <w:tc>
          <w:tcPr>
            <w:tcW w:w="619" w:type="pct"/>
            <w:tcBorders>
              <w:tl2br w:val="nil"/>
              <w:tr2bl w:val="nil"/>
            </w:tcBorders>
            <w:noWrap w:val="0"/>
            <w:vAlign w:val="center"/>
          </w:tcPr>
          <w:p w14:paraId="61E42FD4">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18</w:t>
            </w:r>
          </w:p>
        </w:tc>
        <w:tc>
          <w:tcPr>
            <w:tcW w:w="1011" w:type="pct"/>
            <w:tcBorders>
              <w:tl2br w:val="nil"/>
              <w:tr2bl w:val="nil"/>
            </w:tcBorders>
            <w:noWrap w:val="0"/>
            <w:vAlign w:val="center"/>
          </w:tcPr>
          <w:p w14:paraId="713C92A8">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铅</w:t>
            </w:r>
          </w:p>
        </w:tc>
        <w:tc>
          <w:tcPr>
            <w:tcW w:w="685" w:type="pct"/>
            <w:tcBorders>
              <w:tl2br w:val="nil"/>
              <w:tr2bl w:val="nil"/>
            </w:tcBorders>
            <w:noWrap w:val="0"/>
            <w:vAlign w:val="center"/>
          </w:tcPr>
          <w:p w14:paraId="73EDC7DE">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≤0.01</w:t>
            </w:r>
          </w:p>
        </w:tc>
      </w:tr>
      <w:tr w14:paraId="532F6A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90" w:hRule="atLeast"/>
        </w:trPr>
        <w:tc>
          <w:tcPr>
            <w:tcW w:w="721" w:type="pct"/>
            <w:tcBorders>
              <w:tl2br w:val="nil"/>
              <w:tr2bl w:val="nil"/>
            </w:tcBorders>
            <w:noWrap w:val="0"/>
            <w:vAlign w:val="center"/>
          </w:tcPr>
          <w:p w14:paraId="2D4E75F2">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6</w:t>
            </w:r>
          </w:p>
        </w:tc>
        <w:tc>
          <w:tcPr>
            <w:tcW w:w="1285" w:type="pct"/>
            <w:tcBorders>
              <w:tl2br w:val="nil"/>
              <w:tr2bl w:val="nil"/>
            </w:tcBorders>
            <w:noWrap w:val="0"/>
            <w:vAlign w:val="center"/>
          </w:tcPr>
          <w:p w14:paraId="300E12D9">
            <w:pPr>
              <w:keepNext w:val="0"/>
              <w:keepLines w:val="0"/>
              <w:pageBreakBefore w:val="0"/>
              <w:widowControl/>
              <w:kinsoku/>
              <w:wordWrap/>
              <w:overflowPunct/>
              <w:topLinePunct w:val="0"/>
              <w:autoSpaceDE/>
              <w:autoSpaceDN/>
              <w:bidi w:val="0"/>
              <w:adjustRightInd/>
              <w:snapToGrid w:val="0"/>
              <w:spacing w:line="400" w:lineRule="exact"/>
              <w:ind w:left="72"/>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铁</w:t>
            </w:r>
          </w:p>
        </w:tc>
        <w:tc>
          <w:tcPr>
            <w:tcW w:w="676" w:type="pct"/>
            <w:tcBorders>
              <w:tl2br w:val="nil"/>
              <w:tr2bl w:val="nil"/>
            </w:tcBorders>
            <w:noWrap w:val="0"/>
            <w:vAlign w:val="center"/>
          </w:tcPr>
          <w:p w14:paraId="2D22D30A">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≤0.3</w:t>
            </w:r>
          </w:p>
        </w:tc>
        <w:tc>
          <w:tcPr>
            <w:tcW w:w="619" w:type="pct"/>
            <w:tcBorders>
              <w:tl2br w:val="nil"/>
              <w:tr2bl w:val="nil"/>
            </w:tcBorders>
            <w:noWrap w:val="0"/>
            <w:vAlign w:val="center"/>
          </w:tcPr>
          <w:p w14:paraId="7AC506D9">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19</w:t>
            </w:r>
          </w:p>
        </w:tc>
        <w:tc>
          <w:tcPr>
            <w:tcW w:w="1011" w:type="pct"/>
            <w:tcBorders>
              <w:tl2br w:val="nil"/>
              <w:tr2bl w:val="nil"/>
            </w:tcBorders>
            <w:noWrap w:val="0"/>
            <w:vAlign w:val="center"/>
          </w:tcPr>
          <w:p w14:paraId="4A27D482">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钾</w:t>
            </w:r>
          </w:p>
        </w:tc>
        <w:tc>
          <w:tcPr>
            <w:tcW w:w="685" w:type="pct"/>
            <w:tcBorders>
              <w:tl2br w:val="nil"/>
              <w:tr2bl w:val="nil"/>
            </w:tcBorders>
            <w:noWrap w:val="0"/>
            <w:vAlign w:val="center"/>
          </w:tcPr>
          <w:p w14:paraId="0CA33909">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spacing w:val="4"/>
                <w:kern w:val="0"/>
                <w:sz w:val="21"/>
                <w:szCs w:val="21"/>
                <w:highlight w:val="none"/>
                <w:u w:val="none"/>
              </w:rPr>
              <w:t>/</w:t>
            </w:r>
          </w:p>
        </w:tc>
      </w:tr>
      <w:tr w14:paraId="00A33C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6ED520F3">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7</w:t>
            </w:r>
          </w:p>
        </w:tc>
        <w:tc>
          <w:tcPr>
            <w:tcW w:w="1285" w:type="pct"/>
            <w:tcBorders>
              <w:tl2br w:val="nil"/>
              <w:tr2bl w:val="nil"/>
            </w:tcBorders>
            <w:noWrap w:val="0"/>
            <w:vAlign w:val="center"/>
          </w:tcPr>
          <w:p w14:paraId="64630A92">
            <w:pPr>
              <w:keepNext w:val="0"/>
              <w:keepLines w:val="0"/>
              <w:pageBreakBefore w:val="0"/>
              <w:widowControl/>
              <w:kinsoku/>
              <w:wordWrap/>
              <w:overflowPunct/>
              <w:topLinePunct w:val="0"/>
              <w:autoSpaceDE/>
              <w:autoSpaceDN/>
              <w:bidi w:val="0"/>
              <w:adjustRightInd/>
              <w:snapToGrid w:val="0"/>
              <w:spacing w:line="400" w:lineRule="exact"/>
              <w:ind w:left="72"/>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锰</w:t>
            </w:r>
          </w:p>
        </w:tc>
        <w:tc>
          <w:tcPr>
            <w:tcW w:w="676" w:type="pct"/>
            <w:tcBorders>
              <w:tl2br w:val="nil"/>
              <w:tr2bl w:val="nil"/>
            </w:tcBorders>
            <w:noWrap w:val="0"/>
            <w:vAlign w:val="center"/>
          </w:tcPr>
          <w:p w14:paraId="064503B0">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≤0.10</w:t>
            </w:r>
          </w:p>
        </w:tc>
        <w:tc>
          <w:tcPr>
            <w:tcW w:w="619" w:type="pct"/>
            <w:tcBorders>
              <w:tl2br w:val="nil"/>
              <w:tr2bl w:val="nil"/>
            </w:tcBorders>
            <w:noWrap w:val="0"/>
            <w:vAlign w:val="center"/>
          </w:tcPr>
          <w:p w14:paraId="329E95DA">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20</w:t>
            </w:r>
          </w:p>
        </w:tc>
        <w:tc>
          <w:tcPr>
            <w:tcW w:w="1011" w:type="pct"/>
            <w:tcBorders>
              <w:tl2br w:val="nil"/>
              <w:tr2bl w:val="nil"/>
            </w:tcBorders>
            <w:noWrap w:val="0"/>
            <w:vAlign w:val="center"/>
          </w:tcPr>
          <w:p w14:paraId="2A6329AC">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钙</w:t>
            </w:r>
          </w:p>
        </w:tc>
        <w:tc>
          <w:tcPr>
            <w:tcW w:w="685" w:type="pct"/>
            <w:tcBorders>
              <w:tl2br w:val="nil"/>
              <w:tr2bl w:val="nil"/>
            </w:tcBorders>
            <w:noWrap w:val="0"/>
            <w:vAlign w:val="center"/>
          </w:tcPr>
          <w:p w14:paraId="6C6FF827">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spacing w:val="4"/>
                <w:kern w:val="0"/>
                <w:sz w:val="21"/>
                <w:szCs w:val="21"/>
                <w:highlight w:val="none"/>
                <w:u w:val="none"/>
              </w:rPr>
              <w:t>/</w:t>
            </w:r>
          </w:p>
        </w:tc>
      </w:tr>
      <w:tr w14:paraId="217E3C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7BFA85B9">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8</w:t>
            </w:r>
          </w:p>
        </w:tc>
        <w:tc>
          <w:tcPr>
            <w:tcW w:w="1285" w:type="pct"/>
            <w:tcBorders>
              <w:tl2br w:val="nil"/>
              <w:tr2bl w:val="nil"/>
            </w:tcBorders>
            <w:noWrap w:val="0"/>
            <w:vAlign w:val="center"/>
          </w:tcPr>
          <w:p w14:paraId="36176799">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挥发酚</w:t>
            </w:r>
          </w:p>
        </w:tc>
        <w:tc>
          <w:tcPr>
            <w:tcW w:w="676" w:type="pct"/>
            <w:tcBorders>
              <w:tl2br w:val="nil"/>
              <w:tr2bl w:val="nil"/>
            </w:tcBorders>
            <w:noWrap w:val="0"/>
            <w:vAlign w:val="center"/>
          </w:tcPr>
          <w:p w14:paraId="0FB777CE">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≤0.002</w:t>
            </w:r>
          </w:p>
        </w:tc>
        <w:tc>
          <w:tcPr>
            <w:tcW w:w="619" w:type="pct"/>
            <w:tcBorders>
              <w:tl2br w:val="nil"/>
              <w:tr2bl w:val="nil"/>
            </w:tcBorders>
            <w:noWrap w:val="0"/>
            <w:vAlign w:val="center"/>
          </w:tcPr>
          <w:p w14:paraId="7C43E2DC">
            <w:pPr>
              <w:keepNext w:val="0"/>
              <w:keepLines w:val="0"/>
              <w:pageBreakBefore w:val="0"/>
              <w:widowControl/>
              <w:kinsoku/>
              <w:wordWrap/>
              <w:overflowPunct/>
              <w:topLinePunct w:val="0"/>
              <w:autoSpaceDE/>
              <w:autoSpaceDN/>
              <w:bidi w:val="0"/>
              <w:adjustRightInd/>
              <w:spacing w:line="400" w:lineRule="exact"/>
              <w:jc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21</w:t>
            </w:r>
          </w:p>
        </w:tc>
        <w:tc>
          <w:tcPr>
            <w:tcW w:w="1011" w:type="pct"/>
            <w:tcBorders>
              <w:tl2br w:val="nil"/>
              <w:tr2bl w:val="nil"/>
            </w:tcBorders>
            <w:noWrap w:val="0"/>
            <w:vAlign w:val="center"/>
          </w:tcPr>
          <w:p w14:paraId="066E9BBB">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镁</w:t>
            </w:r>
          </w:p>
        </w:tc>
        <w:tc>
          <w:tcPr>
            <w:tcW w:w="685" w:type="pct"/>
            <w:tcBorders>
              <w:tl2br w:val="nil"/>
              <w:tr2bl w:val="nil"/>
            </w:tcBorders>
            <w:noWrap w:val="0"/>
            <w:vAlign w:val="center"/>
          </w:tcPr>
          <w:p w14:paraId="120DD12D">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w:t>
            </w:r>
          </w:p>
        </w:tc>
      </w:tr>
      <w:tr w14:paraId="140C6D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01E22E9A">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9</w:t>
            </w:r>
          </w:p>
        </w:tc>
        <w:tc>
          <w:tcPr>
            <w:tcW w:w="1285" w:type="pct"/>
            <w:tcBorders>
              <w:tl2br w:val="nil"/>
              <w:tr2bl w:val="nil"/>
            </w:tcBorders>
            <w:noWrap w:val="0"/>
            <w:vAlign w:val="center"/>
          </w:tcPr>
          <w:p w14:paraId="241FF019">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耗氧量</w:t>
            </w:r>
          </w:p>
        </w:tc>
        <w:tc>
          <w:tcPr>
            <w:tcW w:w="676" w:type="pct"/>
            <w:tcBorders>
              <w:tl2br w:val="nil"/>
              <w:tr2bl w:val="nil"/>
            </w:tcBorders>
            <w:noWrap w:val="0"/>
            <w:vAlign w:val="center"/>
          </w:tcPr>
          <w:p w14:paraId="29EC15EC">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≤3.0</w:t>
            </w:r>
          </w:p>
        </w:tc>
        <w:tc>
          <w:tcPr>
            <w:tcW w:w="619" w:type="pct"/>
            <w:tcBorders>
              <w:tl2br w:val="nil"/>
              <w:tr2bl w:val="nil"/>
            </w:tcBorders>
            <w:noWrap w:val="0"/>
            <w:vAlign w:val="center"/>
          </w:tcPr>
          <w:p w14:paraId="10C01AD3">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22</w:t>
            </w:r>
          </w:p>
        </w:tc>
        <w:tc>
          <w:tcPr>
            <w:tcW w:w="1011" w:type="pct"/>
            <w:tcBorders>
              <w:tl2br w:val="nil"/>
              <w:tr2bl w:val="nil"/>
            </w:tcBorders>
            <w:noWrap w:val="0"/>
            <w:vAlign w:val="center"/>
          </w:tcPr>
          <w:p w14:paraId="354DEF0E">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碳酸盐</w:t>
            </w:r>
          </w:p>
        </w:tc>
        <w:tc>
          <w:tcPr>
            <w:tcW w:w="685" w:type="pct"/>
            <w:tcBorders>
              <w:tl2br w:val="nil"/>
              <w:tr2bl w:val="nil"/>
            </w:tcBorders>
            <w:noWrap w:val="0"/>
            <w:vAlign w:val="center"/>
          </w:tcPr>
          <w:p w14:paraId="299822E3">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spacing w:val="4"/>
                <w:kern w:val="0"/>
                <w:sz w:val="21"/>
                <w:szCs w:val="21"/>
                <w:highlight w:val="none"/>
                <w:u w:val="none"/>
              </w:rPr>
              <w:t>/</w:t>
            </w:r>
          </w:p>
        </w:tc>
      </w:tr>
      <w:tr w14:paraId="53FEAF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794A3297">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10</w:t>
            </w:r>
          </w:p>
        </w:tc>
        <w:tc>
          <w:tcPr>
            <w:tcW w:w="1285" w:type="pct"/>
            <w:tcBorders>
              <w:tl2br w:val="nil"/>
              <w:tr2bl w:val="nil"/>
            </w:tcBorders>
            <w:noWrap w:val="0"/>
            <w:vAlign w:val="center"/>
          </w:tcPr>
          <w:p w14:paraId="57E90060">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氨氮</w:t>
            </w:r>
          </w:p>
        </w:tc>
        <w:tc>
          <w:tcPr>
            <w:tcW w:w="676" w:type="pct"/>
            <w:tcBorders>
              <w:tl2br w:val="nil"/>
              <w:tr2bl w:val="nil"/>
            </w:tcBorders>
            <w:noWrap w:val="0"/>
            <w:vAlign w:val="center"/>
          </w:tcPr>
          <w:p w14:paraId="035B88E1">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≤0.50</w:t>
            </w:r>
          </w:p>
        </w:tc>
        <w:tc>
          <w:tcPr>
            <w:tcW w:w="619" w:type="pct"/>
            <w:tcBorders>
              <w:tl2br w:val="nil"/>
              <w:tr2bl w:val="nil"/>
            </w:tcBorders>
            <w:noWrap w:val="0"/>
            <w:vAlign w:val="center"/>
          </w:tcPr>
          <w:p w14:paraId="0FE3B29C">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23</w:t>
            </w:r>
          </w:p>
        </w:tc>
        <w:tc>
          <w:tcPr>
            <w:tcW w:w="1011" w:type="pct"/>
            <w:tcBorders>
              <w:tl2br w:val="nil"/>
              <w:tr2bl w:val="nil"/>
            </w:tcBorders>
            <w:noWrap w:val="0"/>
            <w:vAlign w:val="center"/>
          </w:tcPr>
          <w:p w14:paraId="353C0ECB">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重碳酸盐</w:t>
            </w:r>
          </w:p>
        </w:tc>
        <w:tc>
          <w:tcPr>
            <w:tcW w:w="685" w:type="pct"/>
            <w:tcBorders>
              <w:tl2br w:val="nil"/>
              <w:tr2bl w:val="nil"/>
            </w:tcBorders>
            <w:noWrap w:val="0"/>
            <w:vAlign w:val="center"/>
          </w:tcPr>
          <w:p w14:paraId="7F990627">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spacing w:val="4"/>
                <w:kern w:val="0"/>
                <w:sz w:val="21"/>
                <w:szCs w:val="21"/>
                <w:highlight w:val="none"/>
                <w:u w:val="none"/>
              </w:rPr>
              <w:t>/</w:t>
            </w:r>
          </w:p>
        </w:tc>
      </w:tr>
      <w:tr w14:paraId="251687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5279CD02">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11</w:t>
            </w:r>
          </w:p>
        </w:tc>
        <w:tc>
          <w:tcPr>
            <w:tcW w:w="1285" w:type="pct"/>
            <w:tcBorders>
              <w:tl2br w:val="nil"/>
              <w:tr2bl w:val="nil"/>
            </w:tcBorders>
            <w:noWrap w:val="0"/>
            <w:vAlign w:val="center"/>
          </w:tcPr>
          <w:p w14:paraId="44EA52FC">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钠</w:t>
            </w:r>
          </w:p>
        </w:tc>
        <w:tc>
          <w:tcPr>
            <w:tcW w:w="676" w:type="pct"/>
            <w:tcBorders>
              <w:tl2br w:val="nil"/>
              <w:tr2bl w:val="nil"/>
            </w:tcBorders>
            <w:noWrap w:val="0"/>
            <w:vAlign w:val="center"/>
          </w:tcPr>
          <w:p w14:paraId="4F6BACEB">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≤200</w:t>
            </w:r>
          </w:p>
        </w:tc>
        <w:tc>
          <w:tcPr>
            <w:tcW w:w="619" w:type="pct"/>
            <w:tcBorders>
              <w:tl2br w:val="nil"/>
              <w:tr2bl w:val="nil"/>
            </w:tcBorders>
            <w:noWrap w:val="0"/>
            <w:vAlign w:val="center"/>
          </w:tcPr>
          <w:p w14:paraId="5C88AF24">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24</w:t>
            </w:r>
          </w:p>
        </w:tc>
        <w:tc>
          <w:tcPr>
            <w:tcW w:w="1011" w:type="pct"/>
            <w:tcBorders>
              <w:tl2br w:val="nil"/>
              <w:tr2bl w:val="nil"/>
            </w:tcBorders>
            <w:noWrap w:val="0"/>
            <w:vAlign w:val="center"/>
          </w:tcPr>
          <w:p w14:paraId="7D6B8001">
            <w:pPr>
              <w:keepNext w:val="0"/>
              <w:keepLines w:val="0"/>
              <w:pageBreakBefore w:val="0"/>
              <w:widowControl w:val="0"/>
              <w:kinsoku/>
              <w:wordWrap/>
              <w:overflowPunct/>
              <w:topLinePunct w:val="0"/>
              <w:autoSpaceDE/>
              <w:autoSpaceDN/>
              <w:bidi w:val="0"/>
              <w:adjustRightInd/>
              <w:spacing w:line="400" w:lineRule="exact"/>
              <w:jc w:val="center"/>
              <w:textAlignment w:val="center"/>
              <w:rPr>
                <w:rFonts w:hint="eastAsia" w:ascii="宋体" w:hAnsi="宋体" w:eastAsia="宋体" w:cs="宋体"/>
                <w:bCs/>
                <w:color w:val="auto"/>
                <w:spacing w:val="4"/>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石油类</w:t>
            </w:r>
          </w:p>
        </w:tc>
        <w:tc>
          <w:tcPr>
            <w:tcW w:w="685" w:type="pct"/>
            <w:tcBorders>
              <w:tl2br w:val="nil"/>
              <w:tr2bl w:val="nil"/>
            </w:tcBorders>
            <w:noWrap w:val="0"/>
            <w:vAlign w:val="center"/>
          </w:tcPr>
          <w:p w14:paraId="082A88B7">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≤0.05</w:t>
            </w:r>
          </w:p>
        </w:tc>
      </w:tr>
      <w:tr w14:paraId="62B2BA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47EF57FD">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12</w:t>
            </w:r>
          </w:p>
        </w:tc>
        <w:tc>
          <w:tcPr>
            <w:tcW w:w="1285" w:type="pct"/>
            <w:tcBorders>
              <w:tl2br w:val="nil"/>
              <w:tr2bl w:val="nil"/>
            </w:tcBorders>
            <w:noWrap w:val="0"/>
            <w:vAlign w:val="center"/>
          </w:tcPr>
          <w:p w14:paraId="5700C0D5">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氰化物</w:t>
            </w:r>
          </w:p>
        </w:tc>
        <w:tc>
          <w:tcPr>
            <w:tcW w:w="676" w:type="pct"/>
            <w:tcBorders>
              <w:tl2br w:val="nil"/>
              <w:tr2bl w:val="nil"/>
            </w:tcBorders>
            <w:noWrap w:val="0"/>
            <w:vAlign w:val="center"/>
          </w:tcPr>
          <w:p w14:paraId="6DEAFB68">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≤0.05</w:t>
            </w:r>
          </w:p>
        </w:tc>
        <w:tc>
          <w:tcPr>
            <w:tcW w:w="619" w:type="pct"/>
            <w:tcBorders>
              <w:tl2br w:val="nil"/>
              <w:tr2bl w:val="nil"/>
            </w:tcBorders>
            <w:noWrap w:val="0"/>
            <w:vAlign w:val="center"/>
          </w:tcPr>
          <w:p w14:paraId="1E9F8BA9">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25</w:t>
            </w:r>
          </w:p>
        </w:tc>
        <w:tc>
          <w:tcPr>
            <w:tcW w:w="1011" w:type="pct"/>
            <w:tcBorders>
              <w:tl2br w:val="nil"/>
              <w:tr2bl w:val="nil"/>
            </w:tcBorders>
            <w:noWrap w:val="0"/>
            <w:vAlign w:val="center"/>
          </w:tcPr>
          <w:p w14:paraId="3D3327A4">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硝酸盐（以氮计）</w:t>
            </w:r>
          </w:p>
        </w:tc>
        <w:tc>
          <w:tcPr>
            <w:tcW w:w="685" w:type="pct"/>
            <w:tcBorders>
              <w:tl2br w:val="nil"/>
              <w:tr2bl w:val="nil"/>
            </w:tcBorders>
            <w:noWrap w:val="0"/>
            <w:vAlign w:val="center"/>
          </w:tcPr>
          <w:p w14:paraId="3E7B9386">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≤20</w:t>
            </w:r>
          </w:p>
        </w:tc>
      </w:tr>
      <w:tr w14:paraId="3C86BA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20" w:hRule="atLeast"/>
        </w:trPr>
        <w:tc>
          <w:tcPr>
            <w:tcW w:w="721" w:type="pct"/>
            <w:tcBorders>
              <w:tl2br w:val="nil"/>
              <w:tr2bl w:val="nil"/>
            </w:tcBorders>
            <w:noWrap w:val="0"/>
            <w:vAlign w:val="center"/>
          </w:tcPr>
          <w:p w14:paraId="3D03C033">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13</w:t>
            </w:r>
          </w:p>
        </w:tc>
        <w:tc>
          <w:tcPr>
            <w:tcW w:w="1285" w:type="pct"/>
            <w:tcBorders>
              <w:tl2br w:val="nil"/>
              <w:tr2bl w:val="nil"/>
            </w:tcBorders>
            <w:noWrap w:val="0"/>
            <w:vAlign w:val="center"/>
          </w:tcPr>
          <w:p w14:paraId="05D77C18">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亚硝酸盐氮</w:t>
            </w:r>
          </w:p>
        </w:tc>
        <w:tc>
          <w:tcPr>
            <w:tcW w:w="676" w:type="pct"/>
            <w:tcBorders>
              <w:tl2br w:val="nil"/>
              <w:tr2bl w:val="nil"/>
            </w:tcBorders>
            <w:noWrap w:val="0"/>
            <w:vAlign w:val="center"/>
          </w:tcPr>
          <w:p w14:paraId="6B0B8997">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rPr>
              <w:t>≤1.0</w:t>
            </w:r>
          </w:p>
        </w:tc>
        <w:tc>
          <w:tcPr>
            <w:tcW w:w="619" w:type="pct"/>
            <w:tcBorders>
              <w:tl2br w:val="nil"/>
              <w:tr2bl w:val="nil"/>
            </w:tcBorders>
            <w:noWrap w:val="0"/>
            <w:vAlign w:val="center"/>
          </w:tcPr>
          <w:p w14:paraId="3B72A095">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bidi="ar-SA"/>
              </w:rPr>
              <w:t>26</w:t>
            </w:r>
          </w:p>
        </w:tc>
        <w:tc>
          <w:tcPr>
            <w:tcW w:w="1011" w:type="pct"/>
            <w:tcBorders>
              <w:tl2br w:val="nil"/>
              <w:tr2bl w:val="nil"/>
            </w:tcBorders>
            <w:noWrap w:val="0"/>
            <w:vAlign w:val="center"/>
          </w:tcPr>
          <w:p w14:paraId="0F166BA9">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color w:val="auto"/>
                <w:spacing w:val="4"/>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氟化物</w:t>
            </w:r>
          </w:p>
        </w:tc>
        <w:tc>
          <w:tcPr>
            <w:tcW w:w="685" w:type="pct"/>
            <w:tcBorders>
              <w:tl2br w:val="nil"/>
              <w:tr2bl w:val="nil"/>
            </w:tcBorders>
            <w:noWrap w:val="0"/>
            <w:vAlign w:val="center"/>
          </w:tcPr>
          <w:p w14:paraId="27A52DC7">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≤1.0</w:t>
            </w:r>
          </w:p>
        </w:tc>
      </w:tr>
    </w:tbl>
    <w:p w14:paraId="05B9532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pacing w:val="6"/>
          <w:kern w:val="0"/>
          <w:sz w:val="21"/>
          <w:szCs w:val="21"/>
          <w:highlight w:val="none"/>
          <w:u w:val="none"/>
          <w:lang w:eastAsia="zh-CN"/>
        </w:rPr>
      </w:pPr>
      <w:r>
        <w:rPr>
          <w:rFonts w:hint="default" w:ascii="Times New Roman" w:hAnsi="Times New Roman" w:cs="Times New Roman"/>
          <w:b w:val="0"/>
          <w:bCs/>
          <w:color w:val="auto"/>
          <w:kern w:val="0"/>
          <w:sz w:val="21"/>
          <w:szCs w:val="21"/>
          <w:highlight w:val="none"/>
          <w:u w:val="none"/>
        </w:rPr>
        <w:t>注：石油类参照执行《地表水环境质量标准》（GB3838-2002）中的III类标准值</w:t>
      </w:r>
      <w:r>
        <w:rPr>
          <w:rFonts w:hint="eastAsia" w:cs="Times New Roman"/>
          <w:b w:val="0"/>
          <w:bCs/>
          <w:color w:val="auto"/>
          <w:kern w:val="0"/>
          <w:sz w:val="21"/>
          <w:szCs w:val="21"/>
          <w:highlight w:val="none"/>
          <w:u w:val="none"/>
          <w:lang w:eastAsia="zh-CN"/>
        </w:rPr>
        <w:t>。</w:t>
      </w:r>
    </w:p>
    <w:p w14:paraId="083E603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（3）声环境</w:t>
      </w:r>
    </w:p>
    <w:p w14:paraId="4678EE8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声环境执行《声环境质量标准》（GB3096-2008）中2类标准，即昼间60dB（A），夜间50dB（A）。</w:t>
      </w:r>
    </w:p>
    <w:p w14:paraId="13EA03E1">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zh-CN" w:eastAsia="zh-CN" w:bidi="ar-SA"/>
        </w:rPr>
      </w:pPr>
      <w:r>
        <w:rPr>
          <w:rFonts w:hint="default" w:ascii="宋体" w:hAnsi="宋体" w:eastAsia="宋体" w:cs="宋体"/>
          <w:color w:val="auto"/>
          <w:sz w:val="24"/>
          <w:szCs w:val="24"/>
          <w:highlight w:val="none"/>
          <w:u w:val="none"/>
          <w:lang w:val="zh-CN" w:eastAsia="zh-CN" w:bidi="ar-SA"/>
        </w:rPr>
        <w:t>（4）土壤环境</w:t>
      </w:r>
    </w:p>
    <w:p w14:paraId="12A7B8D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Times New Roman" w:hAnsi="Times New Roman" w:cs="Times New Roman"/>
          <w:color w:val="auto"/>
          <w:spacing w:val="6"/>
          <w:kern w:val="0"/>
          <w:sz w:val="24"/>
          <w:szCs w:val="24"/>
          <w:highlight w:val="none"/>
          <w:u w:val="none"/>
        </w:rPr>
      </w:pPr>
      <w:r>
        <w:rPr>
          <w:rFonts w:hint="default" w:ascii="宋体" w:hAnsi="宋体" w:eastAsia="宋体" w:cs="宋体"/>
          <w:color w:val="auto"/>
          <w:sz w:val="24"/>
          <w:szCs w:val="24"/>
          <w:highlight w:val="none"/>
          <w:u w:val="none"/>
          <w:lang w:val="zh-CN" w:eastAsia="zh-CN" w:bidi="ar-SA"/>
        </w:rPr>
        <w:t>工程</w:t>
      </w:r>
      <w:r>
        <w:rPr>
          <w:rFonts w:hint="default" w:ascii="宋体" w:hAnsi="宋体" w:eastAsia="宋体" w:cs="宋体"/>
          <w:color w:val="auto"/>
          <w:sz w:val="24"/>
          <w:szCs w:val="24"/>
          <w:highlight w:val="none"/>
          <w:u w:val="none"/>
          <w:lang w:val="en-US" w:eastAsia="zh-CN" w:bidi="ar-SA"/>
        </w:rPr>
        <w:t>占地</w:t>
      </w:r>
      <w:r>
        <w:rPr>
          <w:rFonts w:hint="default" w:ascii="宋体" w:hAnsi="宋体" w:eastAsia="宋体" w:cs="宋体"/>
          <w:color w:val="auto"/>
          <w:sz w:val="24"/>
          <w:szCs w:val="24"/>
          <w:highlight w:val="none"/>
          <w:u w:val="none"/>
          <w:lang w:val="zh-CN" w:eastAsia="zh-CN" w:bidi="ar-SA"/>
        </w:rPr>
        <w:t>范围内</w:t>
      </w:r>
      <w:r>
        <w:rPr>
          <w:rFonts w:hint="eastAsia" w:ascii="宋体" w:hAnsi="宋体" w:eastAsia="宋体" w:cs="宋体"/>
          <w:color w:val="auto"/>
          <w:sz w:val="24"/>
          <w:szCs w:val="24"/>
          <w:highlight w:val="none"/>
          <w:u w:val="none"/>
          <w:lang w:val="zh-CN" w:eastAsia="zh-CN" w:bidi="ar-SA"/>
        </w:rPr>
        <w:t>、</w:t>
      </w:r>
      <w:r>
        <w:rPr>
          <w:rFonts w:hint="eastAsia" w:ascii="宋体" w:hAnsi="宋体" w:eastAsia="宋体" w:cs="宋体"/>
          <w:color w:val="auto"/>
          <w:sz w:val="24"/>
          <w:szCs w:val="24"/>
          <w:highlight w:val="none"/>
          <w:u w:val="none"/>
          <w:lang w:val="en-US" w:eastAsia="zh-CN" w:bidi="ar-SA"/>
        </w:rPr>
        <w:t>外</w:t>
      </w:r>
      <w:r>
        <w:rPr>
          <w:rFonts w:hint="default" w:ascii="宋体" w:hAnsi="宋体" w:eastAsia="宋体" w:cs="宋体"/>
          <w:color w:val="auto"/>
          <w:sz w:val="24"/>
          <w:szCs w:val="24"/>
          <w:highlight w:val="none"/>
          <w:u w:val="none"/>
          <w:lang w:val="zh-CN" w:eastAsia="zh-CN" w:bidi="ar-SA"/>
        </w:rPr>
        <w:t>土壤质量</w:t>
      </w:r>
      <w:r>
        <w:rPr>
          <w:rFonts w:hint="eastAsia" w:ascii="宋体" w:hAnsi="宋体" w:eastAsia="宋体" w:cs="宋体"/>
          <w:color w:val="auto"/>
          <w:sz w:val="24"/>
          <w:szCs w:val="24"/>
          <w:highlight w:val="none"/>
          <w:u w:val="none"/>
          <w:lang w:val="en-US" w:eastAsia="zh-CN" w:bidi="ar-SA"/>
        </w:rPr>
        <w:t>均</w:t>
      </w:r>
      <w:r>
        <w:rPr>
          <w:rFonts w:hint="default" w:ascii="宋体" w:hAnsi="宋体" w:eastAsia="宋体" w:cs="宋体"/>
          <w:color w:val="auto"/>
          <w:sz w:val="24"/>
          <w:szCs w:val="24"/>
          <w:highlight w:val="none"/>
          <w:u w:val="none"/>
          <w:lang w:val="zh-CN" w:eastAsia="zh-CN" w:bidi="ar-SA"/>
        </w:rPr>
        <w:t>执行《土壤环境质量 建设用地土壤污染风险管控标准（试行）》（GB36600-2018）第二类用地风险筛选值。见表2.</w:t>
      </w:r>
      <w:r>
        <w:rPr>
          <w:rFonts w:hint="eastAsia" w:ascii="宋体" w:hAnsi="宋体" w:eastAsia="宋体" w:cs="宋体"/>
          <w:color w:val="auto"/>
          <w:sz w:val="24"/>
          <w:szCs w:val="24"/>
          <w:highlight w:val="none"/>
          <w:u w:val="none"/>
          <w:lang w:val="en-US" w:eastAsia="zh-CN" w:bidi="ar-SA"/>
        </w:rPr>
        <w:t>4</w:t>
      </w:r>
      <w:r>
        <w:rPr>
          <w:rFonts w:hint="default" w:ascii="宋体" w:hAnsi="宋体" w:eastAsia="宋体" w:cs="宋体"/>
          <w:color w:val="auto"/>
          <w:sz w:val="24"/>
          <w:szCs w:val="24"/>
          <w:highlight w:val="none"/>
          <w:u w:val="none"/>
          <w:lang w:val="zh-CN" w:eastAsia="zh-CN" w:bidi="ar-SA"/>
        </w:rPr>
        <w:t>-3。</w:t>
      </w:r>
    </w:p>
    <w:p w14:paraId="766DA4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表2.</w:t>
      </w:r>
      <w:r>
        <w:rPr>
          <w:rFonts w:hint="eastAsia" w:ascii="黑体" w:hAnsi="黑体" w:eastAsia="黑体" w:cs="黑体"/>
          <w:b w:val="0"/>
          <w:bCs/>
          <w:color w:val="auto"/>
          <w:kern w:val="2"/>
          <w:sz w:val="24"/>
          <w:szCs w:val="24"/>
          <w:u w:val="none"/>
          <w:lang w:val="en-US" w:eastAsia="zh-CN" w:bidi="ar-SA"/>
        </w:rPr>
        <w:t>4</w:t>
      </w:r>
      <w:r>
        <w:rPr>
          <w:rFonts w:hint="default" w:ascii="黑体" w:hAnsi="黑体" w:eastAsia="黑体" w:cs="黑体"/>
          <w:b w:val="0"/>
          <w:bCs/>
          <w:color w:val="auto"/>
          <w:kern w:val="2"/>
          <w:sz w:val="24"/>
          <w:szCs w:val="24"/>
          <w:u w:val="none"/>
          <w:lang w:val="en-US" w:eastAsia="zh-CN" w:bidi="ar-SA"/>
        </w:rPr>
        <w:t>-3</w:t>
      </w:r>
      <w:r>
        <w:rPr>
          <w:rFonts w:hint="eastAsia" w:ascii="黑体" w:hAnsi="黑体" w:eastAsia="黑体" w:cs="黑体"/>
          <w:b w:val="0"/>
          <w:bCs/>
          <w:color w:val="auto"/>
          <w:kern w:val="2"/>
          <w:sz w:val="24"/>
          <w:szCs w:val="24"/>
          <w:u w:val="none"/>
          <w:lang w:val="en-US" w:eastAsia="zh-CN" w:bidi="ar-SA"/>
        </w:rPr>
        <w:t xml:space="preserve">  </w:t>
      </w:r>
      <w:r>
        <w:rPr>
          <w:rFonts w:hint="default" w:ascii="黑体" w:hAnsi="黑体" w:eastAsia="黑体" w:cs="黑体"/>
          <w:b w:val="0"/>
          <w:bCs/>
          <w:color w:val="auto"/>
          <w:kern w:val="2"/>
          <w:sz w:val="24"/>
          <w:szCs w:val="24"/>
          <w:u w:val="none"/>
          <w:lang w:val="en-US" w:eastAsia="zh-CN" w:bidi="ar-SA"/>
        </w:rPr>
        <w:t>建设用地土壤污染风险筛选值</w:t>
      </w:r>
    </w:p>
    <w:tbl>
      <w:tblPr>
        <w:tblStyle w:val="37"/>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Layout w:type="autofit"/>
        <w:tblCellMar>
          <w:top w:w="0" w:type="dxa"/>
          <w:left w:w="108" w:type="dxa"/>
          <w:bottom w:w="0" w:type="dxa"/>
          <w:right w:w="108" w:type="dxa"/>
        </w:tblCellMar>
      </w:tblPr>
      <w:tblGrid>
        <w:gridCol w:w="693"/>
        <w:gridCol w:w="1866"/>
        <w:gridCol w:w="924"/>
        <w:gridCol w:w="924"/>
        <w:gridCol w:w="695"/>
        <w:gridCol w:w="1902"/>
        <w:gridCol w:w="905"/>
        <w:gridCol w:w="921"/>
      </w:tblGrid>
      <w:tr w14:paraId="73BDFF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49" w:hRule="atLeast"/>
        </w:trPr>
        <w:tc>
          <w:tcPr>
            <w:tcW w:w="392" w:type="pct"/>
            <w:tcBorders>
              <w:tl2br w:val="nil"/>
              <w:tr2bl w:val="nil"/>
            </w:tcBorders>
            <w:noWrap w:val="0"/>
            <w:vAlign w:val="center"/>
          </w:tcPr>
          <w:p w14:paraId="3F671C2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序号</w:t>
            </w:r>
          </w:p>
        </w:tc>
        <w:tc>
          <w:tcPr>
            <w:tcW w:w="1056" w:type="pct"/>
            <w:tcBorders>
              <w:tl2br w:val="nil"/>
              <w:tr2bl w:val="nil"/>
            </w:tcBorders>
            <w:noWrap w:val="0"/>
            <w:vAlign w:val="center"/>
          </w:tcPr>
          <w:p w14:paraId="787F407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监测项目</w:t>
            </w:r>
          </w:p>
        </w:tc>
        <w:tc>
          <w:tcPr>
            <w:tcW w:w="523" w:type="pct"/>
            <w:tcBorders>
              <w:tl2br w:val="nil"/>
              <w:tr2bl w:val="nil"/>
            </w:tcBorders>
            <w:noWrap w:val="0"/>
            <w:vAlign w:val="center"/>
          </w:tcPr>
          <w:p w14:paraId="68EEDE2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单位</w:t>
            </w:r>
          </w:p>
        </w:tc>
        <w:tc>
          <w:tcPr>
            <w:tcW w:w="523" w:type="pct"/>
            <w:tcBorders>
              <w:tl2br w:val="nil"/>
              <w:tr2bl w:val="nil"/>
            </w:tcBorders>
            <w:noWrap w:val="0"/>
            <w:vAlign w:val="center"/>
          </w:tcPr>
          <w:p w14:paraId="7F4BE53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标准值</w:t>
            </w:r>
          </w:p>
        </w:tc>
        <w:tc>
          <w:tcPr>
            <w:tcW w:w="393" w:type="pct"/>
            <w:tcBorders>
              <w:tl2br w:val="nil"/>
              <w:tr2bl w:val="nil"/>
            </w:tcBorders>
            <w:noWrap w:val="0"/>
            <w:vAlign w:val="center"/>
          </w:tcPr>
          <w:p w14:paraId="7816472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序号</w:t>
            </w:r>
          </w:p>
        </w:tc>
        <w:tc>
          <w:tcPr>
            <w:tcW w:w="1076" w:type="pct"/>
            <w:tcBorders>
              <w:tl2br w:val="nil"/>
              <w:tr2bl w:val="nil"/>
            </w:tcBorders>
            <w:noWrap w:val="0"/>
            <w:vAlign w:val="center"/>
          </w:tcPr>
          <w:p w14:paraId="0F96144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监测项目</w:t>
            </w:r>
          </w:p>
        </w:tc>
        <w:tc>
          <w:tcPr>
            <w:tcW w:w="512" w:type="pct"/>
            <w:tcBorders>
              <w:tl2br w:val="nil"/>
              <w:tr2bl w:val="nil"/>
            </w:tcBorders>
            <w:noWrap w:val="0"/>
            <w:vAlign w:val="center"/>
          </w:tcPr>
          <w:p w14:paraId="1CA529B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单位</w:t>
            </w:r>
          </w:p>
        </w:tc>
        <w:tc>
          <w:tcPr>
            <w:tcW w:w="521" w:type="pct"/>
            <w:tcBorders>
              <w:tl2br w:val="nil"/>
              <w:tr2bl w:val="nil"/>
            </w:tcBorders>
            <w:noWrap w:val="0"/>
            <w:vAlign w:val="center"/>
          </w:tcPr>
          <w:p w14:paraId="2D9E61E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标准值</w:t>
            </w:r>
          </w:p>
        </w:tc>
      </w:tr>
      <w:tr w14:paraId="004A22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62D3819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w:t>
            </w:r>
          </w:p>
        </w:tc>
        <w:tc>
          <w:tcPr>
            <w:tcW w:w="1056" w:type="pct"/>
            <w:tcBorders>
              <w:tl2br w:val="nil"/>
              <w:tr2bl w:val="nil"/>
            </w:tcBorders>
            <w:noWrap w:val="0"/>
            <w:vAlign w:val="center"/>
          </w:tcPr>
          <w:p w14:paraId="201E450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砷</w:t>
            </w:r>
          </w:p>
        </w:tc>
        <w:tc>
          <w:tcPr>
            <w:tcW w:w="523" w:type="pct"/>
            <w:tcBorders>
              <w:tl2br w:val="nil"/>
              <w:tr2bl w:val="nil"/>
            </w:tcBorders>
            <w:noWrap w:val="0"/>
            <w:vAlign w:val="center"/>
          </w:tcPr>
          <w:p w14:paraId="217E264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6B77214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60</w:t>
            </w:r>
          </w:p>
        </w:tc>
        <w:tc>
          <w:tcPr>
            <w:tcW w:w="393" w:type="pct"/>
            <w:tcBorders>
              <w:tl2br w:val="nil"/>
              <w:tr2bl w:val="nil"/>
            </w:tcBorders>
            <w:noWrap w:val="0"/>
            <w:vAlign w:val="center"/>
          </w:tcPr>
          <w:p w14:paraId="3275E61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25</w:t>
            </w:r>
          </w:p>
        </w:tc>
        <w:tc>
          <w:tcPr>
            <w:tcW w:w="1076" w:type="pct"/>
            <w:tcBorders>
              <w:tl2br w:val="nil"/>
              <w:tr2bl w:val="nil"/>
            </w:tcBorders>
            <w:noWrap w:val="0"/>
            <w:vAlign w:val="center"/>
          </w:tcPr>
          <w:p w14:paraId="683D1A1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氯乙烯</w:t>
            </w:r>
          </w:p>
        </w:tc>
        <w:tc>
          <w:tcPr>
            <w:tcW w:w="512" w:type="pct"/>
            <w:tcBorders>
              <w:tl2br w:val="nil"/>
              <w:tr2bl w:val="nil"/>
            </w:tcBorders>
            <w:noWrap w:val="0"/>
            <w:vAlign w:val="center"/>
          </w:tcPr>
          <w:p w14:paraId="0CB583D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48635E8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0.43</w:t>
            </w:r>
          </w:p>
        </w:tc>
      </w:tr>
      <w:tr w14:paraId="2ACDDE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3ED8D6C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2</w:t>
            </w:r>
          </w:p>
        </w:tc>
        <w:tc>
          <w:tcPr>
            <w:tcW w:w="1056" w:type="pct"/>
            <w:tcBorders>
              <w:tl2br w:val="nil"/>
              <w:tr2bl w:val="nil"/>
            </w:tcBorders>
            <w:noWrap w:val="0"/>
            <w:vAlign w:val="center"/>
          </w:tcPr>
          <w:p w14:paraId="56DF7AC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镉</w:t>
            </w:r>
          </w:p>
        </w:tc>
        <w:tc>
          <w:tcPr>
            <w:tcW w:w="523" w:type="pct"/>
            <w:tcBorders>
              <w:tl2br w:val="nil"/>
              <w:tr2bl w:val="nil"/>
            </w:tcBorders>
            <w:noWrap w:val="0"/>
            <w:vAlign w:val="center"/>
          </w:tcPr>
          <w:p w14:paraId="27165FF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0FF8CF8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65</w:t>
            </w:r>
          </w:p>
        </w:tc>
        <w:tc>
          <w:tcPr>
            <w:tcW w:w="393" w:type="pct"/>
            <w:tcBorders>
              <w:tl2br w:val="nil"/>
              <w:tr2bl w:val="nil"/>
            </w:tcBorders>
            <w:noWrap w:val="0"/>
            <w:vAlign w:val="center"/>
          </w:tcPr>
          <w:p w14:paraId="69F1081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26</w:t>
            </w:r>
          </w:p>
        </w:tc>
        <w:tc>
          <w:tcPr>
            <w:tcW w:w="1076" w:type="pct"/>
            <w:tcBorders>
              <w:tl2br w:val="nil"/>
              <w:tr2bl w:val="nil"/>
            </w:tcBorders>
            <w:noWrap w:val="0"/>
            <w:vAlign w:val="center"/>
          </w:tcPr>
          <w:p w14:paraId="44818F2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苯</w:t>
            </w:r>
          </w:p>
        </w:tc>
        <w:tc>
          <w:tcPr>
            <w:tcW w:w="512" w:type="pct"/>
            <w:tcBorders>
              <w:tl2br w:val="nil"/>
              <w:tr2bl w:val="nil"/>
            </w:tcBorders>
            <w:noWrap w:val="0"/>
            <w:vAlign w:val="center"/>
          </w:tcPr>
          <w:p w14:paraId="2C9B553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02490EA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4</w:t>
            </w:r>
          </w:p>
        </w:tc>
      </w:tr>
      <w:tr w14:paraId="5E0D5E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74EC95C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3</w:t>
            </w:r>
          </w:p>
        </w:tc>
        <w:tc>
          <w:tcPr>
            <w:tcW w:w="1056" w:type="pct"/>
            <w:tcBorders>
              <w:tl2br w:val="nil"/>
              <w:tr2bl w:val="nil"/>
            </w:tcBorders>
            <w:noWrap w:val="0"/>
            <w:vAlign w:val="center"/>
          </w:tcPr>
          <w:p w14:paraId="3993741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铬（六价）</w:t>
            </w:r>
          </w:p>
        </w:tc>
        <w:tc>
          <w:tcPr>
            <w:tcW w:w="523" w:type="pct"/>
            <w:tcBorders>
              <w:tl2br w:val="nil"/>
              <w:tr2bl w:val="nil"/>
            </w:tcBorders>
            <w:noWrap w:val="0"/>
            <w:vAlign w:val="center"/>
          </w:tcPr>
          <w:p w14:paraId="46458BD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2507F13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5.7</w:t>
            </w:r>
          </w:p>
        </w:tc>
        <w:tc>
          <w:tcPr>
            <w:tcW w:w="393" w:type="pct"/>
            <w:tcBorders>
              <w:tl2br w:val="nil"/>
              <w:tr2bl w:val="nil"/>
            </w:tcBorders>
            <w:noWrap w:val="0"/>
            <w:vAlign w:val="center"/>
          </w:tcPr>
          <w:p w14:paraId="18B932B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27</w:t>
            </w:r>
          </w:p>
        </w:tc>
        <w:tc>
          <w:tcPr>
            <w:tcW w:w="1076" w:type="pct"/>
            <w:tcBorders>
              <w:tl2br w:val="nil"/>
              <w:tr2bl w:val="nil"/>
            </w:tcBorders>
            <w:noWrap w:val="0"/>
            <w:vAlign w:val="center"/>
          </w:tcPr>
          <w:p w14:paraId="0D6FF94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氯苯</w:t>
            </w:r>
          </w:p>
        </w:tc>
        <w:tc>
          <w:tcPr>
            <w:tcW w:w="512" w:type="pct"/>
            <w:tcBorders>
              <w:tl2br w:val="nil"/>
              <w:tr2bl w:val="nil"/>
            </w:tcBorders>
            <w:noWrap w:val="0"/>
            <w:vAlign w:val="center"/>
          </w:tcPr>
          <w:p w14:paraId="3F0AA51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102414B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270</w:t>
            </w:r>
          </w:p>
        </w:tc>
      </w:tr>
      <w:tr w14:paraId="2531A4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0B8FAE4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4</w:t>
            </w:r>
          </w:p>
        </w:tc>
        <w:tc>
          <w:tcPr>
            <w:tcW w:w="1056" w:type="pct"/>
            <w:tcBorders>
              <w:tl2br w:val="nil"/>
              <w:tr2bl w:val="nil"/>
            </w:tcBorders>
            <w:noWrap w:val="0"/>
            <w:vAlign w:val="center"/>
          </w:tcPr>
          <w:p w14:paraId="069D059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铜</w:t>
            </w:r>
          </w:p>
        </w:tc>
        <w:tc>
          <w:tcPr>
            <w:tcW w:w="523" w:type="pct"/>
            <w:tcBorders>
              <w:tl2br w:val="nil"/>
              <w:tr2bl w:val="nil"/>
            </w:tcBorders>
            <w:noWrap w:val="0"/>
            <w:vAlign w:val="center"/>
          </w:tcPr>
          <w:p w14:paraId="5C816F0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71624B9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18000</w:t>
            </w:r>
          </w:p>
        </w:tc>
        <w:tc>
          <w:tcPr>
            <w:tcW w:w="393" w:type="pct"/>
            <w:tcBorders>
              <w:tl2br w:val="nil"/>
              <w:tr2bl w:val="nil"/>
            </w:tcBorders>
            <w:noWrap w:val="0"/>
            <w:vAlign w:val="center"/>
          </w:tcPr>
          <w:p w14:paraId="4BCF317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28</w:t>
            </w:r>
          </w:p>
        </w:tc>
        <w:tc>
          <w:tcPr>
            <w:tcW w:w="1076" w:type="pct"/>
            <w:tcBorders>
              <w:tl2br w:val="nil"/>
              <w:tr2bl w:val="nil"/>
            </w:tcBorders>
            <w:noWrap w:val="0"/>
            <w:vAlign w:val="center"/>
          </w:tcPr>
          <w:p w14:paraId="1DF645C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1,2-二氯苯</w:t>
            </w:r>
          </w:p>
        </w:tc>
        <w:tc>
          <w:tcPr>
            <w:tcW w:w="512" w:type="pct"/>
            <w:tcBorders>
              <w:tl2br w:val="nil"/>
              <w:tr2bl w:val="nil"/>
            </w:tcBorders>
            <w:noWrap w:val="0"/>
            <w:vAlign w:val="center"/>
          </w:tcPr>
          <w:p w14:paraId="6C458EA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54C101E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560</w:t>
            </w:r>
          </w:p>
        </w:tc>
      </w:tr>
      <w:tr w14:paraId="64E378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7B88B25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5</w:t>
            </w:r>
          </w:p>
        </w:tc>
        <w:tc>
          <w:tcPr>
            <w:tcW w:w="1056" w:type="pct"/>
            <w:tcBorders>
              <w:tl2br w:val="nil"/>
              <w:tr2bl w:val="nil"/>
            </w:tcBorders>
            <w:noWrap w:val="0"/>
            <w:vAlign w:val="center"/>
          </w:tcPr>
          <w:p w14:paraId="4F1B8BB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铅</w:t>
            </w:r>
          </w:p>
        </w:tc>
        <w:tc>
          <w:tcPr>
            <w:tcW w:w="523" w:type="pct"/>
            <w:tcBorders>
              <w:tl2br w:val="nil"/>
              <w:tr2bl w:val="nil"/>
            </w:tcBorders>
            <w:noWrap w:val="0"/>
            <w:vAlign w:val="center"/>
          </w:tcPr>
          <w:p w14:paraId="2AA134D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0F350E5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800</w:t>
            </w:r>
          </w:p>
        </w:tc>
        <w:tc>
          <w:tcPr>
            <w:tcW w:w="393" w:type="pct"/>
            <w:tcBorders>
              <w:tl2br w:val="nil"/>
              <w:tr2bl w:val="nil"/>
            </w:tcBorders>
            <w:noWrap w:val="0"/>
            <w:vAlign w:val="center"/>
          </w:tcPr>
          <w:p w14:paraId="7DC9F4A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29</w:t>
            </w:r>
          </w:p>
        </w:tc>
        <w:tc>
          <w:tcPr>
            <w:tcW w:w="1076" w:type="pct"/>
            <w:tcBorders>
              <w:tl2br w:val="nil"/>
              <w:tr2bl w:val="nil"/>
            </w:tcBorders>
            <w:noWrap w:val="0"/>
            <w:vAlign w:val="center"/>
          </w:tcPr>
          <w:p w14:paraId="0EC7850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1,4-二氯苯</w:t>
            </w:r>
          </w:p>
        </w:tc>
        <w:tc>
          <w:tcPr>
            <w:tcW w:w="512" w:type="pct"/>
            <w:tcBorders>
              <w:tl2br w:val="nil"/>
              <w:tr2bl w:val="nil"/>
            </w:tcBorders>
            <w:noWrap w:val="0"/>
            <w:vAlign w:val="center"/>
          </w:tcPr>
          <w:p w14:paraId="1D444B1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27D7193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20</w:t>
            </w:r>
          </w:p>
        </w:tc>
      </w:tr>
      <w:tr w14:paraId="489031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6A256A1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6</w:t>
            </w:r>
          </w:p>
        </w:tc>
        <w:tc>
          <w:tcPr>
            <w:tcW w:w="1056" w:type="pct"/>
            <w:tcBorders>
              <w:tl2br w:val="nil"/>
              <w:tr2bl w:val="nil"/>
            </w:tcBorders>
            <w:noWrap w:val="0"/>
            <w:vAlign w:val="center"/>
          </w:tcPr>
          <w:p w14:paraId="651405E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汞</w:t>
            </w:r>
          </w:p>
        </w:tc>
        <w:tc>
          <w:tcPr>
            <w:tcW w:w="523" w:type="pct"/>
            <w:tcBorders>
              <w:tl2br w:val="nil"/>
              <w:tr2bl w:val="nil"/>
            </w:tcBorders>
            <w:noWrap w:val="0"/>
            <w:vAlign w:val="center"/>
          </w:tcPr>
          <w:p w14:paraId="4187B6D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4FB9F84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38</w:t>
            </w:r>
          </w:p>
        </w:tc>
        <w:tc>
          <w:tcPr>
            <w:tcW w:w="393" w:type="pct"/>
            <w:tcBorders>
              <w:tl2br w:val="nil"/>
              <w:tr2bl w:val="nil"/>
            </w:tcBorders>
            <w:noWrap w:val="0"/>
            <w:vAlign w:val="center"/>
          </w:tcPr>
          <w:p w14:paraId="621ADF7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30</w:t>
            </w:r>
          </w:p>
        </w:tc>
        <w:tc>
          <w:tcPr>
            <w:tcW w:w="1076" w:type="pct"/>
            <w:tcBorders>
              <w:tl2br w:val="nil"/>
              <w:tr2bl w:val="nil"/>
            </w:tcBorders>
            <w:noWrap w:val="0"/>
            <w:vAlign w:val="center"/>
          </w:tcPr>
          <w:p w14:paraId="267BAB1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乙苯</w:t>
            </w:r>
          </w:p>
        </w:tc>
        <w:tc>
          <w:tcPr>
            <w:tcW w:w="512" w:type="pct"/>
            <w:tcBorders>
              <w:tl2br w:val="nil"/>
              <w:tr2bl w:val="nil"/>
            </w:tcBorders>
            <w:noWrap w:val="0"/>
            <w:vAlign w:val="center"/>
          </w:tcPr>
          <w:p w14:paraId="334104B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53BFBB7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28</w:t>
            </w:r>
          </w:p>
        </w:tc>
      </w:tr>
      <w:tr w14:paraId="0559E4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0A37C76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7</w:t>
            </w:r>
          </w:p>
        </w:tc>
        <w:tc>
          <w:tcPr>
            <w:tcW w:w="1056" w:type="pct"/>
            <w:tcBorders>
              <w:tl2br w:val="nil"/>
              <w:tr2bl w:val="nil"/>
            </w:tcBorders>
            <w:noWrap w:val="0"/>
            <w:vAlign w:val="center"/>
          </w:tcPr>
          <w:p w14:paraId="5A038A6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镍</w:t>
            </w:r>
          </w:p>
        </w:tc>
        <w:tc>
          <w:tcPr>
            <w:tcW w:w="523" w:type="pct"/>
            <w:tcBorders>
              <w:tl2br w:val="nil"/>
              <w:tr2bl w:val="nil"/>
            </w:tcBorders>
            <w:noWrap w:val="0"/>
            <w:vAlign w:val="center"/>
          </w:tcPr>
          <w:p w14:paraId="033F2BB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3F3D447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900</w:t>
            </w:r>
          </w:p>
        </w:tc>
        <w:tc>
          <w:tcPr>
            <w:tcW w:w="393" w:type="pct"/>
            <w:tcBorders>
              <w:tl2br w:val="nil"/>
              <w:tr2bl w:val="nil"/>
            </w:tcBorders>
            <w:noWrap w:val="0"/>
            <w:vAlign w:val="center"/>
          </w:tcPr>
          <w:p w14:paraId="0F395C5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31</w:t>
            </w:r>
          </w:p>
        </w:tc>
        <w:tc>
          <w:tcPr>
            <w:tcW w:w="1076" w:type="pct"/>
            <w:tcBorders>
              <w:tl2br w:val="nil"/>
              <w:tr2bl w:val="nil"/>
            </w:tcBorders>
            <w:noWrap w:val="0"/>
            <w:vAlign w:val="center"/>
          </w:tcPr>
          <w:p w14:paraId="232B45C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苯乙烯</w:t>
            </w:r>
          </w:p>
        </w:tc>
        <w:tc>
          <w:tcPr>
            <w:tcW w:w="512" w:type="pct"/>
            <w:tcBorders>
              <w:tl2br w:val="nil"/>
              <w:tr2bl w:val="nil"/>
            </w:tcBorders>
            <w:noWrap w:val="0"/>
            <w:vAlign w:val="center"/>
          </w:tcPr>
          <w:p w14:paraId="27F1E7A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532183B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1290</w:t>
            </w:r>
          </w:p>
        </w:tc>
      </w:tr>
      <w:tr w14:paraId="0AB6A5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69516F4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8</w:t>
            </w:r>
          </w:p>
        </w:tc>
        <w:tc>
          <w:tcPr>
            <w:tcW w:w="1056" w:type="pct"/>
            <w:tcBorders>
              <w:tl2br w:val="nil"/>
              <w:tr2bl w:val="nil"/>
            </w:tcBorders>
            <w:noWrap w:val="0"/>
            <w:vAlign w:val="center"/>
          </w:tcPr>
          <w:p w14:paraId="7AD2403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四氯化碳</w:t>
            </w:r>
          </w:p>
        </w:tc>
        <w:tc>
          <w:tcPr>
            <w:tcW w:w="523" w:type="pct"/>
            <w:tcBorders>
              <w:tl2br w:val="nil"/>
              <w:tr2bl w:val="nil"/>
            </w:tcBorders>
            <w:noWrap w:val="0"/>
            <w:vAlign w:val="center"/>
          </w:tcPr>
          <w:p w14:paraId="3F35F52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51BCA6D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2.8</w:t>
            </w:r>
          </w:p>
        </w:tc>
        <w:tc>
          <w:tcPr>
            <w:tcW w:w="393" w:type="pct"/>
            <w:tcBorders>
              <w:tl2br w:val="nil"/>
              <w:tr2bl w:val="nil"/>
            </w:tcBorders>
            <w:noWrap w:val="0"/>
            <w:vAlign w:val="center"/>
          </w:tcPr>
          <w:p w14:paraId="1826F70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32</w:t>
            </w:r>
          </w:p>
        </w:tc>
        <w:tc>
          <w:tcPr>
            <w:tcW w:w="1076" w:type="pct"/>
            <w:tcBorders>
              <w:tl2br w:val="nil"/>
              <w:tr2bl w:val="nil"/>
            </w:tcBorders>
            <w:noWrap w:val="0"/>
            <w:vAlign w:val="center"/>
          </w:tcPr>
          <w:p w14:paraId="09F9970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甲苯</w:t>
            </w:r>
          </w:p>
        </w:tc>
        <w:tc>
          <w:tcPr>
            <w:tcW w:w="512" w:type="pct"/>
            <w:tcBorders>
              <w:tl2br w:val="nil"/>
              <w:tr2bl w:val="nil"/>
            </w:tcBorders>
            <w:noWrap w:val="0"/>
            <w:vAlign w:val="center"/>
          </w:tcPr>
          <w:p w14:paraId="4B9B9DB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2129720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1200</w:t>
            </w:r>
          </w:p>
        </w:tc>
      </w:tr>
      <w:tr w14:paraId="374B4F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684BD46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9</w:t>
            </w:r>
          </w:p>
        </w:tc>
        <w:tc>
          <w:tcPr>
            <w:tcW w:w="1056" w:type="pct"/>
            <w:tcBorders>
              <w:tl2br w:val="nil"/>
              <w:tr2bl w:val="nil"/>
            </w:tcBorders>
            <w:noWrap w:val="0"/>
            <w:vAlign w:val="center"/>
          </w:tcPr>
          <w:p w14:paraId="0116F30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氯仿</w:t>
            </w:r>
          </w:p>
        </w:tc>
        <w:tc>
          <w:tcPr>
            <w:tcW w:w="523" w:type="pct"/>
            <w:tcBorders>
              <w:tl2br w:val="nil"/>
              <w:tr2bl w:val="nil"/>
            </w:tcBorders>
            <w:noWrap w:val="0"/>
            <w:vAlign w:val="center"/>
          </w:tcPr>
          <w:p w14:paraId="662ACCB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05BC09A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0.9</w:t>
            </w:r>
          </w:p>
        </w:tc>
        <w:tc>
          <w:tcPr>
            <w:tcW w:w="393" w:type="pct"/>
            <w:tcBorders>
              <w:tl2br w:val="nil"/>
              <w:tr2bl w:val="nil"/>
            </w:tcBorders>
            <w:noWrap w:val="0"/>
            <w:vAlign w:val="center"/>
          </w:tcPr>
          <w:p w14:paraId="0EEF45F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33</w:t>
            </w:r>
          </w:p>
        </w:tc>
        <w:tc>
          <w:tcPr>
            <w:tcW w:w="1076" w:type="pct"/>
            <w:tcBorders>
              <w:tl2br w:val="nil"/>
              <w:tr2bl w:val="nil"/>
            </w:tcBorders>
            <w:noWrap w:val="0"/>
            <w:vAlign w:val="center"/>
          </w:tcPr>
          <w:p w14:paraId="3CD8041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spacing w:val="-12"/>
                <w:kern w:val="0"/>
                <w:sz w:val="21"/>
                <w:szCs w:val="21"/>
                <w:highlight w:val="none"/>
                <w:u w:val="none"/>
                <w:lang w:val="en-US" w:eastAsia="zh-CN" w:bidi="ar-SA"/>
              </w:rPr>
            </w:pPr>
            <w:r>
              <w:rPr>
                <w:rFonts w:hint="default" w:ascii="Times New Roman" w:hAnsi="Times New Roman" w:eastAsia="宋体" w:cs="Times New Roman"/>
                <w:color w:val="auto"/>
                <w:spacing w:val="-12"/>
                <w:kern w:val="0"/>
                <w:sz w:val="21"/>
                <w:szCs w:val="21"/>
                <w:highlight w:val="none"/>
                <w:u w:val="none"/>
              </w:rPr>
              <w:t>间二甲苯+对二甲苯</w:t>
            </w:r>
          </w:p>
        </w:tc>
        <w:tc>
          <w:tcPr>
            <w:tcW w:w="512" w:type="pct"/>
            <w:tcBorders>
              <w:tl2br w:val="nil"/>
              <w:tr2bl w:val="nil"/>
            </w:tcBorders>
            <w:noWrap w:val="0"/>
            <w:vAlign w:val="center"/>
          </w:tcPr>
          <w:p w14:paraId="40B13F4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14BA3F0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570</w:t>
            </w:r>
          </w:p>
        </w:tc>
      </w:tr>
      <w:tr w14:paraId="363244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4757377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10</w:t>
            </w:r>
          </w:p>
        </w:tc>
        <w:tc>
          <w:tcPr>
            <w:tcW w:w="1056" w:type="pct"/>
            <w:tcBorders>
              <w:tl2br w:val="nil"/>
              <w:tr2bl w:val="nil"/>
            </w:tcBorders>
            <w:noWrap w:val="0"/>
            <w:vAlign w:val="center"/>
          </w:tcPr>
          <w:p w14:paraId="344A779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氯甲烷</w:t>
            </w:r>
          </w:p>
        </w:tc>
        <w:tc>
          <w:tcPr>
            <w:tcW w:w="523" w:type="pct"/>
            <w:tcBorders>
              <w:tl2br w:val="nil"/>
              <w:tr2bl w:val="nil"/>
            </w:tcBorders>
            <w:noWrap w:val="0"/>
            <w:vAlign w:val="center"/>
          </w:tcPr>
          <w:p w14:paraId="1682E4C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241380C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37</w:t>
            </w:r>
          </w:p>
        </w:tc>
        <w:tc>
          <w:tcPr>
            <w:tcW w:w="393" w:type="pct"/>
            <w:tcBorders>
              <w:tl2br w:val="nil"/>
              <w:tr2bl w:val="nil"/>
            </w:tcBorders>
            <w:noWrap w:val="0"/>
            <w:vAlign w:val="center"/>
          </w:tcPr>
          <w:p w14:paraId="6F13945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34</w:t>
            </w:r>
          </w:p>
        </w:tc>
        <w:tc>
          <w:tcPr>
            <w:tcW w:w="1076" w:type="pct"/>
            <w:tcBorders>
              <w:tl2br w:val="nil"/>
              <w:tr2bl w:val="nil"/>
            </w:tcBorders>
            <w:noWrap w:val="0"/>
            <w:vAlign w:val="center"/>
          </w:tcPr>
          <w:p w14:paraId="7328836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邻二甲苯</w:t>
            </w:r>
          </w:p>
        </w:tc>
        <w:tc>
          <w:tcPr>
            <w:tcW w:w="512" w:type="pct"/>
            <w:tcBorders>
              <w:tl2br w:val="nil"/>
              <w:tr2bl w:val="nil"/>
            </w:tcBorders>
            <w:noWrap w:val="0"/>
            <w:vAlign w:val="center"/>
          </w:tcPr>
          <w:p w14:paraId="782E96E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36108D1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640</w:t>
            </w:r>
          </w:p>
        </w:tc>
      </w:tr>
      <w:tr w14:paraId="692D9E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431E1F9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11</w:t>
            </w:r>
          </w:p>
        </w:tc>
        <w:tc>
          <w:tcPr>
            <w:tcW w:w="1056" w:type="pct"/>
            <w:tcBorders>
              <w:tl2br w:val="nil"/>
              <w:tr2bl w:val="nil"/>
            </w:tcBorders>
            <w:noWrap w:val="0"/>
            <w:vAlign w:val="center"/>
          </w:tcPr>
          <w:p w14:paraId="3759698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1,1-二氯乙烷</w:t>
            </w:r>
          </w:p>
        </w:tc>
        <w:tc>
          <w:tcPr>
            <w:tcW w:w="523" w:type="pct"/>
            <w:tcBorders>
              <w:tl2br w:val="nil"/>
              <w:tr2bl w:val="nil"/>
            </w:tcBorders>
            <w:noWrap w:val="0"/>
            <w:vAlign w:val="center"/>
          </w:tcPr>
          <w:p w14:paraId="2048798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1A0E5C1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9</w:t>
            </w:r>
          </w:p>
        </w:tc>
        <w:tc>
          <w:tcPr>
            <w:tcW w:w="393" w:type="pct"/>
            <w:tcBorders>
              <w:tl2br w:val="nil"/>
              <w:tr2bl w:val="nil"/>
            </w:tcBorders>
            <w:noWrap w:val="0"/>
            <w:vAlign w:val="center"/>
          </w:tcPr>
          <w:p w14:paraId="23F7026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35</w:t>
            </w:r>
          </w:p>
        </w:tc>
        <w:tc>
          <w:tcPr>
            <w:tcW w:w="1076" w:type="pct"/>
            <w:tcBorders>
              <w:tl2br w:val="nil"/>
              <w:tr2bl w:val="nil"/>
            </w:tcBorders>
            <w:noWrap w:val="0"/>
            <w:vAlign w:val="center"/>
          </w:tcPr>
          <w:p w14:paraId="1DCA4AE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硝基苯</w:t>
            </w:r>
          </w:p>
        </w:tc>
        <w:tc>
          <w:tcPr>
            <w:tcW w:w="512" w:type="pct"/>
            <w:tcBorders>
              <w:tl2br w:val="nil"/>
              <w:tr2bl w:val="nil"/>
            </w:tcBorders>
            <w:noWrap w:val="0"/>
            <w:vAlign w:val="center"/>
          </w:tcPr>
          <w:p w14:paraId="211FC6E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19FB1FA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76</w:t>
            </w:r>
          </w:p>
        </w:tc>
      </w:tr>
      <w:tr w14:paraId="5D64A8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085C8B8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12</w:t>
            </w:r>
          </w:p>
        </w:tc>
        <w:tc>
          <w:tcPr>
            <w:tcW w:w="1056" w:type="pct"/>
            <w:tcBorders>
              <w:tl2br w:val="nil"/>
              <w:tr2bl w:val="nil"/>
            </w:tcBorders>
            <w:noWrap w:val="0"/>
            <w:vAlign w:val="center"/>
          </w:tcPr>
          <w:p w14:paraId="606C499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1,2-二氯乙烷</w:t>
            </w:r>
          </w:p>
        </w:tc>
        <w:tc>
          <w:tcPr>
            <w:tcW w:w="523" w:type="pct"/>
            <w:tcBorders>
              <w:tl2br w:val="nil"/>
              <w:tr2bl w:val="nil"/>
            </w:tcBorders>
            <w:noWrap w:val="0"/>
            <w:vAlign w:val="center"/>
          </w:tcPr>
          <w:p w14:paraId="427A7DF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18D3B2C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5</w:t>
            </w:r>
          </w:p>
        </w:tc>
        <w:tc>
          <w:tcPr>
            <w:tcW w:w="393" w:type="pct"/>
            <w:tcBorders>
              <w:tl2br w:val="nil"/>
              <w:tr2bl w:val="nil"/>
            </w:tcBorders>
            <w:noWrap w:val="0"/>
            <w:vAlign w:val="center"/>
          </w:tcPr>
          <w:p w14:paraId="7657569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36</w:t>
            </w:r>
          </w:p>
        </w:tc>
        <w:tc>
          <w:tcPr>
            <w:tcW w:w="1076" w:type="pct"/>
            <w:tcBorders>
              <w:tl2br w:val="nil"/>
              <w:tr2bl w:val="nil"/>
            </w:tcBorders>
            <w:noWrap w:val="0"/>
            <w:vAlign w:val="center"/>
          </w:tcPr>
          <w:p w14:paraId="5A4990B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苯胺</w:t>
            </w:r>
          </w:p>
        </w:tc>
        <w:tc>
          <w:tcPr>
            <w:tcW w:w="512" w:type="pct"/>
            <w:tcBorders>
              <w:tl2br w:val="nil"/>
              <w:tr2bl w:val="nil"/>
            </w:tcBorders>
            <w:noWrap w:val="0"/>
            <w:vAlign w:val="center"/>
          </w:tcPr>
          <w:p w14:paraId="5F66ACD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20940CE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260</w:t>
            </w:r>
          </w:p>
        </w:tc>
      </w:tr>
      <w:tr w14:paraId="46008F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75C98C0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13</w:t>
            </w:r>
          </w:p>
        </w:tc>
        <w:tc>
          <w:tcPr>
            <w:tcW w:w="1056" w:type="pct"/>
            <w:tcBorders>
              <w:tl2br w:val="nil"/>
              <w:tr2bl w:val="nil"/>
            </w:tcBorders>
            <w:noWrap w:val="0"/>
            <w:vAlign w:val="center"/>
          </w:tcPr>
          <w:p w14:paraId="6D82DC3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1,1-二氯乙烯</w:t>
            </w:r>
          </w:p>
        </w:tc>
        <w:tc>
          <w:tcPr>
            <w:tcW w:w="523" w:type="pct"/>
            <w:tcBorders>
              <w:tl2br w:val="nil"/>
              <w:tr2bl w:val="nil"/>
            </w:tcBorders>
            <w:noWrap w:val="0"/>
            <w:vAlign w:val="center"/>
          </w:tcPr>
          <w:p w14:paraId="18DDBBA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3B034B3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66</w:t>
            </w:r>
          </w:p>
        </w:tc>
        <w:tc>
          <w:tcPr>
            <w:tcW w:w="393" w:type="pct"/>
            <w:tcBorders>
              <w:tl2br w:val="nil"/>
              <w:tr2bl w:val="nil"/>
            </w:tcBorders>
            <w:noWrap w:val="0"/>
            <w:vAlign w:val="center"/>
          </w:tcPr>
          <w:p w14:paraId="0EB9114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37</w:t>
            </w:r>
          </w:p>
        </w:tc>
        <w:tc>
          <w:tcPr>
            <w:tcW w:w="1076" w:type="pct"/>
            <w:tcBorders>
              <w:tl2br w:val="nil"/>
              <w:tr2bl w:val="nil"/>
            </w:tcBorders>
            <w:noWrap w:val="0"/>
            <w:vAlign w:val="center"/>
          </w:tcPr>
          <w:p w14:paraId="32D6D90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2-氯酚</w:t>
            </w:r>
          </w:p>
        </w:tc>
        <w:tc>
          <w:tcPr>
            <w:tcW w:w="512" w:type="pct"/>
            <w:tcBorders>
              <w:tl2br w:val="nil"/>
              <w:tr2bl w:val="nil"/>
            </w:tcBorders>
            <w:noWrap w:val="0"/>
            <w:vAlign w:val="center"/>
          </w:tcPr>
          <w:p w14:paraId="23ABCE3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0FD121B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2256</w:t>
            </w:r>
          </w:p>
        </w:tc>
      </w:tr>
      <w:tr w14:paraId="69A7B4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569FE71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14</w:t>
            </w:r>
          </w:p>
        </w:tc>
        <w:tc>
          <w:tcPr>
            <w:tcW w:w="1056" w:type="pct"/>
            <w:tcBorders>
              <w:tl2br w:val="nil"/>
              <w:tr2bl w:val="nil"/>
            </w:tcBorders>
            <w:noWrap w:val="0"/>
            <w:vAlign w:val="center"/>
          </w:tcPr>
          <w:p w14:paraId="19501B9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顺1,2-二氯乙烯</w:t>
            </w:r>
          </w:p>
        </w:tc>
        <w:tc>
          <w:tcPr>
            <w:tcW w:w="523" w:type="pct"/>
            <w:tcBorders>
              <w:tl2br w:val="nil"/>
              <w:tr2bl w:val="nil"/>
            </w:tcBorders>
            <w:noWrap w:val="0"/>
            <w:vAlign w:val="center"/>
          </w:tcPr>
          <w:p w14:paraId="420D69E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6E5F551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596</w:t>
            </w:r>
          </w:p>
        </w:tc>
        <w:tc>
          <w:tcPr>
            <w:tcW w:w="393" w:type="pct"/>
            <w:tcBorders>
              <w:tl2br w:val="nil"/>
              <w:tr2bl w:val="nil"/>
            </w:tcBorders>
            <w:noWrap w:val="0"/>
            <w:vAlign w:val="center"/>
          </w:tcPr>
          <w:p w14:paraId="1F3CD36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38</w:t>
            </w:r>
          </w:p>
        </w:tc>
        <w:tc>
          <w:tcPr>
            <w:tcW w:w="1076" w:type="pct"/>
            <w:tcBorders>
              <w:tl2br w:val="nil"/>
              <w:tr2bl w:val="nil"/>
            </w:tcBorders>
            <w:noWrap w:val="0"/>
            <w:vAlign w:val="center"/>
          </w:tcPr>
          <w:p w14:paraId="6210D8E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苯并</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a</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蒽</w:t>
            </w:r>
          </w:p>
        </w:tc>
        <w:tc>
          <w:tcPr>
            <w:tcW w:w="512" w:type="pct"/>
            <w:tcBorders>
              <w:tl2br w:val="nil"/>
              <w:tr2bl w:val="nil"/>
            </w:tcBorders>
            <w:noWrap w:val="0"/>
            <w:vAlign w:val="center"/>
          </w:tcPr>
          <w:p w14:paraId="6847645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735133F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15</w:t>
            </w:r>
          </w:p>
        </w:tc>
      </w:tr>
      <w:tr w14:paraId="4EC3C5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0E5A69C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15</w:t>
            </w:r>
          </w:p>
        </w:tc>
        <w:tc>
          <w:tcPr>
            <w:tcW w:w="1056" w:type="pct"/>
            <w:tcBorders>
              <w:tl2br w:val="nil"/>
              <w:tr2bl w:val="nil"/>
            </w:tcBorders>
            <w:noWrap w:val="0"/>
            <w:vAlign w:val="center"/>
          </w:tcPr>
          <w:p w14:paraId="74C7EBD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反-1,2-二氯乙烯</w:t>
            </w:r>
          </w:p>
        </w:tc>
        <w:tc>
          <w:tcPr>
            <w:tcW w:w="523" w:type="pct"/>
            <w:tcBorders>
              <w:tl2br w:val="nil"/>
              <w:tr2bl w:val="nil"/>
            </w:tcBorders>
            <w:noWrap w:val="0"/>
            <w:vAlign w:val="center"/>
          </w:tcPr>
          <w:p w14:paraId="4B5310F4">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29AD709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54</w:t>
            </w:r>
          </w:p>
        </w:tc>
        <w:tc>
          <w:tcPr>
            <w:tcW w:w="393" w:type="pct"/>
            <w:tcBorders>
              <w:tl2br w:val="nil"/>
              <w:tr2bl w:val="nil"/>
            </w:tcBorders>
            <w:noWrap w:val="0"/>
            <w:vAlign w:val="center"/>
          </w:tcPr>
          <w:p w14:paraId="1176847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39</w:t>
            </w:r>
          </w:p>
        </w:tc>
        <w:tc>
          <w:tcPr>
            <w:tcW w:w="1076" w:type="pct"/>
            <w:tcBorders>
              <w:tl2br w:val="nil"/>
              <w:tr2bl w:val="nil"/>
            </w:tcBorders>
            <w:noWrap w:val="0"/>
            <w:vAlign w:val="center"/>
          </w:tcPr>
          <w:p w14:paraId="45744D6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苯并</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a</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芘</w:t>
            </w:r>
          </w:p>
        </w:tc>
        <w:tc>
          <w:tcPr>
            <w:tcW w:w="512" w:type="pct"/>
            <w:tcBorders>
              <w:tl2br w:val="nil"/>
              <w:tr2bl w:val="nil"/>
            </w:tcBorders>
            <w:noWrap w:val="0"/>
            <w:vAlign w:val="center"/>
          </w:tcPr>
          <w:p w14:paraId="5DCDD85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442858A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1.5</w:t>
            </w:r>
          </w:p>
        </w:tc>
      </w:tr>
      <w:tr w14:paraId="584C69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7816280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16</w:t>
            </w:r>
          </w:p>
        </w:tc>
        <w:tc>
          <w:tcPr>
            <w:tcW w:w="1056" w:type="pct"/>
            <w:tcBorders>
              <w:tl2br w:val="nil"/>
              <w:tr2bl w:val="nil"/>
            </w:tcBorders>
            <w:noWrap w:val="0"/>
            <w:vAlign w:val="center"/>
          </w:tcPr>
          <w:p w14:paraId="59CFC73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二氯甲烷</w:t>
            </w:r>
          </w:p>
        </w:tc>
        <w:tc>
          <w:tcPr>
            <w:tcW w:w="523" w:type="pct"/>
            <w:tcBorders>
              <w:tl2br w:val="nil"/>
              <w:tr2bl w:val="nil"/>
            </w:tcBorders>
            <w:noWrap w:val="0"/>
            <w:vAlign w:val="center"/>
          </w:tcPr>
          <w:p w14:paraId="20585B6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222B609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616</w:t>
            </w:r>
          </w:p>
        </w:tc>
        <w:tc>
          <w:tcPr>
            <w:tcW w:w="393" w:type="pct"/>
            <w:tcBorders>
              <w:tl2br w:val="nil"/>
              <w:tr2bl w:val="nil"/>
            </w:tcBorders>
            <w:noWrap w:val="0"/>
            <w:vAlign w:val="center"/>
          </w:tcPr>
          <w:p w14:paraId="770E4E2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40</w:t>
            </w:r>
          </w:p>
        </w:tc>
        <w:tc>
          <w:tcPr>
            <w:tcW w:w="1076" w:type="pct"/>
            <w:tcBorders>
              <w:tl2br w:val="nil"/>
              <w:tr2bl w:val="nil"/>
            </w:tcBorders>
            <w:noWrap w:val="0"/>
            <w:vAlign w:val="center"/>
          </w:tcPr>
          <w:p w14:paraId="4B5B047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苯并</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b</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荧蒽</w:t>
            </w:r>
          </w:p>
        </w:tc>
        <w:tc>
          <w:tcPr>
            <w:tcW w:w="512" w:type="pct"/>
            <w:tcBorders>
              <w:tl2br w:val="nil"/>
              <w:tr2bl w:val="nil"/>
            </w:tcBorders>
            <w:noWrap w:val="0"/>
            <w:vAlign w:val="center"/>
          </w:tcPr>
          <w:p w14:paraId="7C19D38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52B5B5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15</w:t>
            </w:r>
          </w:p>
        </w:tc>
      </w:tr>
      <w:tr w14:paraId="0F8E4B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3D0DA04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17</w:t>
            </w:r>
          </w:p>
        </w:tc>
        <w:tc>
          <w:tcPr>
            <w:tcW w:w="1056" w:type="pct"/>
            <w:tcBorders>
              <w:tl2br w:val="nil"/>
              <w:tr2bl w:val="nil"/>
            </w:tcBorders>
            <w:noWrap w:val="0"/>
            <w:vAlign w:val="center"/>
          </w:tcPr>
          <w:p w14:paraId="3449B19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1,2-二氯乙烷</w:t>
            </w:r>
          </w:p>
        </w:tc>
        <w:tc>
          <w:tcPr>
            <w:tcW w:w="523" w:type="pct"/>
            <w:tcBorders>
              <w:tl2br w:val="nil"/>
              <w:tr2bl w:val="nil"/>
            </w:tcBorders>
            <w:noWrap w:val="0"/>
            <w:vAlign w:val="center"/>
          </w:tcPr>
          <w:p w14:paraId="207E0F04">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33598CF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5</w:t>
            </w:r>
          </w:p>
        </w:tc>
        <w:tc>
          <w:tcPr>
            <w:tcW w:w="393" w:type="pct"/>
            <w:tcBorders>
              <w:tl2br w:val="nil"/>
              <w:tr2bl w:val="nil"/>
            </w:tcBorders>
            <w:noWrap w:val="0"/>
            <w:vAlign w:val="center"/>
          </w:tcPr>
          <w:p w14:paraId="3CE36E8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41</w:t>
            </w:r>
          </w:p>
        </w:tc>
        <w:tc>
          <w:tcPr>
            <w:tcW w:w="1076" w:type="pct"/>
            <w:tcBorders>
              <w:tl2br w:val="nil"/>
              <w:tr2bl w:val="nil"/>
            </w:tcBorders>
            <w:noWrap w:val="0"/>
            <w:vAlign w:val="center"/>
          </w:tcPr>
          <w:p w14:paraId="3062E9E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苯并</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k</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荧蒽</w:t>
            </w:r>
          </w:p>
        </w:tc>
        <w:tc>
          <w:tcPr>
            <w:tcW w:w="512" w:type="pct"/>
            <w:tcBorders>
              <w:tl2br w:val="nil"/>
              <w:tr2bl w:val="nil"/>
            </w:tcBorders>
            <w:noWrap w:val="0"/>
            <w:vAlign w:val="center"/>
          </w:tcPr>
          <w:p w14:paraId="0F24AE3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75C4E89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151</w:t>
            </w:r>
          </w:p>
        </w:tc>
      </w:tr>
      <w:tr w14:paraId="45CB6C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3ED2E42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18</w:t>
            </w:r>
          </w:p>
        </w:tc>
        <w:tc>
          <w:tcPr>
            <w:tcW w:w="1056" w:type="pct"/>
            <w:tcBorders>
              <w:tl2br w:val="nil"/>
              <w:tr2bl w:val="nil"/>
            </w:tcBorders>
            <w:noWrap w:val="0"/>
            <w:vAlign w:val="center"/>
          </w:tcPr>
          <w:p w14:paraId="51D3004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1,1,1,2-四氯乙烷</w:t>
            </w:r>
          </w:p>
        </w:tc>
        <w:tc>
          <w:tcPr>
            <w:tcW w:w="523" w:type="pct"/>
            <w:tcBorders>
              <w:tl2br w:val="nil"/>
              <w:tr2bl w:val="nil"/>
            </w:tcBorders>
            <w:noWrap w:val="0"/>
            <w:vAlign w:val="center"/>
          </w:tcPr>
          <w:p w14:paraId="7647FD9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040ABEA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10</w:t>
            </w:r>
          </w:p>
        </w:tc>
        <w:tc>
          <w:tcPr>
            <w:tcW w:w="393" w:type="pct"/>
            <w:tcBorders>
              <w:tl2br w:val="nil"/>
              <w:tr2bl w:val="nil"/>
            </w:tcBorders>
            <w:noWrap w:val="0"/>
            <w:vAlign w:val="center"/>
          </w:tcPr>
          <w:p w14:paraId="431BD98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42</w:t>
            </w:r>
          </w:p>
        </w:tc>
        <w:tc>
          <w:tcPr>
            <w:tcW w:w="1076" w:type="pct"/>
            <w:tcBorders>
              <w:tl2br w:val="nil"/>
              <w:tr2bl w:val="nil"/>
            </w:tcBorders>
            <w:noWrap w:val="0"/>
            <w:vAlign w:val="center"/>
          </w:tcPr>
          <w:p w14:paraId="19F7CDE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䓛</w:t>
            </w:r>
          </w:p>
        </w:tc>
        <w:tc>
          <w:tcPr>
            <w:tcW w:w="512" w:type="pct"/>
            <w:tcBorders>
              <w:tl2br w:val="nil"/>
              <w:tr2bl w:val="nil"/>
            </w:tcBorders>
            <w:noWrap w:val="0"/>
            <w:vAlign w:val="center"/>
          </w:tcPr>
          <w:p w14:paraId="02DE40E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6F40AF4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1293</w:t>
            </w:r>
          </w:p>
        </w:tc>
      </w:tr>
      <w:tr w14:paraId="3309FD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1CB9A65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19</w:t>
            </w:r>
          </w:p>
        </w:tc>
        <w:tc>
          <w:tcPr>
            <w:tcW w:w="1056" w:type="pct"/>
            <w:tcBorders>
              <w:tl2br w:val="nil"/>
              <w:tr2bl w:val="nil"/>
            </w:tcBorders>
            <w:noWrap w:val="0"/>
            <w:vAlign w:val="center"/>
          </w:tcPr>
          <w:p w14:paraId="5B157D44">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1,1,2,2-四氯乙烷</w:t>
            </w:r>
          </w:p>
        </w:tc>
        <w:tc>
          <w:tcPr>
            <w:tcW w:w="523" w:type="pct"/>
            <w:tcBorders>
              <w:tl2br w:val="nil"/>
              <w:tr2bl w:val="nil"/>
            </w:tcBorders>
            <w:noWrap w:val="0"/>
            <w:vAlign w:val="center"/>
          </w:tcPr>
          <w:p w14:paraId="4A5F9A9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0F0FF1A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6.8</w:t>
            </w:r>
          </w:p>
        </w:tc>
        <w:tc>
          <w:tcPr>
            <w:tcW w:w="393" w:type="pct"/>
            <w:tcBorders>
              <w:tl2br w:val="nil"/>
              <w:tr2bl w:val="nil"/>
            </w:tcBorders>
            <w:noWrap w:val="0"/>
            <w:vAlign w:val="center"/>
          </w:tcPr>
          <w:p w14:paraId="1A9317C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43</w:t>
            </w:r>
          </w:p>
        </w:tc>
        <w:tc>
          <w:tcPr>
            <w:tcW w:w="1076" w:type="pct"/>
            <w:tcBorders>
              <w:tl2br w:val="nil"/>
              <w:tr2bl w:val="nil"/>
            </w:tcBorders>
            <w:noWrap w:val="0"/>
            <w:vAlign w:val="center"/>
          </w:tcPr>
          <w:p w14:paraId="624E7964">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二苯并</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a、h</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蒽</w:t>
            </w:r>
          </w:p>
        </w:tc>
        <w:tc>
          <w:tcPr>
            <w:tcW w:w="512" w:type="pct"/>
            <w:tcBorders>
              <w:tl2br w:val="nil"/>
              <w:tr2bl w:val="nil"/>
            </w:tcBorders>
            <w:noWrap w:val="0"/>
            <w:vAlign w:val="center"/>
          </w:tcPr>
          <w:p w14:paraId="5C7F819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072D66A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1.5</w:t>
            </w:r>
          </w:p>
        </w:tc>
      </w:tr>
      <w:tr w14:paraId="002ADB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2CA48BE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20</w:t>
            </w:r>
          </w:p>
        </w:tc>
        <w:tc>
          <w:tcPr>
            <w:tcW w:w="1056" w:type="pct"/>
            <w:tcBorders>
              <w:tl2br w:val="nil"/>
              <w:tr2bl w:val="nil"/>
            </w:tcBorders>
            <w:noWrap w:val="0"/>
            <w:vAlign w:val="center"/>
          </w:tcPr>
          <w:p w14:paraId="13C30A8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四氯乙烯</w:t>
            </w:r>
          </w:p>
        </w:tc>
        <w:tc>
          <w:tcPr>
            <w:tcW w:w="523" w:type="pct"/>
            <w:tcBorders>
              <w:tl2br w:val="nil"/>
              <w:tr2bl w:val="nil"/>
            </w:tcBorders>
            <w:noWrap w:val="0"/>
            <w:vAlign w:val="center"/>
          </w:tcPr>
          <w:p w14:paraId="465B752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3E0D5F9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53</w:t>
            </w:r>
          </w:p>
        </w:tc>
        <w:tc>
          <w:tcPr>
            <w:tcW w:w="393" w:type="pct"/>
            <w:tcBorders>
              <w:tl2br w:val="nil"/>
              <w:tr2bl w:val="nil"/>
            </w:tcBorders>
            <w:noWrap w:val="0"/>
            <w:vAlign w:val="center"/>
          </w:tcPr>
          <w:p w14:paraId="56FBB15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44</w:t>
            </w:r>
          </w:p>
        </w:tc>
        <w:tc>
          <w:tcPr>
            <w:tcW w:w="1076" w:type="pct"/>
            <w:tcBorders>
              <w:tl2br w:val="nil"/>
              <w:tr2bl w:val="nil"/>
            </w:tcBorders>
            <w:noWrap w:val="0"/>
            <w:vAlign w:val="center"/>
          </w:tcPr>
          <w:p w14:paraId="05FC0F8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spacing w:val="-24"/>
                <w:kern w:val="0"/>
                <w:sz w:val="21"/>
                <w:szCs w:val="21"/>
                <w:highlight w:val="none"/>
                <w:u w:val="none"/>
                <w:lang w:val="en-US" w:eastAsia="zh-CN" w:bidi="ar-SA"/>
              </w:rPr>
            </w:pPr>
            <w:r>
              <w:rPr>
                <w:rFonts w:hint="default" w:ascii="Times New Roman" w:hAnsi="Times New Roman" w:eastAsia="宋体" w:cs="Times New Roman"/>
                <w:color w:val="auto"/>
                <w:spacing w:val="-24"/>
                <w:kern w:val="0"/>
                <w:sz w:val="21"/>
                <w:szCs w:val="21"/>
                <w:highlight w:val="none"/>
                <w:u w:val="none"/>
              </w:rPr>
              <w:t>茚并</w:t>
            </w:r>
            <w:r>
              <w:rPr>
                <w:rFonts w:hint="eastAsia" w:ascii="Times New Roman" w:hAnsi="Times New Roman" w:eastAsia="宋体" w:cs="Times New Roman"/>
                <w:color w:val="auto"/>
                <w:spacing w:val="-24"/>
                <w:kern w:val="0"/>
                <w:sz w:val="21"/>
                <w:szCs w:val="21"/>
                <w:highlight w:val="none"/>
                <w:u w:val="none"/>
                <w:lang w:eastAsia="zh-CN"/>
              </w:rPr>
              <w:t>〔</w:t>
            </w:r>
            <w:r>
              <w:rPr>
                <w:rFonts w:hint="default" w:ascii="Times New Roman" w:hAnsi="Times New Roman" w:eastAsia="宋体" w:cs="Times New Roman"/>
                <w:color w:val="auto"/>
                <w:spacing w:val="-24"/>
                <w:kern w:val="0"/>
                <w:sz w:val="21"/>
                <w:szCs w:val="21"/>
                <w:highlight w:val="none"/>
                <w:u w:val="none"/>
              </w:rPr>
              <w:t>1、2、3-cd</w:t>
            </w:r>
            <w:r>
              <w:rPr>
                <w:rFonts w:hint="eastAsia" w:ascii="Times New Roman" w:hAnsi="Times New Roman" w:eastAsia="宋体" w:cs="Times New Roman"/>
                <w:color w:val="auto"/>
                <w:spacing w:val="-24"/>
                <w:kern w:val="0"/>
                <w:sz w:val="21"/>
                <w:szCs w:val="21"/>
                <w:highlight w:val="none"/>
                <w:u w:val="none"/>
                <w:lang w:eastAsia="zh-CN"/>
              </w:rPr>
              <w:t>〕</w:t>
            </w:r>
            <w:r>
              <w:rPr>
                <w:rFonts w:hint="default" w:ascii="Times New Roman" w:hAnsi="Times New Roman" w:eastAsia="宋体" w:cs="Times New Roman"/>
                <w:color w:val="auto"/>
                <w:spacing w:val="-24"/>
                <w:kern w:val="0"/>
                <w:sz w:val="21"/>
                <w:szCs w:val="21"/>
                <w:highlight w:val="none"/>
                <w:u w:val="none"/>
              </w:rPr>
              <w:t>芘</w:t>
            </w:r>
          </w:p>
        </w:tc>
        <w:tc>
          <w:tcPr>
            <w:tcW w:w="512" w:type="pct"/>
            <w:tcBorders>
              <w:tl2br w:val="nil"/>
              <w:tr2bl w:val="nil"/>
            </w:tcBorders>
            <w:noWrap w:val="0"/>
            <w:vAlign w:val="center"/>
          </w:tcPr>
          <w:p w14:paraId="79EE558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24DDC00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15</w:t>
            </w:r>
          </w:p>
        </w:tc>
      </w:tr>
      <w:tr w14:paraId="4C8BCC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1F43B4E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21</w:t>
            </w:r>
          </w:p>
        </w:tc>
        <w:tc>
          <w:tcPr>
            <w:tcW w:w="1056" w:type="pct"/>
            <w:tcBorders>
              <w:tl2br w:val="nil"/>
              <w:tr2bl w:val="nil"/>
            </w:tcBorders>
            <w:noWrap w:val="0"/>
            <w:vAlign w:val="center"/>
          </w:tcPr>
          <w:p w14:paraId="00336AA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1,1,1-三氯乙烷</w:t>
            </w:r>
          </w:p>
        </w:tc>
        <w:tc>
          <w:tcPr>
            <w:tcW w:w="523" w:type="pct"/>
            <w:tcBorders>
              <w:tl2br w:val="nil"/>
              <w:tr2bl w:val="nil"/>
            </w:tcBorders>
            <w:noWrap w:val="0"/>
            <w:vAlign w:val="center"/>
          </w:tcPr>
          <w:p w14:paraId="5CFFA7E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26869CB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840</w:t>
            </w:r>
          </w:p>
        </w:tc>
        <w:tc>
          <w:tcPr>
            <w:tcW w:w="393" w:type="pct"/>
            <w:tcBorders>
              <w:tl2br w:val="nil"/>
              <w:tr2bl w:val="nil"/>
            </w:tcBorders>
            <w:noWrap w:val="0"/>
            <w:vAlign w:val="center"/>
          </w:tcPr>
          <w:p w14:paraId="4C30D95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45</w:t>
            </w:r>
          </w:p>
        </w:tc>
        <w:tc>
          <w:tcPr>
            <w:tcW w:w="1076" w:type="pct"/>
            <w:tcBorders>
              <w:tl2br w:val="nil"/>
              <w:tr2bl w:val="nil"/>
            </w:tcBorders>
            <w:noWrap w:val="0"/>
            <w:vAlign w:val="center"/>
          </w:tcPr>
          <w:p w14:paraId="47F4ACC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萘</w:t>
            </w:r>
          </w:p>
        </w:tc>
        <w:tc>
          <w:tcPr>
            <w:tcW w:w="512" w:type="pct"/>
            <w:tcBorders>
              <w:tl2br w:val="nil"/>
              <w:tr2bl w:val="nil"/>
            </w:tcBorders>
            <w:noWrap w:val="0"/>
            <w:vAlign w:val="center"/>
          </w:tcPr>
          <w:p w14:paraId="339C450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5A7DA76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70</w:t>
            </w:r>
          </w:p>
        </w:tc>
      </w:tr>
      <w:tr w14:paraId="1FF9F2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04" w:hRule="atLeast"/>
        </w:trPr>
        <w:tc>
          <w:tcPr>
            <w:tcW w:w="392" w:type="pct"/>
            <w:tcBorders>
              <w:tl2br w:val="nil"/>
              <w:tr2bl w:val="nil"/>
            </w:tcBorders>
            <w:noWrap w:val="0"/>
            <w:vAlign w:val="center"/>
          </w:tcPr>
          <w:p w14:paraId="4338117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22</w:t>
            </w:r>
          </w:p>
        </w:tc>
        <w:tc>
          <w:tcPr>
            <w:tcW w:w="1056" w:type="pct"/>
            <w:tcBorders>
              <w:tl2br w:val="nil"/>
              <w:tr2bl w:val="nil"/>
            </w:tcBorders>
            <w:noWrap w:val="0"/>
            <w:vAlign w:val="center"/>
          </w:tcPr>
          <w:p w14:paraId="6B3DFB3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1,1,2-三氯乙烷</w:t>
            </w:r>
          </w:p>
        </w:tc>
        <w:tc>
          <w:tcPr>
            <w:tcW w:w="523" w:type="pct"/>
            <w:tcBorders>
              <w:tl2br w:val="nil"/>
              <w:tr2bl w:val="nil"/>
            </w:tcBorders>
            <w:noWrap w:val="0"/>
            <w:vAlign w:val="center"/>
          </w:tcPr>
          <w:p w14:paraId="2C7B388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7EF8280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2.8</w:t>
            </w:r>
          </w:p>
        </w:tc>
        <w:tc>
          <w:tcPr>
            <w:tcW w:w="393" w:type="pct"/>
            <w:tcBorders>
              <w:tl2br w:val="nil"/>
              <w:tr2bl w:val="nil"/>
            </w:tcBorders>
            <w:noWrap w:val="0"/>
            <w:vAlign w:val="center"/>
          </w:tcPr>
          <w:p w14:paraId="5C2F8A6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46</w:t>
            </w:r>
          </w:p>
        </w:tc>
        <w:tc>
          <w:tcPr>
            <w:tcW w:w="1076" w:type="pct"/>
            <w:tcBorders>
              <w:tl2br w:val="nil"/>
              <w:tr2bl w:val="nil"/>
            </w:tcBorders>
            <w:noWrap w:val="0"/>
            <w:vAlign w:val="center"/>
          </w:tcPr>
          <w:p w14:paraId="63052C5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石油烃</w:t>
            </w:r>
          </w:p>
        </w:tc>
        <w:tc>
          <w:tcPr>
            <w:tcW w:w="512" w:type="pct"/>
            <w:tcBorders>
              <w:tl2br w:val="nil"/>
              <w:tr2bl w:val="nil"/>
            </w:tcBorders>
            <w:noWrap w:val="0"/>
            <w:vAlign w:val="center"/>
          </w:tcPr>
          <w:p w14:paraId="71817B3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1" w:type="pct"/>
            <w:tcBorders>
              <w:tl2br w:val="nil"/>
              <w:tr2bl w:val="nil"/>
            </w:tcBorders>
            <w:noWrap w:val="0"/>
            <w:vAlign w:val="center"/>
          </w:tcPr>
          <w:p w14:paraId="35CA4E6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4500</w:t>
            </w:r>
          </w:p>
        </w:tc>
      </w:tr>
      <w:tr w14:paraId="507F16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20" w:hRule="atLeast"/>
        </w:trPr>
        <w:tc>
          <w:tcPr>
            <w:tcW w:w="392" w:type="pct"/>
            <w:tcBorders>
              <w:tl2br w:val="nil"/>
              <w:tr2bl w:val="nil"/>
            </w:tcBorders>
            <w:noWrap w:val="0"/>
            <w:vAlign w:val="center"/>
          </w:tcPr>
          <w:p w14:paraId="7001D42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23</w:t>
            </w:r>
          </w:p>
        </w:tc>
        <w:tc>
          <w:tcPr>
            <w:tcW w:w="1056" w:type="pct"/>
            <w:tcBorders>
              <w:tl2br w:val="nil"/>
              <w:tr2bl w:val="nil"/>
            </w:tcBorders>
            <w:noWrap w:val="0"/>
            <w:vAlign w:val="center"/>
          </w:tcPr>
          <w:p w14:paraId="7F7496F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三氯乙烯</w:t>
            </w:r>
          </w:p>
        </w:tc>
        <w:tc>
          <w:tcPr>
            <w:tcW w:w="523" w:type="pct"/>
            <w:tcBorders>
              <w:tl2br w:val="nil"/>
              <w:tr2bl w:val="nil"/>
            </w:tcBorders>
            <w:noWrap w:val="0"/>
            <w:vAlign w:val="center"/>
          </w:tcPr>
          <w:p w14:paraId="287A78A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15D8CE0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2.8</w:t>
            </w:r>
          </w:p>
        </w:tc>
        <w:tc>
          <w:tcPr>
            <w:tcW w:w="393" w:type="pct"/>
            <w:tcBorders>
              <w:tl2br w:val="nil"/>
              <w:tr2bl w:val="nil"/>
            </w:tcBorders>
            <w:noWrap w:val="0"/>
            <w:vAlign w:val="center"/>
          </w:tcPr>
          <w:p w14:paraId="2ABF4C6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lang w:val="en-US" w:eastAsia="zh-CN" w:bidi="ar-SA"/>
              </w:rPr>
              <w:t>47</w:t>
            </w:r>
          </w:p>
        </w:tc>
        <w:tc>
          <w:tcPr>
            <w:tcW w:w="1076" w:type="pct"/>
            <w:tcBorders>
              <w:tl2br w:val="nil"/>
              <w:tr2bl w:val="nil"/>
            </w:tcBorders>
            <w:noWrap w:val="0"/>
            <w:vAlign w:val="center"/>
          </w:tcPr>
          <w:p w14:paraId="16D263E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rPr>
              <w:t>pH</w:t>
            </w:r>
          </w:p>
        </w:tc>
        <w:tc>
          <w:tcPr>
            <w:tcW w:w="512" w:type="pct"/>
            <w:tcBorders>
              <w:tl2br w:val="nil"/>
              <w:tr2bl w:val="nil"/>
            </w:tcBorders>
            <w:noWrap w:val="0"/>
            <w:vAlign w:val="center"/>
          </w:tcPr>
          <w:p w14:paraId="121933E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spacing w:val="-6"/>
                <w:kern w:val="0"/>
                <w:sz w:val="21"/>
                <w:szCs w:val="21"/>
                <w:highlight w:val="none"/>
                <w:u w:val="none"/>
              </w:rPr>
              <w:t>无量纲</w:t>
            </w:r>
          </w:p>
        </w:tc>
        <w:tc>
          <w:tcPr>
            <w:tcW w:w="521" w:type="pct"/>
            <w:tcBorders>
              <w:tl2br w:val="nil"/>
              <w:tr2bl w:val="nil"/>
            </w:tcBorders>
            <w:noWrap w:val="0"/>
            <w:vAlign w:val="center"/>
          </w:tcPr>
          <w:p w14:paraId="511E675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rPr>
              <w:t>-</w:t>
            </w:r>
          </w:p>
        </w:tc>
      </w:tr>
      <w:tr w14:paraId="6F2666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8" w:space="0"/>
          </w:tblBorders>
          <w:tblCellMar>
            <w:top w:w="0" w:type="dxa"/>
            <w:left w:w="108" w:type="dxa"/>
            <w:bottom w:w="0" w:type="dxa"/>
            <w:right w:w="108" w:type="dxa"/>
          </w:tblCellMar>
        </w:tblPrEx>
        <w:trPr>
          <w:trHeight w:val="452" w:hRule="atLeast"/>
        </w:trPr>
        <w:tc>
          <w:tcPr>
            <w:tcW w:w="392" w:type="pct"/>
            <w:tcBorders>
              <w:tl2br w:val="nil"/>
              <w:tr2bl w:val="nil"/>
            </w:tcBorders>
            <w:noWrap w:val="0"/>
            <w:vAlign w:val="center"/>
          </w:tcPr>
          <w:p w14:paraId="4002F1F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rPr>
              <w:t>24</w:t>
            </w:r>
          </w:p>
        </w:tc>
        <w:tc>
          <w:tcPr>
            <w:tcW w:w="1056" w:type="pct"/>
            <w:tcBorders>
              <w:tl2br w:val="nil"/>
              <w:tr2bl w:val="nil"/>
            </w:tcBorders>
            <w:noWrap w:val="0"/>
            <w:vAlign w:val="center"/>
          </w:tcPr>
          <w:p w14:paraId="03AE14C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1,2,3-三氯丙烷</w:t>
            </w:r>
          </w:p>
        </w:tc>
        <w:tc>
          <w:tcPr>
            <w:tcW w:w="523" w:type="pct"/>
            <w:tcBorders>
              <w:tl2br w:val="nil"/>
              <w:tr2bl w:val="nil"/>
            </w:tcBorders>
            <w:noWrap w:val="0"/>
            <w:vAlign w:val="center"/>
          </w:tcPr>
          <w:p w14:paraId="607DF61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mg/kg</w:t>
            </w:r>
          </w:p>
        </w:tc>
        <w:tc>
          <w:tcPr>
            <w:tcW w:w="523" w:type="pct"/>
            <w:tcBorders>
              <w:tl2br w:val="nil"/>
              <w:tr2bl w:val="nil"/>
            </w:tcBorders>
            <w:noWrap w:val="0"/>
            <w:vAlign w:val="center"/>
          </w:tcPr>
          <w:p w14:paraId="71EB8D5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rPr>
              <w:t>0.5</w:t>
            </w:r>
          </w:p>
        </w:tc>
        <w:tc>
          <w:tcPr>
            <w:tcW w:w="393" w:type="pct"/>
            <w:tcBorders>
              <w:tl2br w:val="nil"/>
              <w:tr2bl w:val="nil"/>
            </w:tcBorders>
            <w:noWrap w:val="0"/>
            <w:vAlign w:val="center"/>
          </w:tcPr>
          <w:p w14:paraId="0AB43CB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p>
        </w:tc>
        <w:tc>
          <w:tcPr>
            <w:tcW w:w="1076" w:type="pct"/>
            <w:tcBorders>
              <w:tl2br w:val="nil"/>
              <w:tr2bl w:val="nil"/>
            </w:tcBorders>
            <w:noWrap w:val="0"/>
            <w:vAlign w:val="center"/>
          </w:tcPr>
          <w:p w14:paraId="50EDF54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p>
        </w:tc>
        <w:tc>
          <w:tcPr>
            <w:tcW w:w="512" w:type="pct"/>
            <w:tcBorders>
              <w:tl2br w:val="nil"/>
              <w:tr2bl w:val="nil"/>
            </w:tcBorders>
            <w:noWrap w:val="0"/>
            <w:vAlign w:val="center"/>
          </w:tcPr>
          <w:p w14:paraId="79DC7E0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u w:val="none"/>
              </w:rPr>
            </w:pPr>
          </w:p>
        </w:tc>
        <w:tc>
          <w:tcPr>
            <w:tcW w:w="521" w:type="pct"/>
            <w:tcBorders>
              <w:tl2br w:val="nil"/>
              <w:tr2bl w:val="nil"/>
            </w:tcBorders>
            <w:noWrap w:val="0"/>
            <w:vAlign w:val="center"/>
          </w:tcPr>
          <w:p w14:paraId="53EA8C9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u w:val="none"/>
              </w:rPr>
            </w:pPr>
          </w:p>
        </w:tc>
      </w:tr>
    </w:tbl>
    <w:p w14:paraId="0B60F3B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3 </w:t>
      </w:r>
      <w:r>
        <w:rPr>
          <w:rFonts w:hint="default" w:ascii="黑体" w:hAnsi="黑体" w:eastAsia="黑体" w:cs="黑体"/>
          <w:b/>
          <w:color w:val="auto"/>
          <w:kern w:val="0"/>
          <w:sz w:val="24"/>
          <w:szCs w:val="24"/>
          <w:highlight w:val="none"/>
          <w:u w:val="none"/>
          <w:lang w:val="en-US" w:eastAsia="zh-CN"/>
        </w:rPr>
        <w:t>污染物排放标准</w:t>
      </w:r>
    </w:p>
    <w:p w14:paraId="75B17D62">
      <w:pPr>
        <w:widowControl/>
        <w:spacing w:line="360" w:lineRule="auto"/>
        <w:ind w:firstLine="480" w:firstLineChars="200"/>
        <w:jc w:val="left"/>
        <w:rPr>
          <w:rFonts w:hint="default" w:ascii="Times New Roman" w:hAnsi="Times New Roman" w:cs="Times New Roman"/>
          <w:b w:val="0"/>
          <w:bCs w:val="0"/>
          <w:snapToGrid w:val="0"/>
          <w:color w:val="auto"/>
          <w:kern w:val="0"/>
          <w:sz w:val="24"/>
          <w:szCs w:val="24"/>
          <w:highlight w:val="none"/>
          <w:u w:val="none"/>
        </w:rPr>
      </w:pPr>
      <w:r>
        <w:rPr>
          <w:rFonts w:hint="default" w:ascii="Times New Roman" w:hAnsi="Times New Roman" w:cs="Times New Roman"/>
          <w:b w:val="0"/>
          <w:bCs w:val="0"/>
          <w:snapToGrid w:val="0"/>
          <w:color w:val="auto"/>
          <w:kern w:val="0"/>
          <w:sz w:val="24"/>
          <w:szCs w:val="24"/>
          <w:highlight w:val="none"/>
          <w:u w:val="none"/>
        </w:rPr>
        <w:t>（1）废气</w:t>
      </w:r>
    </w:p>
    <w:p w14:paraId="3659B8F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本工程施工期及运营期无组织排放扬尘执行《大气污染物综合排放标准》（GB16297-1996）中的新污染源无组织排放监控浓度限值。油气开采过程中井场无组织挥发产生的非甲烷总烃排放参照执行《陆上石油天然气开采工业大气污染物排放标准》（GB39728-2020）中企业边界污染物控制要求。硫化氢执行《恶臭污染物排放标准》（GB14554-93）中新建项目二级标准</w:t>
      </w:r>
      <w:r>
        <w:rPr>
          <w:rFonts w:hint="eastAsia" w:ascii="宋体" w:hAnsi="宋体" w:cs="宋体"/>
          <w:color w:val="auto"/>
          <w:sz w:val="24"/>
          <w:szCs w:val="24"/>
          <w:highlight w:val="none"/>
          <w:u w:val="none"/>
          <w:lang w:val="en-US" w:eastAsia="zh-CN" w:bidi="ar-SA"/>
        </w:rPr>
        <w:t>。</w:t>
      </w:r>
    </w:p>
    <w:p w14:paraId="1EEBBC5C">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highlight w:val="none"/>
          <w:u w:val="none"/>
          <w:lang w:val="en-US" w:eastAsia="zh-CN" w:bidi="ar-SA"/>
        </w:rPr>
        <w:t>具体标准限值要求，见表2.4-4。</w:t>
      </w:r>
    </w:p>
    <w:p w14:paraId="3000F3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表2.</w:t>
      </w:r>
      <w:r>
        <w:rPr>
          <w:rFonts w:hint="eastAsia" w:ascii="黑体" w:hAnsi="黑体" w:eastAsia="黑体" w:cs="黑体"/>
          <w:b w:val="0"/>
          <w:bCs/>
          <w:color w:val="auto"/>
          <w:kern w:val="2"/>
          <w:sz w:val="24"/>
          <w:szCs w:val="24"/>
          <w:u w:val="none"/>
          <w:lang w:val="en-US" w:eastAsia="zh-CN" w:bidi="ar-SA"/>
        </w:rPr>
        <w:t>4</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4  </w:t>
      </w:r>
      <w:r>
        <w:rPr>
          <w:rFonts w:hint="default" w:ascii="黑体" w:hAnsi="黑体" w:eastAsia="黑体" w:cs="黑体"/>
          <w:b w:val="0"/>
          <w:bCs/>
          <w:color w:val="auto"/>
          <w:kern w:val="2"/>
          <w:sz w:val="24"/>
          <w:szCs w:val="24"/>
          <w:u w:val="none"/>
          <w:lang w:val="en-US" w:eastAsia="zh-CN" w:bidi="ar-SA"/>
        </w:rPr>
        <w:t>大气污染物排放标准值</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4"/>
        <w:gridCol w:w="974"/>
        <w:gridCol w:w="2633"/>
        <w:gridCol w:w="1825"/>
        <w:gridCol w:w="1913"/>
      </w:tblGrid>
      <w:tr w14:paraId="74CDA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40" w:type="pct"/>
            <w:tcBorders>
              <w:tl2br w:val="nil"/>
              <w:tr2bl w:val="nil"/>
            </w:tcBorders>
            <w:noWrap w:val="0"/>
            <w:vAlign w:val="center"/>
          </w:tcPr>
          <w:p w14:paraId="6A8E96F6">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lang w:val="en-US" w:eastAsia="zh-CN"/>
              </w:rPr>
              <w:t>时段</w:t>
            </w:r>
          </w:p>
        </w:tc>
        <w:tc>
          <w:tcPr>
            <w:tcW w:w="551" w:type="pct"/>
            <w:tcBorders>
              <w:tl2br w:val="nil"/>
              <w:tr2bl w:val="nil"/>
            </w:tcBorders>
            <w:noWrap w:val="0"/>
            <w:vAlign w:val="center"/>
          </w:tcPr>
          <w:p w14:paraId="2F52F01C">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污染物</w:t>
            </w:r>
          </w:p>
        </w:tc>
        <w:tc>
          <w:tcPr>
            <w:tcW w:w="1490" w:type="pct"/>
            <w:tcBorders>
              <w:tl2br w:val="nil"/>
              <w:tr2bl w:val="nil"/>
            </w:tcBorders>
            <w:noWrap w:val="0"/>
            <w:vAlign w:val="center"/>
          </w:tcPr>
          <w:p w14:paraId="67D24320">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项</w:t>
            </w:r>
            <w:r>
              <w:rPr>
                <w:rFonts w:hint="eastAsia" w:cs="Times New Roman"/>
                <w:color w:val="auto"/>
                <w:kern w:val="0"/>
                <w:sz w:val="21"/>
                <w:szCs w:val="21"/>
                <w:highlight w:val="none"/>
                <w:u w:val="none"/>
                <w:lang w:val="en-US" w:eastAsia="zh-CN"/>
              </w:rPr>
              <w:t xml:space="preserve">    </w:t>
            </w:r>
            <w:r>
              <w:rPr>
                <w:rFonts w:hint="default" w:ascii="Times New Roman" w:hAnsi="Times New Roman" w:eastAsia="宋体" w:cs="Times New Roman"/>
                <w:color w:val="auto"/>
                <w:kern w:val="0"/>
                <w:sz w:val="21"/>
                <w:szCs w:val="21"/>
                <w:highlight w:val="none"/>
                <w:u w:val="none"/>
              </w:rPr>
              <w:t>目</w:t>
            </w:r>
          </w:p>
        </w:tc>
        <w:tc>
          <w:tcPr>
            <w:tcW w:w="1033" w:type="pct"/>
            <w:tcBorders>
              <w:tl2br w:val="nil"/>
              <w:tr2bl w:val="nil"/>
            </w:tcBorders>
            <w:noWrap w:val="0"/>
            <w:vAlign w:val="center"/>
          </w:tcPr>
          <w:p w14:paraId="6C238F3E">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rPr>
              <w:t>最高允许排放浓度（mg/m³）</w:t>
            </w:r>
          </w:p>
        </w:tc>
        <w:tc>
          <w:tcPr>
            <w:tcW w:w="1083" w:type="pct"/>
            <w:tcBorders>
              <w:tl2br w:val="nil"/>
              <w:tr2bl w:val="nil"/>
            </w:tcBorders>
            <w:noWrap w:val="0"/>
            <w:vAlign w:val="center"/>
          </w:tcPr>
          <w:p w14:paraId="35963E57">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标准来源</w:t>
            </w:r>
          </w:p>
        </w:tc>
      </w:tr>
      <w:tr w14:paraId="5DC50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40" w:type="pct"/>
            <w:tcBorders>
              <w:tl2br w:val="nil"/>
              <w:tr2bl w:val="nil"/>
            </w:tcBorders>
            <w:noWrap w:val="0"/>
            <w:vAlign w:val="center"/>
          </w:tcPr>
          <w:p w14:paraId="79A7C288">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lang w:val="en-US" w:eastAsia="zh-CN"/>
              </w:rPr>
              <w:t>施工期</w:t>
            </w:r>
          </w:p>
        </w:tc>
        <w:tc>
          <w:tcPr>
            <w:tcW w:w="551" w:type="pct"/>
            <w:tcBorders>
              <w:tl2br w:val="nil"/>
              <w:tr2bl w:val="nil"/>
            </w:tcBorders>
            <w:noWrap w:val="0"/>
            <w:vAlign w:val="center"/>
          </w:tcPr>
          <w:p w14:paraId="6E6CDC28">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颗粒物</w:t>
            </w:r>
          </w:p>
        </w:tc>
        <w:tc>
          <w:tcPr>
            <w:tcW w:w="1490" w:type="pct"/>
            <w:tcBorders>
              <w:tl2br w:val="nil"/>
              <w:tr2bl w:val="nil"/>
            </w:tcBorders>
            <w:noWrap w:val="0"/>
            <w:vAlign w:val="center"/>
          </w:tcPr>
          <w:p w14:paraId="2A7AF00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大气污染物综合排放标准</w:t>
            </w:r>
          </w:p>
        </w:tc>
        <w:tc>
          <w:tcPr>
            <w:tcW w:w="1033" w:type="pct"/>
            <w:tcBorders>
              <w:tl2br w:val="nil"/>
              <w:tr2bl w:val="nil"/>
            </w:tcBorders>
            <w:noWrap w:val="0"/>
            <w:vAlign w:val="center"/>
          </w:tcPr>
          <w:p w14:paraId="60E2F9CE">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1.0</w:t>
            </w:r>
          </w:p>
        </w:tc>
        <w:tc>
          <w:tcPr>
            <w:tcW w:w="1083" w:type="pct"/>
            <w:tcBorders>
              <w:tl2br w:val="nil"/>
              <w:tr2bl w:val="nil"/>
            </w:tcBorders>
            <w:noWrap w:val="0"/>
            <w:vAlign w:val="center"/>
          </w:tcPr>
          <w:p w14:paraId="6373B263">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spacing w:val="-6"/>
                <w:kern w:val="0"/>
                <w:sz w:val="21"/>
                <w:szCs w:val="21"/>
                <w:highlight w:val="none"/>
                <w:u w:val="none"/>
              </w:rPr>
              <w:t>GB16297-1996</w:t>
            </w:r>
          </w:p>
        </w:tc>
      </w:tr>
      <w:tr w14:paraId="66A06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40" w:type="pct"/>
            <w:vMerge w:val="restart"/>
            <w:tcBorders>
              <w:tl2br w:val="nil"/>
              <w:tr2bl w:val="nil"/>
            </w:tcBorders>
            <w:noWrap w:val="0"/>
            <w:vAlign w:val="center"/>
          </w:tcPr>
          <w:p w14:paraId="29C410A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运营期</w:t>
            </w:r>
          </w:p>
        </w:tc>
        <w:tc>
          <w:tcPr>
            <w:tcW w:w="551" w:type="pct"/>
            <w:tcBorders>
              <w:tl2br w:val="nil"/>
              <w:tr2bl w:val="nil"/>
            </w:tcBorders>
            <w:noWrap w:val="0"/>
            <w:vAlign w:val="center"/>
          </w:tcPr>
          <w:p w14:paraId="6E1FDF19">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NMHC</w:t>
            </w:r>
          </w:p>
        </w:tc>
        <w:tc>
          <w:tcPr>
            <w:tcW w:w="1490" w:type="pct"/>
            <w:tcBorders>
              <w:tl2br w:val="nil"/>
              <w:tr2bl w:val="nil"/>
            </w:tcBorders>
            <w:noWrap w:val="0"/>
            <w:vAlign w:val="center"/>
          </w:tcPr>
          <w:p w14:paraId="5DC8859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企业边界污染物控制浓度</w:t>
            </w:r>
          </w:p>
        </w:tc>
        <w:tc>
          <w:tcPr>
            <w:tcW w:w="1033" w:type="pct"/>
            <w:tcBorders>
              <w:tl2br w:val="nil"/>
              <w:tr2bl w:val="nil"/>
            </w:tcBorders>
            <w:noWrap w:val="0"/>
            <w:vAlign w:val="center"/>
          </w:tcPr>
          <w:p w14:paraId="548C3BC2">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4.0</w:t>
            </w:r>
          </w:p>
        </w:tc>
        <w:tc>
          <w:tcPr>
            <w:tcW w:w="1083" w:type="pct"/>
            <w:tcBorders>
              <w:tl2br w:val="nil"/>
              <w:tr2bl w:val="nil"/>
            </w:tcBorders>
            <w:noWrap w:val="0"/>
            <w:vAlign w:val="center"/>
          </w:tcPr>
          <w:p w14:paraId="7F0F9499">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GB39728-2020</w:t>
            </w:r>
          </w:p>
        </w:tc>
      </w:tr>
      <w:tr w14:paraId="7ABC5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40" w:type="pct"/>
            <w:vMerge w:val="continue"/>
            <w:tcBorders>
              <w:tl2br w:val="nil"/>
              <w:tr2bl w:val="nil"/>
            </w:tcBorders>
            <w:noWrap w:val="0"/>
            <w:vAlign w:val="center"/>
          </w:tcPr>
          <w:p w14:paraId="43D37293">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p>
        </w:tc>
        <w:tc>
          <w:tcPr>
            <w:tcW w:w="551" w:type="pct"/>
            <w:tcBorders>
              <w:tl2br w:val="nil"/>
              <w:tr2bl w:val="nil"/>
            </w:tcBorders>
            <w:noWrap w:val="0"/>
            <w:vAlign w:val="center"/>
          </w:tcPr>
          <w:p w14:paraId="7DF91F7E">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H</w:t>
            </w:r>
            <w:r>
              <w:rPr>
                <w:rFonts w:hint="eastAsia" w:cs="Times New Roman"/>
                <w:color w:val="auto"/>
                <w:kern w:val="0"/>
                <w:sz w:val="21"/>
                <w:szCs w:val="21"/>
                <w:highlight w:val="none"/>
                <w:u w:val="none"/>
                <w:vertAlign w:val="subscript"/>
                <w:lang w:val="en-US" w:eastAsia="zh-CN"/>
              </w:rPr>
              <w:t>2</w:t>
            </w:r>
            <w:r>
              <w:rPr>
                <w:rFonts w:hint="eastAsia" w:cs="Times New Roman"/>
                <w:color w:val="auto"/>
                <w:kern w:val="0"/>
                <w:sz w:val="21"/>
                <w:szCs w:val="21"/>
                <w:highlight w:val="none"/>
                <w:u w:val="none"/>
                <w:lang w:val="en-US" w:eastAsia="zh-CN"/>
              </w:rPr>
              <w:t>S</w:t>
            </w:r>
          </w:p>
        </w:tc>
        <w:tc>
          <w:tcPr>
            <w:tcW w:w="2633" w:type="dxa"/>
            <w:tcBorders>
              <w:tl2br w:val="nil"/>
              <w:tr2bl w:val="nil"/>
            </w:tcBorders>
            <w:noWrap w:val="0"/>
            <w:vAlign w:val="center"/>
          </w:tcPr>
          <w:p w14:paraId="5340543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highlight w:val="none"/>
                <w:u w:val="none"/>
              </w:rPr>
            </w:pPr>
            <w:r>
              <w:rPr>
                <w:rFonts w:hint="eastAsia" w:cs="Times New Roman"/>
                <w:color w:val="auto"/>
                <w:kern w:val="0"/>
                <w:sz w:val="21"/>
                <w:szCs w:val="21"/>
                <w:highlight w:val="none"/>
                <w:u w:val="none"/>
                <w:lang w:val="en-US" w:eastAsia="zh-CN"/>
              </w:rPr>
              <w:t>厂界标准</w:t>
            </w:r>
          </w:p>
        </w:tc>
        <w:tc>
          <w:tcPr>
            <w:tcW w:w="1825" w:type="dxa"/>
            <w:tcBorders>
              <w:tl2br w:val="nil"/>
              <w:tr2bl w:val="nil"/>
            </w:tcBorders>
            <w:noWrap w:val="0"/>
            <w:vAlign w:val="center"/>
          </w:tcPr>
          <w:p w14:paraId="11A54E1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0.06</w:t>
            </w:r>
          </w:p>
        </w:tc>
        <w:tc>
          <w:tcPr>
            <w:tcW w:w="1913" w:type="dxa"/>
            <w:tcBorders>
              <w:tl2br w:val="nil"/>
              <w:tr2bl w:val="nil"/>
            </w:tcBorders>
            <w:noWrap w:val="0"/>
            <w:vAlign w:val="center"/>
          </w:tcPr>
          <w:p w14:paraId="76A9ADC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GB14554-93</w:t>
            </w:r>
          </w:p>
        </w:tc>
      </w:tr>
    </w:tbl>
    <w:p w14:paraId="03C08FEA">
      <w:pPr>
        <w:keepNext w:val="0"/>
        <w:keepLines w:val="0"/>
        <w:pageBreakBefore w:val="0"/>
        <w:widowControl/>
        <w:kinsoku/>
        <w:wordWrap/>
        <w:overflowPunct/>
        <w:topLinePunct w:val="0"/>
        <w:autoSpaceDE/>
        <w:autoSpaceDN/>
        <w:bidi w:val="0"/>
        <w:adjustRightInd/>
        <w:snapToGrid/>
        <w:spacing w:before="157" w:beforeLines="50" w:line="360" w:lineRule="auto"/>
        <w:ind w:firstLine="504" w:firstLineChars="200"/>
        <w:jc w:val="left"/>
        <w:textAlignment w:val="auto"/>
        <w:rPr>
          <w:rFonts w:hint="default" w:ascii="Times New Roman" w:hAnsi="Times New Roman" w:cs="Times New Roman"/>
          <w:b w:val="0"/>
          <w:bCs w:val="0"/>
          <w:color w:val="auto"/>
          <w:spacing w:val="6"/>
          <w:kern w:val="0"/>
          <w:sz w:val="24"/>
          <w:szCs w:val="24"/>
          <w:highlight w:val="none"/>
          <w:u w:val="none"/>
        </w:rPr>
      </w:pPr>
      <w:r>
        <w:rPr>
          <w:rFonts w:hint="default" w:ascii="Times New Roman" w:hAnsi="Times New Roman" w:cs="Times New Roman"/>
          <w:b w:val="0"/>
          <w:bCs w:val="0"/>
          <w:color w:val="auto"/>
          <w:spacing w:val="6"/>
          <w:kern w:val="0"/>
          <w:sz w:val="24"/>
          <w:szCs w:val="24"/>
          <w:highlight w:val="none"/>
          <w:u w:val="none"/>
        </w:rPr>
        <w:t>（2）废水</w:t>
      </w:r>
    </w:p>
    <w:p w14:paraId="2E55C3C6">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en-US" w:eastAsia="zh-CN" w:bidi="ar-SA"/>
        </w:rPr>
      </w:pPr>
      <w:r>
        <w:rPr>
          <w:rFonts w:hint="default" w:ascii="宋体" w:hAnsi="宋体" w:eastAsia="宋体" w:cs="宋体"/>
          <w:color w:val="auto"/>
          <w:sz w:val="24"/>
          <w:szCs w:val="24"/>
          <w:highlight w:val="none"/>
          <w:u w:val="none"/>
          <w:lang w:val="en-US" w:eastAsia="zh-CN" w:bidi="ar-SA"/>
        </w:rPr>
        <w:t>根据《环境影响评价技术导则陆地石油天然气开发建设项目》（HJ 349-2023）规定</w:t>
      </w:r>
      <w:r>
        <w:rPr>
          <w:rFonts w:hint="eastAsia" w:ascii="宋体" w:hAnsi="宋体" w:cs="宋体"/>
          <w:color w:val="auto"/>
          <w:sz w:val="24"/>
          <w:szCs w:val="24"/>
          <w:highlight w:val="none"/>
          <w:u w:val="none"/>
          <w:lang w:val="en-US" w:eastAsia="zh-CN" w:bidi="ar-SA"/>
        </w:rPr>
        <w:t>：回注层的可注性重点从地层岩性、地层厚度、地层渗透性、试注结果等方面评价，油田注水水质满足SY/T 5329要求，气田注水水质满足SY/T 6596要求，不会形成二次沉淀堵塞地层，回注层有足够的储集空间，能满足油气田生产期内的回注要求。</w:t>
      </w:r>
    </w:p>
    <w:p w14:paraId="59B5825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Times New Roman" w:hAnsi="Times New Roman" w:eastAsia="宋体" w:cs="Times New Roman"/>
          <w:snapToGrid w:val="0"/>
          <w:color w:val="auto"/>
          <w:kern w:val="2"/>
          <w:sz w:val="24"/>
          <w:szCs w:val="20"/>
          <w:highlight w:val="none"/>
          <w:u w:val="none"/>
          <w:lang w:val="en-US" w:eastAsia="zh-CN" w:bidi="ar-SA"/>
        </w:rPr>
      </w:pPr>
      <w:r>
        <w:rPr>
          <w:rFonts w:hint="default" w:ascii="宋体" w:hAnsi="宋体" w:eastAsia="宋体" w:cs="宋体"/>
          <w:color w:val="auto"/>
          <w:sz w:val="24"/>
          <w:szCs w:val="24"/>
          <w:highlight w:val="none"/>
          <w:u w:val="none"/>
          <w:lang w:val="en-US" w:eastAsia="zh-CN" w:bidi="ar-SA"/>
        </w:rPr>
        <w:t>项目运营期产生的采出水依托莫北转油站采出水处理系统处理达标后回注；井下作业废水和洗井废水集中收集进入石西集中处理站处理，不向外环境排放，回注水满足《碎屑岩油藏注水水质指标技术要求及分析方法》（SY/T5329-2022）储层空气渗透率[</w:t>
      </w:r>
      <w:r>
        <w:rPr>
          <w:rFonts w:hint="eastAsia" w:ascii="宋体" w:hAnsi="宋体" w:cs="宋体"/>
          <w:color w:val="auto"/>
          <w:sz w:val="24"/>
          <w:szCs w:val="24"/>
          <w:highlight w:val="none"/>
          <w:u w:val="none"/>
          <w:lang w:val="en-US" w:eastAsia="zh-CN" w:bidi="ar-SA"/>
        </w:rPr>
        <w:t>0.01,0.05</w:t>
      </w:r>
      <w:r>
        <w:rPr>
          <w:rFonts w:hint="default" w:ascii="宋体" w:hAnsi="宋体" w:eastAsia="宋体" w:cs="宋体"/>
          <w:color w:val="auto"/>
          <w:sz w:val="24"/>
          <w:szCs w:val="24"/>
          <w:highlight w:val="none"/>
          <w:u w:val="none"/>
          <w:lang w:val="en-US" w:eastAsia="zh-CN" w:bidi="ar-SA"/>
        </w:rPr>
        <w:t>]标准，标准值见表</w:t>
      </w:r>
      <w:r>
        <w:rPr>
          <w:rFonts w:hint="eastAsia" w:ascii="宋体" w:hAnsi="宋体" w:eastAsia="宋体" w:cs="宋体"/>
          <w:color w:val="auto"/>
          <w:sz w:val="24"/>
          <w:szCs w:val="24"/>
          <w:highlight w:val="none"/>
          <w:u w:val="none"/>
          <w:lang w:val="en-US" w:eastAsia="zh-CN" w:bidi="ar-SA"/>
        </w:rPr>
        <w:t>2.4-5</w:t>
      </w:r>
      <w:r>
        <w:rPr>
          <w:rFonts w:hint="default" w:ascii="宋体" w:hAnsi="宋体" w:eastAsia="宋体" w:cs="宋体"/>
          <w:color w:val="auto"/>
          <w:sz w:val="24"/>
          <w:szCs w:val="24"/>
          <w:highlight w:val="none"/>
          <w:u w:val="none"/>
          <w:lang w:val="en-US" w:eastAsia="zh-CN" w:bidi="ar-SA"/>
        </w:rPr>
        <w:t>。</w:t>
      </w:r>
    </w:p>
    <w:p w14:paraId="255D7D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表2.</w:t>
      </w:r>
      <w:r>
        <w:rPr>
          <w:rFonts w:hint="eastAsia" w:ascii="黑体" w:hAnsi="黑体" w:eastAsia="黑体" w:cs="黑体"/>
          <w:b w:val="0"/>
          <w:bCs/>
          <w:color w:val="auto"/>
          <w:kern w:val="2"/>
          <w:sz w:val="24"/>
          <w:szCs w:val="24"/>
          <w:u w:val="none"/>
          <w:lang w:val="en-US" w:eastAsia="zh-CN" w:bidi="ar-SA"/>
        </w:rPr>
        <w:t>4-5</w:t>
      </w:r>
      <w:r>
        <w:rPr>
          <w:rFonts w:hint="default" w:ascii="黑体" w:hAnsi="黑体" w:eastAsia="黑体" w:cs="黑体"/>
          <w:b w:val="0"/>
          <w:bCs/>
          <w:color w:val="auto"/>
          <w:kern w:val="2"/>
          <w:sz w:val="24"/>
          <w:szCs w:val="24"/>
          <w:u w:val="none"/>
          <w:lang w:val="en-US" w:eastAsia="zh-CN" w:bidi="ar-SA"/>
        </w:rPr>
        <w:t>《碎屑岩油藏注水水质指标技术要求及分析方法》（SY/T5329-2022）</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16"/>
        <w:gridCol w:w="922"/>
        <w:gridCol w:w="1422"/>
        <w:gridCol w:w="1286"/>
        <w:gridCol w:w="1381"/>
        <w:gridCol w:w="903"/>
      </w:tblGrid>
      <w:tr w14:paraId="68228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51" w:type="pct"/>
            <w:tcBorders>
              <w:tl2br w:val="nil"/>
              <w:tr2bl w:val="nil"/>
            </w:tcBorders>
            <w:noWrap w:val="0"/>
            <w:vAlign w:val="center"/>
          </w:tcPr>
          <w:p w14:paraId="220939DA">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储层</w:t>
            </w:r>
            <w:r>
              <w:rPr>
                <w:rFonts w:hint="default" w:ascii="Times New Roman" w:hAnsi="Times New Roman" w:cs="Times New Roman"/>
                <w:color w:val="auto"/>
                <w:sz w:val="21"/>
                <w:szCs w:val="21"/>
                <w:highlight w:val="none"/>
                <w:u w:val="none"/>
              </w:rPr>
              <w:t>空气渗透率（μm²）</w:t>
            </w:r>
          </w:p>
        </w:tc>
        <w:tc>
          <w:tcPr>
            <w:tcW w:w="522" w:type="pct"/>
            <w:tcBorders>
              <w:tl2br w:val="nil"/>
              <w:tr2bl w:val="nil"/>
            </w:tcBorders>
            <w:noWrap w:val="0"/>
            <w:vAlign w:val="center"/>
          </w:tcPr>
          <w:p w14:paraId="37F4615F">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rPr>
              <w:t>0.01</w:t>
            </w:r>
          </w:p>
        </w:tc>
        <w:tc>
          <w:tcPr>
            <w:tcW w:w="805" w:type="pct"/>
            <w:tcBorders>
              <w:tl2br w:val="nil"/>
              <w:tr2bl w:val="nil"/>
            </w:tcBorders>
            <w:noWrap w:val="0"/>
            <w:vAlign w:val="center"/>
          </w:tcPr>
          <w:p w14:paraId="3F805E17">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lang w:val="en-US" w:eastAsia="zh-CN"/>
              </w:rPr>
              <w:t>0.01，0.05)</w:t>
            </w:r>
          </w:p>
        </w:tc>
        <w:tc>
          <w:tcPr>
            <w:tcW w:w="728" w:type="pct"/>
            <w:tcBorders>
              <w:tl2br w:val="nil"/>
              <w:tr2bl w:val="nil"/>
            </w:tcBorders>
            <w:noWrap w:val="0"/>
            <w:vAlign w:val="center"/>
          </w:tcPr>
          <w:p w14:paraId="56C371AE">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lang w:val="en-US" w:eastAsia="zh-CN"/>
              </w:rPr>
              <w:t>0.05，0.5)</w:t>
            </w:r>
          </w:p>
        </w:tc>
        <w:tc>
          <w:tcPr>
            <w:tcW w:w="782" w:type="pct"/>
            <w:tcBorders>
              <w:tl2br w:val="nil"/>
              <w:tr2bl w:val="nil"/>
            </w:tcBorders>
            <w:noWrap w:val="0"/>
            <w:vAlign w:val="center"/>
          </w:tcPr>
          <w:p w14:paraId="7A72608F">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lang w:val="en-US" w:eastAsia="zh-CN"/>
              </w:rPr>
              <w:t>0.5，2.0)</w:t>
            </w:r>
          </w:p>
        </w:tc>
        <w:tc>
          <w:tcPr>
            <w:tcW w:w="508" w:type="pct"/>
            <w:tcBorders>
              <w:tl2br w:val="nil"/>
              <w:tr2bl w:val="nil"/>
            </w:tcBorders>
            <w:noWrap w:val="0"/>
            <w:vAlign w:val="center"/>
          </w:tcPr>
          <w:p w14:paraId="10D40F83">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lang w:val="en-US"/>
              </w:rPr>
            </w:pPr>
            <w:r>
              <w:rPr>
                <w:rFonts w:hint="default" w:ascii="Times New Roman" w:hAnsi="Times New Roman" w:cs="Times New Roman"/>
                <w:color w:val="auto"/>
                <w:sz w:val="21"/>
                <w:szCs w:val="21"/>
                <w:highlight w:val="none"/>
                <w:u w:val="none"/>
                <w:lang w:val="en-US" w:eastAsia="zh-CN"/>
              </w:rPr>
              <w:t>≥2.0</w:t>
            </w:r>
          </w:p>
        </w:tc>
      </w:tr>
      <w:tr w14:paraId="07CD5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51" w:type="pct"/>
            <w:tcBorders>
              <w:tl2br w:val="nil"/>
              <w:tr2bl w:val="nil"/>
            </w:tcBorders>
            <w:noWrap w:val="0"/>
            <w:vAlign w:val="center"/>
          </w:tcPr>
          <w:p w14:paraId="6FAFB406">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水质标准分级</w:t>
            </w:r>
          </w:p>
        </w:tc>
        <w:tc>
          <w:tcPr>
            <w:tcW w:w="522" w:type="pct"/>
            <w:tcBorders>
              <w:tl2br w:val="nil"/>
              <w:tr2bl w:val="nil"/>
            </w:tcBorders>
            <w:noWrap w:val="0"/>
            <w:vAlign w:val="center"/>
          </w:tcPr>
          <w:p w14:paraId="4273CFFD">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Ⅰ</w:t>
            </w:r>
          </w:p>
        </w:tc>
        <w:tc>
          <w:tcPr>
            <w:tcW w:w="805" w:type="pct"/>
            <w:tcBorders>
              <w:tl2br w:val="nil"/>
              <w:tr2bl w:val="nil"/>
            </w:tcBorders>
            <w:noWrap w:val="0"/>
            <w:vAlign w:val="center"/>
          </w:tcPr>
          <w:p w14:paraId="5F349701">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Ⅱ</w:t>
            </w:r>
          </w:p>
        </w:tc>
        <w:tc>
          <w:tcPr>
            <w:tcW w:w="728" w:type="pct"/>
            <w:tcBorders>
              <w:tl2br w:val="nil"/>
              <w:tr2bl w:val="nil"/>
            </w:tcBorders>
            <w:noWrap w:val="0"/>
            <w:vAlign w:val="center"/>
          </w:tcPr>
          <w:p w14:paraId="41C22DA4">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Ⅲ</w:t>
            </w:r>
          </w:p>
        </w:tc>
        <w:tc>
          <w:tcPr>
            <w:tcW w:w="782" w:type="pct"/>
            <w:tcBorders>
              <w:tl2br w:val="nil"/>
              <w:tr2bl w:val="nil"/>
            </w:tcBorders>
            <w:noWrap w:val="0"/>
            <w:vAlign w:val="center"/>
          </w:tcPr>
          <w:p w14:paraId="4A528F65">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Ⅳ</w:t>
            </w:r>
          </w:p>
        </w:tc>
        <w:tc>
          <w:tcPr>
            <w:tcW w:w="508" w:type="pct"/>
            <w:tcBorders>
              <w:tl2br w:val="nil"/>
              <w:tr2bl w:val="nil"/>
            </w:tcBorders>
            <w:noWrap w:val="0"/>
            <w:vAlign w:val="center"/>
          </w:tcPr>
          <w:p w14:paraId="0D13BEB7">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Ⅴ</w:t>
            </w:r>
          </w:p>
        </w:tc>
      </w:tr>
      <w:tr w14:paraId="11B79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51" w:type="pct"/>
            <w:tcBorders>
              <w:tl2br w:val="nil"/>
              <w:tr2bl w:val="nil"/>
            </w:tcBorders>
            <w:noWrap w:val="0"/>
            <w:vAlign w:val="center"/>
          </w:tcPr>
          <w:p w14:paraId="61456DD0">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悬浮固体含量mg/L</w:t>
            </w:r>
          </w:p>
        </w:tc>
        <w:tc>
          <w:tcPr>
            <w:tcW w:w="522" w:type="pct"/>
            <w:tcBorders>
              <w:tl2br w:val="nil"/>
              <w:tr2bl w:val="nil"/>
            </w:tcBorders>
            <w:noWrap w:val="0"/>
            <w:vAlign w:val="center"/>
          </w:tcPr>
          <w:p w14:paraId="03323F0E">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≤8.0</w:t>
            </w:r>
          </w:p>
        </w:tc>
        <w:tc>
          <w:tcPr>
            <w:tcW w:w="805" w:type="pct"/>
            <w:tcBorders>
              <w:tl2br w:val="nil"/>
              <w:tr2bl w:val="nil"/>
            </w:tcBorders>
            <w:noWrap w:val="0"/>
            <w:vAlign w:val="center"/>
          </w:tcPr>
          <w:p w14:paraId="1EE5636F">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≤15.0</w:t>
            </w:r>
          </w:p>
        </w:tc>
        <w:tc>
          <w:tcPr>
            <w:tcW w:w="728" w:type="pct"/>
            <w:tcBorders>
              <w:tl2br w:val="nil"/>
              <w:tr2bl w:val="nil"/>
            </w:tcBorders>
            <w:noWrap w:val="0"/>
            <w:vAlign w:val="center"/>
          </w:tcPr>
          <w:p w14:paraId="77931A95">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≤20.0</w:t>
            </w:r>
          </w:p>
        </w:tc>
        <w:tc>
          <w:tcPr>
            <w:tcW w:w="782" w:type="pct"/>
            <w:tcBorders>
              <w:tl2br w:val="nil"/>
              <w:tr2bl w:val="nil"/>
            </w:tcBorders>
            <w:noWrap w:val="0"/>
            <w:vAlign w:val="center"/>
          </w:tcPr>
          <w:p w14:paraId="43B7C36D">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≤25.0</w:t>
            </w:r>
          </w:p>
        </w:tc>
        <w:tc>
          <w:tcPr>
            <w:tcW w:w="508" w:type="pct"/>
            <w:tcBorders>
              <w:tl2br w:val="nil"/>
              <w:tr2bl w:val="nil"/>
            </w:tcBorders>
            <w:noWrap w:val="0"/>
            <w:vAlign w:val="center"/>
          </w:tcPr>
          <w:p w14:paraId="243EFFDC">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≤35.0</w:t>
            </w:r>
          </w:p>
        </w:tc>
      </w:tr>
      <w:tr w14:paraId="13C02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51" w:type="pct"/>
            <w:tcBorders>
              <w:tl2br w:val="nil"/>
              <w:tr2bl w:val="nil"/>
            </w:tcBorders>
            <w:noWrap w:val="0"/>
            <w:vAlign w:val="center"/>
          </w:tcPr>
          <w:p w14:paraId="70110C31">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悬浮物颗粒直径中值</w:t>
            </w:r>
            <w:r>
              <w:rPr>
                <w:rFonts w:hint="default" w:ascii="Times New Roman" w:hAnsi="Times New Roman" w:eastAsia="微软雅黑" w:cs="Times New Roman"/>
                <w:color w:val="auto"/>
                <w:sz w:val="21"/>
                <w:szCs w:val="21"/>
                <w:highlight w:val="none"/>
                <w:u w:val="none"/>
                <w:lang w:val="en-US" w:eastAsia="zh-CN"/>
              </w:rPr>
              <w:t>㎛</w:t>
            </w:r>
          </w:p>
        </w:tc>
        <w:tc>
          <w:tcPr>
            <w:tcW w:w="522" w:type="pct"/>
            <w:tcBorders>
              <w:tl2br w:val="nil"/>
              <w:tr2bl w:val="nil"/>
            </w:tcBorders>
            <w:noWrap w:val="0"/>
            <w:vAlign w:val="center"/>
          </w:tcPr>
          <w:p w14:paraId="357C7FA2">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≤3.0</w:t>
            </w:r>
          </w:p>
        </w:tc>
        <w:tc>
          <w:tcPr>
            <w:tcW w:w="805" w:type="pct"/>
            <w:tcBorders>
              <w:tl2br w:val="nil"/>
              <w:tr2bl w:val="nil"/>
            </w:tcBorders>
            <w:noWrap w:val="0"/>
            <w:vAlign w:val="center"/>
          </w:tcPr>
          <w:p w14:paraId="70BBFA04">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≤5.0</w:t>
            </w:r>
          </w:p>
        </w:tc>
        <w:tc>
          <w:tcPr>
            <w:tcW w:w="728" w:type="pct"/>
            <w:tcBorders>
              <w:tl2br w:val="nil"/>
              <w:tr2bl w:val="nil"/>
            </w:tcBorders>
            <w:noWrap w:val="0"/>
            <w:vAlign w:val="center"/>
          </w:tcPr>
          <w:p w14:paraId="63E1D6CF">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≤5.0</w:t>
            </w:r>
          </w:p>
        </w:tc>
        <w:tc>
          <w:tcPr>
            <w:tcW w:w="782" w:type="pct"/>
            <w:tcBorders>
              <w:tl2br w:val="nil"/>
              <w:tr2bl w:val="nil"/>
            </w:tcBorders>
            <w:noWrap w:val="0"/>
            <w:vAlign w:val="center"/>
          </w:tcPr>
          <w:p w14:paraId="2D09E2FD">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≤5.0</w:t>
            </w:r>
          </w:p>
        </w:tc>
        <w:tc>
          <w:tcPr>
            <w:tcW w:w="508" w:type="pct"/>
            <w:tcBorders>
              <w:tl2br w:val="nil"/>
              <w:tr2bl w:val="nil"/>
            </w:tcBorders>
            <w:noWrap w:val="0"/>
            <w:vAlign w:val="center"/>
          </w:tcPr>
          <w:p w14:paraId="1D2275F6">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≤5.5</w:t>
            </w:r>
          </w:p>
        </w:tc>
      </w:tr>
      <w:tr w14:paraId="11427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51" w:type="pct"/>
            <w:tcBorders>
              <w:tl2br w:val="nil"/>
              <w:tr2bl w:val="nil"/>
            </w:tcBorders>
            <w:noWrap w:val="0"/>
            <w:vAlign w:val="center"/>
          </w:tcPr>
          <w:p w14:paraId="49C06BE9">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含油量mg/L</w:t>
            </w:r>
          </w:p>
        </w:tc>
        <w:tc>
          <w:tcPr>
            <w:tcW w:w="522" w:type="pct"/>
            <w:tcBorders>
              <w:tl2br w:val="nil"/>
              <w:tr2bl w:val="nil"/>
            </w:tcBorders>
            <w:noWrap w:val="0"/>
            <w:vAlign w:val="center"/>
          </w:tcPr>
          <w:p w14:paraId="325CC4D1">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≤5.0</w:t>
            </w:r>
          </w:p>
        </w:tc>
        <w:tc>
          <w:tcPr>
            <w:tcW w:w="805" w:type="pct"/>
            <w:tcBorders>
              <w:tl2br w:val="nil"/>
              <w:tr2bl w:val="nil"/>
            </w:tcBorders>
            <w:noWrap w:val="0"/>
            <w:vAlign w:val="center"/>
          </w:tcPr>
          <w:p w14:paraId="4CCAE9D5">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≤10.0</w:t>
            </w:r>
          </w:p>
        </w:tc>
        <w:tc>
          <w:tcPr>
            <w:tcW w:w="728" w:type="pct"/>
            <w:tcBorders>
              <w:tl2br w:val="nil"/>
              <w:tr2bl w:val="nil"/>
            </w:tcBorders>
            <w:noWrap w:val="0"/>
            <w:vAlign w:val="center"/>
          </w:tcPr>
          <w:p w14:paraId="6C77721F">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≤15.0</w:t>
            </w:r>
          </w:p>
        </w:tc>
        <w:tc>
          <w:tcPr>
            <w:tcW w:w="782" w:type="pct"/>
            <w:tcBorders>
              <w:tl2br w:val="nil"/>
              <w:tr2bl w:val="nil"/>
            </w:tcBorders>
            <w:noWrap w:val="0"/>
            <w:vAlign w:val="center"/>
          </w:tcPr>
          <w:p w14:paraId="78664BFC">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≤30.0</w:t>
            </w:r>
          </w:p>
        </w:tc>
        <w:tc>
          <w:tcPr>
            <w:tcW w:w="508" w:type="pct"/>
            <w:tcBorders>
              <w:tl2br w:val="nil"/>
              <w:tr2bl w:val="nil"/>
            </w:tcBorders>
            <w:noWrap w:val="0"/>
            <w:vAlign w:val="center"/>
          </w:tcPr>
          <w:p w14:paraId="38F6826E">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highlight w:val="none"/>
                <w:u w:val="none"/>
                <w:lang w:val="en-US" w:eastAsia="zh-CN"/>
              </w:rPr>
              <w:t>≤100.0</w:t>
            </w:r>
          </w:p>
        </w:tc>
      </w:tr>
      <w:tr w14:paraId="426D6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1" w:type="pct"/>
            <w:tcBorders>
              <w:tl2br w:val="nil"/>
              <w:tr2bl w:val="nil"/>
            </w:tcBorders>
            <w:noWrap w:val="0"/>
            <w:vAlign w:val="center"/>
          </w:tcPr>
          <w:p w14:paraId="590B70E3">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平均腐蚀率mm/a</w:t>
            </w:r>
          </w:p>
        </w:tc>
        <w:tc>
          <w:tcPr>
            <w:tcW w:w="3348" w:type="pct"/>
            <w:gridSpan w:val="5"/>
            <w:tcBorders>
              <w:tl2br w:val="nil"/>
              <w:tr2bl w:val="nil"/>
            </w:tcBorders>
            <w:noWrap w:val="0"/>
            <w:vAlign w:val="center"/>
          </w:tcPr>
          <w:p w14:paraId="0FFF9095">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≤0.076</w:t>
            </w:r>
          </w:p>
        </w:tc>
      </w:tr>
    </w:tbl>
    <w:p w14:paraId="501407E7">
      <w:pPr>
        <w:widowControl/>
        <w:spacing w:line="360" w:lineRule="auto"/>
        <w:ind w:firstLine="504" w:firstLineChars="200"/>
        <w:jc w:val="left"/>
        <w:rPr>
          <w:rFonts w:hint="default" w:ascii="Times New Roman" w:hAnsi="Times New Roman" w:cs="Times New Roman"/>
          <w:b w:val="0"/>
          <w:bCs w:val="0"/>
          <w:color w:val="auto"/>
          <w:spacing w:val="6"/>
          <w:kern w:val="0"/>
          <w:sz w:val="24"/>
          <w:szCs w:val="24"/>
          <w:highlight w:val="none"/>
          <w:u w:val="none"/>
        </w:rPr>
      </w:pPr>
      <w:r>
        <w:rPr>
          <w:rFonts w:hint="default" w:ascii="Times New Roman" w:hAnsi="Times New Roman" w:cs="Times New Roman"/>
          <w:b w:val="0"/>
          <w:bCs w:val="0"/>
          <w:color w:val="auto"/>
          <w:spacing w:val="6"/>
          <w:kern w:val="0"/>
          <w:sz w:val="24"/>
          <w:szCs w:val="24"/>
          <w:highlight w:val="none"/>
          <w:u w:val="none"/>
        </w:rPr>
        <w:t>（3）噪声</w:t>
      </w:r>
    </w:p>
    <w:p w14:paraId="50883F4D">
      <w:pPr>
        <w:widowControl/>
        <w:spacing w:line="360" w:lineRule="auto"/>
        <w:ind w:firstLine="480" w:firstLineChars="200"/>
        <w:jc w:val="left"/>
        <w:rPr>
          <w:rFonts w:hint="default" w:ascii="Times New Roman" w:hAnsi="Times New Roman" w:cs="Times New Roman"/>
          <w:color w:val="auto"/>
          <w:kern w:val="0"/>
          <w:sz w:val="24"/>
          <w:szCs w:val="24"/>
          <w:highlight w:val="none"/>
          <w:u w:val="none"/>
        </w:rPr>
      </w:pPr>
      <w:r>
        <w:rPr>
          <w:rFonts w:hint="default" w:ascii="宋体" w:hAnsi="宋体" w:eastAsia="宋体" w:cs="宋体"/>
          <w:color w:val="auto"/>
          <w:sz w:val="24"/>
          <w:szCs w:val="24"/>
          <w:highlight w:val="none"/>
          <w:u w:val="none"/>
          <w:lang w:val="en-US" w:eastAsia="zh-CN" w:bidi="ar-SA"/>
        </w:rPr>
        <w:t>施工期执行《建筑施工场界环境噪声排放标准》（GB12523-2011）；</w:t>
      </w:r>
      <w:r>
        <w:rPr>
          <w:rFonts w:hint="eastAsia" w:ascii="宋体" w:hAnsi="宋体" w:eastAsia="宋体" w:cs="宋体"/>
          <w:color w:val="auto"/>
          <w:sz w:val="24"/>
          <w:szCs w:val="24"/>
          <w:highlight w:val="none"/>
          <w:u w:val="none"/>
          <w:lang w:val="en-US" w:eastAsia="zh-CN" w:bidi="ar-SA"/>
        </w:rPr>
        <w:t>运营期</w:t>
      </w:r>
      <w:r>
        <w:rPr>
          <w:rFonts w:hint="default" w:ascii="宋体" w:hAnsi="宋体" w:eastAsia="宋体" w:cs="宋体"/>
          <w:color w:val="auto"/>
          <w:sz w:val="24"/>
          <w:szCs w:val="24"/>
          <w:highlight w:val="none"/>
          <w:u w:val="none"/>
          <w:lang w:val="en-US" w:eastAsia="zh-CN" w:bidi="ar-SA"/>
        </w:rPr>
        <w:t>执行《工业企业厂界环境噪声排放标准》（GB12348-2008）中2类标准，噪声限值</w:t>
      </w:r>
      <w:r>
        <w:rPr>
          <w:rFonts w:hint="eastAsia" w:ascii="宋体" w:hAnsi="宋体" w:eastAsia="宋体" w:cs="宋体"/>
          <w:color w:val="auto"/>
          <w:sz w:val="24"/>
          <w:szCs w:val="24"/>
          <w:highlight w:val="none"/>
          <w:u w:val="none"/>
          <w:lang w:val="en-US" w:eastAsia="zh-CN" w:bidi="ar-SA"/>
        </w:rPr>
        <w:t>，</w:t>
      </w:r>
      <w:r>
        <w:rPr>
          <w:rFonts w:hint="default" w:ascii="宋体" w:hAnsi="宋体" w:eastAsia="宋体" w:cs="宋体"/>
          <w:color w:val="auto"/>
          <w:sz w:val="24"/>
          <w:szCs w:val="24"/>
          <w:highlight w:val="none"/>
          <w:u w:val="none"/>
          <w:lang w:val="en-US" w:eastAsia="zh-CN" w:bidi="ar-SA"/>
        </w:rPr>
        <w:t>见表2.</w:t>
      </w:r>
      <w:r>
        <w:rPr>
          <w:rFonts w:hint="eastAsia" w:ascii="宋体" w:hAnsi="宋体" w:eastAsia="宋体" w:cs="宋体"/>
          <w:color w:val="auto"/>
          <w:sz w:val="24"/>
          <w:szCs w:val="24"/>
          <w:highlight w:val="none"/>
          <w:u w:val="none"/>
          <w:lang w:val="en-US" w:eastAsia="zh-CN" w:bidi="ar-SA"/>
        </w:rPr>
        <w:t>4</w:t>
      </w:r>
      <w:r>
        <w:rPr>
          <w:rFonts w:hint="default" w:ascii="宋体" w:hAnsi="宋体" w:eastAsia="宋体" w:cs="宋体"/>
          <w:color w:val="auto"/>
          <w:sz w:val="24"/>
          <w:szCs w:val="24"/>
          <w:highlight w:val="none"/>
          <w:u w:val="none"/>
          <w:lang w:val="en-US" w:eastAsia="zh-CN" w:bidi="ar-SA"/>
        </w:rPr>
        <w:t>-</w:t>
      </w:r>
      <w:r>
        <w:rPr>
          <w:rFonts w:hint="eastAsia" w:ascii="宋体" w:hAnsi="宋体" w:cs="宋体"/>
          <w:color w:val="auto"/>
          <w:sz w:val="24"/>
          <w:szCs w:val="24"/>
          <w:highlight w:val="none"/>
          <w:u w:val="none"/>
          <w:lang w:val="en-US" w:eastAsia="zh-CN" w:bidi="ar-SA"/>
        </w:rPr>
        <w:t>6</w:t>
      </w:r>
      <w:r>
        <w:rPr>
          <w:rFonts w:hint="default" w:ascii="宋体" w:hAnsi="宋体" w:eastAsia="宋体" w:cs="宋体"/>
          <w:color w:val="auto"/>
          <w:sz w:val="24"/>
          <w:szCs w:val="24"/>
          <w:highlight w:val="none"/>
          <w:u w:val="none"/>
          <w:lang w:val="en-US" w:eastAsia="zh-CN" w:bidi="ar-SA"/>
        </w:rPr>
        <w:t>。</w:t>
      </w:r>
    </w:p>
    <w:p w14:paraId="2A331F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表2.</w:t>
      </w:r>
      <w:r>
        <w:rPr>
          <w:rFonts w:hint="eastAsia" w:ascii="黑体" w:hAnsi="黑体" w:eastAsia="黑体" w:cs="黑体"/>
          <w:b w:val="0"/>
          <w:bCs/>
          <w:color w:val="auto"/>
          <w:kern w:val="2"/>
          <w:sz w:val="24"/>
          <w:szCs w:val="24"/>
          <w:u w:val="none"/>
          <w:lang w:val="en-US" w:eastAsia="zh-CN" w:bidi="ar-SA"/>
        </w:rPr>
        <w:t>4</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6   </w:t>
      </w:r>
      <w:r>
        <w:rPr>
          <w:rFonts w:hint="default" w:ascii="黑体" w:hAnsi="黑体" w:eastAsia="黑体" w:cs="黑体"/>
          <w:b w:val="0"/>
          <w:bCs/>
          <w:color w:val="auto"/>
          <w:kern w:val="2"/>
          <w:sz w:val="24"/>
          <w:szCs w:val="24"/>
          <w:u w:val="none"/>
          <w:lang w:val="en-US" w:eastAsia="zh-CN" w:bidi="ar-SA"/>
        </w:rPr>
        <w:t>环境噪声排放标准</w:t>
      </w: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95"/>
        <w:gridCol w:w="895"/>
        <w:gridCol w:w="1166"/>
        <w:gridCol w:w="1166"/>
      </w:tblGrid>
      <w:tr w14:paraId="1D2E7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trPr>
        <w:tc>
          <w:tcPr>
            <w:tcW w:w="5295" w:type="dxa"/>
            <w:vMerge w:val="restart"/>
            <w:tcBorders>
              <w:tl2br w:val="nil"/>
              <w:tr2bl w:val="nil"/>
            </w:tcBorders>
            <w:noWrap w:val="0"/>
            <w:vAlign w:val="center"/>
          </w:tcPr>
          <w:p w14:paraId="37F2A4BA">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标准来源</w:t>
            </w:r>
          </w:p>
        </w:tc>
        <w:tc>
          <w:tcPr>
            <w:tcW w:w="895" w:type="dxa"/>
            <w:vMerge w:val="restart"/>
            <w:tcBorders>
              <w:tl2br w:val="nil"/>
              <w:tr2bl w:val="nil"/>
            </w:tcBorders>
            <w:noWrap w:val="0"/>
            <w:vAlign w:val="center"/>
          </w:tcPr>
          <w:p w14:paraId="665E5935">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类别</w:t>
            </w:r>
          </w:p>
        </w:tc>
        <w:tc>
          <w:tcPr>
            <w:tcW w:w="2332" w:type="dxa"/>
            <w:gridSpan w:val="2"/>
            <w:tcBorders>
              <w:tl2br w:val="nil"/>
              <w:tr2bl w:val="nil"/>
            </w:tcBorders>
            <w:noWrap w:val="0"/>
            <w:vAlign w:val="center"/>
          </w:tcPr>
          <w:p w14:paraId="4700B9DB">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噪声限值dB（A）</w:t>
            </w:r>
          </w:p>
        </w:tc>
      </w:tr>
      <w:tr w14:paraId="617B0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5295" w:type="dxa"/>
            <w:vMerge w:val="continue"/>
            <w:tcBorders>
              <w:tl2br w:val="nil"/>
              <w:tr2bl w:val="nil"/>
            </w:tcBorders>
            <w:noWrap w:val="0"/>
            <w:vAlign w:val="center"/>
          </w:tcPr>
          <w:p w14:paraId="427339A9">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p>
        </w:tc>
        <w:tc>
          <w:tcPr>
            <w:tcW w:w="895" w:type="dxa"/>
            <w:vMerge w:val="continue"/>
            <w:tcBorders>
              <w:tl2br w:val="nil"/>
              <w:tr2bl w:val="nil"/>
            </w:tcBorders>
            <w:noWrap w:val="0"/>
            <w:vAlign w:val="center"/>
          </w:tcPr>
          <w:p w14:paraId="5FB83577">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p>
        </w:tc>
        <w:tc>
          <w:tcPr>
            <w:tcW w:w="1166" w:type="dxa"/>
            <w:tcBorders>
              <w:tl2br w:val="nil"/>
              <w:tr2bl w:val="nil"/>
            </w:tcBorders>
            <w:noWrap w:val="0"/>
            <w:vAlign w:val="center"/>
          </w:tcPr>
          <w:p w14:paraId="65DF1F4C">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昼间</w:t>
            </w:r>
          </w:p>
        </w:tc>
        <w:tc>
          <w:tcPr>
            <w:tcW w:w="1166" w:type="dxa"/>
            <w:tcBorders>
              <w:tl2br w:val="nil"/>
              <w:tr2bl w:val="nil"/>
            </w:tcBorders>
            <w:noWrap w:val="0"/>
            <w:vAlign w:val="center"/>
          </w:tcPr>
          <w:p w14:paraId="7587DEDB">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夜间</w:t>
            </w:r>
          </w:p>
        </w:tc>
      </w:tr>
      <w:tr w14:paraId="4166C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295" w:type="dxa"/>
            <w:tcBorders>
              <w:tl2br w:val="nil"/>
              <w:tr2bl w:val="nil"/>
            </w:tcBorders>
            <w:noWrap w:val="0"/>
            <w:vAlign w:val="center"/>
          </w:tcPr>
          <w:p w14:paraId="6C443C3A">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《建筑施工场界环境噪声排放标准》（GB12523-2011）</w:t>
            </w:r>
          </w:p>
        </w:tc>
        <w:tc>
          <w:tcPr>
            <w:tcW w:w="895" w:type="dxa"/>
            <w:tcBorders>
              <w:tl2br w:val="nil"/>
              <w:tr2bl w:val="nil"/>
            </w:tcBorders>
            <w:noWrap w:val="0"/>
            <w:vAlign w:val="center"/>
          </w:tcPr>
          <w:p w14:paraId="2B3791DD">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w:t>
            </w:r>
          </w:p>
        </w:tc>
        <w:tc>
          <w:tcPr>
            <w:tcW w:w="1166" w:type="dxa"/>
            <w:tcBorders>
              <w:tl2br w:val="nil"/>
              <w:tr2bl w:val="nil"/>
            </w:tcBorders>
            <w:noWrap w:val="0"/>
            <w:vAlign w:val="center"/>
          </w:tcPr>
          <w:p w14:paraId="6B514A96">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70</w:t>
            </w:r>
          </w:p>
        </w:tc>
        <w:tc>
          <w:tcPr>
            <w:tcW w:w="1166" w:type="dxa"/>
            <w:tcBorders>
              <w:tl2br w:val="nil"/>
              <w:tr2bl w:val="nil"/>
            </w:tcBorders>
            <w:noWrap w:val="0"/>
            <w:vAlign w:val="center"/>
          </w:tcPr>
          <w:p w14:paraId="769155F7">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55</w:t>
            </w:r>
          </w:p>
        </w:tc>
      </w:tr>
      <w:tr w14:paraId="5C0A6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295" w:type="dxa"/>
            <w:tcBorders>
              <w:tl2br w:val="nil"/>
              <w:tr2bl w:val="nil"/>
            </w:tcBorders>
            <w:noWrap w:val="0"/>
            <w:vAlign w:val="center"/>
          </w:tcPr>
          <w:p w14:paraId="31615EB1">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《工业企业厂界环境噪声排放标准》（GB12348-2008）</w:t>
            </w:r>
          </w:p>
        </w:tc>
        <w:tc>
          <w:tcPr>
            <w:tcW w:w="895" w:type="dxa"/>
            <w:tcBorders>
              <w:tl2br w:val="nil"/>
              <w:tr2bl w:val="nil"/>
            </w:tcBorders>
            <w:noWrap w:val="0"/>
            <w:vAlign w:val="center"/>
          </w:tcPr>
          <w:p w14:paraId="7FA86D8A">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2类</w:t>
            </w:r>
          </w:p>
        </w:tc>
        <w:tc>
          <w:tcPr>
            <w:tcW w:w="1166" w:type="dxa"/>
            <w:tcBorders>
              <w:tl2br w:val="nil"/>
              <w:tr2bl w:val="nil"/>
            </w:tcBorders>
            <w:noWrap w:val="0"/>
            <w:vAlign w:val="center"/>
          </w:tcPr>
          <w:p w14:paraId="1FBD0750">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60</w:t>
            </w:r>
          </w:p>
        </w:tc>
        <w:tc>
          <w:tcPr>
            <w:tcW w:w="1166" w:type="dxa"/>
            <w:tcBorders>
              <w:tl2br w:val="nil"/>
              <w:tr2bl w:val="nil"/>
            </w:tcBorders>
            <w:noWrap w:val="0"/>
            <w:vAlign w:val="center"/>
          </w:tcPr>
          <w:p w14:paraId="5D6C144F">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50</w:t>
            </w:r>
          </w:p>
        </w:tc>
      </w:tr>
    </w:tbl>
    <w:p w14:paraId="2559867E">
      <w:pPr>
        <w:keepNext w:val="0"/>
        <w:keepLines w:val="0"/>
        <w:pageBreakBefore w:val="0"/>
        <w:widowControl/>
        <w:kinsoku/>
        <w:wordWrap/>
        <w:overflowPunct/>
        <w:topLinePunct w:val="0"/>
        <w:autoSpaceDE/>
        <w:autoSpaceDN/>
        <w:bidi w:val="0"/>
        <w:adjustRightInd/>
        <w:snapToGrid/>
        <w:spacing w:line="360" w:lineRule="auto"/>
        <w:ind w:firstLine="504" w:firstLineChars="200"/>
        <w:jc w:val="left"/>
        <w:textAlignment w:val="auto"/>
        <w:rPr>
          <w:rFonts w:hint="default" w:ascii="Times New Roman" w:hAnsi="Times New Roman" w:cs="Times New Roman"/>
          <w:b w:val="0"/>
          <w:bCs w:val="0"/>
          <w:color w:val="auto"/>
          <w:spacing w:val="6"/>
          <w:kern w:val="0"/>
          <w:sz w:val="24"/>
          <w:szCs w:val="24"/>
          <w:highlight w:val="none"/>
          <w:u w:val="none"/>
        </w:rPr>
      </w:pPr>
      <w:r>
        <w:rPr>
          <w:rFonts w:hint="default" w:ascii="Times New Roman" w:hAnsi="Times New Roman" w:cs="Times New Roman"/>
          <w:b w:val="0"/>
          <w:bCs w:val="0"/>
          <w:color w:val="auto"/>
          <w:spacing w:val="6"/>
          <w:kern w:val="0"/>
          <w:sz w:val="24"/>
          <w:szCs w:val="24"/>
          <w:highlight w:val="none"/>
          <w:u w:val="none"/>
        </w:rPr>
        <w:t>（4）固体废物</w:t>
      </w:r>
    </w:p>
    <w:p w14:paraId="3DAA1A76">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en-US" w:eastAsia="zh-CN" w:bidi="ar-SA"/>
        </w:rPr>
      </w:pPr>
      <w:r>
        <w:rPr>
          <w:rFonts w:hint="default" w:ascii="宋体" w:hAnsi="宋体" w:eastAsia="宋体" w:cs="宋体"/>
          <w:color w:val="auto"/>
          <w:sz w:val="24"/>
          <w:szCs w:val="24"/>
          <w:highlight w:val="none"/>
          <w:u w:val="none"/>
          <w:lang w:val="en-US" w:eastAsia="zh-CN" w:bidi="ar-SA"/>
        </w:rPr>
        <w:t>根据项目产生的各种固体废物的性质，一般工业固体废物执行《一般工业固体废物贮存和填埋污染控制标准》（GB18599-2020）要求</w:t>
      </w:r>
      <w:r>
        <w:rPr>
          <w:rFonts w:hint="eastAsia" w:ascii="宋体" w:hAnsi="宋体" w:eastAsia="宋体" w:cs="宋体"/>
          <w:color w:val="auto"/>
          <w:sz w:val="24"/>
          <w:szCs w:val="24"/>
          <w:highlight w:val="none"/>
          <w:u w:val="none"/>
          <w:lang w:val="en-US" w:eastAsia="zh-CN" w:bidi="ar-SA"/>
        </w:rPr>
        <w:t>，</w:t>
      </w:r>
      <w:r>
        <w:rPr>
          <w:rFonts w:hint="default" w:ascii="宋体" w:hAnsi="宋体" w:eastAsia="宋体" w:cs="宋体"/>
          <w:color w:val="auto"/>
          <w:sz w:val="24"/>
          <w:szCs w:val="24"/>
          <w:highlight w:val="none"/>
          <w:u w:val="none"/>
          <w:lang w:val="en-US" w:eastAsia="zh-CN" w:bidi="ar-SA"/>
        </w:rPr>
        <w:t>钻井岩屑执行《油气田钻井固体废物综合利用污染控制要求》（DB65/T 3997-2017）要求。</w:t>
      </w:r>
    </w:p>
    <w:p w14:paraId="4659495B">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left"/>
        <w:textAlignment w:val="auto"/>
        <w:rPr>
          <w:rFonts w:hint="default" w:ascii="宋体" w:hAnsi="宋体" w:eastAsia="宋体" w:cs="宋体"/>
          <w:color w:val="auto"/>
          <w:sz w:val="24"/>
          <w:szCs w:val="24"/>
          <w:highlight w:val="none"/>
          <w:u w:val="none"/>
          <w:lang w:val="en-US" w:eastAsia="zh-CN" w:bidi="ar-SA"/>
        </w:rPr>
      </w:pPr>
      <w:r>
        <w:rPr>
          <w:rFonts w:hint="default" w:ascii="宋体" w:hAnsi="宋体" w:eastAsia="宋体" w:cs="宋体"/>
          <w:color w:val="auto"/>
          <w:sz w:val="24"/>
          <w:szCs w:val="24"/>
          <w:highlight w:val="none"/>
          <w:u w:val="none"/>
          <w:lang w:val="en-US" w:eastAsia="zh-CN" w:bidi="ar-SA"/>
        </w:rPr>
        <w:t>危险废物鉴别执行《危险废物鉴别标准》(GB5085.1～7)，危险废物的贮存执行《危险废物贮存污染控制标准》（GB18597-2023）、危险废物的转移依照《危险废物转移管理办法》及《危险废物收集贮存运输技术规范》（HJ2025-2012）进行监督和管理。含油污泥满足《陆上石油天然气开采含油污泥资源化综合利用及污染控制技术要求》（SY/T7301-2016）相关要求及《关于含油污泥处置有关事宜的通知》（新环办发〔2018〕20号）、《危险废物环境管理指南 陆上石油天然气开采》（生态环境部公告2021年第74号）要求。</w:t>
      </w:r>
    </w:p>
    <w:p w14:paraId="0CFF4F83">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115" w:name="_Toc30953"/>
      <w:bookmarkStart w:id="116" w:name="_Toc1639"/>
      <w:bookmarkStart w:id="117" w:name="_Toc15439"/>
      <w:bookmarkStart w:id="118" w:name="_Toc500856915"/>
      <w:bookmarkStart w:id="119" w:name="_Toc390851524"/>
      <w:bookmarkStart w:id="120" w:name="_Toc24753"/>
      <w:bookmarkStart w:id="121" w:name="_Toc36583806"/>
      <w:bookmarkStart w:id="122" w:name="_Toc507411707"/>
      <w:bookmarkStart w:id="123" w:name="_Toc109382913"/>
      <w:r>
        <w:rPr>
          <w:rFonts w:hint="eastAsia" w:ascii="黑体" w:hAnsi="黑体" w:eastAsia="黑体" w:cs="黑体"/>
          <w:color w:val="auto"/>
          <w:sz w:val="28"/>
          <w:szCs w:val="28"/>
          <w:u w:val="none"/>
          <w:lang w:val="en-US" w:eastAsia="zh-CN"/>
        </w:rPr>
        <w:t>2.5 评价工作等级和评价范围</w:t>
      </w:r>
      <w:bookmarkEnd w:id="115"/>
    </w:p>
    <w:p w14:paraId="59A5CA0C">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2</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环境空气</w:t>
      </w:r>
    </w:p>
    <w:p w14:paraId="2D2F222F">
      <w:pPr>
        <w:spacing w:line="360" w:lineRule="auto"/>
        <w:ind w:firstLine="480" w:firstLineChars="200"/>
        <w:rPr>
          <w:rFonts w:ascii="Times New Roman" w:hAnsi="Times New Roman" w:eastAsia="宋体" w:cs="Times New Roman"/>
          <w:b/>
          <w:bCs/>
          <w:color w:val="auto"/>
          <w:sz w:val="24"/>
          <w:szCs w:val="24"/>
          <w:highlight w:val="none"/>
          <w:u w:val="none"/>
        </w:rPr>
      </w:pPr>
      <w:r>
        <w:rPr>
          <w:rFonts w:hint="eastAsia" w:ascii="Times New Roman" w:hAnsi="Times New Roman" w:eastAsia="宋体" w:cs="Times New Roman"/>
          <w:b/>
          <w:bCs/>
          <w:color w:val="auto"/>
          <w:sz w:val="24"/>
          <w:szCs w:val="24"/>
          <w:highlight w:val="none"/>
          <w:u w:val="none"/>
        </w:rPr>
        <w:t>（1）评价等级</w:t>
      </w:r>
    </w:p>
    <w:p w14:paraId="256F9F0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本工程废气排放源主要为</w:t>
      </w:r>
      <w:r>
        <w:rPr>
          <w:rFonts w:hint="eastAsia" w:cs="Times New Roman"/>
          <w:color w:val="auto"/>
          <w:sz w:val="24"/>
          <w:szCs w:val="24"/>
          <w:highlight w:val="none"/>
          <w:u w:val="none"/>
          <w:lang w:val="en-US" w:eastAsia="zh-CN"/>
        </w:rPr>
        <w:t>井场</w:t>
      </w:r>
      <w:r>
        <w:rPr>
          <w:rFonts w:hint="eastAsia" w:ascii="Times New Roman" w:hAnsi="Times New Roman" w:eastAsia="宋体" w:cs="Times New Roman"/>
          <w:color w:val="auto"/>
          <w:sz w:val="24"/>
          <w:szCs w:val="24"/>
          <w:highlight w:val="none"/>
          <w:u w:val="none"/>
        </w:rPr>
        <w:t>无组织排放非甲烷总烃</w:t>
      </w: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硫化氢</w:t>
      </w:r>
      <w:r>
        <w:rPr>
          <w:rFonts w:ascii="Times New Roman" w:hAnsi="Times New Roman" w:eastAsia="宋体" w:cs="Times New Roman"/>
          <w:color w:val="auto"/>
          <w:sz w:val="24"/>
          <w:szCs w:val="24"/>
          <w:highlight w:val="none"/>
          <w:u w:val="none"/>
        </w:rPr>
        <w:t>。根据工程特点、污染特征及周围环境状况，采用《环境影响评价技术导则-大气环境》（HJ2.2-</w:t>
      </w:r>
      <w:r>
        <w:rPr>
          <w:rFonts w:hint="eastAsia" w:ascii="Times New Roman" w:hAnsi="Times New Roman" w:eastAsia="宋体" w:cs="Times New Roman"/>
          <w:color w:val="auto"/>
          <w:sz w:val="24"/>
          <w:szCs w:val="24"/>
          <w:highlight w:val="none"/>
          <w:u w:val="none"/>
        </w:rPr>
        <w:t>2018</w:t>
      </w:r>
      <w:r>
        <w:rPr>
          <w:rFonts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rPr>
        <w:t>附录</w:t>
      </w:r>
      <w:r>
        <w:rPr>
          <w:rFonts w:ascii="Times New Roman" w:hAnsi="Times New Roman" w:eastAsia="宋体" w:cs="Times New Roman"/>
          <w:color w:val="auto"/>
          <w:sz w:val="24"/>
          <w:szCs w:val="24"/>
          <w:highlight w:val="none"/>
          <w:u w:val="none"/>
        </w:rPr>
        <w:t>A</w:t>
      </w:r>
      <w:r>
        <w:rPr>
          <w:rFonts w:hint="eastAsia" w:ascii="Times New Roman" w:hAnsi="Times New Roman" w:eastAsia="宋体" w:cs="Times New Roman"/>
          <w:color w:val="auto"/>
          <w:sz w:val="24"/>
          <w:szCs w:val="24"/>
          <w:highlight w:val="none"/>
          <w:u w:val="none"/>
        </w:rPr>
        <w:t>推荐的估算模型</w:t>
      </w:r>
      <w:r>
        <w:rPr>
          <w:rFonts w:ascii="Times New Roman" w:hAnsi="Times New Roman" w:eastAsia="宋体" w:cs="Times New Roman"/>
          <w:color w:val="auto"/>
          <w:sz w:val="24"/>
          <w:szCs w:val="24"/>
          <w:highlight w:val="none"/>
          <w:u w:val="none"/>
        </w:rPr>
        <w:t>AERSCREEN</w:t>
      </w:r>
      <w:r>
        <w:rPr>
          <w:rFonts w:hint="eastAsia" w:ascii="Times New Roman" w:hAnsi="Times New Roman" w:eastAsia="宋体" w:cs="Times New Roman"/>
          <w:color w:val="auto"/>
          <w:sz w:val="24"/>
          <w:szCs w:val="24"/>
          <w:highlight w:val="none"/>
          <w:u w:val="none"/>
        </w:rPr>
        <w:t>计算项目污染源的最大环境影响，</w:t>
      </w:r>
      <w:r>
        <w:rPr>
          <w:rFonts w:ascii="Times New Roman" w:hAnsi="Times New Roman" w:eastAsia="宋体" w:cs="Times New Roman"/>
          <w:color w:val="auto"/>
          <w:sz w:val="24"/>
          <w:szCs w:val="24"/>
          <w:highlight w:val="none"/>
          <w:u w:val="none"/>
        </w:rPr>
        <w:t>选取</w:t>
      </w:r>
      <w:r>
        <w:rPr>
          <w:rFonts w:hint="eastAsia" w:ascii="Times New Roman" w:hAnsi="Times New Roman" w:eastAsia="宋体" w:cs="Times New Roman"/>
          <w:color w:val="auto"/>
          <w:sz w:val="24"/>
          <w:szCs w:val="24"/>
          <w:highlight w:val="none"/>
          <w:u w:val="none"/>
        </w:rPr>
        <w:t>非甲烷总烃</w:t>
      </w: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硫化氢作</w:t>
      </w:r>
      <w:r>
        <w:rPr>
          <w:rFonts w:hint="eastAsia" w:ascii="Times New Roman" w:hAnsi="Times New Roman" w:eastAsia="宋体" w:cs="Times New Roman"/>
          <w:color w:val="auto"/>
          <w:sz w:val="24"/>
          <w:szCs w:val="24"/>
          <w:highlight w:val="none"/>
          <w:u w:val="none"/>
        </w:rPr>
        <w:t>为</w:t>
      </w:r>
      <w:r>
        <w:rPr>
          <w:rFonts w:ascii="Times New Roman" w:hAnsi="Times New Roman" w:eastAsia="宋体" w:cs="Times New Roman"/>
          <w:color w:val="auto"/>
          <w:sz w:val="24"/>
          <w:szCs w:val="24"/>
          <w:highlight w:val="none"/>
          <w:u w:val="none"/>
        </w:rPr>
        <w:t>候选因子核算，计算出其最大地面浓度占标率P</w:t>
      </w:r>
      <w:r>
        <w:rPr>
          <w:rFonts w:ascii="Times New Roman" w:hAnsi="Times New Roman" w:eastAsia="宋体" w:cs="Times New Roman"/>
          <w:color w:val="auto"/>
          <w:sz w:val="24"/>
          <w:szCs w:val="24"/>
          <w:highlight w:val="none"/>
          <w:u w:val="none"/>
          <w:vertAlign w:val="subscript"/>
        </w:rPr>
        <w:t>i</w:t>
      </w:r>
      <w:r>
        <w:rPr>
          <w:rFonts w:hint="eastAsia" w:ascii="Times New Roman" w:hAnsi="Times New Roman" w:eastAsia="宋体" w:cs="Times New Roman"/>
          <w:color w:val="auto"/>
          <w:sz w:val="24"/>
          <w:szCs w:val="24"/>
          <w:highlight w:val="none"/>
          <w:u w:val="none"/>
        </w:rPr>
        <w:t>（第</w:t>
      </w:r>
      <w:r>
        <w:rPr>
          <w:rFonts w:ascii="Times New Roman" w:hAnsi="Times New Roman" w:eastAsia="宋体" w:cs="Times New Roman"/>
          <w:color w:val="auto"/>
          <w:sz w:val="24"/>
          <w:szCs w:val="24"/>
          <w:highlight w:val="none"/>
          <w:u w:val="none"/>
        </w:rPr>
        <w:t>i</w:t>
      </w:r>
      <w:r>
        <w:rPr>
          <w:rFonts w:hint="eastAsia" w:ascii="Times New Roman" w:hAnsi="Times New Roman" w:eastAsia="宋体" w:cs="Times New Roman"/>
          <w:color w:val="auto"/>
          <w:sz w:val="24"/>
          <w:szCs w:val="24"/>
          <w:highlight w:val="none"/>
          <w:u w:val="none"/>
        </w:rPr>
        <w:t>个污染物，简称</w:t>
      </w:r>
      <w:r>
        <w:rPr>
          <w:rFonts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rPr>
        <w:t>最大浓度占标率</w:t>
      </w:r>
      <w:r>
        <w:rPr>
          <w:rFonts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rPr>
        <w:t>）</w:t>
      </w:r>
      <w:r>
        <w:rPr>
          <w:rFonts w:ascii="Times New Roman" w:hAnsi="Times New Roman" w:eastAsia="宋体" w:cs="Times New Roman"/>
          <w:color w:val="auto"/>
          <w:sz w:val="24"/>
          <w:szCs w:val="24"/>
          <w:highlight w:val="none"/>
          <w:u w:val="none"/>
        </w:rPr>
        <w:t>及其地面浓度达标准值10%时所对应的最远距离D</w:t>
      </w:r>
      <w:r>
        <w:rPr>
          <w:rFonts w:ascii="Times New Roman" w:hAnsi="Times New Roman" w:eastAsia="宋体" w:cs="Times New Roman"/>
          <w:color w:val="auto"/>
          <w:sz w:val="24"/>
          <w:szCs w:val="24"/>
          <w:highlight w:val="none"/>
          <w:u w:val="none"/>
          <w:vertAlign w:val="subscript"/>
        </w:rPr>
        <w:t>10%</w:t>
      </w:r>
      <w:r>
        <w:rPr>
          <w:rFonts w:ascii="Times New Roman" w:hAnsi="Times New Roman" w:eastAsia="宋体" w:cs="Times New Roman"/>
          <w:color w:val="auto"/>
          <w:sz w:val="24"/>
          <w:szCs w:val="24"/>
          <w:highlight w:val="none"/>
          <w:u w:val="none"/>
        </w:rPr>
        <w:t>。其中P</w:t>
      </w:r>
      <w:r>
        <w:rPr>
          <w:rFonts w:ascii="Times New Roman" w:hAnsi="Times New Roman" w:eastAsia="宋体" w:cs="Times New Roman"/>
          <w:color w:val="auto"/>
          <w:sz w:val="24"/>
          <w:szCs w:val="24"/>
          <w:highlight w:val="none"/>
          <w:u w:val="none"/>
          <w:vertAlign w:val="subscript"/>
        </w:rPr>
        <w:t>i</w:t>
      </w:r>
      <w:r>
        <w:rPr>
          <w:rFonts w:ascii="Times New Roman" w:hAnsi="Times New Roman" w:eastAsia="宋体" w:cs="Times New Roman"/>
          <w:color w:val="auto"/>
          <w:sz w:val="24"/>
          <w:szCs w:val="24"/>
          <w:highlight w:val="none"/>
          <w:u w:val="none"/>
        </w:rPr>
        <w:t>定义为：</w:t>
      </w:r>
    </w:p>
    <w:p w14:paraId="1729F76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drawing>
          <wp:anchor distT="0" distB="0" distL="114300" distR="114300" simplePos="0" relativeHeight="251670528" behindDoc="0" locked="0" layoutInCell="1" allowOverlap="1">
            <wp:simplePos x="0" y="0"/>
            <wp:positionH relativeFrom="column">
              <wp:posOffset>2143125</wp:posOffset>
            </wp:positionH>
            <wp:positionV relativeFrom="paragraph">
              <wp:posOffset>17780</wp:posOffset>
            </wp:positionV>
            <wp:extent cx="902335" cy="392430"/>
            <wp:effectExtent l="0" t="0" r="12065" b="6985"/>
            <wp:wrapTopAndBottom/>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6"/>
                    <a:stretch>
                      <a:fillRect/>
                    </a:stretch>
                  </pic:blipFill>
                  <pic:spPr>
                    <a:xfrm>
                      <a:off x="0" y="0"/>
                      <a:ext cx="902335" cy="392430"/>
                    </a:xfrm>
                    <a:prstGeom prst="rect">
                      <a:avLst/>
                    </a:prstGeom>
                    <a:noFill/>
                    <a:ln>
                      <a:noFill/>
                    </a:ln>
                  </pic:spPr>
                </pic:pic>
              </a:graphicData>
            </a:graphic>
          </wp:anchor>
        </w:drawing>
      </w:r>
      <w:r>
        <w:rPr>
          <w:rFonts w:ascii="Times New Roman" w:hAnsi="Times New Roman" w:eastAsia="宋体" w:cs="Times New Roman"/>
          <w:color w:val="auto"/>
          <w:sz w:val="24"/>
          <w:szCs w:val="24"/>
          <w:highlight w:val="none"/>
          <w:u w:val="none"/>
        </w:rPr>
        <w:t>式中：P</w:t>
      </w:r>
      <w:r>
        <w:rPr>
          <w:rFonts w:ascii="Times New Roman" w:hAnsi="Times New Roman" w:eastAsia="宋体" w:cs="Times New Roman"/>
          <w:color w:val="auto"/>
          <w:sz w:val="24"/>
          <w:szCs w:val="24"/>
          <w:highlight w:val="none"/>
          <w:u w:val="none"/>
          <w:vertAlign w:val="subscript"/>
        </w:rPr>
        <w:t>i</w:t>
      </w:r>
      <w:r>
        <w:rPr>
          <w:rFonts w:ascii="Times New Roman" w:hAnsi="Times New Roman" w:eastAsia="宋体" w:cs="Times New Roman"/>
          <w:color w:val="auto"/>
          <w:sz w:val="24"/>
          <w:szCs w:val="24"/>
          <w:highlight w:val="none"/>
          <w:u w:val="none"/>
        </w:rPr>
        <w:t>—第i个污染物的最大地面浓度占标率，%；</w:t>
      </w:r>
    </w:p>
    <w:p w14:paraId="08B4BA8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C</w:t>
      </w:r>
      <w:r>
        <w:rPr>
          <w:rFonts w:ascii="Times New Roman" w:hAnsi="Times New Roman" w:eastAsia="宋体" w:cs="Times New Roman"/>
          <w:color w:val="auto"/>
          <w:sz w:val="24"/>
          <w:szCs w:val="24"/>
          <w:highlight w:val="none"/>
          <w:u w:val="none"/>
          <w:vertAlign w:val="subscript"/>
        </w:rPr>
        <w:t>i</w:t>
      </w:r>
      <w:r>
        <w:rPr>
          <w:rFonts w:ascii="Times New Roman" w:hAnsi="Times New Roman" w:eastAsia="宋体" w:cs="Times New Roman"/>
          <w:color w:val="auto"/>
          <w:sz w:val="24"/>
          <w:szCs w:val="24"/>
          <w:highlight w:val="none"/>
          <w:u w:val="none"/>
        </w:rPr>
        <w:t>—采用估算模式计算出的第i个污染物的最大1h地面环境空气质量浓度，</w:t>
      </w:r>
      <w:r>
        <w:rPr>
          <w:rFonts w:ascii="Times New Roman" w:hAnsi="Times New Roman" w:eastAsia="宋体" w:cs="Times New Roman"/>
          <w:color w:val="auto"/>
          <w:kern w:val="24"/>
          <w:sz w:val="24"/>
          <w:szCs w:val="24"/>
          <w:highlight w:val="none"/>
          <w:u w:val="none"/>
        </w:rPr>
        <w:t>μg</w:t>
      </w:r>
      <w:r>
        <w:rPr>
          <w:rFonts w:ascii="Times New Roman" w:hAnsi="Times New Roman" w:eastAsia="宋体" w:cs="Times New Roman"/>
          <w:color w:val="auto"/>
          <w:sz w:val="24"/>
          <w:szCs w:val="24"/>
          <w:highlight w:val="none"/>
          <w:u w:val="none"/>
        </w:rPr>
        <w:t xml:space="preserve"> /m³；</w:t>
      </w:r>
    </w:p>
    <w:p w14:paraId="61ED188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C</w:t>
      </w:r>
      <w:r>
        <w:rPr>
          <w:rFonts w:ascii="Times New Roman" w:hAnsi="Times New Roman" w:eastAsia="宋体" w:cs="Times New Roman"/>
          <w:color w:val="auto"/>
          <w:sz w:val="24"/>
          <w:szCs w:val="24"/>
          <w:highlight w:val="none"/>
          <w:u w:val="none"/>
          <w:vertAlign w:val="subscript"/>
        </w:rPr>
        <w:t>oi</w:t>
      </w:r>
      <w:r>
        <w:rPr>
          <w:rFonts w:ascii="Times New Roman" w:hAnsi="Times New Roman" w:eastAsia="宋体" w:cs="Times New Roman"/>
          <w:color w:val="auto"/>
          <w:sz w:val="24"/>
          <w:szCs w:val="24"/>
          <w:highlight w:val="none"/>
          <w:u w:val="none"/>
        </w:rPr>
        <w:t>—环境空气质量标准，</w:t>
      </w:r>
      <w:r>
        <w:rPr>
          <w:rFonts w:ascii="Times New Roman" w:hAnsi="Times New Roman" w:eastAsia="宋体" w:cs="Times New Roman"/>
          <w:color w:val="auto"/>
          <w:kern w:val="24"/>
          <w:sz w:val="24"/>
          <w:szCs w:val="24"/>
          <w:highlight w:val="none"/>
          <w:u w:val="none"/>
        </w:rPr>
        <w:t>μg</w:t>
      </w:r>
      <w:r>
        <w:rPr>
          <w:rFonts w:ascii="Times New Roman" w:hAnsi="Times New Roman" w:eastAsia="宋体" w:cs="Times New Roman"/>
          <w:color w:val="auto"/>
          <w:sz w:val="24"/>
          <w:szCs w:val="24"/>
          <w:highlight w:val="none"/>
          <w:u w:val="none"/>
        </w:rPr>
        <w:t xml:space="preserve"> /m³。一般选用GB3095-</w:t>
      </w:r>
      <w:r>
        <w:rPr>
          <w:rFonts w:hint="eastAsia" w:ascii="Times New Roman" w:hAnsi="Times New Roman" w:eastAsia="宋体" w:cs="Times New Roman"/>
          <w:color w:val="auto"/>
          <w:sz w:val="24"/>
          <w:szCs w:val="24"/>
          <w:highlight w:val="none"/>
          <w:u w:val="none"/>
        </w:rPr>
        <w:t>2012</w:t>
      </w:r>
      <w:r>
        <w:rPr>
          <w:rFonts w:ascii="Times New Roman" w:hAnsi="Times New Roman" w:eastAsia="宋体" w:cs="Times New Roman"/>
          <w:color w:val="auto"/>
          <w:sz w:val="24"/>
          <w:szCs w:val="24"/>
          <w:highlight w:val="none"/>
          <w:u w:val="none"/>
        </w:rPr>
        <w:t>中1小时平均取样时间的二级标准的浓度限值</w:t>
      </w:r>
      <w:r>
        <w:rPr>
          <w:rFonts w:hint="eastAsia" w:ascii="Times New Roman" w:hAnsi="Times New Roman" w:eastAsia="宋体" w:cs="Times New Roman"/>
          <w:color w:val="auto"/>
          <w:sz w:val="24"/>
          <w:szCs w:val="24"/>
          <w:highlight w:val="none"/>
          <w:u w:val="none"/>
        </w:rPr>
        <w:t>，如项目位于一类环境空气功能区，应选择响应的一级浓度限值</w:t>
      </w:r>
      <w:r>
        <w:rPr>
          <w:rFonts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rPr>
        <w:t>对仅有8h平均质量浓度限值、日平均质量浓度限值或年均质量浓度限值的，分别可按2倍、3倍、6倍折算为1h平均质量浓度限值。</w:t>
      </w:r>
    </w:p>
    <w:p w14:paraId="1ADEBDF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color w:val="auto"/>
          <w:szCs w:val="20"/>
          <w:highlight w:val="none"/>
          <w:u w:val="none"/>
        </w:rPr>
      </w:pPr>
      <w:r>
        <w:rPr>
          <w:rFonts w:ascii="Times New Roman" w:hAnsi="Times New Roman" w:eastAsia="宋体" w:cs="Times New Roman"/>
          <w:color w:val="auto"/>
          <w:sz w:val="24"/>
          <w:szCs w:val="24"/>
          <w:highlight w:val="none"/>
          <w:u w:val="none"/>
        </w:rPr>
        <w:t>大气评价工作级别</w:t>
      </w:r>
      <w:r>
        <w:rPr>
          <w:rFonts w:hint="eastAsia" w:cs="Times New Roman"/>
          <w:color w:val="auto"/>
          <w:sz w:val="24"/>
          <w:szCs w:val="24"/>
          <w:highlight w:val="none"/>
          <w:u w:val="none"/>
          <w:lang w:eastAsia="zh-CN"/>
        </w:rPr>
        <w:t>，</w:t>
      </w:r>
      <w:r>
        <w:rPr>
          <w:rFonts w:ascii="Times New Roman" w:hAnsi="Times New Roman" w:eastAsia="宋体" w:cs="Times New Roman"/>
          <w:color w:val="auto"/>
          <w:sz w:val="24"/>
          <w:szCs w:val="24"/>
          <w:highlight w:val="none"/>
          <w:u w:val="none"/>
        </w:rPr>
        <w:t>见表2.</w:t>
      </w:r>
      <w:r>
        <w:rPr>
          <w:rFonts w:hint="eastAsia" w:cs="Times New Roman"/>
          <w:color w:val="auto"/>
          <w:sz w:val="24"/>
          <w:szCs w:val="24"/>
          <w:highlight w:val="none"/>
          <w:u w:val="none"/>
          <w:lang w:val="en-US" w:eastAsia="zh-CN"/>
        </w:rPr>
        <w:t>5</w:t>
      </w:r>
      <w:r>
        <w:rPr>
          <w:rFonts w:ascii="Times New Roman" w:hAnsi="Times New Roman" w:eastAsia="宋体" w:cs="Times New Roman"/>
          <w:color w:val="auto"/>
          <w:sz w:val="24"/>
          <w:szCs w:val="24"/>
          <w:highlight w:val="none"/>
          <w:u w:val="none"/>
        </w:rPr>
        <w:t>-1。</w:t>
      </w:r>
    </w:p>
    <w:p w14:paraId="48B197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highlight w:val="none"/>
          <w:u w:val="none"/>
          <w:lang w:val="en-US" w:eastAsia="zh-CN" w:bidi="ar-SA"/>
        </w:rPr>
      </w:pPr>
      <w:r>
        <w:rPr>
          <w:rFonts w:hint="eastAsia" w:ascii="黑体" w:hAnsi="黑体" w:eastAsia="黑体" w:cs="黑体"/>
          <w:b w:val="0"/>
          <w:bCs/>
          <w:color w:val="auto"/>
          <w:kern w:val="2"/>
          <w:sz w:val="24"/>
          <w:szCs w:val="24"/>
          <w:highlight w:val="none"/>
          <w:u w:val="none"/>
          <w:lang w:val="en-US" w:eastAsia="zh-CN" w:bidi="ar-SA"/>
        </w:rPr>
        <w:t>表2.5-1  评价工作等级</w:t>
      </w:r>
    </w:p>
    <w:tbl>
      <w:tblPr>
        <w:tblStyle w:val="37"/>
        <w:tblW w:w="48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20"/>
        <w:gridCol w:w="6032"/>
      </w:tblGrid>
      <w:tr w14:paraId="7AA94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4" w:type="pct"/>
            <w:tcBorders>
              <w:tl2br w:val="nil"/>
              <w:tr2bl w:val="nil"/>
            </w:tcBorders>
            <w:noWrap w:val="0"/>
            <w:vAlign w:val="center"/>
          </w:tcPr>
          <w:p w14:paraId="6F41BB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评价工作等级</w:t>
            </w:r>
          </w:p>
        </w:tc>
        <w:tc>
          <w:tcPr>
            <w:tcW w:w="3485" w:type="pct"/>
            <w:tcBorders>
              <w:tl2br w:val="nil"/>
              <w:tr2bl w:val="nil"/>
            </w:tcBorders>
            <w:noWrap w:val="0"/>
            <w:vAlign w:val="center"/>
          </w:tcPr>
          <w:p w14:paraId="756651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评价工作分级判据</w:t>
            </w:r>
          </w:p>
        </w:tc>
      </w:tr>
      <w:tr w14:paraId="51604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4" w:type="pct"/>
            <w:tcBorders>
              <w:tl2br w:val="nil"/>
              <w:tr2bl w:val="nil"/>
            </w:tcBorders>
            <w:noWrap w:val="0"/>
            <w:vAlign w:val="center"/>
          </w:tcPr>
          <w:p w14:paraId="2C8949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一级评价</w:t>
            </w:r>
          </w:p>
        </w:tc>
        <w:tc>
          <w:tcPr>
            <w:tcW w:w="3485" w:type="pct"/>
            <w:tcBorders>
              <w:tl2br w:val="nil"/>
              <w:tr2bl w:val="nil"/>
            </w:tcBorders>
            <w:noWrap w:val="0"/>
            <w:vAlign w:val="center"/>
          </w:tcPr>
          <w:p w14:paraId="42F1AE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P</w:t>
            </w:r>
            <w:r>
              <w:rPr>
                <w:rFonts w:ascii="Times New Roman" w:hAnsi="Times New Roman" w:eastAsia="宋体" w:cs="Times New Roman"/>
                <w:color w:val="auto"/>
                <w:szCs w:val="21"/>
                <w:highlight w:val="none"/>
                <w:u w:val="none"/>
                <w:vertAlign w:val="subscript"/>
              </w:rPr>
              <w:t>max</w:t>
            </w:r>
            <w:r>
              <w:rPr>
                <w:rFonts w:ascii="Times New Roman" w:hAnsi="Times New Roman" w:eastAsia="宋体" w:cs="Times New Roman"/>
                <w:color w:val="auto"/>
                <w:szCs w:val="21"/>
                <w:highlight w:val="none"/>
                <w:u w:val="none"/>
              </w:rPr>
              <w:t>≥10%</w:t>
            </w:r>
          </w:p>
        </w:tc>
      </w:tr>
      <w:tr w14:paraId="6233C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4" w:type="pct"/>
            <w:tcBorders>
              <w:tl2br w:val="nil"/>
              <w:tr2bl w:val="nil"/>
            </w:tcBorders>
            <w:noWrap w:val="0"/>
            <w:vAlign w:val="center"/>
          </w:tcPr>
          <w:p w14:paraId="03E107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二级评价</w:t>
            </w:r>
          </w:p>
        </w:tc>
        <w:tc>
          <w:tcPr>
            <w:tcW w:w="3485" w:type="pct"/>
            <w:tcBorders>
              <w:tl2br w:val="nil"/>
              <w:tr2bl w:val="nil"/>
            </w:tcBorders>
            <w:noWrap w:val="0"/>
            <w:vAlign w:val="center"/>
          </w:tcPr>
          <w:p w14:paraId="6805BD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1%≤P</w:t>
            </w:r>
            <w:r>
              <w:rPr>
                <w:rFonts w:ascii="Times New Roman" w:hAnsi="Times New Roman" w:eastAsia="宋体" w:cs="Times New Roman"/>
                <w:color w:val="auto"/>
                <w:szCs w:val="21"/>
                <w:highlight w:val="none"/>
                <w:u w:val="none"/>
                <w:vertAlign w:val="subscript"/>
              </w:rPr>
              <w:t>max</w:t>
            </w:r>
            <w:r>
              <w:rPr>
                <w:rFonts w:ascii="Times New Roman" w:hAnsi="Times New Roman" w:eastAsia="宋体" w:cs="Times New Roman"/>
                <w:color w:val="auto"/>
                <w:szCs w:val="21"/>
                <w:highlight w:val="none"/>
                <w:u w:val="none"/>
              </w:rPr>
              <w:t xml:space="preserve">＜10% </w:t>
            </w:r>
          </w:p>
        </w:tc>
      </w:tr>
      <w:tr w14:paraId="499EB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4" w:type="pct"/>
            <w:tcBorders>
              <w:tl2br w:val="nil"/>
              <w:tr2bl w:val="nil"/>
            </w:tcBorders>
            <w:noWrap w:val="0"/>
            <w:vAlign w:val="center"/>
          </w:tcPr>
          <w:p w14:paraId="70BB0E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三级评价</w:t>
            </w:r>
          </w:p>
        </w:tc>
        <w:tc>
          <w:tcPr>
            <w:tcW w:w="3485" w:type="pct"/>
            <w:tcBorders>
              <w:tl2br w:val="nil"/>
              <w:tr2bl w:val="nil"/>
            </w:tcBorders>
            <w:noWrap w:val="0"/>
            <w:vAlign w:val="center"/>
          </w:tcPr>
          <w:p w14:paraId="2812E6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P</w:t>
            </w:r>
            <w:r>
              <w:rPr>
                <w:rFonts w:ascii="Times New Roman" w:hAnsi="Times New Roman" w:eastAsia="宋体" w:cs="Times New Roman"/>
                <w:color w:val="auto"/>
                <w:szCs w:val="21"/>
                <w:highlight w:val="none"/>
                <w:u w:val="none"/>
                <w:vertAlign w:val="subscript"/>
              </w:rPr>
              <w:t>max</w:t>
            </w:r>
            <w:r>
              <w:rPr>
                <w:rFonts w:ascii="Times New Roman" w:hAnsi="Times New Roman" w:eastAsia="宋体" w:cs="Times New Roman"/>
                <w:color w:val="auto"/>
                <w:szCs w:val="21"/>
                <w:highlight w:val="none"/>
                <w:u w:val="none"/>
              </w:rPr>
              <w:t xml:space="preserve">＜1% </w:t>
            </w:r>
          </w:p>
        </w:tc>
      </w:tr>
    </w:tbl>
    <w:p w14:paraId="76CEA8A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rPr>
        <w:t>估算模式所用参数</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见表2.</w:t>
      </w:r>
      <w:r>
        <w:rPr>
          <w:rFonts w:hint="eastAsia" w:ascii="Times New Roman" w:hAnsi="Times New Roman" w:eastAsia="宋体" w:cs="Times New Roman"/>
          <w:color w:val="auto"/>
          <w:sz w:val="24"/>
          <w:szCs w:val="24"/>
          <w:highlight w:val="none"/>
          <w:u w:val="none"/>
          <w:lang w:val="en-US" w:eastAsia="zh-CN"/>
        </w:rPr>
        <w:t>5</w:t>
      </w:r>
      <w:r>
        <w:rPr>
          <w:rFonts w:hint="eastAsia" w:ascii="Times New Roman" w:hAnsi="Times New Roman" w:eastAsia="宋体" w:cs="Times New Roman"/>
          <w:color w:val="auto"/>
          <w:sz w:val="24"/>
          <w:szCs w:val="24"/>
          <w:highlight w:val="none"/>
          <w:u w:val="none"/>
        </w:rPr>
        <w:t>-2。</w:t>
      </w:r>
    </w:p>
    <w:p w14:paraId="62371A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highlight w:val="none"/>
          <w:u w:val="none"/>
          <w:lang w:val="en-US" w:eastAsia="zh-CN" w:bidi="ar-SA"/>
        </w:rPr>
      </w:pPr>
      <w:r>
        <w:rPr>
          <w:rFonts w:hint="eastAsia" w:ascii="黑体" w:hAnsi="黑体" w:eastAsia="黑体" w:cs="黑体"/>
          <w:b w:val="0"/>
          <w:bCs/>
          <w:color w:val="auto"/>
          <w:kern w:val="2"/>
          <w:sz w:val="24"/>
          <w:szCs w:val="24"/>
          <w:highlight w:val="none"/>
          <w:u w:val="none"/>
          <w:lang w:val="en-US" w:eastAsia="zh-CN" w:bidi="ar-SA"/>
        </w:rPr>
        <w:t>表2.5-2  估算模型参数表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120"/>
        <w:gridCol w:w="1346"/>
        <w:gridCol w:w="278"/>
        <w:gridCol w:w="3974"/>
        <w:gridCol w:w="1953"/>
      </w:tblGrid>
      <w:tr w14:paraId="0081E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tcBorders>
              <w:tl2br w:val="nil"/>
              <w:tr2bl w:val="nil"/>
            </w:tcBorders>
            <w:noWrap w:val="0"/>
            <w:vAlign w:val="center"/>
          </w:tcPr>
          <w:p w14:paraId="49AD7BDE">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环境要素</w:t>
            </w:r>
          </w:p>
        </w:tc>
        <w:tc>
          <w:tcPr>
            <w:tcW w:w="776" w:type="pct"/>
            <w:tcBorders>
              <w:tl2br w:val="nil"/>
              <w:tr2bl w:val="nil"/>
            </w:tcBorders>
            <w:noWrap w:val="0"/>
            <w:vAlign w:val="center"/>
          </w:tcPr>
          <w:p w14:paraId="18B5429F">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项  目</w:t>
            </w:r>
          </w:p>
        </w:tc>
        <w:tc>
          <w:tcPr>
            <w:tcW w:w="3576" w:type="pct"/>
            <w:gridSpan w:val="3"/>
            <w:tcBorders>
              <w:tl2br w:val="nil"/>
              <w:tr2bl w:val="nil"/>
            </w:tcBorders>
            <w:noWrap w:val="0"/>
            <w:vAlign w:val="center"/>
          </w:tcPr>
          <w:p w14:paraId="2BD48115">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评 价 因 子</w:t>
            </w:r>
          </w:p>
        </w:tc>
      </w:tr>
      <w:tr w14:paraId="4A9CB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vMerge w:val="restart"/>
            <w:tcBorders>
              <w:tl2br w:val="nil"/>
              <w:tr2bl w:val="nil"/>
            </w:tcBorders>
            <w:noWrap w:val="0"/>
            <w:vAlign w:val="center"/>
          </w:tcPr>
          <w:p w14:paraId="76E5074F">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776" w:type="pct"/>
            <w:vMerge w:val="restart"/>
            <w:tcBorders>
              <w:tl2br w:val="nil"/>
              <w:tr2bl w:val="nil"/>
            </w:tcBorders>
            <w:noWrap w:val="0"/>
            <w:vAlign w:val="center"/>
          </w:tcPr>
          <w:p w14:paraId="3815E125">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城市/农村选项</w:t>
            </w:r>
          </w:p>
        </w:tc>
        <w:tc>
          <w:tcPr>
            <w:tcW w:w="2450" w:type="pct"/>
            <w:gridSpan w:val="2"/>
            <w:tcBorders>
              <w:tl2br w:val="nil"/>
              <w:tr2bl w:val="nil"/>
            </w:tcBorders>
            <w:noWrap w:val="0"/>
            <w:vAlign w:val="center"/>
          </w:tcPr>
          <w:p w14:paraId="704A5A5B">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城市/农村</w:t>
            </w:r>
          </w:p>
        </w:tc>
        <w:tc>
          <w:tcPr>
            <w:tcW w:w="1126" w:type="pct"/>
            <w:tcBorders>
              <w:tl2br w:val="nil"/>
              <w:tr2bl w:val="nil"/>
            </w:tcBorders>
            <w:noWrap w:val="0"/>
            <w:vAlign w:val="center"/>
          </w:tcPr>
          <w:p w14:paraId="5753533E">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农村</w:t>
            </w:r>
          </w:p>
        </w:tc>
      </w:tr>
      <w:tr w14:paraId="76BE5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vMerge w:val="continue"/>
            <w:tcBorders>
              <w:tl2br w:val="nil"/>
              <w:tr2bl w:val="nil"/>
            </w:tcBorders>
            <w:noWrap w:val="0"/>
            <w:vAlign w:val="center"/>
          </w:tcPr>
          <w:p w14:paraId="10FDD5E4">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color w:val="auto"/>
                <w:spacing w:val="0"/>
                <w:kern w:val="0"/>
                <w:sz w:val="21"/>
                <w:szCs w:val="21"/>
                <w:highlight w:val="none"/>
                <w:u w:val="none"/>
              </w:rPr>
            </w:pPr>
          </w:p>
        </w:tc>
        <w:tc>
          <w:tcPr>
            <w:tcW w:w="776" w:type="pct"/>
            <w:vMerge w:val="continue"/>
            <w:tcBorders>
              <w:tl2br w:val="nil"/>
              <w:tr2bl w:val="nil"/>
            </w:tcBorders>
            <w:noWrap w:val="0"/>
            <w:vAlign w:val="center"/>
          </w:tcPr>
          <w:p w14:paraId="558025E9">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color w:val="auto"/>
                <w:spacing w:val="0"/>
                <w:kern w:val="0"/>
                <w:sz w:val="21"/>
                <w:szCs w:val="21"/>
                <w:highlight w:val="none"/>
                <w:u w:val="none"/>
              </w:rPr>
            </w:pPr>
          </w:p>
        </w:tc>
        <w:tc>
          <w:tcPr>
            <w:tcW w:w="2450" w:type="pct"/>
            <w:gridSpan w:val="2"/>
            <w:tcBorders>
              <w:tl2br w:val="nil"/>
              <w:tr2bl w:val="nil"/>
            </w:tcBorders>
            <w:noWrap w:val="0"/>
            <w:vAlign w:val="center"/>
          </w:tcPr>
          <w:p w14:paraId="6BBC79C5">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人口数</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城市选项时</w:t>
            </w:r>
            <w:r>
              <w:rPr>
                <w:rFonts w:hint="eastAsia" w:ascii="宋体" w:hAnsi="宋体" w:eastAsia="宋体" w:cs="宋体"/>
                <w:color w:val="auto"/>
                <w:spacing w:val="0"/>
                <w:kern w:val="0"/>
                <w:sz w:val="21"/>
                <w:szCs w:val="21"/>
                <w:highlight w:val="none"/>
                <w:u w:val="none"/>
                <w:lang w:eastAsia="zh-CN"/>
              </w:rPr>
              <w:t>）</w:t>
            </w:r>
          </w:p>
        </w:tc>
        <w:tc>
          <w:tcPr>
            <w:tcW w:w="1126" w:type="pct"/>
            <w:tcBorders>
              <w:tl2br w:val="nil"/>
              <w:tr2bl w:val="nil"/>
            </w:tcBorders>
            <w:noWrap w:val="0"/>
            <w:vAlign w:val="center"/>
          </w:tcPr>
          <w:p w14:paraId="4D5C4851">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2BFD0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tcBorders>
              <w:tl2br w:val="nil"/>
              <w:tr2bl w:val="nil"/>
            </w:tcBorders>
            <w:noWrap w:val="0"/>
            <w:vAlign w:val="center"/>
          </w:tcPr>
          <w:p w14:paraId="71EBF802">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2</w:t>
            </w:r>
          </w:p>
        </w:tc>
        <w:tc>
          <w:tcPr>
            <w:tcW w:w="3227" w:type="pct"/>
            <w:gridSpan w:val="3"/>
            <w:tcBorders>
              <w:tl2br w:val="nil"/>
              <w:tr2bl w:val="nil"/>
            </w:tcBorders>
            <w:noWrap w:val="0"/>
            <w:vAlign w:val="center"/>
          </w:tcPr>
          <w:p w14:paraId="22FAE3DB">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最高环境温度/℃</w:t>
            </w:r>
          </w:p>
        </w:tc>
        <w:tc>
          <w:tcPr>
            <w:tcW w:w="1126" w:type="pct"/>
            <w:tcBorders>
              <w:tl2br w:val="nil"/>
              <w:tr2bl w:val="nil"/>
            </w:tcBorders>
            <w:noWrap w:val="0"/>
            <w:vAlign w:val="center"/>
          </w:tcPr>
          <w:p w14:paraId="0C360942">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default" w:ascii="宋体" w:hAnsi="宋体" w:eastAsia="宋体" w:cs="宋体"/>
                <w:color w:val="auto"/>
                <w:spacing w:val="0"/>
                <w:kern w:val="0"/>
                <w:sz w:val="21"/>
                <w:szCs w:val="21"/>
                <w:highlight w:val="none"/>
                <w:u w:val="none"/>
                <w:lang w:val="en-US" w:eastAsia="zh-CN"/>
              </w:rPr>
            </w:pPr>
            <w:r>
              <w:rPr>
                <w:rFonts w:hint="eastAsia" w:ascii="宋体" w:hAnsi="宋体" w:cs="宋体"/>
                <w:color w:val="auto"/>
                <w:spacing w:val="0"/>
                <w:kern w:val="0"/>
                <w:sz w:val="21"/>
                <w:szCs w:val="21"/>
                <w:highlight w:val="none"/>
                <w:u w:val="none"/>
                <w:lang w:val="en-US" w:eastAsia="zh-CN"/>
              </w:rPr>
              <w:t>42.3</w:t>
            </w:r>
          </w:p>
        </w:tc>
      </w:tr>
      <w:tr w14:paraId="2846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tcBorders>
              <w:tl2br w:val="nil"/>
              <w:tr2bl w:val="nil"/>
            </w:tcBorders>
            <w:noWrap w:val="0"/>
            <w:vAlign w:val="center"/>
          </w:tcPr>
          <w:p w14:paraId="54254635">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3</w:t>
            </w:r>
          </w:p>
        </w:tc>
        <w:tc>
          <w:tcPr>
            <w:tcW w:w="3227" w:type="pct"/>
            <w:gridSpan w:val="3"/>
            <w:tcBorders>
              <w:tl2br w:val="nil"/>
              <w:tr2bl w:val="nil"/>
            </w:tcBorders>
            <w:noWrap w:val="0"/>
            <w:vAlign w:val="center"/>
          </w:tcPr>
          <w:p w14:paraId="5400558E">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最低环境温度/℃</w:t>
            </w:r>
          </w:p>
        </w:tc>
        <w:tc>
          <w:tcPr>
            <w:tcW w:w="1126" w:type="pct"/>
            <w:tcBorders>
              <w:tl2br w:val="nil"/>
              <w:tr2bl w:val="nil"/>
            </w:tcBorders>
            <w:noWrap w:val="0"/>
            <w:vAlign w:val="center"/>
          </w:tcPr>
          <w:p w14:paraId="75791D44">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default"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rPr>
              <w:t>-</w:t>
            </w:r>
            <w:r>
              <w:rPr>
                <w:rFonts w:hint="eastAsia" w:ascii="宋体" w:hAnsi="宋体" w:cs="宋体"/>
                <w:color w:val="auto"/>
                <w:spacing w:val="0"/>
                <w:kern w:val="0"/>
                <w:sz w:val="21"/>
                <w:szCs w:val="21"/>
                <w:highlight w:val="none"/>
                <w:u w:val="none"/>
                <w:lang w:val="en-US" w:eastAsia="zh-CN"/>
              </w:rPr>
              <w:t>34.5</w:t>
            </w:r>
          </w:p>
        </w:tc>
      </w:tr>
      <w:tr w14:paraId="3151A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tcBorders>
              <w:tl2br w:val="nil"/>
              <w:tr2bl w:val="nil"/>
            </w:tcBorders>
            <w:noWrap w:val="0"/>
            <w:vAlign w:val="center"/>
          </w:tcPr>
          <w:p w14:paraId="02ACA347">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4</w:t>
            </w:r>
          </w:p>
        </w:tc>
        <w:tc>
          <w:tcPr>
            <w:tcW w:w="3227" w:type="pct"/>
            <w:gridSpan w:val="3"/>
            <w:tcBorders>
              <w:tl2br w:val="nil"/>
              <w:tr2bl w:val="nil"/>
            </w:tcBorders>
            <w:noWrap w:val="0"/>
            <w:vAlign w:val="center"/>
          </w:tcPr>
          <w:p w14:paraId="77FF0520">
            <w:pPr>
              <w:keepNext w:val="0"/>
              <w:keepLines w:val="0"/>
              <w:pageBreakBefore w:val="0"/>
              <w:widowControl/>
              <w:kinsoku/>
              <w:wordWrap/>
              <w:overflowPunct/>
              <w:topLinePunct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测风高度/m</w:t>
            </w:r>
          </w:p>
        </w:tc>
        <w:tc>
          <w:tcPr>
            <w:tcW w:w="1126" w:type="pct"/>
            <w:tcBorders>
              <w:tl2br w:val="nil"/>
              <w:tr2bl w:val="nil"/>
            </w:tcBorders>
            <w:noWrap w:val="0"/>
            <w:vAlign w:val="center"/>
          </w:tcPr>
          <w:p w14:paraId="1E2BFEA8">
            <w:pPr>
              <w:keepNext w:val="0"/>
              <w:keepLines w:val="0"/>
              <w:pageBreakBefore w:val="0"/>
              <w:widowControl/>
              <w:kinsoku/>
              <w:wordWrap/>
              <w:overflowPunct/>
              <w:topLinePunct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10</w:t>
            </w:r>
          </w:p>
        </w:tc>
      </w:tr>
      <w:tr w14:paraId="61C8D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tcBorders>
              <w:tl2br w:val="nil"/>
              <w:tr2bl w:val="nil"/>
            </w:tcBorders>
            <w:noWrap w:val="0"/>
            <w:vAlign w:val="center"/>
          </w:tcPr>
          <w:p w14:paraId="58D25736">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5</w:t>
            </w:r>
          </w:p>
        </w:tc>
        <w:tc>
          <w:tcPr>
            <w:tcW w:w="3227" w:type="pct"/>
            <w:gridSpan w:val="3"/>
            <w:tcBorders>
              <w:tl2br w:val="nil"/>
              <w:tr2bl w:val="nil"/>
            </w:tcBorders>
            <w:noWrap w:val="0"/>
            <w:vAlign w:val="center"/>
          </w:tcPr>
          <w:p w14:paraId="187268EA">
            <w:pPr>
              <w:keepNext w:val="0"/>
              <w:keepLines w:val="0"/>
              <w:pageBreakBefore w:val="0"/>
              <w:widowControl/>
              <w:kinsoku/>
              <w:wordWrap/>
              <w:overflowPunct/>
              <w:topLinePunct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允许使用的最小风速</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m/s</w:t>
            </w:r>
            <w:r>
              <w:rPr>
                <w:rFonts w:hint="eastAsia" w:ascii="宋体" w:hAnsi="宋体" w:eastAsia="宋体" w:cs="宋体"/>
                <w:color w:val="auto"/>
                <w:spacing w:val="0"/>
                <w:kern w:val="0"/>
                <w:sz w:val="21"/>
                <w:szCs w:val="21"/>
                <w:highlight w:val="none"/>
                <w:u w:val="none"/>
                <w:lang w:eastAsia="zh-CN"/>
              </w:rPr>
              <w:t>）</w:t>
            </w:r>
          </w:p>
        </w:tc>
        <w:tc>
          <w:tcPr>
            <w:tcW w:w="1126" w:type="pct"/>
            <w:tcBorders>
              <w:tl2br w:val="nil"/>
              <w:tr2bl w:val="nil"/>
            </w:tcBorders>
            <w:noWrap w:val="0"/>
            <w:vAlign w:val="center"/>
          </w:tcPr>
          <w:p w14:paraId="3C6D5865">
            <w:pPr>
              <w:keepNext w:val="0"/>
              <w:keepLines w:val="0"/>
              <w:pageBreakBefore w:val="0"/>
              <w:widowControl/>
              <w:kinsoku/>
              <w:wordWrap/>
              <w:overflowPunct/>
              <w:topLinePunct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0.5</w:t>
            </w:r>
          </w:p>
        </w:tc>
      </w:tr>
      <w:tr w14:paraId="299B8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tcBorders>
              <w:tl2br w:val="nil"/>
              <w:tr2bl w:val="nil"/>
            </w:tcBorders>
            <w:noWrap w:val="0"/>
            <w:vAlign w:val="center"/>
          </w:tcPr>
          <w:p w14:paraId="743F94DD">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6</w:t>
            </w:r>
          </w:p>
        </w:tc>
        <w:tc>
          <w:tcPr>
            <w:tcW w:w="3227" w:type="pct"/>
            <w:gridSpan w:val="3"/>
            <w:tcBorders>
              <w:tl2br w:val="nil"/>
              <w:tr2bl w:val="nil"/>
            </w:tcBorders>
            <w:noWrap w:val="0"/>
            <w:vAlign w:val="center"/>
          </w:tcPr>
          <w:p w14:paraId="7BE58EE8">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土地利用类型</w:t>
            </w:r>
          </w:p>
        </w:tc>
        <w:tc>
          <w:tcPr>
            <w:tcW w:w="1126" w:type="pct"/>
            <w:tcBorders>
              <w:tl2br w:val="nil"/>
              <w:tr2bl w:val="nil"/>
            </w:tcBorders>
            <w:noWrap w:val="0"/>
            <w:vAlign w:val="center"/>
          </w:tcPr>
          <w:p w14:paraId="62747681">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cs="宋体"/>
                <w:color w:val="auto"/>
                <w:spacing w:val="0"/>
                <w:kern w:val="0"/>
                <w:sz w:val="21"/>
                <w:szCs w:val="21"/>
                <w:highlight w:val="none"/>
                <w:u w:val="none"/>
                <w:lang w:val="en-US" w:eastAsia="zh-CN"/>
              </w:rPr>
              <w:t>沙地</w:t>
            </w:r>
          </w:p>
        </w:tc>
      </w:tr>
      <w:tr w14:paraId="32F79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tcBorders>
              <w:tl2br w:val="nil"/>
              <w:tr2bl w:val="nil"/>
            </w:tcBorders>
            <w:noWrap w:val="0"/>
            <w:vAlign w:val="center"/>
          </w:tcPr>
          <w:p w14:paraId="65922E6C">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7</w:t>
            </w:r>
          </w:p>
        </w:tc>
        <w:tc>
          <w:tcPr>
            <w:tcW w:w="3227" w:type="pct"/>
            <w:gridSpan w:val="3"/>
            <w:tcBorders>
              <w:tl2br w:val="nil"/>
              <w:tr2bl w:val="nil"/>
            </w:tcBorders>
            <w:noWrap w:val="0"/>
            <w:vAlign w:val="center"/>
          </w:tcPr>
          <w:p w14:paraId="06AD0160">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区域湿度条件</w:t>
            </w:r>
          </w:p>
        </w:tc>
        <w:tc>
          <w:tcPr>
            <w:tcW w:w="1126" w:type="pct"/>
            <w:tcBorders>
              <w:tl2br w:val="nil"/>
              <w:tr2bl w:val="nil"/>
            </w:tcBorders>
            <w:noWrap w:val="0"/>
            <w:vAlign w:val="center"/>
          </w:tcPr>
          <w:p w14:paraId="0361723A">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干燥气候</w:t>
            </w:r>
          </w:p>
        </w:tc>
      </w:tr>
      <w:tr w14:paraId="24E40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vMerge w:val="restart"/>
            <w:tcBorders>
              <w:tl2br w:val="nil"/>
              <w:tr2bl w:val="nil"/>
            </w:tcBorders>
            <w:noWrap w:val="0"/>
            <w:vAlign w:val="center"/>
          </w:tcPr>
          <w:p w14:paraId="6AF1B313">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8</w:t>
            </w:r>
          </w:p>
        </w:tc>
        <w:tc>
          <w:tcPr>
            <w:tcW w:w="936" w:type="pct"/>
            <w:gridSpan w:val="2"/>
            <w:vMerge w:val="restart"/>
            <w:tcBorders>
              <w:tl2br w:val="nil"/>
              <w:tr2bl w:val="nil"/>
            </w:tcBorders>
            <w:noWrap w:val="0"/>
            <w:vAlign w:val="center"/>
          </w:tcPr>
          <w:p w14:paraId="2EF1B6EC">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是否考虑地形</w:t>
            </w:r>
          </w:p>
        </w:tc>
        <w:tc>
          <w:tcPr>
            <w:tcW w:w="2291" w:type="pct"/>
            <w:tcBorders>
              <w:tl2br w:val="nil"/>
              <w:tr2bl w:val="nil"/>
            </w:tcBorders>
            <w:noWrap w:val="0"/>
            <w:vAlign w:val="center"/>
          </w:tcPr>
          <w:p w14:paraId="196F0E68">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考虑地形</w:t>
            </w:r>
          </w:p>
        </w:tc>
        <w:tc>
          <w:tcPr>
            <w:tcW w:w="1126" w:type="pct"/>
            <w:tcBorders>
              <w:tl2br w:val="nil"/>
              <w:tr2bl w:val="nil"/>
            </w:tcBorders>
            <w:noWrap w:val="0"/>
            <w:vAlign w:val="center"/>
          </w:tcPr>
          <w:p w14:paraId="691F1C72">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 xml:space="preserve">是     </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否</w:t>
            </w:r>
          </w:p>
        </w:tc>
      </w:tr>
      <w:tr w14:paraId="1A4D5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vMerge w:val="continue"/>
            <w:tcBorders>
              <w:tl2br w:val="nil"/>
              <w:tr2bl w:val="nil"/>
            </w:tcBorders>
            <w:noWrap w:val="0"/>
            <w:vAlign w:val="center"/>
          </w:tcPr>
          <w:p w14:paraId="6CF01522">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color w:val="auto"/>
                <w:spacing w:val="0"/>
                <w:kern w:val="0"/>
                <w:sz w:val="21"/>
                <w:szCs w:val="21"/>
                <w:highlight w:val="none"/>
                <w:u w:val="none"/>
              </w:rPr>
            </w:pPr>
          </w:p>
        </w:tc>
        <w:tc>
          <w:tcPr>
            <w:tcW w:w="936" w:type="pct"/>
            <w:gridSpan w:val="2"/>
            <w:vMerge w:val="continue"/>
            <w:tcBorders>
              <w:tl2br w:val="nil"/>
              <w:tr2bl w:val="nil"/>
            </w:tcBorders>
            <w:noWrap w:val="0"/>
            <w:vAlign w:val="center"/>
          </w:tcPr>
          <w:p w14:paraId="12E047DF">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color w:val="auto"/>
                <w:spacing w:val="0"/>
                <w:kern w:val="0"/>
                <w:sz w:val="21"/>
                <w:szCs w:val="21"/>
                <w:highlight w:val="none"/>
                <w:u w:val="none"/>
              </w:rPr>
            </w:pPr>
          </w:p>
        </w:tc>
        <w:tc>
          <w:tcPr>
            <w:tcW w:w="2291" w:type="pct"/>
            <w:tcBorders>
              <w:tl2br w:val="nil"/>
              <w:tr2bl w:val="nil"/>
            </w:tcBorders>
            <w:noWrap w:val="0"/>
            <w:vAlign w:val="center"/>
          </w:tcPr>
          <w:p w14:paraId="454694DA">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地形数据分辨率/m</w:t>
            </w:r>
          </w:p>
        </w:tc>
        <w:tc>
          <w:tcPr>
            <w:tcW w:w="1126" w:type="pct"/>
            <w:tcBorders>
              <w:tl2br w:val="nil"/>
              <w:tr2bl w:val="nil"/>
            </w:tcBorders>
            <w:noWrap w:val="0"/>
            <w:vAlign w:val="center"/>
          </w:tcPr>
          <w:p w14:paraId="2854E4D3">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90×90</w:t>
            </w:r>
          </w:p>
        </w:tc>
      </w:tr>
      <w:tr w14:paraId="4E24C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vMerge w:val="restart"/>
            <w:tcBorders>
              <w:tl2br w:val="nil"/>
              <w:tr2bl w:val="nil"/>
            </w:tcBorders>
            <w:noWrap w:val="0"/>
            <w:vAlign w:val="center"/>
          </w:tcPr>
          <w:p w14:paraId="27ECFFA6">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9</w:t>
            </w:r>
          </w:p>
        </w:tc>
        <w:tc>
          <w:tcPr>
            <w:tcW w:w="936" w:type="pct"/>
            <w:gridSpan w:val="2"/>
            <w:vMerge w:val="restart"/>
            <w:tcBorders>
              <w:tl2br w:val="nil"/>
              <w:tr2bl w:val="nil"/>
            </w:tcBorders>
            <w:noWrap w:val="0"/>
            <w:vAlign w:val="center"/>
          </w:tcPr>
          <w:p w14:paraId="39D3956E">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是否考虑岸线</w:t>
            </w:r>
          </w:p>
          <w:p w14:paraId="6A6B7A35">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熏烟</w:t>
            </w:r>
          </w:p>
        </w:tc>
        <w:tc>
          <w:tcPr>
            <w:tcW w:w="2291" w:type="pct"/>
            <w:tcBorders>
              <w:tl2br w:val="nil"/>
              <w:tr2bl w:val="nil"/>
            </w:tcBorders>
            <w:noWrap w:val="0"/>
            <w:vAlign w:val="center"/>
          </w:tcPr>
          <w:p w14:paraId="204AD7A6">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考虑岸线熏烟</w:t>
            </w:r>
          </w:p>
        </w:tc>
        <w:tc>
          <w:tcPr>
            <w:tcW w:w="1126" w:type="pct"/>
            <w:tcBorders>
              <w:tl2br w:val="nil"/>
              <w:tr2bl w:val="nil"/>
            </w:tcBorders>
            <w:noWrap w:val="0"/>
            <w:vAlign w:val="center"/>
          </w:tcPr>
          <w:p w14:paraId="23B2033B">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 xml:space="preserve">是     </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否</w:t>
            </w:r>
          </w:p>
        </w:tc>
      </w:tr>
      <w:tr w14:paraId="1CBC9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vMerge w:val="continue"/>
            <w:tcBorders>
              <w:tl2br w:val="nil"/>
              <w:tr2bl w:val="nil"/>
            </w:tcBorders>
            <w:noWrap w:val="0"/>
            <w:vAlign w:val="center"/>
          </w:tcPr>
          <w:p w14:paraId="6D301484">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color w:val="auto"/>
                <w:spacing w:val="0"/>
                <w:kern w:val="0"/>
                <w:sz w:val="21"/>
                <w:szCs w:val="21"/>
                <w:highlight w:val="none"/>
                <w:u w:val="none"/>
              </w:rPr>
            </w:pPr>
          </w:p>
        </w:tc>
        <w:tc>
          <w:tcPr>
            <w:tcW w:w="936" w:type="pct"/>
            <w:gridSpan w:val="2"/>
            <w:vMerge w:val="continue"/>
            <w:tcBorders>
              <w:tl2br w:val="nil"/>
              <w:tr2bl w:val="nil"/>
            </w:tcBorders>
            <w:noWrap w:val="0"/>
            <w:vAlign w:val="center"/>
          </w:tcPr>
          <w:p w14:paraId="4638AABF">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color w:val="auto"/>
                <w:spacing w:val="0"/>
                <w:kern w:val="0"/>
                <w:sz w:val="21"/>
                <w:szCs w:val="21"/>
                <w:highlight w:val="none"/>
                <w:u w:val="none"/>
              </w:rPr>
            </w:pPr>
          </w:p>
        </w:tc>
        <w:tc>
          <w:tcPr>
            <w:tcW w:w="2291" w:type="pct"/>
            <w:tcBorders>
              <w:tl2br w:val="nil"/>
              <w:tr2bl w:val="nil"/>
            </w:tcBorders>
            <w:noWrap w:val="0"/>
            <w:vAlign w:val="center"/>
          </w:tcPr>
          <w:p w14:paraId="37E5F189">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岸线距离/km</w:t>
            </w:r>
          </w:p>
        </w:tc>
        <w:tc>
          <w:tcPr>
            <w:tcW w:w="1126" w:type="pct"/>
            <w:tcBorders>
              <w:tl2br w:val="nil"/>
              <w:tr2bl w:val="nil"/>
            </w:tcBorders>
            <w:noWrap w:val="0"/>
            <w:vAlign w:val="center"/>
          </w:tcPr>
          <w:p w14:paraId="03A82BFC">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0BF41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6" w:type="pct"/>
            <w:vMerge w:val="continue"/>
            <w:tcBorders>
              <w:tl2br w:val="nil"/>
              <w:tr2bl w:val="nil"/>
            </w:tcBorders>
            <w:noWrap w:val="0"/>
            <w:vAlign w:val="center"/>
          </w:tcPr>
          <w:p w14:paraId="6FB4A478">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color w:val="auto"/>
                <w:spacing w:val="0"/>
                <w:kern w:val="0"/>
                <w:sz w:val="21"/>
                <w:szCs w:val="21"/>
                <w:highlight w:val="none"/>
                <w:u w:val="none"/>
              </w:rPr>
            </w:pPr>
          </w:p>
        </w:tc>
        <w:tc>
          <w:tcPr>
            <w:tcW w:w="936" w:type="pct"/>
            <w:gridSpan w:val="2"/>
            <w:vMerge w:val="continue"/>
            <w:tcBorders>
              <w:tl2br w:val="nil"/>
              <w:tr2bl w:val="nil"/>
            </w:tcBorders>
            <w:noWrap w:val="0"/>
            <w:vAlign w:val="center"/>
          </w:tcPr>
          <w:p w14:paraId="3DE8712A">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color w:val="auto"/>
                <w:spacing w:val="0"/>
                <w:kern w:val="0"/>
                <w:sz w:val="21"/>
                <w:szCs w:val="21"/>
                <w:highlight w:val="none"/>
                <w:u w:val="none"/>
              </w:rPr>
            </w:pPr>
          </w:p>
        </w:tc>
        <w:tc>
          <w:tcPr>
            <w:tcW w:w="2291" w:type="pct"/>
            <w:tcBorders>
              <w:tl2br w:val="nil"/>
              <w:tr2bl w:val="nil"/>
            </w:tcBorders>
            <w:noWrap w:val="0"/>
            <w:vAlign w:val="center"/>
          </w:tcPr>
          <w:p w14:paraId="7309E2CD">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岸线方向/°</w:t>
            </w:r>
          </w:p>
        </w:tc>
        <w:tc>
          <w:tcPr>
            <w:tcW w:w="1126" w:type="pct"/>
            <w:tcBorders>
              <w:tl2br w:val="nil"/>
              <w:tr2bl w:val="nil"/>
            </w:tcBorders>
            <w:noWrap w:val="0"/>
            <w:vAlign w:val="center"/>
          </w:tcPr>
          <w:p w14:paraId="16E0060C">
            <w:pPr>
              <w:keepNext w:val="0"/>
              <w:keepLines w:val="0"/>
              <w:pageBreakBefore w:val="0"/>
              <w:widowControl/>
              <w:kinsoku/>
              <w:wordWrap/>
              <w:overflowPunct/>
              <w:topLinePunct w:val="0"/>
              <w:autoSpaceDE w:val="0"/>
              <w:autoSpaceDN w:val="0"/>
              <w:bidi w:val="0"/>
              <w:adjustRightInd w:val="0"/>
              <w:snapToGrid/>
              <w:spacing w:line="38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bl>
    <w:p w14:paraId="408B936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计算结果</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见表</w:t>
      </w:r>
      <w:r>
        <w:rPr>
          <w:rFonts w:ascii="Times New Roman" w:hAnsi="Times New Roman" w:eastAsia="宋体" w:cs="Times New Roman"/>
          <w:color w:val="auto"/>
          <w:sz w:val="24"/>
          <w:szCs w:val="24"/>
          <w:highlight w:val="none"/>
          <w:u w:val="none"/>
        </w:rPr>
        <w:t>2.</w:t>
      </w:r>
      <w:r>
        <w:rPr>
          <w:rFonts w:hint="eastAsia" w:ascii="Times New Roman" w:hAnsi="Times New Roman" w:eastAsia="宋体" w:cs="Times New Roman"/>
          <w:color w:val="auto"/>
          <w:sz w:val="24"/>
          <w:szCs w:val="24"/>
          <w:highlight w:val="none"/>
          <w:u w:val="none"/>
          <w:lang w:val="en-US" w:eastAsia="zh-CN"/>
        </w:rPr>
        <w:t>5</w:t>
      </w:r>
      <w:r>
        <w:rPr>
          <w:rFonts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rPr>
        <w:t>3</w:t>
      </w:r>
      <w:r>
        <w:rPr>
          <w:rFonts w:ascii="Times New Roman" w:hAnsi="Times New Roman" w:eastAsia="宋体" w:cs="Times New Roman"/>
          <w:color w:val="auto"/>
          <w:sz w:val="24"/>
          <w:szCs w:val="24"/>
          <w:highlight w:val="none"/>
          <w:u w:val="none"/>
        </w:rPr>
        <w:t>。</w:t>
      </w:r>
    </w:p>
    <w:p w14:paraId="262B76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highlight w:val="none"/>
          <w:u w:val="none"/>
          <w:lang w:val="en-US" w:eastAsia="zh-CN" w:bidi="ar-SA"/>
        </w:rPr>
      </w:pPr>
      <w:r>
        <w:rPr>
          <w:rFonts w:hint="eastAsia" w:ascii="黑体" w:hAnsi="黑体" w:eastAsia="黑体" w:cs="黑体"/>
          <w:b w:val="0"/>
          <w:bCs/>
          <w:color w:val="auto"/>
          <w:kern w:val="2"/>
          <w:sz w:val="24"/>
          <w:szCs w:val="24"/>
          <w:highlight w:val="none"/>
          <w:u w:val="none"/>
          <w:lang w:val="en-US" w:eastAsia="zh-CN" w:bidi="ar-SA"/>
        </w:rPr>
        <w:t>表2.5-3   估算模式计算结果表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800"/>
        <w:gridCol w:w="1325"/>
        <w:gridCol w:w="1000"/>
        <w:gridCol w:w="1325"/>
        <w:gridCol w:w="1000"/>
        <w:gridCol w:w="1312"/>
        <w:gridCol w:w="964"/>
      </w:tblGrid>
      <w:tr w14:paraId="312EA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vMerge w:val="restart"/>
            <w:tcBorders>
              <w:top w:val="single" w:color="auto" w:sz="4" w:space="0"/>
              <w:left w:val="single" w:color="auto" w:sz="4" w:space="0"/>
              <w:right w:val="single" w:color="auto" w:sz="4" w:space="0"/>
            </w:tcBorders>
            <w:noWrap w:val="0"/>
            <w:vAlign w:val="center"/>
          </w:tcPr>
          <w:p w14:paraId="44B27ED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项目</w:t>
            </w:r>
          </w:p>
        </w:tc>
        <w:tc>
          <w:tcPr>
            <w:tcW w:w="453" w:type="pct"/>
            <w:vMerge w:val="restart"/>
            <w:tcBorders>
              <w:top w:val="single" w:color="auto" w:sz="4" w:space="0"/>
              <w:left w:val="single" w:color="auto" w:sz="4" w:space="0"/>
              <w:right w:val="single" w:color="auto" w:sz="4" w:space="0"/>
            </w:tcBorders>
            <w:noWrap w:val="0"/>
            <w:vAlign w:val="center"/>
          </w:tcPr>
          <w:p w14:paraId="1E3B0F1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单位</w:t>
            </w:r>
          </w:p>
        </w:tc>
        <w:tc>
          <w:tcPr>
            <w:tcW w:w="1316" w:type="pct"/>
            <w:gridSpan w:val="2"/>
            <w:tcBorders>
              <w:top w:val="single" w:color="auto" w:sz="4" w:space="0"/>
              <w:left w:val="single" w:color="auto" w:sz="4" w:space="0"/>
              <w:bottom w:val="single" w:color="auto" w:sz="4" w:space="0"/>
              <w:right w:val="single" w:color="auto" w:sz="4" w:space="0"/>
            </w:tcBorders>
            <w:noWrap w:val="0"/>
            <w:vAlign w:val="center"/>
          </w:tcPr>
          <w:p w14:paraId="761FEE9F">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MBHW6009</w:t>
            </w:r>
          </w:p>
        </w:tc>
        <w:tc>
          <w:tcPr>
            <w:tcW w:w="1316" w:type="pct"/>
            <w:gridSpan w:val="2"/>
            <w:tcBorders>
              <w:top w:val="single" w:color="auto" w:sz="4" w:space="0"/>
              <w:left w:val="single" w:color="auto" w:sz="4" w:space="0"/>
              <w:bottom w:val="single" w:color="auto" w:sz="4" w:space="0"/>
              <w:right w:val="single" w:color="auto" w:sz="4" w:space="0"/>
            </w:tcBorders>
            <w:noWrap w:val="0"/>
            <w:vAlign w:val="center"/>
          </w:tcPr>
          <w:p w14:paraId="713FBFB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MBHW6006</w:t>
            </w:r>
          </w:p>
        </w:tc>
        <w:tc>
          <w:tcPr>
            <w:tcW w:w="1288" w:type="pct"/>
            <w:gridSpan w:val="2"/>
            <w:tcBorders>
              <w:top w:val="single" w:color="auto" w:sz="4" w:space="0"/>
              <w:left w:val="single" w:color="auto" w:sz="4" w:space="0"/>
              <w:bottom w:val="single" w:color="auto" w:sz="4" w:space="0"/>
              <w:right w:val="single" w:color="auto" w:sz="4" w:space="0"/>
            </w:tcBorders>
            <w:noWrap w:val="0"/>
            <w:vAlign w:val="center"/>
          </w:tcPr>
          <w:p w14:paraId="05C32F8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MBHW6008</w:t>
            </w:r>
          </w:p>
        </w:tc>
      </w:tr>
      <w:tr w14:paraId="22B64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vMerge w:val="continue"/>
            <w:tcBorders>
              <w:left w:val="single" w:color="auto" w:sz="4" w:space="0"/>
              <w:bottom w:val="single" w:color="auto" w:sz="4" w:space="0"/>
              <w:right w:val="single" w:color="auto" w:sz="4" w:space="0"/>
            </w:tcBorders>
            <w:noWrap w:val="0"/>
            <w:vAlign w:val="center"/>
          </w:tcPr>
          <w:p w14:paraId="481C81E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p>
        </w:tc>
        <w:tc>
          <w:tcPr>
            <w:tcW w:w="453" w:type="pct"/>
            <w:vMerge w:val="continue"/>
            <w:tcBorders>
              <w:left w:val="single" w:color="auto" w:sz="4" w:space="0"/>
              <w:bottom w:val="single" w:color="auto" w:sz="4" w:space="0"/>
              <w:right w:val="single" w:color="auto" w:sz="4" w:space="0"/>
            </w:tcBorders>
            <w:noWrap w:val="0"/>
            <w:vAlign w:val="center"/>
          </w:tcPr>
          <w:p w14:paraId="2FBA49FB">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p>
        </w:tc>
        <w:tc>
          <w:tcPr>
            <w:tcW w:w="750" w:type="pct"/>
            <w:tcBorders>
              <w:top w:val="single" w:color="auto" w:sz="4" w:space="0"/>
              <w:left w:val="single" w:color="auto" w:sz="4" w:space="0"/>
              <w:bottom w:val="single" w:color="auto" w:sz="4" w:space="0"/>
              <w:right w:val="single" w:color="auto" w:sz="4" w:space="0"/>
            </w:tcBorders>
            <w:noWrap w:val="0"/>
            <w:vAlign w:val="center"/>
          </w:tcPr>
          <w:p w14:paraId="7F71F2F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非甲烷总烃</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66DF4BA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硫化氢</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4D11AD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非甲烷总烃</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1463C676">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硫化氢</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2C20CFD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非甲烷总烃</w:t>
            </w:r>
          </w:p>
        </w:tc>
        <w:tc>
          <w:tcPr>
            <w:tcW w:w="545" w:type="pct"/>
            <w:tcBorders>
              <w:top w:val="single" w:color="auto" w:sz="4" w:space="0"/>
              <w:left w:val="single" w:color="auto" w:sz="4" w:space="0"/>
              <w:bottom w:val="single" w:color="auto" w:sz="4" w:space="0"/>
              <w:right w:val="single" w:color="auto" w:sz="4" w:space="0"/>
            </w:tcBorders>
            <w:noWrap w:val="0"/>
            <w:vAlign w:val="center"/>
          </w:tcPr>
          <w:p w14:paraId="4069CB4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硫化氢</w:t>
            </w:r>
          </w:p>
        </w:tc>
      </w:tr>
      <w:tr w14:paraId="21585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tcBorders>
              <w:top w:val="single" w:color="auto" w:sz="4" w:space="0"/>
              <w:left w:val="single" w:color="auto" w:sz="4" w:space="0"/>
              <w:bottom w:val="single" w:color="auto" w:sz="4" w:space="0"/>
              <w:right w:val="single" w:color="auto" w:sz="4" w:space="0"/>
            </w:tcBorders>
            <w:noWrap w:val="0"/>
            <w:vAlign w:val="center"/>
          </w:tcPr>
          <w:p w14:paraId="7C43165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下风向最大落地浓度</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3A997ED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mg/m³</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B3C0B3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highlight w:val="none"/>
                <w:u w:val="none"/>
                <w:lang w:val="en-US" w:eastAsia="zh-CN" w:bidi="ar"/>
              </w:rPr>
              <w:t>0.050742</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3312E5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0.00001</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015F060F">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highlight w:val="none"/>
                <w:u w:val="none"/>
                <w:lang w:val="en-US" w:eastAsia="zh-CN" w:bidi="ar"/>
              </w:rPr>
              <w:t>0.050742</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6B94AF0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0.00001</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087EDE5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highlight w:val="none"/>
                <w:u w:val="none"/>
                <w:lang w:val="en-US" w:eastAsia="zh-CN" w:bidi="ar"/>
              </w:rPr>
              <w:t>0.050742</w:t>
            </w:r>
          </w:p>
        </w:tc>
        <w:tc>
          <w:tcPr>
            <w:tcW w:w="545" w:type="pct"/>
            <w:tcBorders>
              <w:top w:val="single" w:color="auto" w:sz="4" w:space="0"/>
              <w:left w:val="single" w:color="auto" w:sz="4" w:space="0"/>
              <w:bottom w:val="single" w:color="auto" w:sz="4" w:space="0"/>
              <w:right w:val="single" w:color="auto" w:sz="4" w:space="0"/>
            </w:tcBorders>
            <w:noWrap w:val="0"/>
            <w:vAlign w:val="center"/>
          </w:tcPr>
          <w:p w14:paraId="32CB485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0.00001</w:t>
            </w:r>
          </w:p>
        </w:tc>
      </w:tr>
      <w:tr w14:paraId="07F31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tcBorders>
              <w:top w:val="single" w:color="auto" w:sz="4" w:space="0"/>
              <w:left w:val="single" w:color="auto" w:sz="4" w:space="0"/>
              <w:bottom w:val="single" w:color="auto" w:sz="4" w:space="0"/>
              <w:right w:val="single" w:color="auto" w:sz="4" w:space="0"/>
            </w:tcBorders>
            <w:noWrap w:val="0"/>
            <w:vAlign w:val="center"/>
          </w:tcPr>
          <w:p w14:paraId="23A2540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最大浓度出现距离</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1A41D80F">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E211EBC">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143829B">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E04CA8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7D7BDDD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047E146">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545" w:type="pct"/>
            <w:tcBorders>
              <w:top w:val="single" w:color="auto" w:sz="4" w:space="0"/>
              <w:left w:val="single" w:color="auto" w:sz="4" w:space="0"/>
              <w:bottom w:val="single" w:color="auto" w:sz="4" w:space="0"/>
              <w:right w:val="single" w:color="auto" w:sz="4" w:space="0"/>
            </w:tcBorders>
            <w:noWrap w:val="0"/>
            <w:vAlign w:val="center"/>
          </w:tcPr>
          <w:p w14:paraId="7E71347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r>
      <w:tr w14:paraId="7D0BE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tcBorders>
              <w:top w:val="single" w:color="auto" w:sz="4" w:space="0"/>
              <w:left w:val="single" w:color="auto" w:sz="4" w:space="0"/>
              <w:bottom w:val="single" w:color="auto" w:sz="4" w:space="0"/>
              <w:right w:val="single" w:color="auto" w:sz="4" w:space="0"/>
            </w:tcBorders>
            <w:noWrap w:val="0"/>
            <w:vAlign w:val="center"/>
          </w:tcPr>
          <w:p w14:paraId="2F7774F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评价标准</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03FBB8C6">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mg/m³</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6162F75B">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5574C04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0.01</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64A73D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685B6EFC">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0.01</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152CA74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545" w:type="pct"/>
            <w:tcBorders>
              <w:top w:val="single" w:color="auto" w:sz="4" w:space="0"/>
              <w:left w:val="single" w:color="auto" w:sz="4" w:space="0"/>
              <w:bottom w:val="single" w:color="auto" w:sz="4" w:space="0"/>
              <w:right w:val="single" w:color="auto" w:sz="4" w:space="0"/>
            </w:tcBorders>
            <w:noWrap w:val="0"/>
            <w:vAlign w:val="center"/>
          </w:tcPr>
          <w:p w14:paraId="2F66B03F">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0.01</w:t>
            </w:r>
          </w:p>
        </w:tc>
      </w:tr>
      <w:tr w14:paraId="2018A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tcBorders>
              <w:top w:val="single" w:color="auto" w:sz="4" w:space="0"/>
              <w:left w:val="single" w:color="auto" w:sz="4" w:space="0"/>
              <w:bottom w:val="single" w:color="auto" w:sz="4" w:space="0"/>
              <w:right w:val="single" w:color="auto" w:sz="4" w:space="0"/>
            </w:tcBorders>
            <w:noWrap w:val="0"/>
            <w:vAlign w:val="center"/>
          </w:tcPr>
          <w:p w14:paraId="66DF1E8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最大占标率</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36B1B29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5D1B5FF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highlight w:val="none"/>
                <w:u w:val="none"/>
                <w:lang w:val="en-US" w:eastAsia="zh-CN" w:bidi="ar"/>
              </w:rPr>
              <w:t>2.54</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BA5BC6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0.1</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3DC186F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highlight w:val="none"/>
                <w:u w:val="none"/>
                <w:lang w:val="en-US" w:eastAsia="zh-CN" w:bidi="ar"/>
              </w:rPr>
              <w:t>2.54</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76B1A5F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0.1</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1D97F47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highlight w:val="none"/>
                <w:u w:val="none"/>
                <w:lang w:val="en-US" w:eastAsia="zh-CN" w:bidi="ar"/>
              </w:rPr>
              <w:t>2.54</w:t>
            </w:r>
          </w:p>
        </w:tc>
        <w:tc>
          <w:tcPr>
            <w:tcW w:w="545" w:type="pct"/>
            <w:tcBorders>
              <w:top w:val="single" w:color="auto" w:sz="4" w:space="0"/>
              <w:left w:val="single" w:color="auto" w:sz="4" w:space="0"/>
              <w:bottom w:val="single" w:color="auto" w:sz="4" w:space="0"/>
              <w:right w:val="single" w:color="auto" w:sz="4" w:space="0"/>
            </w:tcBorders>
            <w:noWrap w:val="0"/>
            <w:vAlign w:val="center"/>
          </w:tcPr>
          <w:p w14:paraId="3FE79D2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0.1</w:t>
            </w:r>
          </w:p>
        </w:tc>
      </w:tr>
      <w:tr w14:paraId="72F09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tcBorders>
              <w:top w:val="single" w:color="auto" w:sz="4" w:space="0"/>
              <w:left w:val="single" w:color="auto" w:sz="4" w:space="0"/>
              <w:bottom w:val="single" w:color="auto" w:sz="4" w:space="0"/>
              <w:right w:val="single" w:color="auto" w:sz="4" w:space="0"/>
            </w:tcBorders>
            <w:noWrap w:val="0"/>
            <w:vAlign w:val="center"/>
          </w:tcPr>
          <w:p w14:paraId="30537D6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D</w:t>
            </w:r>
            <w:r>
              <w:rPr>
                <w:rFonts w:hint="eastAsia" w:ascii="宋体" w:hAnsi="宋体" w:eastAsia="宋体" w:cs="宋体"/>
                <w:b w:val="0"/>
                <w:bCs w:val="0"/>
                <w:color w:val="auto"/>
                <w:sz w:val="21"/>
                <w:szCs w:val="21"/>
                <w:highlight w:val="none"/>
                <w:u w:val="none"/>
                <w:vertAlign w:val="subscript"/>
                <w:lang w:val="en-US" w:eastAsia="zh-CN"/>
              </w:rPr>
              <w:t>10%</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4375BFD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10EA1CF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75959AF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71964F3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4A7209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239DDD2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c>
          <w:tcPr>
            <w:tcW w:w="545" w:type="pct"/>
            <w:tcBorders>
              <w:top w:val="single" w:color="auto" w:sz="4" w:space="0"/>
              <w:left w:val="single" w:color="auto" w:sz="4" w:space="0"/>
              <w:bottom w:val="single" w:color="auto" w:sz="4" w:space="0"/>
              <w:right w:val="single" w:color="auto" w:sz="4" w:space="0"/>
            </w:tcBorders>
            <w:noWrap w:val="0"/>
            <w:vAlign w:val="center"/>
          </w:tcPr>
          <w:p w14:paraId="38D753D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r>
    </w:tbl>
    <w:p w14:paraId="40BEAFDA">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sz w:val="24"/>
          <w:szCs w:val="24"/>
          <w:highlight w:val="none"/>
          <w:u w:val="none"/>
        </w:rPr>
        <w:t>计算结果表明，</w:t>
      </w:r>
      <w:r>
        <w:rPr>
          <w:rFonts w:hint="eastAsia" w:cs="Times New Roman"/>
          <w:color w:val="auto"/>
          <w:sz w:val="24"/>
          <w:szCs w:val="24"/>
          <w:highlight w:val="none"/>
          <w:u w:val="none"/>
          <w:lang w:val="en-US" w:eastAsia="zh-CN"/>
        </w:rPr>
        <w:t>本项目</w:t>
      </w:r>
      <w:r>
        <w:rPr>
          <w:rFonts w:hint="default" w:ascii="Times New Roman" w:hAnsi="Times New Roman" w:eastAsia="宋体" w:cs="Times New Roman"/>
          <w:color w:val="auto"/>
          <w:sz w:val="24"/>
          <w:szCs w:val="24"/>
          <w:highlight w:val="none"/>
          <w:u w:val="none"/>
        </w:rPr>
        <w:t>生产过程中无组织排放的污染物非甲烷总烃最大</w:t>
      </w:r>
      <w:r>
        <w:rPr>
          <w:rFonts w:hint="eastAsia" w:ascii="Times New Roman" w:hAnsi="Times New Roman" w:eastAsia="宋体" w:cs="Times New Roman"/>
          <w:color w:val="auto"/>
          <w:sz w:val="24"/>
          <w:szCs w:val="24"/>
          <w:highlight w:val="none"/>
          <w:u w:val="none"/>
          <w:lang w:val="en-US" w:eastAsia="zh-CN"/>
        </w:rPr>
        <w:t>浓度</w:t>
      </w:r>
      <w:r>
        <w:rPr>
          <w:rFonts w:hint="default" w:ascii="Times New Roman" w:hAnsi="Times New Roman" w:eastAsia="宋体" w:cs="Times New Roman"/>
          <w:color w:val="auto"/>
          <w:sz w:val="24"/>
          <w:szCs w:val="24"/>
          <w:highlight w:val="none"/>
          <w:u w:val="none"/>
        </w:rPr>
        <w:t>占标率</w:t>
      </w:r>
      <w:r>
        <w:rPr>
          <w:rFonts w:hint="eastAsia" w:ascii="Times New Roman" w:hAnsi="Times New Roman" w:eastAsia="宋体" w:cs="Times New Roman"/>
          <w:color w:val="auto"/>
          <w:sz w:val="24"/>
          <w:szCs w:val="24"/>
          <w:highlight w:val="none"/>
          <w:u w:val="none"/>
          <w:lang w:val="en-US" w:eastAsia="zh-CN"/>
        </w:rPr>
        <w:t>为</w:t>
      </w:r>
      <w:r>
        <w:rPr>
          <w:rFonts w:hint="eastAsia" w:cs="Times New Roman"/>
          <w:color w:val="auto"/>
          <w:sz w:val="24"/>
          <w:szCs w:val="24"/>
          <w:highlight w:val="none"/>
          <w:u w:val="none"/>
          <w:lang w:val="en-US" w:eastAsia="zh-CN"/>
        </w:rPr>
        <w:t>2.54</w:t>
      </w:r>
      <w:r>
        <w:rPr>
          <w:rFonts w:hint="default"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其最远距离D</w:t>
      </w:r>
      <w:r>
        <w:rPr>
          <w:rFonts w:hint="default" w:ascii="Times New Roman" w:hAnsi="Times New Roman" w:eastAsia="宋体" w:cs="Times New Roman"/>
          <w:color w:val="auto"/>
          <w:sz w:val="24"/>
          <w:szCs w:val="24"/>
          <w:highlight w:val="none"/>
          <w:u w:val="none"/>
          <w:vertAlign w:val="subscript"/>
        </w:rPr>
        <w:t>10%</w:t>
      </w:r>
      <w:r>
        <w:rPr>
          <w:rFonts w:hint="default" w:ascii="Times New Roman" w:hAnsi="Times New Roman" w:eastAsia="宋体" w:cs="Times New Roman"/>
          <w:color w:val="auto"/>
          <w:sz w:val="24"/>
          <w:szCs w:val="24"/>
          <w:highlight w:val="none"/>
          <w:u w:val="none"/>
        </w:rPr>
        <w:t>=0m，</w:t>
      </w:r>
      <w:r>
        <w:rPr>
          <w:rFonts w:hint="default" w:ascii="Times New Roman" w:hAnsi="Times New Roman" w:eastAsia="宋体" w:cs="Times New Roman"/>
          <w:color w:val="auto"/>
          <w:kern w:val="0"/>
          <w:sz w:val="24"/>
          <w:szCs w:val="24"/>
          <w:highlight w:val="none"/>
          <w:u w:val="none"/>
        </w:rPr>
        <w:t>最大占标率在1%≤Pmax＜10%内，根据《环境影响评价技术导则-大气环境》（HJ2.2-2018）中大气环境评价工作分级判据判别，确定本次环评大气影响评价的工作等级为二级。</w:t>
      </w:r>
    </w:p>
    <w:p w14:paraId="76174346">
      <w:pPr>
        <w:spacing w:line="360" w:lineRule="auto"/>
        <w:ind w:firstLine="480" w:firstLineChars="200"/>
        <w:rPr>
          <w:rFonts w:ascii="Times New Roman" w:hAnsi="Times New Roman" w:eastAsia="宋体" w:cs="Times New Roman"/>
          <w:b/>
          <w:bCs/>
          <w:color w:val="auto"/>
          <w:sz w:val="24"/>
          <w:szCs w:val="24"/>
          <w:highlight w:val="none"/>
          <w:u w:val="none"/>
        </w:rPr>
      </w:pPr>
      <w:r>
        <w:rPr>
          <w:rFonts w:hint="eastAsia" w:ascii="Times New Roman" w:hAnsi="Times New Roman" w:eastAsia="宋体" w:cs="Times New Roman"/>
          <w:b/>
          <w:bCs/>
          <w:color w:val="auto"/>
          <w:sz w:val="24"/>
          <w:szCs w:val="24"/>
          <w:highlight w:val="none"/>
          <w:u w:val="none"/>
        </w:rPr>
        <w:t>（2）评价范围</w:t>
      </w:r>
    </w:p>
    <w:bookmarkEnd w:id="116"/>
    <w:bookmarkEnd w:id="117"/>
    <w:p w14:paraId="1CDD57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lang w:val="en-US" w:eastAsia="zh-CN"/>
        </w:rPr>
      </w:pPr>
      <w:bookmarkStart w:id="124" w:name="_Toc3433"/>
      <w:bookmarkStart w:id="125" w:name="_Toc115978777"/>
      <w:r>
        <w:rPr>
          <w:rFonts w:hint="eastAsia" w:ascii="Times New Roman" w:hAnsi="Times New Roman" w:eastAsia="宋体" w:cs="Times New Roman"/>
          <w:color w:val="auto"/>
          <w:sz w:val="24"/>
          <w:szCs w:val="24"/>
          <w:highlight w:val="none"/>
          <w:u w:val="none"/>
          <w:lang w:val="en-US" w:eastAsia="zh-CN"/>
        </w:rPr>
        <w:t>根据《环境影响评价技术导则—大气环境》（HJ2.2-2018）的相关要求，结合本项目特点，考虑气田整体开发对大气环境的区域影响，最终确定以各井场、站场为中心，向四周各外延2.5km的矩形叠合区域作为大气环境评价范围。</w:t>
      </w:r>
    </w:p>
    <w:p w14:paraId="22296C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u w:val="none"/>
        </w:rPr>
      </w:pPr>
      <w:r>
        <w:rPr>
          <w:rFonts w:hint="eastAsia" w:ascii="Times New Roman" w:hAnsi="Times New Roman" w:eastAsia="宋体" w:cs="Times New Roman"/>
          <w:color w:val="auto"/>
          <w:sz w:val="24"/>
          <w:szCs w:val="24"/>
          <w:highlight w:val="none"/>
          <w:u w:val="none"/>
          <w:lang w:val="en-US" w:eastAsia="zh-CN"/>
        </w:rPr>
        <w:t>大气评价范围，见图2.5-1。</w:t>
      </w:r>
    </w:p>
    <w:p w14:paraId="2BC9974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地下水</w:t>
      </w:r>
    </w:p>
    <w:p w14:paraId="2DA1B13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（1）建设项目类别</w:t>
      </w:r>
    </w:p>
    <w:p w14:paraId="7CDCA06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t>本工程</w:t>
      </w:r>
      <w:r>
        <w:rPr>
          <w:rFonts w:hint="default" w:ascii="Times New Roman" w:hAnsi="Times New Roman" w:eastAsia="宋体" w:cs="Times New Roman"/>
          <w:color w:val="auto"/>
          <w:sz w:val="24"/>
          <w:szCs w:val="24"/>
          <w:highlight w:val="none"/>
          <w:u w:val="none"/>
        </w:rPr>
        <w:t>属于</w:t>
      </w:r>
      <w:r>
        <w:rPr>
          <w:rFonts w:ascii="Times New Roman" w:hAnsi="Times New Roman" w:eastAsia="宋体" w:cs="Times New Roman"/>
          <w:color w:val="auto"/>
          <w:sz w:val="24"/>
          <w:szCs w:val="24"/>
          <w:highlight w:val="none"/>
          <w:u w:val="none"/>
        </w:rPr>
        <w:t>天然气开采</w:t>
      </w:r>
      <w:r>
        <w:rPr>
          <w:rFonts w:hint="eastAsia" w:ascii="Times New Roman" w:hAnsi="Times New Roman" w:eastAsia="宋体" w:cs="Times New Roman"/>
          <w:color w:val="auto"/>
          <w:sz w:val="24"/>
          <w:szCs w:val="24"/>
          <w:highlight w:val="none"/>
          <w:u w:val="none"/>
          <w:lang w:val="en-US" w:eastAsia="zh-CN"/>
        </w:rPr>
        <w:t>项目</w:t>
      </w:r>
      <w:r>
        <w:rPr>
          <w:rFonts w:hint="default" w:ascii="Times New Roman" w:hAnsi="Times New Roman" w:eastAsia="宋体" w:cs="Times New Roman"/>
          <w:color w:val="auto"/>
          <w:sz w:val="24"/>
          <w:szCs w:val="24"/>
          <w:highlight w:val="none"/>
          <w:u w:val="none"/>
        </w:rPr>
        <w:t>，按照《</w:t>
      </w:r>
      <w:r>
        <w:rPr>
          <w:rFonts w:hint="default" w:ascii="Times New Roman" w:hAnsi="Times New Roman" w:eastAsia="宋体" w:cs="Times New Roman"/>
          <w:color w:val="auto"/>
          <w:sz w:val="24"/>
          <w:szCs w:val="24"/>
          <w:highlight w:val="none"/>
          <w:u w:val="none"/>
          <w:lang w:eastAsia="zh-CN"/>
        </w:rPr>
        <w:t>环境影响评价技术导则 地下水环境</w:t>
      </w:r>
      <w:r>
        <w:rPr>
          <w:rFonts w:hint="default" w:ascii="Times New Roman" w:hAnsi="Times New Roman" w:eastAsia="宋体" w:cs="Times New Roman"/>
          <w:color w:val="auto"/>
          <w:sz w:val="24"/>
          <w:szCs w:val="24"/>
          <w:highlight w:val="none"/>
          <w:u w:val="none"/>
        </w:rPr>
        <w:t>》（HJ610-2016）中附录A判断，本工程</w:t>
      </w:r>
      <w:r>
        <w:rPr>
          <w:rFonts w:hint="eastAsia" w:ascii="Times New Roman" w:hAnsi="Times New Roman" w:eastAsia="宋体" w:cs="Times New Roman"/>
          <w:color w:val="auto"/>
          <w:sz w:val="24"/>
          <w:szCs w:val="24"/>
          <w:highlight w:val="none"/>
          <w:u w:val="none"/>
          <w:lang w:val="en-US" w:eastAsia="zh-CN"/>
        </w:rPr>
        <w:t>井场</w:t>
      </w:r>
      <w:r>
        <w:rPr>
          <w:rFonts w:hint="default" w:ascii="Times New Roman" w:hAnsi="Times New Roman" w:eastAsia="宋体" w:cs="Times New Roman"/>
          <w:color w:val="auto"/>
          <w:sz w:val="24"/>
          <w:szCs w:val="24"/>
          <w:highlight w:val="none"/>
          <w:u w:val="none"/>
        </w:rPr>
        <w:t>属于</w:t>
      </w:r>
      <w:r>
        <w:rPr>
          <w:rFonts w:hint="eastAsia" w:ascii="Times New Roman" w:hAnsi="Times New Roman" w:eastAsia="宋体" w:cs="Times New Roman"/>
          <w:color w:val="auto"/>
          <w:sz w:val="24"/>
          <w:szCs w:val="24"/>
          <w:highlight w:val="none"/>
          <w:u w:val="none"/>
          <w:lang w:eastAsia="zh-CN"/>
        </w:rPr>
        <w:t>Ⅱ</w:t>
      </w:r>
      <w:r>
        <w:rPr>
          <w:rFonts w:hint="default" w:ascii="Times New Roman" w:hAnsi="Times New Roman" w:eastAsia="宋体" w:cs="Times New Roman"/>
          <w:color w:val="auto"/>
          <w:sz w:val="24"/>
          <w:szCs w:val="24"/>
          <w:highlight w:val="none"/>
          <w:u w:val="none"/>
        </w:rPr>
        <w:t>类项目</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lang w:val="en-US" w:eastAsia="zh-CN"/>
        </w:rPr>
        <w:t>天然气</w:t>
      </w:r>
      <w:r>
        <w:rPr>
          <w:rFonts w:hint="eastAsia" w:ascii="Times New Roman" w:hAnsi="Times New Roman" w:eastAsia="宋体" w:cs="Times New Roman"/>
          <w:color w:val="auto"/>
          <w:sz w:val="24"/>
          <w:szCs w:val="24"/>
          <w:highlight w:val="none"/>
          <w:u w:val="none"/>
          <w:lang w:eastAsia="zh-CN"/>
        </w:rPr>
        <w:t>管线建设属于Ⅲ类项目</w:t>
      </w:r>
      <w:r>
        <w:rPr>
          <w:rFonts w:hint="default" w:ascii="Times New Roman" w:hAnsi="Times New Roman" w:eastAsia="宋体" w:cs="Times New Roman"/>
          <w:color w:val="auto"/>
          <w:sz w:val="24"/>
          <w:szCs w:val="24"/>
          <w:highlight w:val="none"/>
          <w:u w:val="none"/>
        </w:rPr>
        <w:t>。</w:t>
      </w:r>
    </w:p>
    <w:p w14:paraId="3FE775D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（2）地下水环境敏感程度</w:t>
      </w:r>
    </w:p>
    <w:p w14:paraId="3A2C2A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eastAsia="宋体" w:cs="Times New Roman"/>
          <w:color w:val="auto"/>
          <w:sz w:val="24"/>
          <w:szCs w:val="24"/>
          <w:highlight w:val="none"/>
          <w:u w:val="none"/>
        </w:rPr>
        <w:t>依据《环境影响评价技术导则地下水环境》（HJ610-2016）中的地下水环境敏感程度分级表（表2.</w:t>
      </w:r>
      <w:r>
        <w:rPr>
          <w:rFonts w:hint="eastAsia" w:ascii="Times New Roman" w:hAnsi="Times New Roman"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rPr>
        <w:t>）和《建设项目环境影响评价分类管理名录》，项目区不位于集中式饮用水水源保护区及补给径流区，无分散式饮用水水源地，无特殊地下水资源保护区，地下水环境敏感特征为不敏感。</w:t>
      </w:r>
    </w:p>
    <w:p w14:paraId="010E2A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表2.</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4  </w:t>
      </w:r>
      <w:r>
        <w:rPr>
          <w:rFonts w:hint="default" w:ascii="黑体" w:hAnsi="黑体" w:eastAsia="黑体" w:cs="黑体"/>
          <w:b w:val="0"/>
          <w:bCs/>
          <w:color w:val="auto"/>
          <w:kern w:val="2"/>
          <w:sz w:val="24"/>
          <w:szCs w:val="24"/>
          <w:u w:val="none"/>
          <w:lang w:val="en-US" w:eastAsia="zh-CN" w:bidi="ar-SA"/>
        </w:rPr>
        <w:t>地下水环境敏感程度分级表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7279"/>
      </w:tblGrid>
      <w:tr w14:paraId="76E63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3" w:type="dxa"/>
            <w:tcBorders>
              <w:tl2br w:val="nil"/>
              <w:tr2bl w:val="nil"/>
            </w:tcBorders>
            <w:noWrap w:val="0"/>
            <w:vAlign w:val="center"/>
          </w:tcPr>
          <w:p w14:paraId="38EDDE4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敏感程度</w:t>
            </w:r>
          </w:p>
        </w:tc>
        <w:tc>
          <w:tcPr>
            <w:tcW w:w="7279" w:type="dxa"/>
            <w:tcBorders>
              <w:tl2br w:val="nil"/>
              <w:tr2bl w:val="nil"/>
            </w:tcBorders>
            <w:noWrap w:val="0"/>
            <w:vAlign w:val="center"/>
          </w:tcPr>
          <w:p w14:paraId="37D47754">
            <w:pPr>
              <w:keepNext w:val="0"/>
              <w:keepLines w:val="0"/>
              <w:pageBreakBefore w:val="0"/>
              <w:widowControl/>
              <w:tabs>
                <w:tab w:val="left" w:pos="675"/>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2"/>
                <w:sz w:val="21"/>
                <w:szCs w:val="18"/>
                <w:highlight w:val="none"/>
                <w:u w:val="none"/>
              </w:rPr>
              <w:t>项目场地的地下水环境敏感特征</w:t>
            </w:r>
          </w:p>
        </w:tc>
      </w:tr>
      <w:tr w14:paraId="3AB8C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3" w:type="dxa"/>
            <w:tcBorders>
              <w:tl2br w:val="nil"/>
              <w:tr2bl w:val="nil"/>
            </w:tcBorders>
            <w:noWrap w:val="0"/>
            <w:vAlign w:val="center"/>
          </w:tcPr>
          <w:p w14:paraId="2D43309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敏感</w:t>
            </w:r>
          </w:p>
        </w:tc>
        <w:tc>
          <w:tcPr>
            <w:tcW w:w="7279" w:type="dxa"/>
            <w:tcBorders>
              <w:tl2br w:val="nil"/>
              <w:tr2bl w:val="nil"/>
            </w:tcBorders>
            <w:noWrap w:val="0"/>
            <w:vAlign w:val="top"/>
          </w:tcPr>
          <w:p w14:paraId="2E7A1CF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6D353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3" w:type="dxa"/>
            <w:tcBorders>
              <w:tl2br w:val="nil"/>
              <w:tr2bl w:val="nil"/>
            </w:tcBorders>
            <w:noWrap w:val="0"/>
            <w:vAlign w:val="center"/>
          </w:tcPr>
          <w:p w14:paraId="7282E7F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较敏感</w:t>
            </w:r>
          </w:p>
        </w:tc>
        <w:tc>
          <w:tcPr>
            <w:tcW w:w="7279" w:type="dxa"/>
            <w:tcBorders>
              <w:tl2br w:val="nil"/>
              <w:tr2bl w:val="nil"/>
            </w:tcBorders>
            <w:noWrap w:val="0"/>
            <w:vAlign w:val="top"/>
          </w:tcPr>
          <w:p w14:paraId="6C4772E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集中式饮用水水源（包括已建成的在用、备用、应急水源，在建和规划的饮用水水源）准保护区以外的补给径流区；为划定准保护区的集中式饮用水水源，其保护区以外的补给径流区；分散式饮用水水源地；特殊地下水资源（如矿泉水、温泉等）保护区以外的分布区等其他未列入上述敏感分级的环境敏感区。</w:t>
            </w:r>
          </w:p>
        </w:tc>
      </w:tr>
      <w:tr w14:paraId="592BB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3" w:type="dxa"/>
            <w:tcBorders>
              <w:tl2br w:val="nil"/>
              <w:tr2bl w:val="nil"/>
            </w:tcBorders>
            <w:noWrap w:val="0"/>
            <w:vAlign w:val="center"/>
          </w:tcPr>
          <w:p w14:paraId="7B9AE29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不敏感</w:t>
            </w:r>
          </w:p>
        </w:tc>
        <w:tc>
          <w:tcPr>
            <w:tcW w:w="7279" w:type="dxa"/>
            <w:tcBorders>
              <w:tl2br w:val="nil"/>
              <w:tr2bl w:val="nil"/>
            </w:tcBorders>
            <w:noWrap w:val="0"/>
            <w:vAlign w:val="top"/>
          </w:tcPr>
          <w:p w14:paraId="64308BF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上述地区之外的其他地区。</w:t>
            </w:r>
          </w:p>
        </w:tc>
      </w:tr>
    </w:tbl>
    <w:p w14:paraId="3C4A597F">
      <w:pPr>
        <w:widowControl/>
        <w:ind w:firstLine="420" w:firstLineChars="200"/>
        <w:jc w:val="left"/>
        <w:rPr>
          <w:rFonts w:hint="default" w:ascii="Times New Roman" w:hAnsi="Times New Roman" w:cs="Times New Roman"/>
          <w:b/>
          <w:color w:val="auto"/>
          <w:kern w:val="0"/>
          <w:sz w:val="21"/>
          <w:szCs w:val="21"/>
          <w:highlight w:val="none"/>
          <w:u w:val="none"/>
        </w:rPr>
      </w:pPr>
      <w:r>
        <w:rPr>
          <w:rFonts w:hint="default" w:ascii="Times New Roman" w:hAnsi="Times New Roman" w:cs="Times New Roman"/>
          <w:b w:val="0"/>
          <w:bCs/>
          <w:color w:val="auto"/>
          <w:kern w:val="0"/>
          <w:sz w:val="21"/>
          <w:szCs w:val="21"/>
          <w:highlight w:val="none"/>
          <w:u w:val="none"/>
        </w:rPr>
        <w:t>注：“环境敏感区”是指《建设项目环境影响评价分类管理名录》中所界定的涉及地下水的环境敏感区。</w:t>
      </w:r>
    </w:p>
    <w:p w14:paraId="1FDBB41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rPr>
        <w:t>（3）工作等级划分</w:t>
      </w:r>
    </w:p>
    <w:p w14:paraId="484C11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kern w:val="0"/>
          <w:sz w:val="24"/>
          <w:szCs w:val="24"/>
          <w:highlight w:val="none"/>
          <w:u w:val="none"/>
          <w:lang w:eastAsia="zh-CN"/>
        </w:rPr>
      </w:pPr>
      <w:r>
        <w:rPr>
          <w:rFonts w:hint="default" w:ascii="Times New Roman" w:hAnsi="Times New Roman" w:eastAsia="宋体" w:cs="Times New Roman"/>
          <w:color w:val="auto"/>
          <w:sz w:val="24"/>
          <w:szCs w:val="24"/>
          <w:highlight w:val="none"/>
          <w:u w:val="none"/>
        </w:rPr>
        <w:t>依据《环境影响评价技术导则地下水环境》（HJ610-2016），</w:t>
      </w:r>
      <w:r>
        <w:rPr>
          <w:rFonts w:hint="default" w:ascii="Times New Roman" w:hAnsi="Times New Roman" w:eastAsia="宋体" w:cs="Times New Roman"/>
          <w:color w:val="auto"/>
          <w:sz w:val="24"/>
          <w:szCs w:val="24"/>
          <w:highlight w:val="none"/>
          <w:u w:val="none"/>
          <w:lang w:eastAsia="zh-CN"/>
        </w:rPr>
        <w:t>本工程</w:t>
      </w:r>
      <w:r>
        <w:rPr>
          <w:rFonts w:hint="eastAsia" w:ascii="Times New Roman" w:hAnsi="Times New Roman" w:eastAsia="宋体" w:cs="Times New Roman"/>
          <w:color w:val="auto"/>
          <w:sz w:val="24"/>
          <w:szCs w:val="24"/>
          <w:highlight w:val="none"/>
          <w:u w:val="none"/>
          <w:lang w:val="en-US" w:eastAsia="zh-CN"/>
        </w:rPr>
        <w:t>井场</w:t>
      </w:r>
      <w:r>
        <w:rPr>
          <w:rFonts w:hint="default" w:ascii="Times New Roman" w:hAnsi="Times New Roman" w:eastAsia="宋体" w:cs="Times New Roman"/>
          <w:color w:val="auto"/>
          <w:sz w:val="24"/>
          <w:szCs w:val="24"/>
          <w:highlight w:val="none"/>
          <w:u w:val="none"/>
        </w:rPr>
        <w:t>属于</w:t>
      </w:r>
      <w:r>
        <w:rPr>
          <w:rFonts w:hint="eastAsia" w:ascii="Times New Roman" w:hAnsi="Times New Roman" w:eastAsia="宋体" w:cs="Times New Roman"/>
          <w:color w:val="auto"/>
          <w:sz w:val="24"/>
          <w:szCs w:val="24"/>
          <w:highlight w:val="none"/>
          <w:u w:val="none"/>
          <w:lang w:eastAsia="zh-CN"/>
        </w:rPr>
        <w:t>Ⅱ</w:t>
      </w:r>
      <w:r>
        <w:rPr>
          <w:rFonts w:hint="default" w:ascii="Times New Roman" w:hAnsi="Times New Roman" w:eastAsia="宋体" w:cs="Times New Roman"/>
          <w:color w:val="auto"/>
          <w:sz w:val="24"/>
          <w:szCs w:val="24"/>
          <w:highlight w:val="none"/>
          <w:u w:val="none"/>
        </w:rPr>
        <w:t>类建设项目，地下水环境敏感程度为</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不敏感</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，依据表2.6-</w:t>
      </w:r>
      <w:r>
        <w:rPr>
          <w:rFonts w:hint="eastAsia" w:ascii="Times New Roman" w:hAnsi="Times New Roman"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rPr>
        <w:t>，评价等级为</w:t>
      </w:r>
      <w:r>
        <w:rPr>
          <w:rFonts w:hint="eastAsia" w:ascii="Times New Roman" w:hAnsi="Times New Roman" w:eastAsia="宋体" w:cs="Times New Roman"/>
          <w:color w:val="auto"/>
          <w:sz w:val="24"/>
          <w:szCs w:val="24"/>
          <w:highlight w:val="none"/>
          <w:u w:val="none"/>
          <w:lang w:val="en-US" w:eastAsia="zh-CN"/>
        </w:rPr>
        <w:t>三</w:t>
      </w:r>
      <w:r>
        <w:rPr>
          <w:rFonts w:hint="default" w:ascii="Times New Roman" w:hAnsi="Times New Roman" w:eastAsia="宋体" w:cs="Times New Roman"/>
          <w:color w:val="auto"/>
          <w:sz w:val="24"/>
          <w:szCs w:val="24"/>
          <w:highlight w:val="none"/>
          <w:u w:val="none"/>
        </w:rPr>
        <w:t>级</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lang w:val="en-US" w:eastAsia="zh-CN"/>
        </w:rPr>
        <w:t>天然气管线建设</w:t>
      </w:r>
      <w:r>
        <w:rPr>
          <w:rFonts w:hint="default" w:ascii="Times New Roman" w:hAnsi="Times New Roman" w:eastAsia="宋体" w:cs="Times New Roman"/>
          <w:color w:val="auto"/>
          <w:sz w:val="24"/>
          <w:szCs w:val="24"/>
          <w:highlight w:val="none"/>
          <w:u w:val="none"/>
        </w:rPr>
        <w:t>属于</w:t>
      </w:r>
      <w:r>
        <w:rPr>
          <w:rFonts w:hint="eastAsia" w:ascii="Times New Roman" w:hAnsi="Times New Roman" w:eastAsia="宋体" w:cs="Times New Roman"/>
          <w:color w:val="auto"/>
          <w:sz w:val="24"/>
          <w:szCs w:val="24"/>
          <w:highlight w:val="none"/>
          <w:u w:val="none"/>
          <w:lang w:eastAsia="zh-CN"/>
        </w:rPr>
        <w:t>Ⅲ</w:t>
      </w:r>
      <w:r>
        <w:rPr>
          <w:rFonts w:hint="default" w:ascii="Times New Roman" w:hAnsi="Times New Roman" w:eastAsia="宋体" w:cs="Times New Roman"/>
          <w:color w:val="auto"/>
          <w:sz w:val="24"/>
          <w:szCs w:val="24"/>
          <w:highlight w:val="none"/>
          <w:u w:val="none"/>
        </w:rPr>
        <w:t>类建设项目，地下水环境敏感程度为</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不敏感</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，依据表2.</w:t>
      </w:r>
      <w:r>
        <w:rPr>
          <w:rFonts w:hint="eastAsia" w:ascii="Times New Roman" w:hAnsi="Times New Roman"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rPr>
        <w:t>，评价等级为</w:t>
      </w:r>
      <w:r>
        <w:rPr>
          <w:rFonts w:hint="eastAsia" w:ascii="Times New Roman" w:hAnsi="Times New Roman" w:eastAsia="宋体" w:cs="Times New Roman"/>
          <w:color w:val="auto"/>
          <w:sz w:val="24"/>
          <w:szCs w:val="24"/>
          <w:highlight w:val="none"/>
          <w:u w:val="none"/>
          <w:lang w:val="en-US" w:eastAsia="zh-CN"/>
        </w:rPr>
        <w:t>三</w:t>
      </w:r>
      <w:r>
        <w:rPr>
          <w:rFonts w:hint="default" w:ascii="Times New Roman" w:hAnsi="Times New Roman" w:eastAsia="宋体" w:cs="Times New Roman"/>
          <w:color w:val="auto"/>
          <w:sz w:val="24"/>
          <w:szCs w:val="24"/>
          <w:highlight w:val="none"/>
          <w:u w:val="none"/>
        </w:rPr>
        <w:t>级</w:t>
      </w:r>
      <w:r>
        <w:rPr>
          <w:rFonts w:hint="eastAsia" w:ascii="Times New Roman" w:hAnsi="Times New Roman" w:eastAsia="宋体" w:cs="Times New Roman"/>
          <w:color w:val="auto"/>
          <w:sz w:val="24"/>
          <w:szCs w:val="24"/>
          <w:highlight w:val="none"/>
          <w:u w:val="none"/>
          <w:lang w:eastAsia="zh-CN"/>
        </w:rPr>
        <w:t>。</w:t>
      </w:r>
    </w:p>
    <w:p w14:paraId="6DCE90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表2.</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5  </w:t>
      </w:r>
      <w:r>
        <w:rPr>
          <w:rFonts w:hint="default" w:ascii="黑体" w:hAnsi="黑体" w:eastAsia="黑体" w:cs="黑体"/>
          <w:b w:val="0"/>
          <w:bCs/>
          <w:color w:val="auto"/>
          <w:kern w:val="2"/>
          <w:sz w:val="24"/>
          <w:szCs w:val="24"/>
          <w:u w:val="none"/>
          <w:lang w:val="en-US" w:eastAsia="zh-CN" w:bidi="ar-SA"/>
        </w:rPr>
        <w:t>评价区地下水环境影响评价工作等级划分</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1595"/>
        <w:gridCol w:w="2125"/>
        <w:gridCol w:w="2125"/>
      </w:tblGrid>
      <w:tr w14:paraId="77B31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3" w:type="dxa"/>
            <w:tcBorders>
              <w:tl2br w:val="nil"/>
              <w:tr2bl w:val="nil"/>
            </w:tcBorders>
            <w:shd w:val="clear" w:color="auto" w:fill="auto"/>
            <w:noWrap w:val="0"/>
            <w:vAlign w:val="center"/>
          </w:tcPr>
          <w:p w14:paraId="7ECAF746">
            <w:pPr>
              <w:keepNext w:val="0"/>
              <w:keepLines w:val="0"/>
              <w:pageBreakBefore w:val="0"/>
              <w:widowControl w:val="0"/>
              <w:kinsoku/>
              <w:wordWrap/>
              <w:overflowPunct/>
              <w:topLinePunct w:val="0"/>
              <w:autoSpaceDE/>
              <w:autoSpaceDN/>
              <w:bidi w:val="0"/>
              <w:adjustRightInd w:val="0"/>
              <w:snapToGrid/>
              <w:spacing w:line="320" w:lineRule="exact"/>
              <w:ind w:left="-120" w:right="-119" w:firstLine="420" w:firstLineChars="20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项目类别</w:t>
            </w:r>
          </w:p>
          <w:p w14:paraId="6A458FFC">
            <w:pPr>
              <w:keepNext w:val="0"/>
              <w:keepLines w:val="0"/>
              <w:pageBreakBefore w:val="0"/>
              <w:widowControl w:val="0"/>
              <w:kinsoku/>
              <w:wordWrap/>
              <w:overflowPunct/>
              <w:topLinePunct w:val="0"/>
              <w:autoSpaceDE/>
              <w:autoSpaceDN/>
              <w:bidi w:val="0"/>
              <w:adjustRightInd w:val="0"/>
              <w:snapToGrid/>
              <w:spacing w:line="320" w:lineRule="exact"/>
              <w:ind w:right="-119" w:firstLine="0" w:firstLineChars="0"/>
              <w:jc w:val="both"/>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环境敏感程度</w:t>
            </w:r>
          </w:p>
        </w:tc>
        <w:tc>
          <w:tcPr>
            <w:tcW w:w="1595" w:type="dxa"/>
            <w:tcBorders>
              <w:tl2br w:val="nil"/>
              <w:tr2bl w:val="nil"/>
            </w:tcBorders>
            <w:shd w:val="clear" w:color="auto" w:fill="auto"/>
            <w:noWrap w:val="0"/>
            <w:vAlign w:val="center"/>
          </w:tcPr>
          <w:p w14:paraId="7C697E51">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I类项目</w:t>
            </w:r>
          </w:p>
        </w:tc>
        <w:tc>
          <w:tcPr>
            <w:tcW w:w="2125" w:type="dxa"/>
            <w:tcBorders>
              <w:tl2br w:val="nil"/>
              <w:tr2bl w:val="nil"/>
            </w:tcBorders>
            <w:shd w:val="clear" w:color="auto" w:fill="auto"/>
            <w:noWrap w:val="0"/>
            <w:vAlign w:val="center"/>
          </w:tcPr>
          <w:p w14:paraId="39B752EB">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II类项目</w:t>
            </w:r>
          </w:p>
        </w:tc>
        <w:tc>
          <w:tcPr>
            <w:tcW w:w="2125" w:type="dxa"/>
            <w:tcBorders>
              <w:tl2br w:val="nil"/>
              <w:tr2bl w:val="nil"/>
            </w:tcBorders>
            <w:shd w:val="clear" w:color="auto" w:fill="auto"/>
            <w:noWrap w:val="0"/>
            <w:vAlign w:val="center"/>
          </w:tcPr>
          <w:p w14:paraId="2BB33B74">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III类项目</w:t>
            </w:r>
          </w:p>
        </w:tc>
      </w:tr>
      <w:tr w14:paraId="29BB0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3" w:type="dxa"/>
            <w:tcBorders>
              <w:tl2br w:val="nil"/>
              <w:tr2bl w:val="nil"/>
            </w:tcBorders>
            <w:shd w:val="clear" w:color="auto" w:fill="auto"/>
            <w:noWrap w:val="0"/>
            <w:vAlign w:val="center"/>
          </w:tcPr>
          <w:p w14:paraId="00F6C3FD">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敏感</w:t>
            </w:r>
          </w:p>
        </w:tc>
        <w:tc>
          <w:tcPr>
            <w:tcW w:w="1595" w:type="dxa"/>
            <w:tcBorders>
              <w:tl2br w:val="nil"/>
              <w:tr2bl w:val="nil"/>
            </w:tcBorders>
            <w:shd w:val="clear" w:color="auto" w:fill="auto"/>
            <w:noWrap w:val="0"/>
            <w:vAlign w:val="center"/>
          </w:tcPr>
          <w:p w14:paraId="191689F1">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一</w:t>
            </w:r>
          </w:p>
        </w:tc>
        <w:tc>
          <w:tcPr>
            <w:tcW w:w="2125" w:type="dxa"/>
            <w:tcBorders>
              <w:tl2br w:val="nil"/>
              <w:tr2bl w:val="nil"/>
            </w:tcBorders>
            <w:shd w:val="clear" w:color="auto" w:fill="auto"/>
            <w:noWrap w:val="0"/>
            <w:vAlign w:val="center"/>
          </w:tcPr>
          <w:p w14:paraId="3FD1169A">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一</w:t>
            </w:r>
          </w:p>
        </w:tc>
        <w:tc>
          <w:tcPr>
            <w:tcW w:w="2125" w:type="dxa"/>
            <w:tcBorders>
              <w:tl2br w:val="nil"/>
              <w:tr2bl w:val="nil"/>
            </w:tcBorders>
            <w:shd w:val="clear" w:color="auto" w:fill="auto"/>
            <w:noWrap w:val="0"/>
            <w:vAlign w:val="center"/>
          </w:tcPr>
          <w:p w14:paraId="5C712B90">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二</w:t>
            </w:r>
          </w:p>
        </w:tc>
      </w:tr>
      <w:tr w14:paraId="5E7EF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3" w:type="dxa"/>
            <w:tcBorders>
              <w:tl2br w:val="nil"/>
              <w:tr2bl w:val="nil"/>
            </w:tcBorders>
            <w:shd w:val="clear" w:color="auto" w:fill="auto"/>
            <w:noWrap w:val="0"/>
            <w:vAlign w:val="center"/>
          </w:tcPr>
          <w:p w14:paraId="534F6970">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较敏感</w:t>
            </w:r>
          </w:p>
        </w:tc>
        <w:tc>
          <w:tcPr>
            <w:tcW w:w="1595" w:type="dxa"/>
            <w:tcBorders>
              <w:tl2br w:val="nil"/>
              <w:tr2bl w:val="nil"/>
            </w:tcBorders>
            <w:shd w:val="clear" w:color="auto" w:fill="auto"/>
            <w:noWrap w:val="0"/>
            <w:vAlign w:val="center"/>
          </w:tcPr>
          <w:p w14:paraId="290D7943">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一</w:t>
            </w:r>
          </w:p>
        </w:tc>
        <w:tc>
          <w:tcPr>
            <w:tcW w:w="2125" w:type="dxa"/>
            <w:tcBorders>
              <w:tl2br w:val="nil"/>
              <w:tr2bl w:val="nil"/>
            </w:tcBorders>
            <w:shd w:val="clear" w:color="auto" w:fill="auto"/>
            <w:noWrap w:val="0"/>
            <w:vAlign w:val="center"/>
          </w:tcPr>
          <w:p w14:paraId="76C02C2B">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二</w:t>
            </w:r>
          </w:p>
        </w:tc>
        <w:tc>
          <w:tcPr>
            <w:tcW w:w="2125" w:type="dxa"/>
            <w:tcBorders>
              <w:tl2br w:val="nil"/>
              <w:tr2bl w:val="nil"/>
            </w:tcBorders>
            <w:shd w:val="clear" w:color="auto" w:fill="auto"/>
            <w:noWrap w:val="0"/>
            <w:vAlign w:val="center"/>
          </w:tcPr>
          <w:p w14:paraId="177A7ABB">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三</w:t>
            </w:r>
          </w:p>
        </w:tc>
      </w:tr>
      <w:tr w14:paraId="3FBE5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3" w:type="dxa"/>
            <w:tcBorders>
              <w:tl2br w:val="nil"/>
              <w:tr2bl w:val="nil"/>
            </w:tcBorders>
            <w:shd w:val="clear" w:color="auto" w:fill="auto"/>
            <w:noWrap w:val="0"/>
            <w:vAlign w:val="center"/>
          </w:tcPr>
          <w:p w14:paraId="3797295A">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不敏感</w:t>
            </w:r>
          </w:p>
        </w:tc>
        <w:tc>
          <w:tcPr>
            <w:tcW w:w="1595" w:type="dxa"/>
            <w:tcBorders>
              <w:tl2br w:val="nil"/>
              <w:tr2bl w:val="nil"/>
            </w:tcBorders>
            <w:shd w:val="clear" w:color="auto" w:fill="auto"/>
            <w:noWrap w:val="0"/>
            <w:vAlign w:val="center"/>
          </w:tcPr>
          <w:p w14:paraId="7598EC7C">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二</w:t>
            </w:r>
          </w:p>
        </w:tc>
        <w:tc>
          <w:tcPr>
            <w:tcW w:w="2125" w:type="dxa"/>
            <w:tcBorders>
              <w:tl2br w:val="nil"/>
              <w:tr2bl w:val="nil"/>
            </w:tcBorders>
            <w:shd w:val="clear" w:color="auto" w:fill="auto"/>
            <w:noWrap w:val="0"/>
            <w:vAlign w:val="center"/>
          </w:tcPr>
          <w:p w14:paraId="7AFD91B4">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三</w:t>
            </w:r>
          </w:p>
        </w:tc>
        <w:tc>
          <w:tcPr>
            <w:tcW w:w="2125" w:type="dxa"/>
            <w:tcBorders>
              <w:tl2br w:val="nil"/>
              <w:tr2bl w:val="nil"/>
            </w:tcBorders>
            <w:shd w:val="clear" w:color="auto" w:fill="auto"/>
            <w:noWrap w:val="0"/>
            <w:vAlign w:val="center"/>
          </w:tcPr>
          <w:p w14:paraId="38FA30D9">
            <w:pPr>
              <w:keepNext w:val="0"/>
              <w:keepLines w:val="0"/>
              <w:pageBreakBefore w:val="0"/>
              <w:widowControl w:val="0"/>
              <w:kinsoku/>
              <w:wordWrap/>
              <w:overflowPunct/>
              <w:topLinePunct w:val="0"/>
              <w:autoSpaceDE/>
              <w:autoSpaceDN/>
              <w:bidi w:val="0"/>
              <w:adjustRightInd w:val="0"/>
              <w:snapToGrid/>
              <w:spacing w:line="32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三</w:t>
            </w:r>
          </w:p>
        </w:tc>
      </w:tr>
    </w:tbl>
    <w:p w14:paraId="4A48D86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综上，本工程地下水评价等级划分为</w:t>
      </w:r>
      <w:r>
        <w:rPr>
          <w:rFonts w:hint="eastAsia" w:ascii="Times New Roman" w:hAnsi="Times New Roman" w:eastAsia="宋体" w:cs="Times New Roman"/>
          <w:color w:val="auto"/>
          <w:sz w:val="24"/>
          <w:szCs w:val="24"/>
          <w:highlight w:val="none"/>
          <w:u w:val="none"/>
          <w:lang w:val="en-US" w:eastAsia="zh-CN"/>
        </w:rPr>
        <w:t>三</w:t>
      </w:r>
      <w:r>
        <w:rPr>
          <w:rFonts w:hint="default" w:ascii="Times New Roman" w:hAnsi="Times New Roman" w:eastAsia="宋体" w:cs="Times New Roman"/>
          <w:color w:val="auto"/>
          <w:sz w:val="24"/>
          <w:szCs w:val="24"/>
          <w:highlight w:val="none"/>
          <w:u w:val="none"/>
        </w:rPr>
        <w:t>级。</w:t>
      </w:r>
    </w:p>
    <w:p w14:paraId="20D53C7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（4）评价范围</w:t>
      </w:r>
    </w:p>
    <w:p w14:paraId="4C1B3B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按照《环境影响评价技术导则地下水环境》（HJ610-2016）中关于“</w:t>
      </w:r>
      <w:r>
        <w:rPr>
          <w:rFonts w:hint="eastAsia" w:ascii="Times New Roman" w:hAnsi="Times New Roman" w:eastAsia="宋体" w:cs="Times New Roman"/>
          <w:color w:val="auto"/>
          <w:sz w:val="24"/>
          <w:szCs w:val="24"/>
          <w:highlight w:val="none"/>
          <w:u w:val="none"/>
          <w:lang w:val="en-US" w:eastAsia="zh-CN"/>
        </w:rPr>
        <w:t>三</w:t>
      </w:r>
      <w:r>
        <w:rPr>
          <w:rFonts w:hint="default" w:ascii="Times New Roman" w:hAnsi="Times New Roman" w:eastAsia="宋体" w:cs="Times New Roman"/>
          <w:color w:val="auto"/>
          <w:sz w:val="24"/>
          <w:szCs w:val="24"/>
          <w:highlight w:val="none"/>
          <w:u w:val="none"/>
        </w:rPr>
        <w:t>级评价”范围的规定，根据地下水流向为</w:t>
      </w:r>
      <w:r>
        <w:rPr>
          <w:rFonts w:hint="eastAsia" w:ascii="Times New Roman" w:hAnsi="Times New Roman" w:eastAsia="宋体" w:cs="Times New Roman"/>
          <w:color w:val="auto"/>
          <w:sz w:val="24"/>
          <w:szCs w:val="24"/>
          <w:highlight w:val="none"/>
          <w:u w:val="none"/>
          <w:lang w:val="en-US" w:eastAsia="zh-CN"/>
        </w:rPr>
        <w:t>自东北向西南</w:t>
      </w:r>
      <w:r>
        <w:rPr>
          <w:rFonts w:hint="default" w:ascii="Times New Roman" w:hAnsi="Times New Roman" w:eastAsia="宋体" w:cs="Times New Roman"/>
          <w:color w:val="auto"/>
          <w:sz w:val="24"/>
          <w:szCs w:val="24"/>
          <w:highlight w:val="none"/>
          <w:u w:val="none"/>
        </w:rPr>
        <w:t>，选取</w:t>
      </w:r>
      <w:r>
        <w:rPr>
          <w:rFonts w:hint="eastAsia" w:ascii="Times New Roman" w:hAnsi="Times New Roman" w:eastAsia="宋体" w:cs="Times New Roman"/>
          <w:color w:val="auto"/>
          <w:sz w:val="24"/>
          <w:szCs w:val="24"/>
          <w:highlight w:val="none"/>
          <w:u w:val="none"/>
          <w:lang w:val="en-US" w:eastAsia="zh-CN"/>
        </w:rPr>
        <w:t>项目区</w:t>
      </w:r>
      <w:r>
        <w:rPr>
          <w:rFonts w:hint="default" w:ascii="Times New Roman" w:hAnsi="Times New Roman" w:eastAsia="宋体" w:cs="Times New Roman"/>
          <w:color w:val="auto"/>
          <w:sz w:val="24"/>
          <w:szCs w:val="24"/>
          <w:highlight w:val="none"/>
          <w:u w:val="none"/>
        </w:rPr>
        <w:t>下游2km，两侧1km，上游1km为评价范围。集输管线地下水评价范围为管线两侧200m。</w:t>
      </w:r>
    </w:p>
    <w:p w14:paraId="29AC5DB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kern w:val="0"/>
          <w:sz w:val="24"/>
          <w:szCs w:val="24"/>
          <w:highlight w:val="none"/>
          <w:u w:val="none"/>
        </w:rPr>
      </w:pPr>
      <w:r>
        <w:rPr>
          <w:rFonts w:hint="eastAsia" w:ascii="Times New Roman" w:hAnsi="Times New Roman" w:eastAsia="宋体" w:cs="Times New Roman"/>
          <w:color w:val="auto"/>
          <w:sz w:val="24"/>
          <w:szCs w:val="24"/>
          <w:highlight w:val="none"/>
          <w:u w:val="none"/>
          <w:lang w:val="en-US" w:eastAsia="zh-CN"/>
        </w:rPr>
        <w:t>地下水</w:t>
      </w:r>
      <w:r>
        <w:rPr>
          <w:rFonts w:hint="default" w:ascii="Times New Roman" w:hAnsi="Times New Roman" w:eastAsia="宋体" w:cs="Times New Roman"/>
          <w:color w:val="auto"/>
          <w:sz w:val="24"/>
          <w:szCs w:val="24"/>
          <w:highlight w:val="none"/>
          <w:u w:val="none"/>
        </w:rPr>
        <w:t>评价范围</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见图2.</w:t>
      </w:r>
      <w:r>
        <w:rPr>
          <w:rFonts w:hint="eastAsia" w:ascii="Times New Roman" w:hAnsi="Times New Roman"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rPr>
        <w:t>-1。</w:t>
      </w:r>
    </w:p>
    <w:p w14:paraId="5CA53E0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地表水</w:t>
      </w:r>
    </w:p>
    <w:p w14:paraId="728AE8A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按照《环境影响评价技术导则—地表水环境》（HJ2.3-2018），项目属于水污染影响型建设项目。在油</w:t>
      </w:r>
      <w:r>
        <w:rPr>
          <w:rFonts w:hint="eastAsia" w:ascii="Times New Roman" w:hAnsi="Times New Roman" w:eastAsia="宋体" w:cs="Times New Roman"/>
          <w:color w:val="auto"/>
          <w:sz w:val="24"/>
          <w:szCs w:val="24"/>
          <w:highlight w:val="none"/>
          <w:u w:val="none"/>
          <w:lang w:val="en-US" w:eastAsia="zh-CN"/>
        </w:rPr>
        <w:t>气</w:t>
      </w:r>
      <w:r>
        <w:rPr>
          <w:rFonts w:hint="default" w:ascii="Times New Roman" w:hAnsi="Times New Roman" w:eastAsia="宋体" w:cs="Times New Roman"/>
          <w:color w:val="auto"/>
          <w:sz w:val="24"/>
          <w:szCs w:val="24"/>
          <w:highlight w:val="none"/>
          <w:u w:val="none"/>
        </w:rPr>
        <w:t>田正常开采过程中，项目产生的含油污水、井下作业洗井废水不外排，项目区周边无天然地表水体，项目地表水环境影响评价等级为三级B。</w:t>
      </w:r>
    </w:p>
    <w:p w14:paraId="2942097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Times New Roman" w:hAnsi="Times New Roman" w:eastAsia="宋体" w:cs="Times New Roman"/>
          <w:color w:val="auto"/>
          <w:sz w:val="24"/>
          <w:szCs w:val="24"/>
          <w:highlight w:val="none"/>
          <w:u w:val="none"/>
          <w:lang w:val="zh-CN" w:eastAsia="zh-CN"/>
        </w:rPr>
        <w:t>项目运营阶段正常情况无废水排放，本次地表水环境影响评价重点论证项目废水综合利用不外排的可行性和可靠性</w:t>
      </w:r>
      <w:r>
        <w:rPr>
          <w:rFonts w:hint="eastAsia" w:ascii="Times New Roman" w:hAnsi="Times New Roman" w:eastAsia="宋体" w:cs="Times New Roman"/>
          <w:color w:val="auto"/>
          <w:sz w:val="24"/>
          <w:szCs w:val="24"/>
          <w:highlight w:val="none"/>
          <w:u w:val="none"/>
          <w:lang w:val="en-US" w:eastAsia="zh-CN"/>
        </w:rPr>
        <w:t>。</w:t>
      </w:r>
    </w:p>
    <w:bookmarkEnd w:id="124"/>
    <w:bookmarkEnd w:id="125"/>
    <w:p w14:paraId="0836A33C">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126" w:name="_Toc17368"/>
      <w:bookmarkStart w:id="127" w:name="_Toc115978779"/>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4 </w:t>
      </w:r>
      <w:r>
        <w:rPr>
          <w:rFonts w:hint="default" w:ascii="黑体" w:hAnsi="黑体" w:eastAsia="黑体" w:cs="黑体"/>
          <w:b/>
          <w:color w:val="auto"/>
          <w:kern w:val="0"/>
          <w:sz w:val="24"/>
          <w:szCs w:val="24"/>
          <w:highlight w:val="none"/>
          <w:u w:val="none"/>
          <w:lang w:val="en-US" w:eastAsia="zh-CN"/>
        </w:rPr>
        <w:t>环境风险</w:t>
      </w:r>
    </w:p>
    <w:p w14:paraId="4F876709">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根据《建设项目环境风险评价技术导则》（HJ169-2018）附录B，本工程涉及的风险物质为</w:t>
      </w:r>
      <w:r>
        <w:rPr>
          <w:rFonts w:hint="eastAsia" w:cs="Times New Roman"/>
          <w:color w:val="auto"/>
          <w:sz w:val="24"/>
          <w:szCs w:val="24"/>
          <w:highlight w:val="none"/>
          <w:u w:val="none"/>
          <w:lang w:val="en-US" w:eastAsia="zh-CN"/>
        </w:rPr>
        <w:t>凝析油</w:t>
      </w:r>
      <w:r>
        <w:rPr>
          <w:rFonts w:hint="default" w:ascii="Times New Roman" w:hAnsi="Times New Roman" w:eastAsia="宋体" w:cs="Times New Roman"/>
          <w:color w:val="auto"/>
          <w:sz w:val="24"/>
          <w:szCs w:val="24"/>
          <w:highlight w:val="none"/>
          <w:u w:val="none"/>
        </w:rPr>
        <w:t>、天然气（甲烷），分别属于《建设项目环境风险评价技术导则》（HJ169－2018）附录B中的油类物质（矿物油类，如石油、汽油、柴油等，生物柴油等），临界量2500t；天然气（甲烷）临界量10t。根据《建设项目环境风险评价技术导则》（HJ169-2018），危险单元的定义为由一个或多个风险源构成的具有相对独立功能的单元，事故状况下应可实现与其他功能单元的分割。则本工程运营期风险单元为新建的集输管线。</w:t>
      </w:r>
    </w:p>
    <w:p w14:paraId="22A1F716">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根据HJ169-2018附录C，按下式计算本工程涉及的危险物质总量与其临界量比值（Q）：</w:t>
      </w:r>
    </w:p>
    <w:p w14:paraId="1DE318D8">
      <w:pPr>
        <w:keepNext w:val="0"/>
        <w:keepLines w:val="0"/>
        <w:pageBreakBefore w:val="0"/>
        <w:kinsoku/>
        <w:wordWrap/>
        <w:overflowPunct/>
        <w:topLinePunct w:val="0"/>
        <w:autoSpaceDE/>
        <w:autoSpaceDN/>
        <w:bidi w:val="0"/>
        <w:spacing w:line="480" w:lineRule="exact"/>
        <w:ind w:firstLine="42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highlight w:val="none"/>
          <w:u w:val="none"/>
        </w:rPr>
        <w:drawing>
          <wp:anchor distT="0" distB="0" distL="114300" distR="114300" simplePos="0" relativeHeight="251697152" behindDoc="0" locked="0" layoutInCell="1" allowOverlap="1">
            <wp:simplePos x="0" y="0"/>
            <wp:positionH relativeFrom="column">
              <wp:posOffset>1920875</wp:posOffset>
            </wp:positionH>
            <wp:positionV relativeFrom="paragraph">
              <wp:posOffset>45720</wp:posOffset>
            </wp:positionV>
            <wp:extent cx="1725930" cy="455930"/>
            <wp:effectExtent l="0" t="0" r="7620" b="1270"/>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7"/>
                    <a:stretch>
                      <a:fillRect/>
                    </a:stretch>
                  </pic:blipFill>
                  <pic:spPr>
                    <a:xfrm>
                      <a:off x="0" y="0"/>
                      <a:ext cx="1725930" cy="455930"/>
                    </a:xfrm>
                    <a:prstGeom prst="rect">
                      <a:avLst/>
                    </a:prstGeom>
                    <a:noFill/>
                    <a:ln>
                      <a:noFill/>
                    </a:ln>
                  </pic:spPr>
                </pic:pic>
              </a:graphicData>
            </a:graphic>
          </wp:anchor>
        </w:drawing>
      </w:r>
      <w:r>
        <w:rPr>
          <w:rFonts w:hint="default" w:ascii="Times New Roman" w:hAnsi="Times New Roman" w:eastAsia="宋体" w:cs="Times New Roman"/>
          <w:color w:val="auto"/>
          <w:sz w:val="24"/>
          <w:szCs w:val="24"/>
          <w:highlight w:val="none"/>
          <w:u w:val="none"/>
        </w:rPr>
        <w:t>根据《建设项目环境风险评价技术导则》（HJ169-2018）中的判定方法，当存在多种危险物质时，按照下式计算物质总量与其临界量比值（Q）：</w:t>
      </w:r>
    </w:p>
    <w:p w14:paraId="22C28108">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式中：q</w:t>
      </w:r>
      <w:r>
        <w:rPr>
          <w:rFonts w:hint="default" w:ascii="Times New Roman" w:hAnsi="Times New Roman" w:eastAsia="宋体" w:cs="Times New Roman"/>
          <w:color w:val="auto"/>
          <w:sz w:val="24"/>
          <w:szCs w:val="24"/>
          <w:highlight w:val="none"/>
          <w:u w:val="none"/>
          <w:vertAlign w:val="subscript"/>
        </w:rPr>
        <w:t>1</w:t>
      </w:r>
      <w:r>
        <w:rPr>
          <w:rFonts w:hint="default" w:ascii="Times New Roman" w:hAnsi="Times New Roman" w:eastAsia="宋体" w:cs="Times New Roman"/>
          <w:color w:val="auto"/>
          <w:sz w:val="24"/>
          <w:szCs w:val="24"/>
          <w:highlight w:val="none"/>
          <w:u w:val="none"/>
        </w:rPr>
        <w:t>，q</w:t>
      </w:r>
      <w:r>
        <w:rPr>
          <w:rFonts w:hint="default" w:ascii="Times New Roman" w:hAnsi="Times New Roman" w:eastAsia="宋体" w:cs="Times New Roman"/>
          <w:color w:val="auto"/>
          <w:sz w:val="24"/>
          <w:szCs w:val="24"/>
          <w:highlight w:val="none"/>
          <w:u w:val="none"/>
          <w:vertAlign w:val="subscript"/>
        </w:rPr>
        <w:t>2</w:t>
      </w:r>
      <w:r>
        <w:rPr>
          <w:rFonts w:hint="default" w:ascii="Times New Roman" w:hAnsi="Times New Roman" w:eastAsia="宋体" w:cs="Times New Roman"/>
          <w:color w:val="auto"/>
          <w:sz w:val="24"/>
          <w:szCs w:val="24"/>
          <w:highlight w:val="none"/>
          <w:u w:val="none"/>
        </w:rPr>
        <w:t>，···，q</w:t>
      </w:r>
      <w:r>
        <w:rPr>
          <w:rFonts w:hint="default" w:ascii="Times New Roman" w:hAnsi="Times New Roman" w:eastAsia="宋体" w:cs="Times New Roman"/>
          <w:color w:val="auto"/>
          <w:sz w:val="24"/>
          <w:szCs w:val="24"/>
          <w:highlight w:val="none"/>
          <w:u w:val="none"/>
          <w:vertAlign w:val="subscript"/>
        </w:rPr>
        <w:t>n</w:t>
      </w:r>
      <w:r>
        <w:rPr>
          <w:rFonts w:hint="default" w:ascii="Times New Roman" w:hAnsi="Times New Roman" w:eastAsia="宋体" w:cs="Times New Roman"/>
          <w:color w:val="auto"/>
          <w:sz w:val="24"/>
          <w:szCs w:val="24"/>
          <w:highlight w:val="none"/>
          <w:u w:val="none"/>
        </w:rPr>
        <w:t>--每种危险物质的最大存在总量，t；</w:t>
      </w:r>
    </w:p>
    <w:p w14:paraId="04F409AC">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Q</w:t>
      </w:r>
      <w:r>
        <w:rPr>
          <w:rFonts w:hint="default" w:ascii="Times New Roman" w:hAnsi="Times New Roman" w:eastAsia="宋体" w:cs="Times New Roman"/>
          <w:color w:val="auto"/>
          <w:sz w:val="24"/>
          <w:szCs w:val="24"/>
          <w:highlight w:val="none"/>
          <w:u w:val="none"/>
          <w:vertAlign w:val="subscript"/>
        </w:rPr>
        <w:t>1</w:t>
      </w:r>
      <w:r>
        <w:rPr>
          <w:rFonts w:hint="default" w:ascii="Times New Roman" w:hAnsi="Times New Roman" w:eastAsia="宋体" w:cs="Times New Roman"/>
          <w:color w:val="auto"/>
          <w:sz w:val="24"/>
          <w:szCs w:val="24"/>
          <w:highlight w:val="none"/>
          <w:u w:val="none"/>
        </w:rPr>
        <w:t>，Q</w:t>
      </w:r>
      <w:r>
        <w:rPr>
          <w:rFonts w:hint="default" w:ascii="Times New Roman" w:hAnsi="Times New Roman" w:eastAsia="宋体" w:cs="Times New Roman"/>
          <w:color w:val="auto"/>
          <w:sz w:val="24"/>
          <w:szCs w:val="24"/>
          <w:highlight w:val="none"/>
          <w:u w:val="none"/>
          <w:vertAlign w:val="subscript"/>
        </w:rPr>
        <w:t>2</w:t>
      </w:r>
      <w:r>
        <w:rPr>
          <w:rFonts w:hint="default" w:ascii="Times New Roman" w:hAnsi="Times New Roman" w:eastAsia="宋体" w:cs="Times New Roman"/>
          <w:color w:val="auto"/>
          <w:sz w:val="24"/>
          <w:szCs w:val="24"/>
          <w:highlight w:val="none"/>
          <w:u w:val="none"/>
        </w:rPr>
        <w:t>，···，Qn--每种危险物质的临界量，t；</w:t>
      </w:r>
    </w:p>
    <w:p w14:paraId="24184F5B">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当Q&lt;1时，该项目环境风险潜势为I；</w:t>
      </w:r>
    </w:p>
    <w:p w14:paraId="7FEE3FF1">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当Q≥1时，将Q值划分为：（1）1≤Q&lt;10；（2）10≤Q&lt;100；（3）Q≥100。</w:t>
      </w:r>
    </w:p>
    <w:p w14:paraId="3CCC7EF5">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lang w:val="en-US" w:eastAsia="zh-CN"/>
        </w:rPr>
        <w:t>本</w:t>
      </w:r>
      <w:r>
        <w:rPr>
          <w:rFonts w:hint="eastAsia" w:cs="Times New Roman"/>
          <w:color w:val="auto"/>
          <w:kern w:val="0"/>
          <w:sz w:val="24"/>
          <w:szCs w:val="24"/>
          <w:highlight w:val="none"/>
          <w:u w:val="none"/>
          <w:lang w:val="en-US" w:eastAsia="zh-CN"/>
        </w:rPr>
        <w:t>项目</w:t>
      </w:r>
      <w:r>
        <w:rPr>
          <w:rFonts w:hint="default" w:ascii="Times New Roman" w:hAnsi="Times New Roman" w:eastAsia="宋体" w:cs="Times New Roman"/>
          <w:color w:val="auto"/>
          <w:kern w:val="0"/>
          <w:sz w:val="24"/>
          <w:szCs w:val="24"/>
          <w:highlight w:val="none"/>
          <w:u w:val="none"/>
          <w:lang w:val="en-US" w:eastAsia="zh-CN"/>
        </w:rPr>
        <w:t>新建单井采气管线7.4km</w:t>
      </w:r>
      <w:r>
        <w:rPr>
          <w:rFonts w:hint="eastAsia" w:ascii="Times New Roman" w:hAnsi="Times New Roman" w:eastAsia="宋体" w:cs="Times New Roman"/>
          <w:color w:val="auto"/>
          <w:kern w:val="0"/>
          <w:sz w:val="24"/>
          <w:szCs w:val="24"/>
          <w:highlight w:val="none"/>
          <w:u w:val="none"/>
          <w:lang w:eastAsia="zh-CN"/>
        </w:rPr>
        <w:t>（D60×5 20G号无缝钢管）</w:t>
      </w:r>
      <w:r>
        <w:rPr>
          <w:rFonts w:hint="default" w:ascii="Times New Roman" w:hAnsi="Times New Roman" w:eastAsia="宋体" w:cs="Times New Roman"/>
          <w:color w:val="auto"/>
          <w:kern w:val="0"/>
          <w:sz w:val="24"/>
          <w:szCs w:val="24"/>
          <w:highlight w:val="none"/>
          <w:u w:val="none"/>
        </w:rPr>
        <w:t>，</w:t>
      </w:r>
      <w:r>
        <w:rPr>
          <w:rFonts w:hint="eastAsia" w:ascii="Times New Roman" w:hAnsi="Times New Roman" w:eastAsia="宋体" w:cs="Times New Roman"/>
          <w:color w:val="auto"/>
          <w:kern w:val="0"/>
          <w:sz w:val="24"/>
          <w:szCs w:val="24"/>
          <w:highlight w:val="none"/>
          <w:u w:val="none"/>
          <w:lang w:val="en-US" w:eastAsia="zh-CN"/>
        </w:rPr>
        <w:t>其中MBHW6008井采气管道4.0km，MBHW6006井采气管道1.5km，MBHW6009井采气管道1.9km，设计</w:t>
      </w:r>
      <w:r>
        <w:rPr>
          <w:rFonts w:hint="eastAsia" w:ascii="Times New Roman" w:hAnsi="Times New Roman" w:eastAsia="宋体" w:cs="Times New Roman"/>
          <w:color w:val="auto"/>
          <w:kern w:val="0"/>
          <w:sz w:val="24"/>
          <w:szCs w:val="24"/>
          <w:highlight w:val="none"/>
          <w:u w:val="none"/>
          <w:lang w:eastAsia="zh-CN"/>
        </w:rPr>
        <w:t>运行压力</w:t>
      </w:r>
      <w:r>
        <w:rPr>
          <w:rFonts w:hint="eastAsia" w:ascii="Times New Roman" w:hAnsi="Times New Roman" w:eastAsia="宋体" w:cs="Times New Roman"/>
          <w:color w:val="auto"/>
          <w:kern w:val="0"/>
          <w:sz w:val="24"/>
          <w:szCs w:val="24"/>
          <w:highlight w:val="none"/>
          <w:u w:val="none"/>
          <w:lang w:val="en-US" w:eastAsia="zh-CN"/>
        </w:rPr>
        <w:t>10</w:t>
      </w:r>
      <w:r>
        <w:rPr>
          <w:rFonts w:hint="eastAsia" w:ascii="Times New Roman" w:hAnsi="Times New Roman" w:eastAsia="宋体" w:cs="Times New Roman"/>
          <w:color w:val="auto"/>
          <w:kern w:val="0"/>
          <w:sz w:val="24"/>
          <w:szCs w:val="24"/>
          <w:highlight w:val="none"/>
          <w:u w:val="none"/>
          <w:lang w:eastAsia="zh-CN"/>
        </w:rPr>
        <w:t>Mpa</w:t>
      </w:r>
      <w:r>
        <w:rPr>
          <w:rFonts w:hint="default" w:ascii="Times New Roman" w:hAnsi="Times New Roman" w:eastAsia="宋体" w:cs="Times New Roman"/>
          <w:color w:val="auto"/>
          <w:kern w:val="0"/>
          <w:sz w:val="24"/>
          <w:szCs w:val="24"/>
          <w:highlight w:val="none"/>
          <w:u w:val="none"/>
        </w:rPr>
        <w:t>。</w:t>
      </w:r>
      <w:r>
        <w:rPr>
          <w:rFonts w:hint="eastAsia" w:ascii="Times New Roman" w:hAnsi="Times New Roman" w:eastAsia="宋体" w:cs="Times New Roman"/>
          <w:color w:val="auto"/>
          <w:kern w:val="0"/>
          <w:sz w:val="24"/>
          <w:szCs w:val="24"/>
          <w:highlight w:val="none"/>
          <w:u w:val="none"/>
          <w:lang w:val="en-US" w:eastAsia="zh-CN"/>
        </w:rPr>
        <w:t>井场、管线</w:t>
      </w:r>
      <w:r>
        <w:rPr>
          <w:rFonts w:hint="default" w:ascii="Times New Roman" w:hAnsi="Times New Roman" w:eastAsia="宋体" w:cs="Times New Roman"/>
          <w:color w:val="auto"/>
          <w:kern w:val="0"/>
          <w:sz w:val="24"/>
          <w:szCs w:val="24"/>
          <w:highlight w:val="none"/>
          <w:u w:val="none"/>
        </w:rPr>
        <w:t>均</w:t>
      </w:r>
      <w:r>
        <w:rPr>
          <w:rFonts w:hint="eastAsia" w:ascii="Times New Roman" w:hAnsi="Times New Roman" w:eastAsia="宋体" w:cs="Times New Roman"/>
          <w:color w:val="auto"/>
          <w:kern w:val="0"/>
          <w:sz w:val="24"/>
          <w:szCs w:val="24"/>
          <w:highlight w:val="none"/>
          <w:u w:val="none"/>
          <w:lang w:val="en-US" w:eastAsia="zh-CN"/>
        </w:rPr>
        <w:t>设置</w:t>
      </w:r>
      <w:r>
        <w:rPr>
          <w:rFonts w:hint="default" w:ascii="Times New Roman" w:hAnsi="Times New Roman" w:eastAsia="宋体" w:cs="Times New Roman"/>
          <w:color w:val="auto"/>
          <w:kern w:val="0"/>
          <w:sz w:val="24"/>
          <w:szCs w:val="24"/>
          <w:highlight w:val="none"/>
          <w:u w:val="none"/>
        </w:rPr>
        <w:t>有控制（截断）阀，发生</w:t>
      </w:r>
      <w:r>
        <w:rPr>
          <w:rFonts w:hint="eastAsia" w:ascii="Times New Roman" w:hAnsi="Times New Roman" w:eastAsia="宋体" w:cs="Times New Roman"/>
          <w:color w:val="auto"/>
          <w:kern w:val="0"/>
          <w:sz w:val="24"/>
          <w:szCs w:val="24"/>
          <w:highlight w:val="none"/>
          <w:u w:val="none"/>
          <w:lang w:eastAsia="zh-CN"/>
        </w:rPr>
        <w:t>泄漏</w:t>
      </w:r>
      <w:r>
        <w:rPr>
          <w:rFonts w:hint="default" w:ascii="Times New Roman" w:hAnsi="Times New Roman" w:eastAsia="宋体" w:cs="Times New Roman"/>
          <w:color w:val="auto"/>
          <w:kern w:val="0"/>
          <w:sz w:val="24"/>
          <w:szCs w:val="24"/>
          <w:highlight w:val="none"/>
          <w:u w:val="none"/>
        </w:rPr>
        <w:t>时，可通过控制（截断）阀进行紧急切断。</w:t>
      </w:r>
    </w:p>
    <w:p w14:paraId="590B194F">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rPr>
        <w:t>根据附录C中表C.1</w:t>
      </w:r>
      <w:r>
        <w:rPr>
          <w:rFonts w:hint="eastAsia" w:cs="Times New Roman"/>
          <w:color w:val="auto"/>
          <w:kern w:val="0"/>
          <w:sz w:val="24"/>
          <w:szCs w:val="24"/>
          <w:highlight w:val="none"/>
          <w:u w:val="none"/>
          <w:lang w:val="en-US" w:eastAsia="zh-CN"/>
        </w:rPr>
        <w:t>.1</w:t>
      </w:r>
      <w:r>
        <w:rPr>
          <w:rFonts w:hint="default" w:ascii="Times New Roman" w:hAnsi="Times New Roman" w:eastAsia="宋体" w:cs="Times New Roman"/>
          <w:color w:val="auto"/>
          <w:kern w:val="0"/>
          <w:sz w:val="24"/>
          <w:szCs w:val="24"/>
          <w:highlight w:val="none"/>
          <w:u w:val="none"/>
        </w:rPr>
        <w:t>要求，</w:t>
      </w:r>
      <w:r>
        <w:rPr>
          <w:rFonts w:hint="eastAsia" w:cs="Times New Roman"/>
          <w:color w:val="auto"/>
          <w:kern w:val="0"/>
          <w:sz w:val="24"/>
          <w:szCs w:val="24"/>
          <w:highlight w:val="none"/>
          <w:u w:val="none"/>
          <w:lang w:val="en-US" w:eastAsia="zh-CN"/>
        </w:rPr>
        <w:t>对于长输管线项目，按照两个截断阀室之间管段危险废物最大存在总量计算</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本项目</w:t>
      </w:r>
      <w:r>
        <w:rPr>
          <w:rFonts w:hint="eastAsia" w:ascii="Times New Roman" w:hAnsi="Times New Roman" w:eastAsia="宋体" w:cs="Times New Roman"/>
          <w:color w:val="auto"/>
          <w:kern w:val="0"/>
          <w:sz w:val="24"/>
          <w:szCs w:val="24"/>
          <w:highlight w:val="none"/>
          <w:u w:val="none"/>
          <w:lang w:val="en-US" w:eastAsia="zh-CN"/>
        </w:rPr>
        <w:t>凝析油</w:t>
      </w:r>
      <w:r>
        <w:rPr>
          <w:rFonts w:hint="default" w:ascii="Times New Roman" w:hAnsi="Times New Roman" w:eastAsia="宋体" w:cs="Times New Roman"/>
          <w:color w:val="auto"/>
          <w:kern w:val="0"/>
          <w:sz w:val="24"/>
          <w:szCs w:val="24"/>
          <w:highlight w:val="none"/>
          <w:u w:val="none"/>
        </w:rPr>
        <w:t>密度按照</w:t>
      </w:r>
      <w:r>
        <w:rPr>
          <w:rFonts w:hint="eastAsia" w:ascii="Times New Roman" w:hAnsi="Times New Roman" w:eastAsia="宋体" w:cs="Times New Roman"/>
          <w:color w:val="auto"/>
          <w:kern w:val="0"/>
          <w:sz w:val="24"/>
          <w:szCs w:val="24"/>
          <w:highlight w:val="none"/>
          <w:u w:val="none"/>
          <w:lang w:val="en-US" w:eastAsia="zh-CN"/>
        </w:rPr>
        <w:t>0.81</w:t>
      </w:r>
      <w:r>
        <w:rPr>
          <w:rFonts w:hint="default" w:ascii="Times New Roman" w:hAnsi="Times New Roman" w:eastAsia="宋体" w:cs="Times New Roman"/>
          <w:color w:val="auto"/>
          <w:kern w:val="0"/>
          <w:sz w:val="24"/>
          <w:szCs w:val="24"/>
          <w:highlight w:val="none"/>
          <w:u w:val="none"/>
        </w:rPr>
        <w:t>t/m³</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管道容量按照80%，</w:t>
      </w:r>
      <w:r>
        <w:rPr>
          <w:rFonts w:hint="default" w:ascii="Times New Roman" w:hAnsi="Times New Roman" w:eastAsia="宋体" w:cs="Times New Roman"/>
          <w:color w:val="auto"/>
          <w:kern w:val="0"/>
          <w:sz w:val="24"/>
          <w:szCs w:val="24"/>
          <w:highlight w:val="none"/>
          <w:u w:val="none"/>
        </w:rPr>
        <w:t>天然气相对密度</w:t>
      </w:r>
      <w:r>
        <w:rPr>
          <w:rFonts w:hint="eastAsia" w:ascii="Times New Roman" w:hAnsi="Times New Roman" w:eastAsia="宋体" w:cs="Times New Roman"/>
          <w:color w:val="auto"/>
          <w:kern w:val="0"/>
          <w:sz w:val="24"/>
          <w:szCs w:val="24"/>
          <w:highlight w:val="none"/>
          <w:u w:val="none"/>
          <w:lang w:val="en-US" w:eastAsia="zh-CN"/>
        </w:rPr>
        <w:t>按照0.67（0.87</w:t>
      </w:r>
      <w:r>
        <w:rPr>
          <w:rFonts w:hint="default" w:ascii="Times New Roman" w:hAnsi="Times New Roman" w:eastAsia="宋体" w:cs="Times New Roman"/>
          <w:color w:val="auto"/>
          <w:kern w:val="0"/>
          <w:sz w:val="24"/>
          <w:szCs w:val="24"/>
          <w:highlight w:val="none"/>
          <w:u w:val="none"/>
        </w:rPr>
        <w:t>kg/m³</w:t>
      </w:r>
      <w:r>
        <w:rPr>
          <w:rFonts w:hint="eastAsia" w:ascii="Times New Roman" w:hAnsi="Times New Roman" w:eastAsia="宋体" w:cs="Times New Roman"/>
          <w:color w:val="auto"/>
          <w:kern w:val="0"/>
          <w:sz w:val="24"/>
          <w:szCs w:val="24"/>
          <w:highlight w:val="none"/>
          <w:u w:val="none"/>
          <w:lang w:val="en-US" w:eastAsia="zh-CN"/>
        </w:rPr>
        <w:t>）计算</w:t>
      </w:r>
      <w:r>
        <w:rPr>
          <w:rFonts w:hint="eastAsia" w:cs="Times New Roman"/>
          <w:color w:val="auto"/>
          <w:kern w:val="0"/>
          <w:sz w:val="24"/>
          <w:szCs w:val="24"/>
          <w:highlight w:val="none"/>
          <w:u w:val="none"/>
          <w:lang w:val="en-US" w:eastAsia="zh-CN"/>
        </w:rPr>
        <w:t>。</w:t>
      </w:r>
    </w:p>
    <w:p w14:paraId="6892D0A1">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根据克拉伯龙方程，计算管道带压运行状态下的气体质量：</w:t>
      </w:r>
    </w:p>
    <w:p w14:paraId="5F6D6BA7">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pV=nRT</w:t>
      </w:r>
    </w:p>
    <w:p w14:paraId="0DC14192">
      <w:pPr>
        <w:keepNext w:val="0"/>
        <w:keepLines w:val="0"/>
        <w:pageBreakBefore w:val="0"/>
        <w:widowControl/>
        <w:shd w:val="clear" w:color="auto" w:fill="auto"/>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p：气体压强，标况压强0.101325M</w:t>
      </w:r>
      <w:r>
        <w:rPr>
          <w:rFonts w:hint="eastAsia" w:cs="Times New Roman"/>
          <w:color w:val="auto"/>
          <w:kern w:val="0"/>
          <w:sz w:val="24"/>
          <w:szCs w:val="24"/>
          <w:highlight w:val="none"/>
          <w:u w:val="none"/>
          <w:lang w:val="en-US" w:eastAsia="zh-CN"/>
        </w:rPr>
        <w:t>P</w:t>
      </w:r>
      <w:r>
        <w:rPr>
          <w:rFonts w:hint="default" w:ascii="Times New Roman" w:hAnsi="Times New Roman" w:eastAsia="宋体" w:cs="Times New Roman"/>
          <w:color w:val="auto"/>
          <w:kern w:val="0"/>
          <w:sz w:val="24"/>
          <w:szCs w:val="24"/>
          <w:highlight w:val="none"/>
          <w:u w:val="none"/>
        </w:rPr>
        <w:t>a，管线压力</w:t>
      </w:r>
      <w:r>
        <w:rPr>
          <w:rFonts w:hint="eastAsia" w:cs="Times New Roman"/>
          <w:color w:val="auto"/>
          <w:kern w:val="0"/>
          <w:sz w:val="24"/>
          <w:szCs w:val="24"/>
          <w:highlight w:val="none"/>
          <w:u w:val="none"/>
          <w:lang w:val="en-US" w:eastAsia="zh-CN"/>
        </w:rPr>
        <w:t>2.13</w:t>
      </w:r>
      <w:r>
        <w:rPr>
          <w:rFonts w:hint="default" w:ascii="Times New Roman" w:hAnsi="Times New Roman" w:eastAsia="宋体" w:cs="Times New Roman"/>
          <w:color w:val="auto"/>
          <w:kern w:val="0"/>
          <w:sz w:val="24"/>
          <w:szCs w:val="24"/>
          <w:highlight w:val="none"/>
          <w:u w:val="none"/>
        </w:rPr>
        <w:t>M</w:t>
      </w:r>
      <w:r>
        <w:rPr>
          <w:rFonts w:hint="eastAsia" w:cs="Times New Roman"/>
          <w:color w:val="auto"/>
          <w:kern w:val="0"/>
          <w:sz w:val="24"/>
          <w:szCs w:val="24"/>
          <w:highlight w:val="none"/>
          <w:u w:val="none"/>
          <w:lang w:val="en-US" w:eastAsia="zh-CN"/>
        </w:rPr>
        <w:t>P</w:t>
      </w:r>
      <w:r>
        <w:rPr>
          <w:rFonts w:hint="default" w:ascii="Times New Roman" w:hAnsi="Times New Roman" w:eastAsia="宋体" w:cs="Times New Roman"/>
          <w:color w:val="auto"/>
          <w:kern w:val="0"/>
          <w:sz w:val="24"/>
          <w:szCs w:val="24"/>
          <w:highlight w:val="none"/>
          <w:u w:val="none"/>
        </w:rPr>
        <w:t>a；</w:t>
      </w:r>
    </w:p>
    <w:p w14:paraId="49789D03">
      <w:pPr>
        <w:keepNext w:val="0"/>
        <w:keepLines w:val="0"/>
        <w:pageBreakBefore w:val="0"/>
        <w:widowControl/>
        <w:shd w:val="clear" w:color="auto" w:fill="auto"/>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V：气体体积，管道体积；</w:t>
      </w:r>
    </w:p>
    <w:p w14:paraId="6BF1BFA5">
      <w:pPr>
        <w:keepNext w:val="0"/>
        <w:keepLines w:val="0"/>
        <w:pageBreakBefore w:val="0"/>
        <w:widowControl/>
        <w:shd w:val="clear" w:color="auto" w:fill="auto"/>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n：气体的物质的量，单位mol；</w:t>
      </w:r>
    </w:p>
    <w:p w14:paraId="752EDE70">
      <w:pPr>
        <w:keepNext w:val="0"/>
        <w:keepLines w:val="0"/>
        <w:pageBreakBefore w:val="0"/>
        <w:widowControl/>
        <w:shd w:val="clear" w:color="auto" w:fill="auto"/>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T：绝对温度，293.15K；</w:t>
      </w:r>
    </w:p>
    <w:p w14:paraId="3F35157E">
      <w:pPr>
        <w:keepNext w:val="0"/>
        <w:keepLines w:val="0"/>
        <w:pageBreakBefore w:val="0"/>
        <w:widowControl/>
        <w:shd w:val="clear" w:color="auto" w:fill="auto"/>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R：气体常数。</w:t>
      </w:r>
    </w:p>
    <w:p w14:paraId="04394163">
      <w:pPr>
        <w:keepNext w:val="0"/>
        <w:keepLines w:val="0"/>
        <w:pageBreakBefore w:val="0"/>
        <w:widowControl/>
        <w:shd w:val="clear" w:color="auto" w:fill="auto"/>
        <w:kinsoku/>
        <w:wordWrap/>
        <w:overflowPunct/>
        <w:topLinePunct w:val="0"/>
        <w:autoSpaceDE/>
        <w:autoSpaceDN/>
        <w:bidi w:val="0"/>
        <w:adjustRightInd/>
        <w:snapToGrid/>
        <w:spacing w:line="480" w:lineRule="exact"/>
        <w:ind w:left="0" w:leftChars="0" w:firstLine="480" w:firstLineChars="200"/>
        <w:jc w:val="left"/>
        <w:textAlignment w:val="auto"/>
        <w:rPr>
          <w:rFonts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计算结果，见表</w:t>
      </w:r>
      <w:r>
        <w:rPr>
          <w:rFonts w:hint="eastAsia" w:cs="Times New Roman"/>
          <w:color w:val="auto"/>
          <w:sz w:val="24"/>
          <w:szCs w:val="24"/>
          <w:highlight w:val="none"/>
          <w:u w:val="none"/>
          <w:lang w:val="en-US" w:eastAsia="zh-CN"/>
        </w:rPr>
        <w:t>2.5-6</w:t>
      </w:r>
      <w:r>
        <w:rPr>
          <w:rFonts w:hint="eastAsia" w:ascii="Times New Roman" w:hAnsi="Times New Roman" w:eastAsia="宋体" w:cs="Times New Roman"/>
          <w:color w:val="auto"/>
          <w:sz w:val="24"/>
          <w:szCs w:val="24"/>
          <w:highlight w:val="none"/>
          <w:u w:val="none"/>
        </w:rPr>
        <w:t>。</w:t>
      </w:r>
    </w:p>
    <w:p w14:paraId="5119EC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表2.5-6  本工程危险单元Q值一览表表</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autofit"/>
        <w:tblCellMar>
          <w:top w:w="0" w:type="dxa"/>
          <w:left w:w="108" w:type="dxa"/>
          <w:bottom w:w="0" w:type="dxa"/>
          <w:right w:w="108" w:type="dxa"/>
        </w:tblCellMar>
      </w:tblPr>
      <w:tblGrid>
        <w:gridCol w:w="846"/>
        <w:gridCol w:w="1526"/>
        <w:gridCol w:w="1478"/>
        <w:gridCol w:w="1263"/>
        <w:gridCol w:w="1330"/>
        <w:gridCol w:w="1395"/>
        <w:gridCol w:w="991"/>
      </w:tblGrid>
      <w:tr w14:paraId="2B561AB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tcBorders>
              <w:tl2br w:val="nil"/>
              <w:tr2bl w:val="nil"/>
            </w:tcBorders>
            <w:noWrap w:val="0"/>
            <w:vAlign w:val="center"/>
          </w:tcPr>
          <w:p w14:paraId="74FA97E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时期</w:t>
            </w:r>
          </w:p>
        </w:tc>
        <w:tc>
          <w:tcPr>
            <w:tcW w:w="864" w:type="pct"/>
            <w:tcBorders>
              <w:tl2br w:val="nil"/>
              <w:tr2bl w:val="nil"/>
            </w:tcBorders>
            <w:noWrap w:val="0"/>
            <w:vAlign w:val="center"/>
          </w:tcPr>
          <w:p w14:paraId="2079A287">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位置</w:t>
            </w:r>
          </w:p>
        </w:tc>
        <w:tc>
          <w:tcPr>
            <w:tcW w:w="837" w:type="pct"/>
            <w:tcBorders>
              <w:tl2br w:val="nil"/>
              <w:tr2bl w:val="nil"/>
            </w:tcBorders>
            <w:noWrap w:val="0"/>
            <w:vAlign w:val="center"/>
          </w:tcPr>
          <w:p w14:paraId="0BCE17B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储存装置</w:t>
            </w:r>
          </w:p>
        </w:tc>
        <w:tc>
          <w:tcPr>
            <w:tcW w:w="715" w:type="pct"/>
            <w:tcBorders>
              <w:tl2br w:val="nil"/>
              <w:tr2bl w:val="nil"/>
            </w:tcBorders>
            <w:noWrap w:val="0"/>
            <w:vAlign w:val="center"/>
          </w:tcPr>
          <w:p w14:paraId="295DF0C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物质名称</w:t>
            </w:r>
          </w:p>
        </w:tc>
        <w:tc>
          <w:tcPr>
            <w:tcW w:w="753" w:type="pct"/>
            <w:tcBorders>
              <w:tl2br w:val="nil"/>
              <w:tr2bl w:val="nil"/>
            </w:tcBorders>
            <w:noWrap w:val="0"/>
            <w:vAlign w:val="center"/>
          </w:tcPr>
          <w:p w14:paraId="352FFDF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临界量（t）</w:t>
            </w:r>
          </w:p>
        </w:tc>
        <w:tc>
          <w:tcPr>
            <w:tcW w:w="790" w:type="pct"/>
            <w:tcBorders>
              <w:tl2br w:val="nil"/>
              <w:tr2bl w:val="nil"/>
            </w:tcBorders>
            <w:noWrap w:val="0"/>
            <w:vAlign w:val="center"/>
          </w:tcPr>
          <w:p w14:paraId="0607E08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最大储存量（t）</w:t>
            </w:r>
          </w:p>
        </w:tc>
        <w:tc>
          <w:tcPr>
            <w:tcW w:w="561" w:type="pct"/>
            <w:tcBorders>
              <w:tl2br w:val="nil"/>
              <w:tr2bl w:val="nil"/>
            </w:tcBorders>
            <w:noWrap w:val="0"/>
            <w:vAlign w:val="center"/>
          </w:tcPr>
          <w:p w14:paraId="745F172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Q</w:t>
            </w:r>
          </w:p>
        </w:tc>
      </w:tr>
      <w:tr w14:paraId="2950CA2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noWrap w:val="0"/>
            <w:vAlign w:val="center"/>
          </w:tcPr>
          <w:p w14:paraId="76B00F5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运营期</w:t>
            </w:r>
          </w:p>
        </w:tc>
        <w:tc>
          <w:tcPr>
            <w:tcW w:w="1701" w:type="pct"/>
            <w:gridSpan w:val="2"/>
            <w:vMerge w:val="restart"/>
            <w:tcBorders>
              <w:tl2br w:val="nil"/>
              <w:tr2bl w:val="nil"/>
            </w:tcBorders>
            <w:noWrap w:val="0"/>
            <w:vAlign w:val="center"/>
          </w:tcPr>
          <w:p w14:paraId="305E28B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bCs/>
                <w:color w:val="auto"/>
                <w:szCs w:val="21"/>
                <w:highlight w:val="none"/>
                <w:u w:val="none"/>
              </w:rPr>
              <w:t>MBHW6008井采气管道</w:t>
            </w:r>
            <w:r>
              <w:rPr>
                <w:rFonts w:hint="eastAsia" w:ascii="Times New Roman" w:hAnsi="Times New Roman" w:eastAsia="宋体" w:cs="Times New Roman"/>
                <w:bCs/>
                <w:color w:val="auto"/>
                <w:szCs w:val="21"/>
                <w:highlight w:val="none"/>
                <w:u w:val="none"/>
                <w:lang w:val="en-US" w:eastAsia="zh-CN"/>
              </w:rPr>
              <w:t>4.0</w:t>
            </w:r>
            <w:r>
              <w:rPr>
                <w:rFonts w:hint="eastAsia" w:ascii="Times New Roman" w:hAnsi="Times New Roman" w:eastAsia="宋体" w:cs="Times New Roman"/>
                <w:bCs/>
                <w:color w:val="auto"/>
                <w:szCs w:val="21"/>
                <w:highlight w:val="none"/>
                <w:u w:val="none"/>
              </w:rPr>
              <w:t>km（D60×5 20G）</w:t>
            </w:r>
          </w:p>
        </w:tc>
        <w:tc>
          <w:tcPr>
            <w:tcW w:w="715" w:type="pct"/>
            <w:tcBorders>
              <w:tl2br w:val="nil"/>
              <w:tr2bl w:val="nil"/>
            </w:tcBorders>
            <w:noWrap w:val="0"/>
            <w:vAlign w:val="center"/>
          </w:tcPr>
          <w:p w14:paraId="2BC2563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凝析油</w:t>
            </w:r>
          </w:p>
        </w:tc>
        <w:tc>
          <w:tcPr>
            <w:tcW w:w="753" w:type="pct"/>
            <w:tcBorders>
              <w:tl2br w:val="nil"/>
              <w:tr2bl w:val="nil"/>
            </w:tcBorders>
            <w:noWrap w:val="0"/>
            <w:vAlign w:val="center"/>
          </w:tcPr>
          <w:p w14:paraId="157F4CD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2500</w:t>
            </w:r>
          </w:p>
        </w:tc>
        <w:tc>
          <w:tcPr>
            <w:tcW w:w="790" w:type="pct"/>
            <w:tcBorders>
              <w:tl2br w:val="nil"/>
              <w:tr2bl w:val="nil"/>
            </w:tcBorders>
            <w:noWrap w:val="0"/>
            <w:vAlign w:val="center"/>
          </w:tcPr>
          <w:p w14:paraId="370033F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7.32</w:t>
            </w:r>
          </w:p>
        </w:tc>
        <w:tc>
          <w:tcPr>
            <w:tcW w:w="561" w:type="pct"/>
            <w:tcBorders>
              <w:tl2br w:val="nil"/>
              <w:tr2bl w:val="nil"/>
            </w:tcBorders>
            <w:noWrap w:val="0"/>
            <w:vAlign w:val="center"/>
          </w:tcPr>
          <w:p w14:paraId="7533F4F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0.003</w:t>
            </w:r>
          </w:p>
        </w:tc>
      </w:tr>
      <w:tr w14:paraId="646C6D0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noWrap w:val="0"/>
            <w:vAlign w:val="center"/>
          </w:tcPr>
          <w:p w14:paraId="1382A54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1701" w:type="pct"/>
            <w:gridSpan w:val="2"/>
            <w:vMerge w:val="continue"/>
            <w:tcBorders>
              <w:tl2br w:val="nil"/>
              <w:tr2bl w:val="nil"/>
            </w:tcBorders>
            <w:noWrap w:val="0"/>
            <w:vAlign w:val="center"/>
          </w:tcPr>
          <w:p w14:paraId="4CFA932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715" w:type="pct"/>
            <w:tcBorders>
              <w:tl2br w:val="nil"/>
              <w:tr2bl w:val="nil"/>
            </w:tcBorders>
            <w:noWrap w:val="0"/>
            <w:vAlign w:val="center"/>
          </w:tcPr>
          <w:p w14:paraId="6112FFA7">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天然</w:t>
            </w:r>
            <w:r>
              <w:rPr>
                <w:rFonts w:ascii="Times New Roman" w:hAnsi="Times New Roman" w:eastAsia="宋体" w:cs="Times New Roman"/>
                <w:color w:val="auto"/>
                <w:szCs w:val="21"/>
                <w:highlight w:val="none"/>
                <w:u w:val="none"/>
              </w:rPr>
              <w:t>气</w:t>
            </w:r>
          </w:p>
        </w:tc>
        <w:tc>
          <w:tcPr>
            <w:tcW w:w="753" w:type="pct"/>
            <w:tcBorders>
              <w:tl2br w:val="nil"/>
              <w:tr2bl w:val="nil"/>
            </w:tcBorders>
            <w:noWrap w:val="0"/>
            <w:vAlign w:val="center"/>
          </w:tcPr>
          <w:p w14:paraId="1987F10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10</w:t>
            </w:r>
          </w:p>
        </w:tc>
        <w:tc>
          <w:tcPr>
            <w:tcW w:w="790" w:type="pct"/>
            <w:tcBorders>
              <w:tl2br w:val="nil"/>
              <w:tr2bl w:val="nil"/>
            </w:tcBorders>
            <w:noWrap w:val="0"/>
            <w:vAlign w:val="center"/>
          </w:tcPr>
          <w:p w14:paraId="66A860C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0.90</w:t>
            </w:r>
          </w:p>
        </w:tc>
        <w:tc>
          <w:tcPr>
            <w:tcW w:w="561" w:type="pct"/>
            <w:tcBorders>
              <w:tl2br w:val="nil"/>
              <w:tr2bl w:val="nil"/>
            </w:tcBorders>
            <w:noWrap w:val="0"/>
            <w:vAlign w:val="center"/>
          </w:tcPr>
          <w:p w14:paraId="7ACF888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0.09</w:t>
            </w:r>
          </w:p>
        </w:tc>
      </w:tr>
      <w:tr w14:paraId="2887733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438" w:type="pct"/>
            <w:gridSpan w:val="6"/>
            <w:tcBorders>
              <w:tl2br w:val="nil"/>
              <w:tr2bl w:val="nil"/>
            </w:tcBorders>
            <w:noWrap w:val="0"/>
            <w:vAlign w:val="center"/>
          </w:tcPr>
          <w:p w14:paraId="572DF26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合计</w:t>
            </w:r>
          </w:p>
        </w:tc>
        <w:tc>
          <w:tcPr>
            <w:tcW w:w="561" w:type="pct"/>
            <w:tcBorders>
              <w:tl2br w:val="nil"/>
              <w:tr2bl w:val="nil"/>
            </w:tcBorders>
            <w:noWrap w:val="0"/>
            <w:vAlign w:val="center"/>
          </w:tcPr>
          <w:p w14:paraId="688C67F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0.093</w:t>
            </w:r>
          </w:p>
        </w:tc>
      </w:tr>
      <w:tr w14:paraId="3BB2FE4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noWrap w:val="0"/>
            <w:vAlign w:val="center"/>
          </w:tcPr>
          <w:p w14:paraId="3AD3A51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运营期</w:t>
            </w:r>
          </w:p>
        </w:tc>
        <w:tc>
          <w:tcPr>
            <w:tcW w:w="1701" w:type="pct"/>
            <w:gridSpan w:val="2"/>
            <w:vMerge w:val="restart"/>
            <w:tcBorders>
              <w:tl2br w:val="nil"/>
              <w:tr2bl w:val="nil"/>
            </w:tcBorders>
            <w:noWrap w:val="0"/>
            <w:vAlign w:val="center"/>
          </w:tcPr>
          <w:p w14:paraId="1C01C30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bCs/>
                <w:color w:val="auto"/>
                <w:szCs w:val="21"/>
                <w:highlight w:val="none"/>
                <w:u w:val="none"/>
              </w:rPr>
              <w:t>MBHW600</w:t>
            </w:r>
            <w:r>
              <w:rPr>
                <w:rFonts w:hint="eastAsia" w:ascii="Times New Roman" w:hAnsi="Times New Roman" w:eastAsia="宋体" w:cs="Times New Roman"/>
                <w:bCs/>
                <w:color w:val="auto"/>
                <w:szCs w:val="21"/>
                <w:highlight w:val="none"/>
                <w:u w:val="none"/>
                <w:lang w:val="en-US" w:eastAsia="zh-CN"/>
              </w:rPr>
              <w:t>6</w:t>
            </w:r>
            <w:r>
              <w:rPr>
                <w:rFonts w:hint="eastAsia" w:ascii="Times New Roman" w:hAnsi="Times New Roman" w:eastAsia="宋体" w:cs="Times New Roman"/>
                <w:bCs/>
                <w:color w:val="auto"/>
                <w:szCs w:val="21"/>
                <w:highlight w:val="none"/>
                <w:u w:val="none"/>
              </w:rPr>
              <w:t>井采气管道</w:t>
            </w:r>
            <w:r>
              <w:rPr>
                <w:rFonts w:hint="eastAsia" w:ascii="Times New Roman" w:hAnsi="Times New Roman" w:eastAsia="宋体" w:cs="Times New Roman"/>
                <w:bCs/>
                <w:color w:val="auto"/>
                <w:szCs w:val="21"/>
                <w:highlight w:val="none"/>
                <w:u w:val="none"/>
                <w:lang w:val="en-US" w:eastAsia="zh-CN"/>
              </w:rPr>
              <w:t>1.5</w:t>
            </w:r>
            <w:r>
              <w:rPr>
                <w:rFonts w:hint="eastAsia" w:ascii="Times New Roman" w:hAnsi="Times New Roman" w:eastAsia="宋体" w:cs="Times New Roman"/>
                <w:bCs/>
                <w:color w:val="auto"/>
                <w:szCs w:val="21"/>
                <w:highlight w:val="none"/>
                <w:u w:val="none"/>
              </w:rPr>
              <w:t>km（D60×5 20G）</w:t>
            </w:r>
          </w:p>
        </w:tc>
        <w:tc>
          <w:tcPr>
            <w:tcW w:w="715" w:type="pct"/>
            <w:tcBorders>
              <w:tl2br w:val="nil"/>
              <w:tr2bl w:val="nil"/>
            </w:tcBorders>
            <w:noWrap w:val="0"/>
            <w:vAlign w:val="center"/>
          </w:tcPr>
          <w:p w14:paraId="57DB9F9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lang w:val="en-US" w:eastAsia="zh-CN"/>
              </w:rPr>
              <w:t>凝析油</w:t>
            </w:r>
          </w:p>
        </w:tc>
        <w:tc>
          <w:tcPr>
            <w:tcW w:w="753" w:type="pct"/>
            <w:tcBorders>
              <w:tl2br w:val="nil"/>
              <w:tr2bl w:val="nil"/>
            </w:tcBorders>
            <w:noWrap w:val="0"/>
            <w:vAlign w:val="center"/>
          </w:tcPr>
          <w:p w14:paraId="6F2B944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2500</w:t>
            </w:r>
          </w:p>
        </w:tc>
        <w:tc>
          <w:tcPr>
            <w:tcW w:w="790" w:type="pct"/>
            <w:tcBorders>
              <w:tl2br w:val="nil"/>
              <w:tr2bl w:val="nil"/>
            </w:tcBorders>
            <w:noWrap w:val="0"/>
            <w:vAlign w:val="center"/>
          </w:tcPr>
          <w:p w14:paraId="461AA8B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2.75</w:t>
            </w:r>
          </w:p>
        </w:tc>
        <w:tc>
          <w:tcPr>
            <w:tcW w:w="561" w:type="pct"/>
            <w:tcBorders>
              <w:tl2br w:val="nil"/>
              <w:tr2bl w:val="nil"/>
            </w:tcBorders>
            <w:noWrap w:val="0"/>
            <w:vAlign w:val="center"/>
          </w:tcPr>
          <w:p w14:paraId="07C057E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0.001</w:t>
            </w:r>
          </w:p>
        </w:tc>
      </w:tr>
      <w:tr w14:paraId="74062AC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noWrap w:val="0"/>
            <w:vAlign w:val="center"/>
          </w:tcPr>
          <w:p w14:paraId="5B878AF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1701" w:type="pct"/>
            <w:gridSpan w:val="2"/>
            <w:vMerge w:val="continue"/>
            <w:tcBorders>
              <w:tl2br w:val="nil"/>
              <w:tr2bl w:val="nil"/>
            </w:tcBorders>
            <w:noWrap w:val="0"/>
            <w:vAlign w:val="center"/>
          </w:tcPr>
          <w:p w14:paraId="05D6DFF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715" w:type="pct"/>
            <w:tcBorders>
              <w:tl2br w:val="nil"/>
              <w:tr2bl w:val="nil"/>
            </w:tcBorders>
            <w:noWrap w:val="0"/>
            <w:vAlign w:val="center"/>
          </w:tcPr>
          <w:p w14:paraId="6BA1853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天然</w:t>
            </w:r>
            <w:r>
              <w:rPr>
                <w:rFonts w:ascii="Times New Roman" w:hAnsi="Times New Roman" w:eastAsia="宋体" w:cs="Times New Roman"/>
                <w:color w:val="auto"/>
                <w:szCs w:val="21"/>
                <w:highlight w:val="none"/>
                <w:u w:val="none"/>
              </w:rPr>
              <w:t>气</w:t>
            </w:r>
          </w:p>
        </w:tc>
        <w:tc>
          <w:tcPr>
            <w:tcW w:w="753" w:type="pct"/>
            <w:tcBorders>
              <w:tl2br w:val="nil"/>
              <w:tr2bl w:val="nil"/>
            </w:tcBorders>
            <w:noWrap w:val="0"/>
            <w:vAlign w:val="center"/>
          </w:tcPr>
          <w:p w14:paraId="74F30AB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10</w:t>
            </w:r>
          </w:p>
        </w:tc>
        <w:tc>
          <w:tcPr>
            <w:tcW w:w="790" w:type="pct"/>
            <w:tcBorders>
              <w:tl2br w:val="nil"/>
              <w:tr2bl w:val="nil"/>
            </w:tcBorders>
            <w:noWrap w:val="0"/>
            <w:vAlign w:val="center"/>
          </w:tcPr>
          <w:p w14:paraId="780F535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0.34</w:t>
            </w:r>
          </w:p>
        </w:tc>
        <w:tc>
          <w:tcPr>
            <w:tcW w:w="561" w:type="pct"/>
            <w:tcBorders>
              <w:tl2br w:val="nil"/>
              <w:tr2bl w:val="nil"/>
            </w:tcBorders>
            <w:noWrap w:val="0"/>
            <w:vAlign w:val="center"/>
          </w:tcPr>
          <w:p w14:paraId="195ECF7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0.034</w:t>
            </w:r>
          </w:p>
        </w:tc>
      </w:tr>
      <w:tr w14:paraId="5D1E3B5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438" w:type="pct"/>
            <w:gridSpan w:val="6"/>
            <w:tcBorders>
              <w:tl2br w:val="nil"/>
              <w:tr2bl w:val="nil"/>
            </w:tcBorders>
            <w:noWrap w:val="0"/>
            <w:vAlign w:val="center"/>
          </w:tcPr>
          <w:p w14:paraId="0830FA0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合计</w:t>
            </w:r>
          </w:p>
        </w:tc>
        <w:tc>
          <w:tcPr>
            <w:tcW w:w="561" w:type="pct"/>
            <w:tcBorders>
              <w:tl2br w:val="nil"/>
              <w:tr2bl w:val="nil"/>
            </w:tcBorders>
            <w:noWrap w:val="0"/>
            <w:vAlign w:val="center"/>
          </w:tcPr>
          <w:p w14:paraId="3D3FBEA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0.035</w:t>
            </w:r>
          </w:p>
        </w:tc>
      </w:tr>
      <w:tr w14:paraId="4129787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noWrap w:val="0"/>
            <w:vAlign w:val="center"/>
          </w:tcPr>
          <w:p w14:paraId="346DE54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运营期</w:t>
            </w:r>
          </w:p>
        </w:tc>
        <w:tc>
          <w:tcPr>
            <w:tcW w:w="1701" w:type="pct"/>
            <w:gridSpan w:val="2"/>
            <w:vMerge w:val="restart"/>
            <w:tcBorders>
              <w:tl2br w:val="nil"/>
              <w:tr2bl w:val="nil"/>
            </w:tcBorders>
            <w:noWrap w:val="0"/>
            <w:vAlign w:val="center"/>
          </w:tcPr>
          <w:p w14:paraId="3F97794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bCs/>
                <w:color w:val="auto"/>
                <w:szCs w:val="21"/>
                <w:highlight w:val="none"/>
                <w:u w:val="none"/>
              </w:rPr>
              <w:t>MBHW600</w:t>
            </w:r>
            <w:r>
              <w:rPr>
                <w:rFonts w:hint="eastAsia" w:ascii="Times New Roman" w:hAnsi="Times New Roman" w:eastAsia="宋体" w:cs="Times New Roman"/>
                <w:bCs/>
                <w:color w:val="auto"/>
                <w:szCs w:val="21"/>
                <w:highlight w:val="none"/>
                <w:u w:val="none"/>
                <w:lang w:val="en-US" w:eastAsia="zh-CN"/>
              </w:rPr>
              <w:t>9</w:t>
            </w:r>
            <w:r>
              <w:rPr>
                <w:rFonts w:hint="eastAsia" w:ascii="Times New Roman" w:hAnsi="Times New Roman" w:eastAsia="宋体" w:cs="Times New Roman"/>
                <w:bCs/>
                <w:color w:val="auto"/>
                <w:szCs w:val="21"/>
                <w:highlight w:val="none"/>
                <w:u w:val="none"/>
              </w:rPr>
              <w:t>井采气管道</w:t>
            </w:r>
            <w:r>
              <w:rPr>
                <w:rFonts w:hint="eastAsia" w:ascii="Times New Roman" w:hAnsi="Times New Roman" w:eastAsia="宋体" w:cs="Times New Roman"/>
                <w:bCs/>
                <w:color w:val="auto"/>
                <w:szCs w:val="21"/>
                <w:highlight w:val="none"/>
                <w:u w:val="none"/>
                <w:lang w:val="en-US" w:eastAsia="zh-CN"/>
              </w:rPr>
              <w:t>1.9</w:t>
            </w:r>
            <w:r>
              <w:rPr>
                <w:rFonts w:hint="eastAsia" w:ascii="Times New Roman" w:hAnsi="Times New Roman" w:eastAsia="宋体" w:cs="Times New Roman"/>
                <w:bCs/>
                <w:color w:val="auto"/>
                <w:szCs w:val="21"/>
                <w:highlight w:val="none"/>
                <w:u w:val="none"/>
              </w:rPr>
              <w:t>km（D60×5 20G）</w:t>
            </w:r>
          </w:p>
        </w:tc>
        <w:tc>
          <w:tcPr>
            <w:tcW w:w="715" w:type="pct"/>
            <w:tcBorders>
              <w:tl2br w:val="nil"/>
              <w:tr2bl w:val="nil"/>
            </w:tcBorders>
            <w:noWrap w:val="0"/>
            <w:vAlign w:val="center"/>
          </w:tcPr>
          <w:p w14:paraId="775B67C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lang w:val="en-US" w:eastAsia="zh-CN"/>
              </w:rPr>
              <w:t>凝析油</w:t>
            </w:r>
          </w:p>
        </w:tc>
        <w:tc>
          <w:tcPr>
            <w:tcW w:w="753" w:type="pct"/>
            <w:tcBorders>
              <w:tl2br w:val="nil"/>
              <w:tr2bl w:val="nil"/>
            </w:tcBorders>
            <w:noWrap w:val="0"/>
            <w:vAlign w:val="center"/>
          </w:tcPr>
          <w:p w14:paraId="78919AE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2500</w:t>
            </w:r>
          </w:p>
        </w:tc>
        <w:tc>
          <w:tcPr>
            <w:tcW w:w="790" w:type="pct"/>
            <w:tcBorders>
              <w:tl2br w:val="nil"/>
              <w:tr2bl w:val="nil"/>
            </w:tcBorders>
            <w:noWrap w:val="0"/>
            <w:vAlign w:val="center"/>
          </w:tcPr>
          <w:p w14:paraId="5CDD182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3.48</w:t>
            </w:r>
          </w:p>
        </w:tc>
        <w:tc>
          <w:tcPr>
            <w:tcW w:w="561" w:type="pct"/>
            <w:tcBorders>
              <w:tl2br w:val="nil"/>
              <w:tr2bl w:val="nil"/>
            </w:tcBorders>
            <w:noWrap w:val="0"/>
            <w:vAlign w:val="center"/>
          </w:tcPr>
          <w:p w14:paraId="417DA2D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0.001</w:t>
            </w:r>
          </w:p>
        </w:tc>
      </w:tr>
      <w:tr w14:paraId="7BFF104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noWrap w:val="0"/>
            <w:vAlign w:val="center"/>
          </w:tcPr>
          <w:p w14:paraId="73F509D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1701" w:type="pct"/>
            <w:gridSpan w:val="2"/>
            <w:vMerge w:val="continue"/>
            <w:tcBorders>
              <w:tl2br w:val="nil"/>
              <w:tr2bl w:val="nil"/>
            </w:tcBorders>
            <w:noWrap w:val="0"/>
            <w:vAlign w:val="center"/>
          </w:tcPr>
          <w:p w14:paraId="2C2904F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715" w:type="pct"/>
            <w:tcBorders>
              <w:tl2br w:val="nil"/>
              <w:tr2bl w:val="nil"/>
            </w:tcBorders>
            <w:noWrap w:val="0"/>
            <w:vAlign w:val="center"/>
          </w:tcPr>
          <w:p w14:paraId="2052C4A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天然</w:t>
            </w:r>
            <w:r>
              <w:rPr>
                <w:rFonts w:ascii="Times New Roman" w:hAnsi="Times New Roman" w:eastAsia="宋体" w:cs="Times New Roman"/>
                <w:color w:val="auto"/>
                <w:szCs w:val="21"/>
                <w:highlight w:val="none"/>
                <w:u w:val="none"/>
              </w:rPr>
              <w:t>气</w:t>
            </w:r>
          </w:p>
        </w:tc>
        <w:tc>
          <w:tcPr>
            <w:tcW w:w="753" w:type="pct"/>
            <w:tcBorders>
              <w:tl2br w:val="nil"/>
              <w:tr2bl w:val="nil"/>
            </w:tcBorders>
            <w:noWrap w:val="0"/>
            <w:vAlign w:val="center"/>
          </w:tcPr>
          <w:p w14:paraId="6736F76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10</w:t>
            </w:r>
          </w:p>
        </w:tc>
        <w:tc>
          <w:tcPr>
            <w:tcW w:w="790" w:type="pct"/>
            <w:tcBorders>
              <w:tl2br w:val="nil"/>
              <w:tr2bl w:val="nil"/>
            </w:tcBorders>
            <w:noWrap w:val="0"/>
            <w:vAlign w:val="center"/>
          </w:tcPr>
          <w:p w14:paraId="05D4EDD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0.43</w:t>
            </w:r>
          </w:p>
        </w:tc>
        <w:tc>
          <w:tcPr>
            <w:tcW w:w="561" w:type="pct"/>
            <w:tcBorders>
              <w:tl2br w:val="nil"/>
              <w:tr2bl w:val="nil"/>
            </w:tcBorders>
            <w:noWrap w:val="0"/>
            <w:vAlign w:val="center"/>
          </w:tcPr>
          <w:p w14:paraId="01C202F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0.043</w:t>
            </w:r>
          </w:p>
        </w:tc>
      </w:tr>
      <w:tr w14:paraId="73DA680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438" w:type="pct"/>
            <w:gridSpan w:val="6"/>
            <w:tcBorders>
              <w:tl2br w:val="nil"/>
              <w:tr2bl w:val="nil"/>
            </w:tcBorders>
            <w:noWrap w:val="0"/>
            <w:vAlign w:val="center"/>
          </w:tcPr>
          <w:p w14:paraId="2B7828D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合计</w:t>
            </w:r>
          </w:p>
        </w:tc>
        <w:tc>
          <w:tcPr>
            <w:tcW w:w="561" w:type="pct"/>
            <w:tcBorders>
              <w:tl2br w:val="nil"/>
              <w:tr2bl w:val="nil"/>
            </w:tcBorders>
            <w:noWrap w:val="0"/>
            <w:vAlign w:val="center"/>
          </w:tcPr>
          <w:p w14:paraId="1F57BBA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0.044</w:t>
            </w:r>
          </w:p>
        </w:tc>
      </w:tr>
    </w:tbl>
    <w:p w14:paraId="163B43A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u w:val="none"/>
        </w:rPr>
      </w:pPr>
      <w:r>
        <w:rPr>
          <w:rFonts w:hint="eastAsia" w:ascii="宋体" w:hAnsi="宋体" w:eastAsia="宋体" w:cs="宋体"/>
          <w:color w:val="auto"/>
          <w:sz w:val="24"/>
          <w:szCs w:val="24"/>
          <w:highlight w:val="none"/>
          <w:u w:val="none"/>
        </w:rPr>
        <w:t>根据上表计算结果，本工程</w:t>
      </w:r>
      <w:r>
        <w:rPr>
          <w:rFonts w:hint="eastAsia" w:ascii="宋体" w:hAnsi="宋体" w:cs="宋体"/>
          <w:color w:val="auto"/>
          <w:sz w:val="24"/>
          <w:szCs w:val="24"/>
          <w:highlight w:val="none"/>
          <w:u w:val="none"/>
          <w:lang w:val="en-US" w:eastAsia="zh-CN"/>
        </w:rPr>
        <w:t>三段管线Q值均小于1</w:t>
      </w:r>
      <w:r>
        <w:rPr>
          <w:rFonts w:hint="eastAsia" w:ascii="宋体" w:hAnsi="宋体" w:eastAsia="宋体" w:cs="宋体"/>
          <w:color w:val="auto"/>
          <w:sz w:val="24"/>
          <w:szCs w:val="24"/>
          <w:highlight w:val="none"/>
          <w:u w:val="none"/>
        </w:rPr>
        <w:t>，判断项目风险潜势为Ⅰ，根据《建设项目环境风险评价技术导则》（HJ 169-2018）相关要求，本次评价仅对项目可能存在的环境风险进行简单分析。不设置环境风险评价范围。</w:t>
      </w:r>
    </w:p>
    <w:p w14:paraId="62EB5537">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生态</w:t>
      </w:r>
    </w:p>
    <w:p w14:paraId="173B8DA4">
      <w:pPr>
        <w:keepNext w:val="0"/>
        <w:keepLines w:val="0"/>
        <w:pageBreakBefore w:val="0"/>
        <w:widowControl/>
        <w:kinsoku/>
        <w:wordWrap w:val="0"/>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（1）评价等级</w:t>
      </w:r>
    </w:p>
    <w:p w14:paraId="411BF4E9">
      <w:pPr>
        <w:keepNext w:val="0"/>
        <w:keepLines w:val="0"/>
        <w:pageBreakBefore w:val="0"/>
        <w:widowControl/>
        <w:kinsoku/>
        <w:wordWrap w:val="0"/>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根据《环境影响评价技术导则生态影响》（HJ19-2022），</w:t>
      </w:r>
      <w:r>
        <w:rPr>
          <w:rFonts w:hint="eastAsia" w:ascii="宋体" w:hAnsi="宋体" w:eastAsia="宋体" w:cs="宋体"/>
          <w:color w:val="auto"/>
          <w:kern w:val="0"/>
          <w:sz w:val="24"/>
          <w:szCs w:val="24"/>
          <w:u w:val="none"/>
        </w:rPr>
        <w:t>评价区域内不涉及</w:t>
      </w:r>
      <w:r>
        <w:rPr>
          <w:rFonts w:hint="eastAsia" w:ascii="宋体" w:hAnsi="宋体" w:eastAsia="宋体" w:cs="宋体"/>
          <w:color w:val="auto"/>
          <w:kern w:val="0"/>
          <w:sz w:val="24"/>
          <w:szCs w:val="24"/>
          <w:u w:val="none"/>
          <w:lang w:val="en-US" w:eastAsia="zh-CN"/>
        </w:rPr>
        <w:t>依法划定各类自然保护地和生态保护红线</w:t>
      </w:r>
      <w:r>
        <w:rPr>
          <w:rFonts w:hint="eastAsia" w:ascii="宋体" w:hAnsi="宋体" w:eastAsia="宋体" w:cs="宋体"/>
          <w:color w:val="auto"/>
          <w:kern w:val="0"/>
          <w:sz w:val="24"/>
          <w:szCs w:val="24"/>
          <w:u w:val="none"/>
        </w:rPr>
        <w:t>。</w:t>
      </w:r>
      <w:r>
        <w:rPr>
          <w:rFonts w:hint="eastAsia" w:ascii="宋体" w:hAnsi="宋体" w:eastAsia="宋体" w:cs="宋体"/>
          <w:color w:val="auto"/>
          <w:kern w:val="0"/>
          <w:sz w:val="24"/>
          <w:szCs w:val="24"/>
          <w:highlight w:val="none"/>
          <w:u w:val="none"/>
        </w:rPr>
        <w:t>项目新增永久占地面积</w:t>
      </w:r>
      <w:r>
        <w:rPr>
          <w:rFonts w:hint="eastAsia" w:ascii="宋体" w:hAnsi="宋体" w:cs="宋体"/>
          <w:color w:val="auto"/>
          <w:kern w:val="0"/>
          <w:sz w:val="24"/>
          <w:szCs w:val="24"/>
          <w:highlight w:val="none"/>
          <w:u w:val="none"/>
          <w:lang w:val="en-US" w:eastAsia="zh-CN"/>
        </w:rPr>
        <w:t>2.21</w:t>
      </w:r>
      <w:r>
        <w:rPr>
          <w:rFonts w:hint="eastAsia" w:ascii="宋体" w:hAnsi="宋体" w:eastAsia="宋体" w:cs="宋体"/>
          <w:color w:val="auto"/>
          <w:kern w:val="0"/>
          <w:sz w:val="24"/>
          <w:szCs w:val="24"/>
          <w:highlight w:val="none"/>
          <w:u w:val="none"/>
        </w:rPr>
        <w:t>hm</w:t>
      </w:r>
      <w:r>
        <w:rPr>
          <w:rFonts w:hint="eastAsia" w:ascii="宋体" w:hAnsi="宋体" w:cs="宋体"/>
          <w:color w:val="auto"/>
          <w:kern w:val="0"/>
          <w:sz w:val="24"/>
          <w:szCs w:val="24"/>
          <w:highlight w:val="none"/>
          <w:u w:val="none"/>
          <w:vertAlign w:val="superscript"/>
          <w:lang w:val="en-US" w:eastAsia="zh-CN"/>
        </w:rPr>
        <w:t>2</w:t>
      </w:r>
      <w:r>
        <w:rPr>
          <w:rFonts w:hint="eastAsia" w:ascii="宋体" w:hAnsi="宋体" w:eastAsia="宋体" w:cs="宋体"/>
          <w:color w:val="auto"/>
          <w:kern w:val="0"/>
          <w:sz w:val="24"/>
          <w:szCs w:val="24"/>
          <w:highlight w:val="none"/>
          <w:u w:val="none"/>
        </w:rPr>
        <w:t>，临时占地面积</w:t>
      </w:r>
      <w:r>
        <w:rPr>
          <w:rFonts w:hint="eastAsia" w:ascii="宋体" w:hAnsi="宋体" w:cs="宋体"/>
          <w:color w:val="auto"/>
          <w:kern w:val="0"/>
          <w:sz w:val="24"/>
          <w:szCs w:val="24"/>
          <w:highlight w:val="none"/>
          <w:u w:val="none"/>
          <w:lang w:val="en-US" w:eastAsia="zh-CN"/>
        </w:rPr>
        <w:t>13.94</w:t>
      </w:r>
      <w:r>
        <w:rPr>
          <w:rFonts w:hint="eastAsia" w:ascii="宋体" w:hAnsi="宋体" w:eastAsia="宋体" w:cs="宋体"/>
          <w:color w:val="auto"/>
          <w:kern w:val="0"/>
          <w:sz w:val="24"/>
          <w:szCs w:val="24"/>
          <w:highlight w:val="none"/>
          <w:u w:val="none"/>
        </w:rPr>
        <w:t>hm²，总占地面积为</w:t>
      </w:r>
      <w:r>
        <w:rPr>
          <w:rFonts w:hint="eastAsia" w:ascii="宋体" w:hAnsi="宋体" w:cs="宋体"/>
          <w:color w:val="auto"/>
          <w:kern w:val="0"/>
          <w:sz w:val="24"/>
          <w:szCs w:val="24"/>
          <w:highlight w:val="none"/>
          <w:u w:val="none"/>
          <w:lang w:val="en-US" w:eastAsia="zh-CN"/>
        </w:rPr>
        <w:t>16.15</w:t>
      </w:r>
      <w:r>
        <w:rPr>
          <w:rFonts w:hint="eastAsia" w:ascii="宋体" w:hAnsi="宋体" w:eastAsia="宋体" w:cs="宋体"/>
          <w:color w:val="auto"/>
          <w:kern w:val="0"/>
          <w:sz w:val="24"/>
          <w:szCs w:val="24"/>
          <w:highlight w:val="none"/>
          <w:u w:val="none"/>
        </w:rPr>
        <w:t>hm²</w:t>
      </w:r>
      <w:r>
        <w:rPr>
          <w:rFonts w:hint="eastAsia" w:ascii="宋体" w:hAnsi="宋体" w:eastAsia="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占地面积＜20km</w:t>
      </w:r>
      <w:r>
        <w:rPr>
          <w:rFonts w:hint="eastAsia" w:ascii="宋体" w:hAnsi="宋体" w:eastAsia="宋体" w:cs="宋体"/>
          <w:color w:val="auto"/>
          <w:kern w:val="0"/>
          <w:sz w:val="24"/>
          <w:szCs w:val="24"/>
          <w:highlight w:val="none"/>
          <w:u w:val="none"/>
          <w:vertAlign w:val="superscript"/>
        </w:rPr>
        <w:t>2</w:t>
      </w:r>
      <w:r>
        <w:rPr>
          <w:rFonts w:hint="eastAsia" w:ascii="宋体" w:hAnsi="宋体" w:eastAsia="宋体" w:cs="宋体"/>
          <w:color w:val="auto"/>
          <w:kern w:val="0"/>
          <w:sz w:val="24"/>
          <w:szCs w:val="24"/>
          <w:highlight w:val="none"/>
          <w:u w:val="none"/>
        </w:rPr>
        <w:t>。</w:t>
      </w:r>
    </w:p>
    <w:p w14:paraId="2ED0C8F8">
      <w:pPr>
        <w:keepNext w:val="0"/>
        <w:keepLines w:val="0"/>
        <w:pageBreakBefore w:val="0"/>
        <w:widowControl/>
        <w:kinsoku/>
        <w:wordWrap w:val="0"/>
        <w:overflowPunct/>
        <w:topLinePunct w:val="0"/>
        <w:autoSpaceDE/>
        <w:autoSpaceDN/>
        <w:bidi w:val="0"/>
        <w:adjustRightInd/>
        <w:snapToGrid w:val="0"/>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eastAsia" w:ascii="宋体" w:hAnsi="宋体" w:eastAsia="宋体" w:cs="宋体"/>
          <w:color w:val="auto"/>
          <w:kern w:val="0"/>
          <w:sz w:val="24"/>
          <w:szCs w:val="24"/>
          <w:u w:val="none"/>
        </w:rPr>
        <w:t>根据《环境影响评价技术导则生态影响》（HJ19-2022）的生态评价等级判定条件，判定过程</w:t>
      </w:r>
      <w:r>
        <w:rPr>
          <w:rFonts w:hint="eastAsia" w:ascii="宋体" w:hAnsi="宋体" w:cs="宋体"/>
          <w:color w:val="auto"/>
          <w:kern w:val="0"/>
          <w:sz w:val="24"/>
          <w:szCs w:val="24"/>
          <w:u w:val="none"/>
          <w:lang w:eastAsia="zh-CN"/>
        </w:rPr>
        <w:t>，</w:t>
      </w:r>
      <w:r>
        <w:rPr>
          <w:rFonts w:hint="eastAsia" w:ascii="宋体" w:hAnsi="宋体" w:eastAsia="宋体" w:cs="宋体"/>
          <w:color w:val="auto"/>
          <w:kern w:val="0"/>
          <w:sz w:val="24"/>
          <w:szCs w:val="24"/>
          <w:u w:val="none"/>
        </w:rPr>
        <w:t>见表2.</w:t>
      </w:r>
      <w:r>
        <w:rPr>
          <w:rFonts w:hint="eastAsia" w:ascii="宋体" w:hAnsi="宋体" w:cs="宋体"/>
          <w:color w:val="auto"/>
          <w:kern w:val="0"/>
          <w:sz w:val="24"/>
          <w:szCs w:val="24"/>
          <w:u w:val="none"/>
          <w:lang w:val="en-US" w:eastAsia="zh-CN"/>
        </w:rPr>
        <w:t>5</w:t>
      </w:r>
      <w:r>
        <w:rPr>
          <w:rFonts w:hint="eastAsia" w:ascii="宋体" w:hAnsi="宋体" w:eastAsia="宋体" w:cs="宋体"/>
          <w:color w:val="auto"/>
          <w:kern w:val="0"/>
          <w:sz w:val="24"/>
          <w:szCs w:val="24"/>
          <w:u w:val="none"/>
        </w:rPr>
        <w:t>-</w:t>
      </w:r>
      <w:r>
        <w:rPr>
          <w:rFonts w:hint="eastAsia" w:ascii="宋体" w:hAnsi="宋体" w:cs="宋体"/>
          <w:color w:val="auto"/>
          <w:kern w:val="0"/>
          <w:sz w:val="24"/>
          <w:szCs w:val="24"/>
          <w:u w:val="none"/>
          <w:lang w:val="en-US" w:eastAsia="zh-CN"/>
        </w:rPr>
        <w:t>7</w:t>
      </w:r>
      <w:r>
        <w:rPr>
          <w:rFonts w:hint="eastAsia" w:ascii="宋体" w:hAnsi="宋体" w:eastAsia="宋体" w:cs="宋体"/>
          <w:color w:val="auto"/>
          <w:kern w:val="0"/>
          <w:sz w:val="24"/>
          <w:szCs w:val="24"/>
          <w:u w:val="none"/>
        </w:rPr>
        <w:t>。根据判定可知，</w:t>
      </w:r>
      <w:r>
        <w:rPr>
          <w:rFonts w:hint="eastAsia" w:ascii="宋体" w:hAnsi="宋体" w:eastAsia="宋体" w:cs="宋体"/>
          <w:color w:val="auto"/>
          <w:kern w:val="0"/>
          <w:sz w:val="24"/>
          <w:szCs w:val="24"/>
          <w:u w:val="none"/>
          <w:lang w:val="en-US" w:eastAsia="zh-CN"/>
        </w:rPr>
        <w:t>本项目属于除本条a）、b）、c）、d）、e）、f）以外的情况，</w:t>
      </w:r>
      <w:r>
        <w:rPr>
          <w:rFonts w:hint="eastAsia" w:ascii="宋体" w:hAnsi="宋体" w:eastAsia="宋体" w:cs="宋体"/>
          <w:color w:val="auto"/>
          <w:kern w:val="0"/>
          <w:sz w:val="24"/>
          <w:szCs w:val="24"/>
          <w:u w:val="none"/>
        </w:rPr>
        <w:t>因此本工程生态环境影响评价工作等级确定为三级</w:t>
      </w:r>
      <w:r>
        <w:rPr>
          <w:rFonts w:hint="eastAsia" w:ascii="宋体" w:hAnsi="宋体" w:eastAsia="宋体" w:cs="宋体"/>
          <w:color w:val="auto"/>
          <w:kern w:val="0"/>
          <w:sz w:val="24"/>
          <w:szCs w:val="24"/>
          <w:highlight w:val="none"/>
          <w:u w:val="none"/>
        </w:rPr>
        <w:t>。生态评价等级判定过程</w:t>
      </w:r>
      <w:r>
        <w:rPr>
          <w:rFonts w:hint="eastAsia" w:ascii="宋体" w:hAnsi="宋体" w:cs="宋体"/>
          <w:color w:val="auto"/>
          <w:kern w:val="0"/>
          <w:sz w:val="24"/>
          <w:szCs w:val="24"/>
          <w:highlight w:val="none"/>
          <w:u w:val="none"/>
          <w:lang w:eastAsia="zh-CN"/>
        </w:rPr>
        <w:t>，</w:t>
      </w:r>
      <w:r>
        <w:rPr>
          <w:rFonts w:hint="eastAsia" w:ascii="宋体" w:hAnsi="宋体" w:cs="宋体"/>
          <w:color w:val="auto"/>
          <w:kern w:val="0"/>
          <w:sz w:val="24"/>
          <w:szCs w:val="24"/>
          <w:highlight w:val="none"/>
          <w:u w:val="none"/>
          <w:lang w:val="en-US" w:eastAsia="zh-CN"/>
        </w:rPr>
        <w:t>见</w:t>
      </w:r>
      <w:r>
        <w:rPr>
          <w:rFonts w:hint="eastAsia" w:ascii="宋体" w:hAnsi="宋体" w:eastAsia="宋体" w:cs="宋体"/>
          <w:color w:val="auto"/>
          <w:kern w:val="0"/>
          <w:sz w:val="24"/>
          <w:szCs w:val="24"/>
          <w:highlight w:val="none"/>
          <w:u w:val="none"/>
        </w:rPr>
        <w:t>表2.5-7</w:t>
      </w:r>
      <w:r>
        <w:rPr>
          <w:rFonts w:hint="eastAsia" w:ascii="宋体" w:hAnsi="宋体" w:cs="宋体"/>
          <w:color w:val="auto"/>
          <w:kern w:val="0"/>
          <w:sz w:val="24"/>
          <w:szCs w:val="24"/>
          <w:highlight w:val="none"/>
          <w:u w:val="none"/>
          <w:lang w:eastAsia="zh-CN"/>
        </w:rPr>
        <w:t>。</w:t>
      </w:r>
    </w:p>
    <w:p w14:paraId="042679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表2.</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7  </w:t>
      </w:r>
      <w:r>
        <w:rPr>
          <w:rFonts w:hint="default" w:ascii="黑体" w:hAnsi="黑体" w:eastAsia="黑体" w:cs="黑体"/>
          <w:b w:val="0"/>
          <w:bCs/>
          <w:color w:val="auto"/>
          <w:kern w:val="2"/>
          <w:sz w:val="24"/>
          <w:szCs w:val="24"/>
          <w:u w:val="none"/>
          <w:lang w:val="en-US" w:eastAsia="zh-CN" w:bidi="ar-SA"/>
        </w:rPr>
        <w:t>生态评价等级判定过程</w:t>
      </w:r>
    </w:p>
    <w:tbl>
      <w:tblPr>
        <w:tblStyle w:val="37"/>
        <w:tblW w:w="859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724"/>
        <w:gridCol w:w="5339"/>
        <w:gridCol w:w="1470"/>
        <w:gridCol w:w="1064"/>
      </w:tblGrid>
      <w:tr w14:paraId="37B77AF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3" w:hRule="atLeast"/>
        </w:trPr>
        <w:tc>
          <w:tcPr>
            <w:tcW w:w="724" w:type="dxa"/>
            <w:tcBorders>
              <w:tl2br w:val="nil"/>
              <w:tr2bl w:val="nil"/>
            </w:tcBorders>
            <w:noWrap w:val="0"/>
            <w:vAlign w:val="center"/>
          </w:tcPr>
          <w:p w14:paraId="5C14C20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序号</w:t>
            </w:r>
          </w:p>
        </w:tc>
        <w:tc>
          <w:tcPr>
            <w:tcW w:w="5339" w:type="dxa"/>
            <w:tcBorders>
              <w:tl2br w:val="nil"/>
              <w:tr2bl w:val="nil"/>
            </w:tcBorders>
            <w:noWrap w:val="0"/>
            <w:vAlign w:val="center"/>
          </w:tcPr>
          <w:p w14:paraId="333B692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生态评价等级判定要求</w:t>
            </w:r>
          </w:p>
        </w:tc>
        <w:tc>
          <w:tcPr>
            <w:tcW w:w="1470" w:type="dxa"/>
            <w:tcBorders>
              <w:tl2br w:val="nil"/>
              <w:tr2bl w:val="nil"/>
            </w:tcBorders>
            <w:noWrap w:val="0"/>
            <w:vAlign w:val="center"/>
          </w:tcPr>
          <w:p w14:paraId="1C94E52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本工程情况</w:t>
            </w:r>
          </w:p>
        </w:tc>
        <w:tc>
          <w:tcPr>
            <w:tcW w:w="1064" w:type="dxa"/>
            <w:tcBorders>
              <w:tl2br w:val="nil"/>
              <w:tr2bl w:val="nil"/>
            </w:tcBorders>
            <w:noWrap w:val="0"/>
            <w:vAlign w:val="center"/>
          </w:tcPr>
          <w:p w14:paraId="02F7BD6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生态影响评价等级</w:t>
            </w:r>
          </w:p>
        </w:tc>
      </w:tr>
      <w:tr w14:paraId="19BC9FD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3" w:hRule="atLeast"/>
        </w:trPr>
        <w:tc>
          <w:tcPr>
            <w:tcW w:w="724" w:type="dxa"/>
            <w:tcBorders>
              <w:tl2br w:val="nil"/>
              <w:tr2bl w:val="nil"/>
            </w:tcBorders>
            <w:noWrap w:val="0"/>
            <w:vAlign w:val="center"/>
          </w:tcPr>
          <w:p w14:paraId="2694E88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a</w:t>
            </w:r>
          </w:p>
        </w:tc>
        <w:tc>
          <w:tcPr>
            <w:tcW w:w="5339" w:type="dxa"/>
            <w:tcBorders>
              <w:tl2br w:val="nil"/>
              <w:tr2bl w:val="nil"/>
            </w:tcBorders>
            <w:noWrap w:val="0"/>
            <w:vAlign w:val="center"/>
          </w:tcPr>
          <w:p w14:paraId="4E3EC180">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left"/>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涉及国家公园、自然保护区、世界自然遗产、重要生境时，评价等级为一级；</w:t>
            </w:r>
          </w:p>
        </w:tc>
        <w:tc>
          <w:tcPr>
            <w:tcW w:w="1470" w:type="dxa"/>
            <w:tcBorders>
              <w:tl2br w:val="nil"/>
              <w:tr2bl w:val="nil"/>
            </w:tcBorders>
            <w:noWrap w:val="0"/>
            <w:vAlign w:val="center"/>
          </w:tcPr>
          <w:p w14:paraId="7EDD7CE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不涉及</w:t>
            </w:r>
          </w:p>
        </w:tc>
        <w:tc>
          <w:tcPr>
            <w:tcW w:w="1064" w:type="dxa"/>
            <w:tcBorders>
              <w:tl2br w:val="nil"/>
              <w:tr2bl w:val="nil"/>
            </w:tcBorders>
            <w:noWrap w:val="0"/>
            <w:vAlign w:val="center"/>
          </w:tcPr>
          <w:p w14:paraId="7BF4B16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w:t>
            </w:r>
          </w:p>
        </w:tc>
      </w:tr>
      <w:tr w14:paraId="0EC1C51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3" w:hRule="atLeast"/>
        </w:trPr>
        <w:tc>
          <w:tcPr>
            <w:tcW w:w="724" w:type="dxa"/>
            <w:tcBorders>
              <w:tl2br w:val="nil"/>
              <w:tr2bl w:val="nil"/>
            </w:tcBorders>
            <w:noWrap w:val="0"/>
            <w:vAlign w:val="center"/>
          </w:tcPr>
          <w:p w14:paraId="31844A9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b</w:t>
            </w:r>
          </w:p>
        </w:tc>
        <w:tc>
          <w:tcPr>
            <w:tcW w:w="5339" w:type="dxa"/>
            <w:tcBorders>
              <w:tl2br w:val="nil"/>
              <w:tr2bl w:val="nil"/>
            </w:tcBorders>
            <w:noWrap w:val="0"/>
            <w:vAlign w:val="center"/>
          </w:tcPr>
          <w:p w14:paraId="6DC8F10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left"/>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涉及自然公园时，评价等级为二级；</w:t>
            </w:r>
          </w:p>
        </w:tc>
        <w:tc>
          <w:tcPr>
            <w:tcW w:w="1470" w:type="dxa"/>
            <w:tcBorders>
              <w:tl2br w:val="nil"/>
              <w:tr2bl w:val="nil"/>
            </w:tcBorders>
            <w:noWrap w:val="0"/>
            <w:vAlign w:val="center"/>
          </w:tcPr>
          <w:p w14:paraId="7811725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不涉及</w:t>
            </w:r>
          </w:p>
        </w:tc>
        <w:tc>
          <w:tcPr>
            <w:tcW w:w="1064" w:type="dxa"/>
            <w:tcBorders>
              <w:tl2br w:val="nil"/>
              <w:tr2bl w:val="nil"/>
            </w:tcBorders>
            <w:noWrap w:val="0"/>
            <w:vAlign w:val="center"/>
          </w:tcPr>
          <w:p w14:paraId="1A5327D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w:t>
            </w:r>
          </w:p>
        </w:tc>
      </w:tr>
      <w:tr w14:paraId="2947C6A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3" w:hRule="atLeast"/>
        </w:trPr>
        <w:tc>
          <w:tcPr>
            <w:tcW w:w="724" w:type="dxa"/>
            <w:tcBorders>
              <w:tl2br w:val="nil"/>
              <w:tr2bl w:val="nil"/>
            </w:tcBorders>
            <w:noWrap w:val="0"/>
            <w:vAlign w:val="center"/>
          </w:tcPr>
          <w:p w14:paraId="3760392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c</w:t>
            </w:r>
          </w:p>
        </w:tc>
        <w:tc>
          <w:tcPr>
            <w:tcW w:w="5339" w:type="dxa"/>
            <w:tcBorders>
              <w:tl2br w:val="nil"/>
              <w:tr2bl w:val="nil"/>
            </w:tcBorders>
            <w:noWrap w:val="0"/>
            <w:vAlign w:val="center"/>
          </w:tcPr>
          <w:p w14:paraId="4AEDFC7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left"/>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涉及生态保护红线时，评价等级不低于二级；</w:t>
            </w:r>
          </w:p>
        </w:tc>
        <w:tc>
          <w:tcPr>
            <w:tcW w:w="1470" w:type="dxa"/>
            <w:tcBorders>
              <w:tl2br w:val="nil"/>
              <w:tr2bl w:val="nil"/>
            </w:tcBorders>
            <w:noWrap w:val="0"/>
            <w:vAlign w:val="center"/>
          </w:tcPr>
          <w:p w14:paraId="55B8654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不涉及</w:t>
            </w:r>
          </w:p>
        </w:tc>
        <w:tc>
          <w:tcPr>
            <w:tcW w:w="1064" w:type="dxa"/>
            <w:tcBorders>
              <w:tl2br w:val="nil"/>
              <w:tr2bl w:val="nil"/>
            </w:tcBorders>
            <w:noWrap w:val="0"/>
            <w:vAlign w:val="center"/>
          </w:tcPr>
          <w:p w14:paraId="38C6E570">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w:t>
            </w:r>
          </w:p>
        </w:tc>
      </w:tr>
      <w:tr w14:paraId="74911F0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3" w:hRule="atLeast"/>
        </w:trPr>
        <w:tc>
          <w:tcPr>
            <w:tcW w:w="724" w:type="dxa"/>
            <w:tcBorders>
              <w:tl2br w:val="nil"/>
              <w:tr2bl w:val="nil"/>
            </w:tcBorders>
            <w:noWrap w:val="0"/>
            <w:vAlign w:val="center"/>
          </w:tcPr>
          <w:p w14:paraId="08DE115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d</w:t>
            </w:r>
          </w:p>
        </w:tc>
        <w:tc>
          <w:tcPr>
            <w:tcW w:w="5339" w:type="dxa"/>
            <w:tcBorders>
              <w:tl2br w:val="nil"/>
              <w:tr2bl w:val="nil"/>
            </w:tcBorders>
            <w:noWrap w:val="0"/>
            <w:vAlign w:val="center"/>
          </w:tcPr>
          <w:p w14:paraId="48B3031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left"/>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根据HJ2.3判断属于水文要素影响型且地表水评价等级不低于二级的建设项目，生态影响评价等级不低于二级；</w:t>
            </w:r>
          </w:p>
        </w:tc>
        <w:tc>
          <w:tcPr>
            <w:tcW w:w="1470" w:type="dxa"/>
            <w:tcBorders>
              <w:tl2br w:val="nil"/>
              <w:tr2bl w:val="nil"/>
            </w:tcBorders>
            <w:noWrap w:val="0"/>
            <w:vAlign w:val="center"/>
          </w:tcPr>
          <w:p w14:paraId="528D730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不涉及</w:t>
            </w:r>
          </w:p>
        </w:tc>
        <w:tc>
          <w:tcPr>
            <w:tcW w:w="1064" w:type="dxa"/>
            <w:tcBorders>
              <w:tl2br w:val="nil"/>
              <w:tr2bl w:val="nil"/>
            </w:tcBorders>
            <w:noWrap w:val="0"/>
            <w:vAlign w:val="center"/>
          </w:tcPr>
          <w:p w14:paraId="253F739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w:t>
            </w:r>
          </w:p>
        </w:tc>
      </w:tr>
      <w:tr w14:paraId="4340E9F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3" w:hRule="atLeast"/>
        </w:trPr>
        <w:tc>
          <w:tcPr>
            <w:tcW w:w="724" w:type="dxa"/>
            <w:tcBorders>
              <w:tl2br w:val="nil"/>
              <w:tr2bl w:val="nil"/>
            </w:tcBorders>
            <w:noWrap w:val="0"/>
            <w:vAlign w:val="center"/>
          </w:tcPr>
          <w:p w14:paraId="7BCBE56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e</w:t>
            </w:r>
          </w:p>
        </w:tc>
        <w:tc>
          <w:tcPr>
            <w:tcW w:w="5339" w:type="dxa"/>
            <w:tcBorders>
              <w:tl2br w:val="nil"/>
              <w:tr2bl w:val="nil"/>
            </w:tcBorders>
            <w:noWrap w:val="0"/>
            <w:vAlign w:val="center"/>
          </w:tcPr>
          <w:p w14:paraId="0434FA2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left"/>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根据HJ610、HJ964判断地下水水位或土壤影响范围内分布有天然林、公益林、湿地等生态保护目标的建设项目，生态影响评价等级不低于二级；</w:t>
            </w:r>
          </w:p>
        </w:tc>
        <w:tc>
          <w:tcPr>
            <w:tcW w:w="1470" w:type="dxa"/>
            <w:tcBorders>
              <w:tl2br w:val="nil"/>
              <w:tr2bl w:val="nil"/>
            </w:tcBorders>
            <w:noWrap w:val="0"/>
            <w:vAlign w:val="center"/>
          </w:tcPr>
          <w:p w14:paraId="1619F15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不涉及</w:t>
            </w:r>
          </w:p>
        </w:tc>
        <w:tc>
          <w:tcPr>
            <w:tcW w:w="1064" w:type="dxa"/>
            <w:tcBorders>
              <w:tl2br w:val="nil"/>
              <w:tr2bl w:val="nil"/>
            </w:tcBorders>
            <w:noWrap w:val="0"/>
            <w:vAlign w:val="center"/>
          </w:tcPr>
          <w:p w14:paraId="07F5E8C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w:t>
            </w:r>
          </w:p>
        </w:tc>
      </w:tr>
      <w:tr w14:paraId="27AE9D2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3" w:hRule="atLeast"/>
        </w:trPr>
        <w:tc>
          <w:tcPr>
            <w:tcW w:w="724" w:type="dxa"/>
            <w:tcBorders>
              <w:tl2br w:val="nil"/>
              <w:tr2bl w:val="nil"/>
            </w:tcBorders>
            <w:noWrap w:val="0"/>
            <w:vAlign w:val="center"/>
          </w:tcPr>
          <w:p w14:paraId="7D9FF9A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f</w:t>
            </w:r>
          </w:p>
        </w:tc>
        <w:tc>
          <w:tcPr>
            <w:tcW w:w="5339" w:type="dxa"/>
            <w:tcBorders>
              <w:tl2br w:val="nil"/>
              <w:tr2bl w:val="nil"/>
            </w:tcBorders>
            <w:noWrap w:val="0"/>
            <w:vAlign w:val="center"/>
          </w:tcPr>
          <w:p w14:paraId="57F88ED0">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left"/>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当工程占地规模大于20km</w:t>
            </w:r>
            <w:r>
              <w:rPr>
                <w:rFonts w:hint="default" w:ascii="Times New Roman" w:hAnsi="Times New Roman" w:eastAsia="宋体" w:cs="Times New Roman"/>
                <w:bCs/>
                <w:color w:val="auto"/>
                <w:sz w:val="21"/>
                <w:szCs w:val="21"/>
                <w:highlight w:val="none"/>
                <w:u w:val="none"/>
                <w:vertAlign w:val="superscript"/>
                <w:lang w:val="en-US" w:eastAsia="zh-CN" w:bidi="ar-SA"/>
              </w:rPr>
              <w:t>2</w:t>
            </w:r>
            <w:r>
              <w:rPr>
                <w:rFonts w:hint="default" w:ascii="Times New Roman" w:hAnsi="Times New Roman" w:eastAsia="宋体" w:cs="Times New Roman"/>
                <w:bCs/>
                <w:color w:val="auto"/>
                <w:sz w:val="21"/>
                <w:szCs w:val="21"/>
                <w:highlight w:val="none"/>
                <w:u w:val="none"/>
                <w:lang w:val="en-US" w:eastAsia="zh-CN" w:bidi="ar-SA"/>
              </w:rPr>
              <w:t>时（包括永久和临时占用陆域和水域），评价等级不低于二级；改扩建项目的占地范围以新增占地（包括陆域和水域）确定；</w:t>
            </w:r>
          </w:p>
        </w:tc>
        <w:tc>
          <w:tcPr>
            <w:tcW w:w="1470" w:type="dxa"/>
            <w:tcBorders>
              <w:tl2br w:val="nil"/>
              <w:tr2bl w:val="nil"/>
            </w:tcBorders>
            <w:noWrap w:val="0"/>
            <w:vAlign w:val="center"/>
          </w:tcPr>
          <w:p w14:paraId="4780B9B0">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本工程占地面积＜</w:t>
            </w:r>
            <w:r>
              <w:rPr>
                <w:rFonts w:hint="eastAsia" w:cs="Times New Roman"/>
                <w:color w:val="auto"/>
                <w:sz w:val="21"/>
                <w:szCs w:val="21"/>
                <w:highlight w:val="none"/>
                <w:u w:val="none"/>
                <w:lang w:val="en-US" w:eastAsia="zh-CN" w:bidi="ar-SA"/>
              </w:rPr>
              <w:t>2</w:t>
            </w:r>
            <w:r>
              <w:rPr>
                <w:rFonts w:hint="default" w:ascii="Times New Roman" w:hAnsi="Times New Roman" w:eastAsia="宋体" w:cs="Times New Roman"/>
                <w:color w:val="auto"/>
                <w:sz w:val="21"/>
                <w:szCs w:val="21"/>
                <w:highlight w:val="none"/>
                <w:u w:val="none"/>
                <w:lang w:val="en-US" w:eastAsia="zh-CN" w:bidi="ar-SA"/>
              </w:rPr>
              <w:t>0km</w:t>
            </w:r>
            <w:r>
              <w:rPr>
                <w:rFonts w:hint="default" w:ascii="Times New Roman" w:hAnsi="Times New Roman" w:eastAsia="宋体" w:cs="Times New Roman"/>
                <w:color w:val="auto"/>
                <w:sz w:val="21"/>
                <w:szCs w:val="21"/>
                <w:highlight w:val="none"/>
                <w:u w:val="none"/>
                <w:vertAlign w:val="superscript"/>
                <w:lang w:val="en-US" w:eastAsia="zh-CN" w:bidi="ar-SA"/>
              </w:rPr>
              <w:t>2</w:t>
            </w:r>
          </w:p>
        </w:tc>
        <w:tc>
          <w:tcPr>
            <w:tcW w:w="1064" w:type="dxa"/>
            <w:tcBorders>
              <w:tl2br w:val="nil"/>
              <w:tr2bl w:val="nil"/>
            </w:tcBorders>
            <w:noWrap w:val="0"/>
            <w:vAlign w:val="center"/>
          </w:tcPr>
          <w:p w14:paraId="4F2B93C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w:t>
            </w:r>
          </w:p>
        </w:tc>
      </w:tr>
      <w:tr w14:paraId="007877F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3" w:hRule="atLeast"/>
        </w:trPr>
        <w:tc>
          <w:tcPr>
            <w:tcW w:w="724" w:type="dxa"/>
            <w:tcBorders>
              <w:tl2br w:val="nil"/>
              <w:tr2bl w:val="nil"/>
            </w:tcBorders>
            <w:noWrap w:val="0"/>
            <w:vAlign w:val="center"/>
          </w:tcPr>
          <w:p w14:paraId="474161C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g</w:t>
            </w:r>
          </w:p>
        </w:tc>
        <w:tc>
          <w:tcPr>
            <w:tcW w:w="5339" w:type="dxa"/>
            <w:tcBorders>
              <w:tl2br w:val="nil"/>
              <w:tr2bl w:val="nil"/>
            </w:tcBorders>
            <w:noWrap w:val="0"/>
            <w:vAlign w:val="center"/>
          </w:tcPr>
          <w:p w14:paraId="7716FFA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left"/>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除本条a~f以外的情况，评价等级为三级；</w:t>
            </w:r>
          </w:p>
        </w:tc>
        <w:tc>
          <w:tcPr>
            <w:tcW w:w="1470" w:type="dxa"/>
            <w:tcBorders>
              <w:tl2br w:val="nil"/>
              <w:tr2bl w:val="nil"/>
            </w:tcBorders>
            <w:noWrap w:val="0"/>
            <w:vAlign w:val="center"/>
          </w:tcPr>
          <w:p w14:paraId="233D61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baseline"/>
              <w:rPr>
                <w:rFonts w:hint="default" w:ascii="Times New Roman" w:hAnsi="Times New Roman" w:cs="Times New Roman"/>
                <w:bCs/>
                <w:color w:val="auto"/>
                <w:kern w:val="0"/>
                <w:sz w:val="21"/>
                <w:szCs w:val="21"/>
                <w:highlight w:val="none"/>
                <w:u w:val="none"/>
              </w:rPr>
            </w:pPr>
            <w:r>
              <w:rPr>
                <w:rFonts w:hint="default" w:ascii="Times New Roman" w:hAnsi="Times New Roman" w:cs="Times New Roman"/>
                <w:color w:val="auto"/>
                <w:kern w:val="0"/>
                <w:sz w:val="21"/>
                <w:szCs w:val="21"/>
                <w:highlight w:val="none"/>
                <w:u w:val="none"/>
              </w:rPr>
              <w:t>不涉及</w:t>
            </w:r>
          </w:p>
        </w:tc>
        <w:tc>
          <w:tcPr>
            <w:tcW w:w="1064" w:type="dxa"/>
            <w:tcBorders>
              <w:tl2br w:val="nil"/>
              <w:tr2bl w:val="nil"/>
            </w:tcBorders>
            <w:noWrap w:val="0"/>
            <w:vAlign w:val="center"/>
          </w:tcPr>
          <w:p w14:paraId="069CBF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baseline"/>
              <w:rPr>
                <w:rFonts w:hint="eastAsia" w:ascii="Times New Roman" w:hAnsi="Times New Roman" w:eastAsia="宋体" w:cs="Times New Roman"/>
                <w:bCs/>
                <w:color w:val="auto"/>
                <w:kern w:val="0"/>
                <w:sz w:val="21"/>
                <w:szCs w:val="21"/>
                <w:highlight w:val="none"/>
                <w:u w:val="none"/>
                <w:lang w:eastAsia="zh-CN"/>
              </w:rPr>
            </w:pPr>
            <w:r>
              <w:rPr>
                <w:rFonts w:hint="eastAsia" w:ascii="Times New Roman" w:hAnsi="Times New Roman" w:eastAsia="宋体" w:cs="Times New Roman"/>
                <w:bCs/>
                <w:color w:val="auto"/>
                <w:kern w:val="2"/>
                <w:sz w:val="21"/>
                <w:szCs w:val="21"/>
                <w:highlight w:val="none"/>
                <w:u w:val="none"/>
                <w:lang w:val="en-US" w:eastAsia="zh-CN" w:bidi="ar-SA"/>
              </w:rPr>
              <w:t>/</w:t>
            </w:r>
          </w:p>
        </w:tc>
      </w:tr>
      <w:tr w14:paraId="46C711C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3" w:hRule="atLeast"/>
        </w:trPr>
        <w:tc>
          <w:tcPr>
            <w:tcW w:w="724" w:type="dxa"/>
            <w:tcBorders>
              <w:tl2br w:val="nil"/>
              <w:tr2bl w:val="nil"/>
            </w:tcBorders>
            <w:shd w:val="clear" w:color="auto" w:fill="auto"/>
            <w:noWrap w:val="0"/>
            <w:vAlign w:val="center"/>
          </w:tcPr>
          <w:p w14:paraId="2CADC9E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h</w:t>
            </w:r>
          </w:p>
        </w:tc>
        <w:tc>
          <w:tcPr>
            <w:tcW w:w="5339" w:type="dxa"/>
            <w:tcBorders>
              <w:tl2br w:val="nil"/>
              <w:tr2bl w:val="nil"/>
            </w:tcBorders>
            <w:shd w:val="clear" w:color="auto" w:fill="auto"/>
            <w:noWrap w:val="0"/>
            <w:vAlign w:val="center"/>
          </w:tcPr>
          <w:p w14:paraId="3ED5DC6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left"/>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当评价等级判定同时符合上述多种情况时，应采用其中最高的评价等级</w:t>
            </w:r>
          </w:p>
        </w:tc>
        <w:tc>
          <w:tcPr>
            <w:tcW w:w="1470" w:type="dxa"/>
            <w:tcBorders>
              <w:tl2br w:val="nil"/>
              <w:tr2bl w:val="nil"/>
            </w:tcBorders>
            <w:shd w:val="clear" w:color="auto" w:fill="auto"/>
            <w:noWrap w:val="0"/>
            <w:vAlign w:val="center"/>
          </w:tcPr>
          <w:p w14:paraId="5E31813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bidi="ar-SA"/>
              </w:rPr>
              <w:t>/</w:t>
            </w:r>
          </w:p>
        </w:tc>
        <w:tc>
          <w:tcPr>
            <w:tcW w:w="1064" w:type="dxa"/>
            <w:tcBorders>
              <w:tl2br w:val="nil"/>
              <w:tr2bl w:val="nil"/>
            </w:tcBorders>
            <w:shd w:val="clear" w:color="auto" w:fill="auto"/>
            <w:noWrap w:val="0"/>
            <w:vAlign w:val="center"/>
          </w:tcPr>
          <w:p w14:paraId="38DCC17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baseline"/>
              <w:rPr>
                <w:rFonts w:hint="default" w:ascii="Times New Roman" w:hAnsi="Times New Roman" w:eastAsia="宋体" w:cs="Times New Roman"/>
                <w:bCs/>
                <w:color w:val="auto"/>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bidi="ar-SA"/>
              </w:rPr>
              <w:t>三级</w:t>
            </w:r>
          </w:p>
        </w:tc>
      </w:tr>
    </w:tbl>
    <w:p w14:paraId="7078D3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（2）评价范围</w:t>
      </w:r>
    </w:p>
    <w:p w14:paraId="36C628D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油田</w:t>
      </w:r>
      <w:r>
        <w:rPr>
          <w:rFonts w:hint="eastAsia" w:ascii="宋体" w:hAnsi="宋体" w:eastAsia="宋体" w:cs="宋体"/>
          <w:color w:val="auto"/>
          <w:sz w:val="24"/>
          <w:szCs w:val="24"/>
          <w:highlight w:val="none"/>
          <w:u w:val="none"/>
        </w:rPr>
        <w:t>开发工程具有分布面积广的特点，且基本呈点状、线状分布，故其对环境影响仅限于各</w:t>
      </w:r>
      <w:r>
        <w:rPr>
          <w:rFonts w:hint="eastAsia" w:ascii="宋体" w:hAnsi="宋体" w:eastAsia="宋体" w:cs="宋体"/>
          <w:color w:val="auto"/>
          <w:sz w:val="24"/>
          <w:szCs w:val="24"/>
          <w:highlight w:val="none"/>
          <w:u w:val="none"/>
          <w:lang w:val="en-US" w:eastAsia="zh-CN"/>
        </w:rPr>
        <w:t>井场、集输</w:t>
      </w:r>
      <w:r>
        <w:rPr>
          <w:rFonts w:hint="eastAsia" w:ascii="宋体" w:hAnsi="宋体" w:eastAsia="宋体" w:cs="宋体"/>
          <w:color w:val="auto"/>
          <w:sz w:val="24"/>
          <w:szCs w:val="24"/>
          <w:highlight w:val="none"/>
          <w:u w:val="none"/>
        </w:rPr>
        <w:t>管线较近的范围。根据《环境影响评价技术导则生态影响》（HJ19-2022），考虑</w:t>
      </w:r>
      <w:r>
        <w:rPr>
          <w:rFonts w:hint="eastAsia" w:ascii="宋体" w:hAnsi="宋体" w:eastAsia="宋体" w:cs="宋体"/>
          <w:color w:val="auto"/>
          <w:sz w:val="24"/>
          <w:szCs w:val="24"/>
          <w:highlight w:val="none"/>
          <w:u w:val="none"/>
          <w:lang w:val="en-US" w:eastAsia="zh-CN"/>
        </w:rPr>
        <w:t>油田</w:t>
      </w:r>
      <w:r>
        <w:rPr>
          <w:rFonts w:hint="eastAsia" w:ascii="宋体" w:hAnsi="宋体" w:eastAsia="宋体" w:cs="宋体"/>
          <w:color w:val="auto"/>
          <w:sz w:val="24"/>
          <w:szCs w:val="24"/>
          <w:highlight w:val="none"/>
          <w:u w:val="none"/>
        </w:rPr>
        <w:t>整体开发对生态环境的影响，确定生态环境评价范围为线路中心线向两侧外延300m，</w:t>
      </w:r>
      <w:r>
        <w:rPr>
          <w:rFonts w:hint="eastAsia" w:ascii="宋体" w:hAnsi="宋体" w:eastAsia="宋体" w:cs="宋体"/>
          <w:color w:val="auto"/>
          <w:sz w:val="24"/>
          <w:szCs w:val="24"/>
          <w:highlight w:val="none"/>
          <w:u w:val="none"/>
          <w:lang w:val="en-US" w:eastAsia="zh-CN"/>
        </w:rPr>
        <w:t>井场周边</w:t>
      </w:r>
      <w:r>
        <w:rPr>
          <w:rFonts w:hint="eastAsia" w:ascii="宋体" w:hAnsi="宋体" w:eastAsia="宋体" w:cs="宋体"/>
          <w:color w:val="auto"/>
          <w:sz w:val="24"/>
          <w:szCs w:val="24"/>
          <w:highlight w:val="none"/>
          <w:u w:val="none"/>
        </w:rPr>
        <w:t>50m。</w:t>
      </w:r>
    </w:p>
    <w:p w14:paraId="12748EB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highlight w:val="none"/>
          <w:u w:val="none"/>
        </w:rPr>
        <w:t>生态评价范围</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见图2.</w:t>
      </w:r>
      <w:r>
        <w:rPr>
          <w:rFonts w:hint="eastAsia" w:ascii="宋体" w:hAnsi="宋体" w:eastAsia="宋体" w:cs="宋体"/>
          <w:color w:val="auto"/>
          <w:sz w:val="24"/>
          <w:szCs w:val="24"/>
          <w:highlight w:val="none"/>
          <w:u w:val="none"/>
          <w:lang w:val="en-US" w:eastAsia="zh-CN"/>
        </w:rPr>
        <w:t>5</w:t>
      </w:r>
      <w:r>
        <w:rPr>
          <w:rFonts w:hint="eastAsia" w:ascii="宋体" w:hAnsi="宋体" w:eastAsia="宋体" w:cs="宋体"/>
          <w:color w:val="auto"/>
          <w:sz w:val="24"/>
          <w:szCs w:val="24"/>
          <w:highlight w:val="none"/>
          <w:u w:val="none"/>
        </w:rPr>
        <w:t>-1。</w:t>
      </w:r>
    </w:p>
    <w:p w14:paraId="30C382BB">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声环境</w:t>
      </w:r>
    </w:p>
    <w:p w14:paraId="1ED321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highlight w:val="none"/>
          <w:u w:val="none"/>
          <w:lang w:val="en-US" w:eastAsia="zh-CN"/>
        </w:rPr>
      </w:pPr>
      <w:r>
        <w:rPr>
          <w:rFonts w:hint="default" w:ascii="宋体" w:hAnsi="宋体" w:eastAsia="宋体" w:cs="宋体"/>
          <w:color w:val="auto"/>
          <w:sz w:val="24"/>
          <w:szCs w:val="24"/>
          <w:highlight w:val="none"/>
          <w:u w:val="none"/>
          <w:lang w:val="en-US" w:eastAsia="zh-CN"/>
        </w:rPr>
        <w:t>本工程涉及的噪声源可分为连续稳定噪声源和流动噪声源。噪声源主要包括施工期内机械噪声、生产</w:t>
      </w:r>
      <w:r>
        <w:rPr>
          <w:rFonts w:hint="eastAsia" w:ascii="宋体" w:hAnsi="宋体" w:eastAsia="宋体" w:cs="宋体"/>
          <w:color w:val="auto"/>
          <w:sz w:val="24"/>
          <w:szCs w:val="24"/>
          <w:highlight w:val="none"/>
          <w:u w:val="none"/>
          <w:lang w:val="en-US" w:eastAsia="zh-CN"/>
        </w:rPr>
        <w:t>运营期井场设备的运转噪声和巡检车辆的交通噪声等</w:t>
      </w:r>
      <w:r>
        <w:rPr>
          <w:rFonts w:hint="default" w:ascii="宋体" w:hAnsi="宋体" w:eastAsia="宋体" w:cs="宋体"/>
          <w:color w:val="auto"/>
          <w:sz w:val="24"/>
          <w:szCs w:val="24"/>
          <w:highlight w:val="none"/>
          <w:u w:val="none"/>
          <w:lang w:val="en-US" w:eastAsia="zh-CN"/>
        </w:rPr>
        <w:t>。噪声源周围200m</w:t>
      </w:r>
      <w:r>
        <w:rPr>
          <w:rFonts w:hint="eastAsia" w:ascii="宋体" w:hAnsi="宋体" w:eastAsia="宋体" w:cs="宋体"/>
          <w:color w:val="auto"/>
          <w:sz w:val="24"/>
          <w:szCs w:val="24"/>
          <w:highlight w:val="none"/>
          <w:u w:val="none"/>
          <w:lang w:val="en-US" w:eastAsia="zh-CN"/>
        </w:rPr>
        <w:t>无</w:t>
      </w:r>
      <w:r>
        <w:rPr>
          <w:rFonts w:hint="default" w:ascii="宋体" w:hAnsi="宋体" w:eastAsia="宋体" w:cs="宋体"/>
          <w:color w:val="auto"/>
          <w:sz w:val="24"/>
          <w:szCs w:val="24"/>
          <w:highlight w:val="none"/>
          <w:u w:val="none"/>
          <w:lang w:val="en-US" w:eastAsia="zh-CN"/>
        </w:rPr>
        <w:t>固定集中的人群活动。</w:t>
      </w:r>
    </w:p>
    <w:p w14:paraId="2FB407D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highlight w:val="none"/>
          <w:u w:val="none"/>
          <w:lang w:val="en-US" w:eastAsia="zh-CN"/>
        </w:rPr>
      </w:pPr>
      <w:r>
        <w:rPr>
          <w:rFonts w:hint="default" w:ascii="宋体" w:hAnsi="宋体" w:eastAsia="宋体" w:cs="宋体"/>
          <w:color w:val="auto"/>
          <w:sz w:val="24"/>
          <w:szCs w:val="24"/>
          <w:highlight w:val="none"/>
          <w:u w:val="none"/>
          <w:lang w:val="en-US" w:eastAsia="zh-CN"/>
        </w:rPr>
        <w:t>依据《环境影响评价技术导则 声环境》（HJ2.4-2021）中的规定，本工程声环境影响评价工作等级定为二级。</w:t>
      </w:r>
    </w:p>
    <w:p w14:paraId="34CCE0A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highlight w:val="none"/>
          <w:u w:val="none"/>
          <w:lang w:val="en-US" w:eastAsia="zh-CN"/>
        </w:rPr>
      </w:pPr>
      <w:r>
        <w:rPr>
          <w:rFonts w:hint="default" w:ascii="宋体" w:hAnsi="宋体" w:eastAsia="宋体" w:cs="宋体"/>
          <w:color w:val="auto"/>
          <w:sz w:val="24"/>
          <w:szCs w:val="24"/>
          <w:highlight w:val="none"/>
          <w:u w:val="none"/>
          <w:lang w:val="en-US" w:eastAsia="zh-CN"/>
        </w:rPr>
        <w:t>根据《环境影响评价技术导则声环境》（HJ2.4-2021）要求，“满足一级评价的要求，一般以建设项目边界向外200m作为评价范围；二、三级评价范围可根据建设项目所在区域和相邻区域的声环境功能区划及敏感目标等实际情况适当缩小”，根据项目特点，本次声环境评价范围为井场边界外扩200m作为评价范围。</w:t>
      </w:r>
    </w:p>
    <w:p w14:paraId="556DE02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噪声</w:t>
      </w:r>
      <w:r>
        <w:rPr>
          <w:rFonts w:hint="default" w:ascii="宋体" w:hAnsi="宋体" w:eastAsia="宋体" w:cs="宋体"/>
          <w:color w:val="auto"/>
          <w:sz w:val="24"/>
          <w:szCs w:val="24"/>
          <w:highlight w:val="none"/>
          <w:u w:val="none"/>
          <w:lang w:val="en-US" w:eastAsia="zh-CN"/>
        </w:rPr>
        <w:t>评价范围</w:t>
      </w:r>
      <w:r>
        <w:rPr>
          <w:rFonts w:hint="eastAsia" w:ascii="宋体" w:hAnsi="宋体" w:eastAsia="宋体" w:cs="宋体"/>
          <w:color w:val="auto"/>
          <w:sz w:val="24"/>
          <w:szCs w:val="24"/>
          <w:highlight w:val="none"/>
          <w:u w:val="none"/>
          <w:lang w:val="en-US" w:eastAsia="zh-CN"/>
        </w:rPr>
        <w:t>，</w:t>
      </w:r>
      <w:r>
        <w:rPr>
          <w:rFonts w:hint="default" w:ascii="宋体" w:hAnsi="宋体" w:eastAsia="宋体" w:cs="宋体"/>
          <w:color w:val="auto"/>
          <w:sz w:val="24"/>
          <w:szCs w:val="24"/>
          <w:highlight w:val="none"/>
          <w:u w:val="none"/>
          <w:lang w:val="en-US" w:eastAsia="zh-CN"/>
        </w:rPr>
        <w:t>见图2.</w:t>
      </w:r>
      <w:r>
        <w:rPr>
          <w:rFonts w:hint="eastAsia" w:ascii="宋体" w:hAnsi="宋体" w:eastAsia="宋体" w:cs="宋体"/>
          <w:color w:val="auto"/>
          <w:sz w:val="24"/>
          <w:szCs w:val="24"/>
          <w:highlight w:val="none"/>
          <w:u w:val="none"/>
          <w:lang w:val="en-US" w:eastAsia="zh-CN"/>
        </w:rPr>
        <w:t>5</w:t>
      </w:r>
      <w:r>
        <w:rPr>
          <w:rFonts w:hint="default" w:ascii="宋体" w:hAnsi="宋体" w:eastAsia="宋体" w:cs="宋体"/>
          <w:color w:val="auto"/>
          <w:sz w:val="24"/>
          <w:szCs w:val="24"/>
          <w:highlight w:val="none"/>
          <w:u w:val="none"/>
          <w:lang w:val="en-US" w:eastAsia="zh-CN"/>
        </w:rPr>
        <w:t>-1。</w:t>
      </w:r>
    </w:p>
    <w:p w14:paraId="0AD30CB2">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128" w:name="_Hlk48603751"/>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.7</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土壤</w:t>
      </w:r>
    </w:p>
    <w:p w14:paraId="3690D0F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根据《环境影响评价技术导则 陆地石油天然气开发建设项目》（HJ 349-2023），土壤盐化、酸化和碱化地区，建设项目应按照土壤污染影响型和生态影响型，按相应等级分别开展评价工作。</w:t>
      </w:r>
    </w:p>
    <w:p w14:paraId="5308CA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建设项目按照井场、集输管道分别判断行业分类。常规石油和页岩油、致密油等非常规石油开采井场、站场等工程，按照I类建设项目开展土壤环境影响评价。常规天然气和页岩气、致密气等非常规天然气开采（含天然气净化厂）站场等工程，油类和废水等输送管道，按照Ⅱ类建设项目开展土壤环境影响评价。天然气管道按照Ⅳ类建设项目开展土壤环境影响评价。</w:t>
      </w:r>
    </w:p>
    <w:p w14:paraId="5AC6A4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（1）生态影响型评价等级及评级范围</w:t>
      </w:r>
    </w:p>
    <w:p w14:paraId="221B072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1）生态影响型评价等级</w:t>
      </w:r>
    </w:p>
    <w:p w14:paraId="590758D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宋体"/>
          <w:color w:val="auto"/>
          <w:sz w:val="24"/>
          <w:szCs w:val="24"/>
          <w:u w:val="none"/>
          <w:lang w:val="en-US" w:eastAsia="zh-CN" w:bidi="ar-SA"/>
        </w:rPr>
      </w:pPr>
      <w:r>
        <w:rPr>
          <w:rFonts w:hint="eastAsia" w:ascii="宋体" w:hAnsi="宋体" w:eastAsia="宋体" w:cs="宋体"/>
          <w:color w:val="auto"/>
          <w:sz w:val="24"/>
          <w:szCs w:val="24"/>
          <w:highlight w:val="none"/>
          <w:u w:val="none"/>
          <w:lang w:val="en-US" w:eastAsia="zh-CN"/>
        </w:rPr>
        <w:t>生态影响型敏感程度分级，见表2.5-8、表 2.5-9。</w:t>
      </w:r>
    </w:p>
    <w:p w14:paraId="38D6EB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25D232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 xml:space="preserve">2.5-8  </w:t>
      </w:r>
      <w:r>
        <w:rPr>
          <w:rFonts w:hint="default" w:ascii="黑体" w:hAnsi="黑体" w:eastAsia="黑体" w:cs="黑体"/>
          <w:b w:val="0"/>
          <w:bCs/>
          <w:color w:val="auto"/>
          <w:kern w:val="2"/>
          <w:sz w:val="24"/>
          <w:szCs w:val="24"/>
          <w:u w:val="none"/>
          <w:lang w:val="en-US" w:eastAsia="zh-CN" w:bidi="ar-SA"/>
        </w:rPr>
        <w:t>生态影响型敏感程度分级表</w:t>
      </w:r>
    </w:p>
    <w:tbl>
      <w:tblPr>
        <w:tblStyle w:val="37"/>
        <w:tblW w:w="5034"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autofit"/>
        <w:tblCellMar>
          <w:top w:w="0" w:type="dxa"/>
          <w:left w:w="0" w:type="dxa"/>
          <w:bottom w:w="0" w:type="dxa"/>
          <w:right w:w="0" w:type="dxa"/>
        </w:tblCellMar>
      </w:tblPr>
      <w:tblGrid>
        <w:gridCol w:w="963"/>
        <w:gridCol w:w="5724"/>
        <w:gridCol w:w="1064"/>
        <w:gridCol w:w="956"/>
      </w:tblGrid>
      <w:tr w14:paraId="2E17294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trPr>
        <w:tc>
          <w:tcPr>
            <w:tcW w:w="553" w:type="pct"/>
            <w:vMerge w:val="restart"/>
            <w:tcBorders>
              <w:tl2br w:val="nil"/>
              <w:tr2bl w:val="nil"/>
            </w:tcBorders>
            <w:noWrap w:val="0"/>
            <w:vAlign w:val="center"/>
          </w:tcPr>
          <w:p w14:paraId="19F08F9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敏感程度</w:t>
            </w:r>
          </w:p>
        </w:tc>
        <w:tc>
          <w:tcPr>
            <w:tcW w:w="4446" w:type="pct"/>
            <w:gridSpan w:val="3"/>
            <w:tcBorders>
              <w:tl2br w:val="nil"/>
              <w:tr2bl w:val="nil"/>
            </w:tcBorders>
            <w:noWrap w:val="0"/>
            <w:vAlign w:val="center"/>
          </w:tcPr>
          <w:p w14:paraId="3CA7993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判别依据</w:t>
            </w:r>
          </w:p>
        </w:tc>
      </w:tr>
      <w:tr w14:paraId="560B13A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trPr>
        <w:tc>
          <w:tcPr>
            <w:tcW w:w="553" w:type="pct"/>
            <w:vMerge w:val="continue"/>
            <w:tcBorders>
              <w:tl2br w:val="nil"/>
              <w:tr2bl w:val="nil"/>
            </w:tcBorders>
            <w:noWrap w:val="0"/>
            <w:vAlign w:val="center"/>
          </w:tcPr>
          <w:p w14:paraId="2B40214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 w:val="21"/>
                <w:szCs w:val="21"/>
                <w:u w:val="none"/>
                <w:lang w:eastAsia="en-US"/>
              </w:rPr>
            </w:pPr>
          </w:p>
        </w:tc>
        <w:tc>
          <w:tcPr>
            <w:tcW w:w="3287" w:type="pct"/>
            <w:tcBorders>
              <w:tl2br w:val="nil"/>
              <w:tr2bl w:val="nil"/>
            </w:tcBorders>
            <w:noWrap w:val="0"/>
            <w:vAlign w:val="center"/>
          </w:tcPr>
          <w:p w14:paraId="19B8710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盐化</w:t>
            </w:r>
          </w:p>
        </w:tc>
        <w:tc>
          <w:tcPr>
            <w:tcW w:w="611" w:type="pct"/>
            <w:tcBorders>
              <w:tl2br w:val="nil"/>
              <w:tr2bl w:val="nil"/>
            </w:tcBorders>
            <w:noWrap w:val="0"/>
            <w:vAlign w:val="center"/>
          </w:tcPr>
          <w:p w14:paraId="4DE5CC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酸化</w:t>
            </w:r>
          </w:p>
        </w:tc>
        <w:tc>
          <w:tcPr>
            <w:tcW w:w="548" w:type="pct"/>
            <w:tcBorders>
              <w:tl2br w:val="nil"/>
              <w:tr2bl w:val="nil"/>
            </w:tcBorders>
            <w:noWrap w:val="0"/>
            <w:vAlign w:val="center"/>
          </w:tcPr>
          <w:p w14:paraId="0E9516B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碱化</w:t>
            </w:r>
          </w:p>
        </w:tc>
      </w:tr>
      <w:tr w14:paraId="7A3854E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trPr>
        <w:tc>
          <w:tcPr>
            <w:tcW w:w="553" w:type="pct"/>
            <w:tcBorders>
              <w:tl2br w:val="nil"/>
              <w:tr2bl w:val="nil"/>
            </w:tcBorders>
            <w:noWrap w:val="0"/>
            <w:vAlign w:val="center"/>
          </w:tcPr>
          <w:p w14:paraId="3678F18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敏感</w:t>
            </w:r>
          </w:p>
        </w:tc>
        <w:tc>
          <w:tcPr>
            <w:tcW w:w="3287" w:type="pct"/>
            <w:tcBorders>
              <w:tl2br w:val="nil"/>
              <w:tr2bl w:val="nil"/>
            </w:tcBorders>
            <w:noWrap w:val="0"/>
            <w:vAlign w:val="center"/>
          </w:tcPr>
          <w:p w14:paraId="5DA153A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建设项目所在地干燥度 a＞2.5 且常年地下水位平均埋深＜1.5 m 的地势平坦区域；或土壤含盐量＞4 g/kg 的区域</w:t>
            </w:r>
          </w:p>
        </w:tc>
        <w:tc>
          <w:tcPr>
            <w:tcW w:w="611" w:type="pct"/>
            <w:tcBorders>
              <w:tl2br w:val="nil"/>
              <w:tr2bl w:val="nil"/>
            </w:tcBorders>
            <w:noWrap w:val="0"/>
            <w:vAlign w:val="center"/>
          </w:tcPr>
          <w:p w14:paraId="3942AE4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pH≤4.5</w:t>
            </w:r>
          </w:p>
        </w:tc>
        <w:tc>
          <w:tcPr>
            <w:tcW w:w="548" w:type="pct"/>
            <w:tcBorders>
              <w:tl2br w:val="nil"/>
              <w:tr2bl w:val="nil"/>
            </w:tcBorders>
            <w:noWrap w:val="0"/>
            <w:vAlign w:val="center"/>
          </w:tcPr>
          <w:p w14:paraId="021B983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pH≥9.0</w:t>
            </w:r>
          </w:p>
        </w:tc>
      </w:tr>
      <w:tr w14:paraId="117F3BD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trPr>
        <w:tc>
          <w:tcPr>
            <w:tcW w:w="553" w:type="pct"/>
            <w:tcBorders>
              <w:tl2br w:val="nil"/>
              <w:tr2bl w:val="nil"/>
            </w:tcBorders>
            <w:noWrap w:val="0"/>
            <w:vAlign w:val="center"/>
          </w:tcPr>
          <w:p w14:paraId="71993C2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较敏感</w:t>
            </w:r>
          </w:p>
        </w:tc>
        <w:tc>
          <w:tcPr>
            <w:tcW w:w="3287" w:type="pct"/>
            <w:tcBorders>
              <w:tl2br w:val="nil"/>
              <w:tr2bl w:val="nil"/>
            </w:tcBorders>
            <w:noWrap w:val="0"/>
            <w:vAlign w:val="center"/>
          </w:tcPr>
          <w:p w14:paraId="4579CCB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建设项目所在地干燥度＞2.5 且常年地下水位平均埋深≥1.5 m 的，或 1.8＜干燥度≤2.5 且常年地下水位平均埋深＜1.8 m 的地势平坦区域；建设项目所在地干燥度＞2.5 或常年 地下水位平均埋深＜1.5 m 的平原区；或2 g/kg＜土壤含盐 量≤4  g/kg 的区域</w:t>
            </w:r>
          </w:p>
        </w:tc>
        <w:tc>
          <w:tcPr>
            <w:tcW w:w="611" w:type="pct"/>
            <w:tcBorders>
              <w:tl2br w:val="nil"/>
              <w:tr2bl w:val="nil"/>
            </w:tcBorders>
            <w:noWrap w:val="0"/>
            <w:vAlign w:val="center"/>
          </w:tcPr>
          <w:p w14:paraId="1173E62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4.5＜pH≤5.5</w:t>
            </w:r>
          </w:p>
        </w:tc>
        <w:tc>
          <w:tcPr>
            <w:tcW w:w="548" w:type="pct"/>
            <w:tcBorders>
              <w:tl2br w:val="nil"/>
              <w:tr2bl w:val="nil"/>
            </w:tcBorders>
            <w:noWrap w:val="0"/>
            <w:vAlign w:val="center"/>
          </w:tcPr>
          <w:p w14:paraId="7A64788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8.5≤pH＜9.0</w:t>
            </w:r>
          </w:p>
        </w:tc>
      </w:tr>
      <w:tr w14:paraId="293B674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trPr>
        <w:tc>
          <w:tcPr>
            <w:tcW w:w="553" w:type="pct"/>
            <w:tcBorders>
              <w:tl2br w:val="nil"/>
              <w:tr2bl w:val="nil"/>
            </w:tcBorders>
            <w:noWrap w:val="0"/>
            <w:vAlign w:val="center"/>
          </w:tcPr>
          <w:p w14:paraId="4766263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不敏感</w:t>
            </w:r>
          </w:p>
        </w:tc>
        <w:tc>
          <w:tcPr>
            <w:tcW w:w="3287" w:type="pct"/>
            <w:tcBorders>
              <w:tl2br w:val="nil"/>
              <w:tr2bl w:val="nil"/>
            </w:tcBorders>
            <w:noWrap w:val="0"/>
            <w:vAlign w:val="center"/>
          </w:tcPr>
          <w:p w14:paraId="2D16229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其他</w:t>
            </w:r>
          </w:p>
        </w:tc>
        <w:tc>
          <w:tcPr>
            <w:tcW w:w="1159" w:type="pct"/>
            <w:gridSpan w:val="2"/>
            <w:tcBorders>
              <w:tl2br w:val="nil"/>
              <w:tr2bl w:val="nil"/>
            </w:tcBorders>
            <w:noWrap w:val="0"/>
            <w:vAlign w:val="center"/>
          </w:tcPr>
          <w:p w14:paraId="61E3253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5.5＜pH＜8.5</w:t>
            </w:r>
          </w:p>
        </w:tc>
      </w:tr>
      <w:tr w14:paraId="5B9602C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trPr>
        <w:tc>
          <w:tcPr>
            <w:tcW w:w="5000" w:type="pct"/>
            <w:gridSpan w:val="4"/>
            <w:tcBorders>
              <w:tl2br w:val="nil"/>
              <w:tr2bl w:val="nil"/>
            </w:tcBorders>
            <w:noWrap w:val="0"/>
            <w:vAlign w:val="center"/>
          </w:tcPr>
          <w:p w14:paraId="4A1C964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a 是指采用 E601 观测的多年平均水面蒸发量与降水量的比值，即蒸降比值。</w:t>
            </w:r>
          </w:p>
        </w:tc>
      </w:tr>
    </w:tbl>
    <w:p w14:paraId="00506E2F">
      <w:pPr>
        <w:pStyle w:val="6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b w:val="0"/>
          <w:color w:val="auto"/>
          <w:kern w:val="2"/>
          <w:sz w:val="24"/>
          <w:szCs w:val="24"/>
          <w:u w:val="none"/>
          <w:lang w:val="en-US" w:eastAsia="zh-CN" w:bidi="ar-SA"/>
        </w:rPr>
      </w:pPr>
      <w:r>
        <w:rPr>
          <w:rFonts w:hint="eastAsia" w:ascii="宋体" w:hAnsi="宋体" w:eastAsia="宋体" w:cs="宋体"/>
          <w:b w:val="0"/>
          <w:color w:val="auto"/>
          <w:kern w:val="2"/>
          <w:sz w:val="24"/>
          <w:szCs w:val="24"/>
          <w:highlight w:val="none"/>
          <w:u w:val="none"/>
          <w:lang w:val="en-US" w:eastAsia="zh-CN" w:bidi="ar-SA"/>
        </w:rPr>
        <w:t>生态影响型评价工作等级划分、表 2.5-9。</w:t>
      </w:r>
    </w:p>
    <w:p w14:paraId="6FA06E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 2.5-9</w:t>
      </w:r>
      <w:r>
        <w:rPr>
          <w:rFonts w:hint="eastAsia" w:ascii="黑体" w:hAnsi="黑体" w:eastAsia="黑体" w:cs="黑体"/>
          <w:b w:val="0"/>
          <w:bCs/>
          <w:color w:val="auto"/>
          <w:kern w:val="2"/>
          <w:sz w:val="24"/>
          <w:szCs w:val="24"/>
          <w:u w:val="none"/>
          <w:lang w:val="en-US" w:eastAsia="zh-CN" w:bidi="ar-SA"/>
        </w:rPr>
        <w:tab/>
      </w:r>
      <w:r>
        <w:rPr>
          <w:rFonts w:hint="eastAsia" w:ascii="黑体" w:hAnsi="黑体" w:eastAsia="黑体" w:cs="黑体"/>
          <w:b w:val="0"/>
          <w:bCs/>
          <w:color w:val="auto"/>
          <w:kern w:val="2"/>
          <w:sz w:val="24"/>
          <w:szCs w:val="24"/>
          <w:u w:val="none"/>
          <w:lang w:val="en-US" w:eastAsia="zh-CN" w:bidi="ar-SA"/>
        </w:rPr>
        <w:t>生态影响型评价工作等级划分表</w:t>
      </w:r>
    </w:p>
    <w:tbl>
      <w:tblPr>
        <w:tblStyle w:val="37"/>
        <w:tblW w:w="504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autofit"/>
        <w:tblCellMar>
          <w:top w:w="0" w:type="dxa"/>
          <w:left w:w="0" w:type="dxa"/>
          <w:bottom w:w="0" w:type="dxa"/>
          <w:right w:w="0" w:type="dxa"/>
        </w:tblCellMar>
      </w:tblPr>
      <w:tblGrid>
        <w:gridCol w:w="2308"/>
        <w:gridCol w:w="2384"/>
        <w:gridCol w:w="1948"/>
        <w:gridCol w:w="2086"/>
      </w:tblGrid>
      <w:tr w14:paraId="5D2F602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916" w:hRule="atLeast"/>
          <w:jc w:val="center"/>
        </w:trPr>
        <w:tc>
          <w:tcPr>
            <w:tcW w:w="1323" w:type="pct"/>
            <w:tcBorders>
              <w:tl2br w:val="nil"/>
              <w:tr2bl w:val="nil"/>
            </w:tcBorders>
            <w:noWrap w:val="0"/>
            <w:vAlign w:val="center"/>
          </w:tcPr>
          <w:p w14:paraId="2F99ED9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宋体" w:hAnsi="宋体" w:eastAsia="宋体" w:cs="宋体"/>
                <w:color w:val="auto"/>
                <w:kern w:val="0"/>
                <w:sz w:val="21"/>
                <w:szCs w:val="21"/>
                <w:u w:val="none"/>
                <w:lang w:eastAsia="en-US"/>
              </w:rPr>
            </w:pPr>
            <w:r>
              <w:rPr>
                <w:rFonts w:ascii="Times New Roman" w:hAnsi="Times New Roman" w:eastAsia="宋体" w:cs="Times New Roman"/>
                <w:b/>
                <w:color w:val="auto"/>
                <w:kern w:val="0"/>
                <w:sz w:val="20"/>
                <w:szCs w:val="16"/>
                <w:u w:val="none"/>
              </w:rPr>
              <mc:AlternateContent>
                <mc:Choice Requires="wps">
                  <w:drawing>
                    <wp:anchor distT="0" distB="0" distL="114300" distR="114300" simplePos="0" relativeHeight="251693056" behindDoc="0" locked="0" layoutInCell="1" allowOverlap="1">
                      <wp:simplePos x="0" y="0"/>
                      <wp:positionH relativeFrom="column">
                        <wp:posOffset>523240</wp:posOffset>
                      </wp:positionH>
                      <wp:positionV relativeFrom="paragraph">
                        <wp:posOffset>1905</wp:posOffset>
                      </wp:positionV>
                      <wp:extent cx="890270" cy="589280"/>
                      <wp:effectExtent l="2540" t="3810" r="2540" b="16510"/>
                      <wp:wrapNone/>
                      <wp:docPr id="96" name="直接箭头连接符 96"/>
                      <wp:cNvGraphicFramePr/>
                      <a:graphic xmlns:a="http://schemas.openxmlformats.org/drawingml/2006/main">
                        <a:graphicData uri="http://schemas.microsoft.com/office/word/2010/wordprocessingShape">
                          <wps:wsp>
                            <wps:cNvCnPr/>
                            <wps:spPr>
                              <a:xfrm>
                                <a:off x="0" y="0"/>
                                <a:ext cx="890270" cy="589280"/>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1.2pt;margin-top:0.15pt;height:46.4pt;width:70.1pt;z-index:251693056;mso-width-relative:page;mso-height-relative:page;" filled="f" stroked="t" coordsize="21600,21600" o:gfxdata="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ENv+1wAAAAYBAAAPAAAAAAAAAAEAIAAAACIAAABkcnMv&#10;ZG93bnJldi54bWxQSwECFAAUAAAACACHTuJAwRFrZwQCAADyAwAADgAAAAAAAAABACAAAAAmAQAA&#10;ZHJzL2Uyb0RvYy54bWxQSwUGAAAAAAYABgBZAQAAnAUAAAAA&#10;">
                      <v:fill on="f" focussize="0,0"/>
                      <v:stroke weight="0.5pt" color="#0D0D0D" joinstyle="round"/>
                      <v:imagedata o:title=""/>
                      <o:lock v:ext="edit" aspectratio="f"/>
                    </v:shape>
                  </w:pict>
                </mc:Fallback>
              </mc:AlternateContent>
            </w:r>
            <w:r>
              <w:rPr>
                <w:rFonts w:hint="eastAsia" w:ascii="宋体" w:hAnsi="宋体" w:eastAsia="宋体" w:cs="宋体"/>
                <w:color w:val="auto"/>
                <w:kern w:val="0"/>
                <w:sz w:val="21"/>
                <w:szCs w:val="21"/>
                <w:u w:val="none"/>
                <w:lang w:val="en-US" w:eastAsia="zh-CN"/>
              </w:rPr>
              <w:t xml:space="preserve">            </w:t>
            </w:r>
            <w:r>
              <w:rPr>
                <w:rFonts w:hint="default" w:ascii="宋体" w:hAnsi="宋体" w:eastAsia="宋体" w:cs="宋体"/>
                <w:color w:val="auto"/>
                <w:kern w:val="0"/>
                <w:sz w:val="21"/>
                <w:szCs w:val="21"/>
                <w:u w:val="none"/>
                <w:lang w:val="en-US" w:eastAsia="en-US"/>
              </w:rPr>
              <w:t>项目类别</w:t>
            </w:r>
          </w:p>
          <w:p w14:paraId="5CB74027">
            <w:pPr>
              <w:keepNext w:val="0"/>
              <w:keepLines w:val="0"/>
              <w:pageBreakBefore w:val="0"/>
              <w:widowControl/>
              <w:kinsoku/>
              <w:wordWrap/>
              <w:overflowPunct/>
              <w:topLinePunct w:val="0"/>
              <w:autoSpaceDE/>
              <w:autoSpaceDN/>
              <w:bidi w:val="0"/>
              <w:adjustRightInd/>
              <w:snapToGrid/>
              <w:spacing w:line="340" w:lineRule="exact"/>
              <w:ind w:firstLine="630" w:firstLineChars="300"/>
              <w:jc w:val="both"/>
              <w:textAlignment w:val="auto"/>
              <w:rPr>
                <w:rFonts w:ascii="宋体" w:hAnsi="宋体" w:eastAsia="宋体" w:cs="宋体"/>
                <w:color w:val="auto"/>
                <w:kern w:val="0"/>
                <w:sz w:val="21"/>
                <w:szCs w:val="21"/>
                <w:u w:val="none"/>
                <w:lang w:eastAsia="en-US"/>
              </w:rPr>
            </w:pPr>
            <w:r>
              <w:rPr>
                <w:rFonts w:ascii="Times New Roman" w:hAnsi="Times New Roman" w:eastAsia="宋体" w:cs="Times New Roman"/>
                <w:color w:val="auto"/>
                <w:kern w:val="0"/>
                <w:sz w:val="21"/>
                <w:szCs w:val="21"/>
                <w:u w:val="none"/>
              </w:rPr>
              <mc:AlternateContent>
                <mc:Choice Requires="wps">
                  <w:drawing>
                    <wp:anchor distT="0" distB="0" distL="114300" distR="114300" simplePos="0" relativeHeight="251694080" behindDoc="0" locked="0" layoutInCell="1" allowOverlap="1">
                      <wp:simplePos x="0" y="0"/>
                      <wp:positionH relativeFrom="column">
                        <wp:posOffset>-7620</wp:posOffset>
                      </wp:positionH>
                      <wp:positionV relativeFrom="paragraph">
                        <wp:posOffset>125095</wp:posOffset>
                      </wp:positionV>
                      <wp:extent cx="1404620" cy="269875"/>
                      <wp:effectExtent l="635" t="4445" r="4445" b="11430"/>
                      <wp:wrapNone/>
                      <wp:docPr id="97" name="直接箭头连接符 97"/>
                      <wp:cNvGraphicFramePr/>
                      <a:graphic xmlns:a="http://schemas.openxmlformats.org/drawingml/2006/main">
                        <a:graphicData uri="http://schemas.microsoft.com/office/word/2010/wordprocessingShape">
                          <wps:wsp>
                            <wps:cNvCnPr/>
                            <wps:spPr>
                              <a:xfrm>
                                <a:off x="0" y="0"/>
                                <a:ext cx="1404620" cy="269875"/>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6pt;margin-top:9.85pt;height:21.25pt;width:110.6pt;z-index:251694080;mso-width-relative:page;mso-height-relative:page;" filled="f" stroked="t" coordsize="21600,21600" o:gfxdata="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m/MFtgAAAAIAQAADwAAAAAAAAABACAAAAAiAAAAZHJz&#10;L2Rvd25yZXYueG1sUEsBAhQAFAAAAAgAh07iQO3hRQ0EAgAA8wMAAA4AAAAAAAAAAQAgAAAAJwEA&#10;AGRycy9lMm9Eb2MueG1sUEsFBgAAAAAGAAYAWQEAAJ0FAAAAAA==&#10;">
                      <v:fill on="f" focussize="0,0"/>
                      <v:stroke weight="0.5pt" color="#0D0D0D" joinstyle="round"/>
                      <v:imagedata o:title=""/>
                      <o:lock v:ext="edit" aspectratio="f"/>
                    </v:shape>
                  </w:pict>
                </mc:Fallback>
              </mc:AlternateContent>
            </w:r>
            <w:r>
              <w:rPr>
                <w:rFonts w:hint="default" w:ascii="宋体" w:hAnsi="宋体" w:eastAsia="宋体" w:cs="宋体"/>
                <w:color w:val="auto"/>
                <w:kern w:val="0"/>
                <w:sz w:val="21"/>
                <w:szCs w:val="21"/>
                <w:u w:val="none"/>
                <w:lang w:val="en-US" w:eastAsia="en-US"/>
              </w:rPr>
              <w:t>评价等级</w:t>
            </w:r>
          </w:p>
          <w:p w14:paraId="598FE61E">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ascii="宋体" w:hAnsi="宋体" w:eastAsia="宋体" w:cs="宋体"/>
                <w:color w:val="auto"/>
                <w:kern w:val="0"/>
                <w:sz w:val="21"/>
                <w:szCs w:val="21"/>
                <w:u w:val="none"/>
                <w:lang w:eastAsia="en-US"/>
              </w:rPr>
            </w:pPr>
            <w:r>
              <w:rPr>
                <w:rFonts w:hint="default" w:ascii="宋体" w:hAnsi="宋体" w:eastAsia="宋体" w:cs="宋体"/>
                <w:color w:val="auto"/>
                <w:kern w:val="0"/>
                <w:sz w:val="21"/>
                <w:szCs w:val="21"/>
                <w:u w:val="none"/>
                <w:lang w:val="en-US" w:eastAsia="en-US"/>
              </w:rPr>
              <w:t>敏感程度</w:t>
            </w:r>
          </w:p>
        </w:tc>
        <w:tc>
          <w:tcPr>
            <w:tcW w:w="1366" w:type="pct"/>
            <w:tcBorders>
              <w:tl2br w:val="nil"/>
              <w:tr2bl w:val="nil"/>
            </w:tcBorders>
            <w:noWrap w:val="0"/>
            <w:vAlign w:val="center"/>
          </w:tcPr>
          <w:p w14:paraId="264F8EA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Ⅰ类</w:t>
            </w:r>
          </w:p>
        </w:tc>
        <w:tc>
          <w:tcPr>
            <w:tcW w:w="1116" w:type="pct"/>
            <w:tcBorders>
              <w:tl2br w:val="nil"/>
              <w:tr2bl w:val="nil"/>
            </w:tcBorders>
            <w:noWrap w:val="0"/>
            <w:vAlign w:val="center"/>
          </w:tcPr>
          <w:p w14:paraId="7CDC4DF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Ⅱ类</w:t>
            </w:r>
          </w:p>
        </w:tc>
        <w:tc>
          <w:tcPr>
            <w:tcW w:w="1192" w:type="pct"/>
            <w:tcBorders>
              <w:tl2br w:val="nil"/>
              <w:tr2bl w:val="nil"/>
            </w:tcBorders>
            <w:noWrap w:val="0"/>
            <w:vAlign w:val="center"/>
          </w:tcPr>
          <w:p w14:paraId="08D12FF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Ⅲ类</w:t>
            </w:r>
          </w:p>
        </w:tc>
      </w:tr>
      <w:tr w14:paraId="79114E5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jc w:val="center"/>
        </w:trPr>
        <w:tc>
          <w:tcPr>
            <w:tcW w:w="1323" w:type="pct"/>
            <w:tcBorders>
              <w:tl2br w:val="nil"/>
              <w:tr2bl w:val="nil"/>
            </w:tcBorders>
            <w:noWrap w:val="0"/>
            <w:vAlign w:val="center"/>
          </w:tcPr>
          <w:p w14:paraId="374812A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敏感</w:t>
            </w:r>
          </w:p>
        </w:tc>
        <w:tc>
          <w:tcPr>
            <w:tcW w:w="1366" w:type="pct"/>
            <w:tcBorders>
              <w:tl2br w:val="nil"/>
              <w:tr2bl w:val="nil"/>
            </w:tcBorders>
            <w:noWrap w:val="0"/>
            <w:vAlign w:val="center"/>
          </w:tcPr>
          <w:p w14:paraId="4BF3FAE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一级</w:t>
            </w:r>
          </w:p>
        </w:tc>
        <w:tc>
          <w:tcPr>
            <w:tcW w:w="1116" w:type="pct"/>
            <w:tcBorders>
              <w:tl2br w:val="nil"/>
              <w:tr2bl w:val="nil"/>
            </w:tcBorders>
            <w:noWrap w:val="0"/>
            <w:vAlign w:val="center"/>
          </w:tcPr>
          <w:p w14:paraId="3227F2C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二级</w:t>
            </w:r>
          </w:p>
        </w:tc>
        <w:tc>
          <w:tcPr>
            <w:tcW w:w="1192" w:type="pct"/>
            <w:tcBorders>
              <w:tl2br w:val="nil"/>
              <w:tr2bl w:val="nil"/>
            </w:tcBorders>
            <w:noWrap w:val="0"/>
            <w:vAlign w:val="center"/>
          </w:tcPr>
          <w:p w14:paraId="5103F98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三级</w:t>
            </w:r>
          </w:p>
        </w:tc>
      </w:tr>
      <w:tr w14:paraId="38A417F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jc w:val="center"/>
        </w:trPr>
        <w:tc>
          <w:tcPr>
            <w:tcW w:w="1323" w:type="pct"/>
            <w:tcBorders>
              <w:tl2br w:val="nil"/>
              <w:tr2bl w:val="nil"/>
            </w:tcBorders>
            <w:noWrap w:val="0"/>
            <w:vAlign w:val="center"/>
          </w:tcPr>
          <w:p w14:paraId="489F926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较敏感</w:t>
            </w:r>
          </w:p>
        </w:tc>
        <w:tc>
          <w:tcPr>
            <w:tcW w:w="1366" w:type="pct"/>
            <w:tcBorders>
              <w:tl2br w:val="nil"/>
              <w:tr2bl w:val="nil"/>
            </w:tcBorders>
            <w:noWrap w:val="0"/>
            <w:vAlign w:val="center"/>
          </w:tcPr>
          <w:p w14:paraId="0153848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二级</w:t>
            </w:r>
          </w:p>
        </w:tc>
        <w:tc>
          <w:tcPr>
            <w:tcW w:w="1116" w:type="pct"/>
            <w:tcBorders>
              <w:tl2br w:val="nil"/>
              <w:tr2bl w:val="nil"/>
            </w:tcBorders>
            <w:noWrap w:val="0"/>
            <w:vAlign w:val="center"/>
          </w:tcPr>
          <w:p w14:paraId="777A53F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二级</w:t>
            </w:r>
          </w:p>
        </w:tc>
        <w:tc>
          <w:tcPr>
            <w:tcW w:w="1192" w:type="pct"/>
            <w:tcBorders>
              <w:tl2br w:val="nil"/>
              <w:tr2bl w:val="nil"/>
            </w:tcBorders>
            <w:noWrap w:val="0"/>
            <w:vAlign w:val="center"/>
          </w:tcPr>
          <w:p w14:paraId="4D8E401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三级</w:t>
            </w:r>
          </w:p>
        </w:tc>
      </w:tr>
      <w:tr w14:paraId="35214E5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jc w:val="center"/>
        </w:trPr>
        <w:tc>
          <w:tcPr>
            <w:tcW w:w="1323" w:type="pct"/>
            <w:tcBorders>
              <w:tl2br w:val="nil"/>
              <w:tr2bl w:val="nil"/>
            </w:tcBorders>
            <w:noWrap w:val="0"/>
            <w:vAlign w:val="center"/>
          </w:tcPr>
          <w:p w14:paraId="5D784A4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不敏感</w:t>
            </w:r>
          </w:p>
        </w:tc>
        <w:tc>
          <w:tcPr>
            <w:tcW w:w="1366" w:type="pct"/>
            <w:tcBorders>
              <w:tl2br w:val="nil"/>
              <w:tr2bl w:val="nil"/>
            </w:tcBorders>
            <w:noWrap w:val="0"/>
            <w:vAlign w:val="center"/>
          </w:tcPr>
          <w:p w14:paraId="6C6321E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二级</w:t>
            </w:r>
          </w:p>
        </w:tc>
        <w:tc>
          <w:tcPr>
            <w:tcW w:w="1116" w:type="pct"/>
            <w:tcBorders>
              <w:tl2br w:val="nil"/>
              <w:tr2bl w:val="nil"/>
            </w:tcBorders>
            <w:noWrap w:val="0"/>
            <w:vAlign w:val="center"/>
          </w:tcPr>
          <w:p w14:paraId="0F8F89D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三级</w:t>
            </w:r>
          </w:p>
        </w:tc>
        <w:tc>
          <w:tcPr>
            <w:tcW w:w="1192" w:type="pct"/>
            <w:tcBorders>
              <w:tl2br w:val="nil"/>
              <w:tr2bl w:val="nil"/>
            </w:tcBorders>
            <w:noWrap w:val="0"/>
            <w:vAlign w:val="center"/>
          </w:tcPr>
          <w:p w14:paraId="3E8CEC3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ascii="宋体" w:hAnsi="宋体" w:eastAsia="宋体" w:cs="宋体"/>
                <w:color w:val="auto"/>
                <w:kern w:val="0"/>
                <w:sz w:val="21"/>
                <w:szCs w:val="21"/>
                <w:u w:val="none"/>
                <w:lang w:val="en-US" w:eastAsia="en-US"/>
              </w:rPr>
              <w:t>-</w:t>
            </w:r>
          </w:p>
        </w:tc>
      </w:tr>
      <w:tr w14:paraId="371CBA8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jc w:val="center"/>
        </w:trPr>
        <w:tc>
          <w:tcPr>
            <w:tcW w:w="5000" w:type="pct"/>
            <w:gridSpan w:val="4"/>
            <w:tcBorders>
              <w:tl2br w:val="nil"/>
              <w:tr2bl w:val="nil"/>
            </w:tcBorders>
            <w:noWrap w:val="0"/>
            <w:vAlign w:val="center"/>
          </w:tcPr>
          <w:p w14:paraId="3C29CC8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kern w:val="0"/>
                <w:sz w:val="21"/>
                <w:szCs w:val="21"/>
                <w:u w:val="none"/>
                <w:lang w:val="en-US" w:eastAsia="en-US"/>
              </w:rPr>
            </w:pPr>
            <w:r>
              <w:rPr>
                <w:rFonts w:hint="default" w:ascii="宋体" w:hAnsi="宋体" w:eastAsia="宋体" w:cs="宋体"/>
                <w:color w:val="auto"/>
                <w:kern w:val="0"/>
                <w:sz w:val="21"/>
                <w:szCs w:val="21"/>
                <w:u w:val="none"/>
                <w:lang w:val="en-US" w:eastAsia="en-US"/>
              </w:rPr>
              <w:t>注：“-”表示可不开展土壤环境影响评价工作。</w:t>
            </w:r>
          </w:p>
        </w:tc>
      </w:tr>
    </w:tbl>
    <w:p w14:paraId="2AB9D8E7">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ascii="Times New Roman" w:hAnsi="Times New Roman" w:eastAsia="宋体" w:cs="宋体"/>
          <w:color w:val="auto"/>
          <w:sz w:val="24"/>
          <w:szCs w:val="24"/>
          <w:u w:val="none"/>
          <w:lang w:val="en-US" w:eastAsia="zh-CN" w:bidi="ar-SA"/>
        </w:rPr>
      </w:pPr>
      <w:r>
        <w:rPr>
          <w:rFonts w:hint="eastAsia" w:cs="宋体"/>
          <w:color w:val="auto"/>
          <w:sz w:val="24"/>
          <w:szCs w:val="24"/>
          <w:u w:val="none"/>
          <w:lang w:val="en-US" w:eastAsia="zh-CN" w:bidi="ar-SA"/>
        </w:rPr>
        <w:t>根据本次现状监测，土壤含盐量均小于2g/kg，pH值均大于9.0，</w:t>
      </w:r>
      <w:r>
        <w:rPr>
          <w:rFonts w:hint="eastAsia" w:ascii="Times New Roman" w:hAnsi="Times New Roman" w:eastAsia="宋体" w:cs="宋体"/>
          <w:color w:val="auto"/>
          <w:sz w:val="24"/>
          <w:szCs w:val="24"/>
          <w:u w:val="none"/>
          <w:lang w:val="en-US" w:eastAsia="zh-CN" w:bidi="ar-SA"/>
        </w:rPr>
        <w:t>土壤敏感程度为“敏感”，本工程为</w:t>
      </w:r>
      <w:r>
        <w:rPr>
          <w:rFonts w:hint="eastAsia" w:cs="宋体"/>
          <w:color w:val="auto"/>
          <w:sz w:val="24"/>
          <w:szCs w:val="24"/>
          <w:u w:val="none"/>
          <w:lang w:val="en-US" w:eastAsia="zh-CN" w:bidi="ar-SA"/>
        </w:rPr>
        <w:t>天然气</w:t>
      </w:r>
      <w:r>
        <w:rPr>
          <w:rFonts w:hint="eastAsia" w:ascii="Times New Roman" w:hAnsi="Times New Roman" w:eastAsia="宋体" w:cs="宋体"/>
          <w:color w:val="auto"/>
          <w:sz w:val="24"/>
          <w:szCs w:val="24"/>
          <w:u w:val="none"/>
          <w:lang w:val="en-US" w:eastAsia="zh-CN" w:bidi="ar-SA"/>
        </w:rPr>
        <w:t>开采项目，</w:t>
      </w:r>
      <w:r>
        <w:rPr>
          <w:rFonts w:hint="eastAsia" w:cs="宋体"/>
          <w:color w:val="auto"/>
          <w:sz w:val="24"/>
          <w:szCs w:val="24"/>
          <w:u w:val="none"/>
          <w:lang w:val="en-US" w:eastAsia="zh-CN" w:bidi="ar-SA"/>
        </w:rPr>
        <w:t>井场</w:t>
      </w:r>
      <w:r>
        <w:rPr>
          <w:rFonts w:hint="eastAsia" w:ascii="Times New Roman" w:hAnsi="Times New Roman" w:eastAsia="宋体" w:cs="宋体"/>
          <w:color w:val="auto"/>
          <w:sz w:val="24"/>
          <w:szCs w:val="24"/>
          <w:u w:val="none"/>
          <w:lang w:val="en-US" w:eastAsia="zh-CN" w:bidi="ar-SA"/>
        </w:rPr>
        <w:t>属于</w:t>
      </w:r>
      <w:r>
        <w:rPr>
          <w:rFonts w:hint="eastAsia" w:cs="Times New Roman"/>
          <w:color w:val="auto"/>
          <w:kern w:val="0"/>
          <w:sz w:val="24"/>
          <w:szCs w:val="24"/>
          <w:highlight w:val="none"/>
          <w:u w:val="none"/>
          <w:lang w:eastAsia="zh-CN"/>
        </w:rPr>
        <w:t>Ⅱ</w:t>
      </w:r>
      <w:r>
        <w:rPr>
          <w:rFonts w:hint="eastAsia" w:ascii="Times New Roman" w:hAnsi="Times New Roman" w:eastAsia="宋体" w:cs="宋体"/>
          <w:color w:val="auto"/>
          <w:sz w:val="24"/>
          <w:szCs w:val="24"/>
          <w:u w:val="none"/>
          <w:lang w:val="en-US" w:eastAsia="zh-CN" w:bidi="ar-SA"/>
        </w:rPr>
        <w:t>类项目，生态影响型评价等级划分为</w:t>
      </w:r>
      <w:r>
        <w:rPr>
          <w:rFonts w:hint="eastAsia" w:cs="宋体"/>
          <w:color w:val="auto"/>
          <w:sz w:val="24"/>
          <w:szCs w:val="24"/>
          <w:u w:val="none"/>
          <w:lang w:val="en-US" w:eastAsia="zh-CN" w:bidi="ar-SA"/>
        </w:rPr>
        <w:t>二</w:t>
      </w:r>
      <w:r>
        <w:rPr>
          <w:rFonts w:hint="eastAsia" w:ascii="Times New Roman" w:hAnsi="Times New Roman" w:eastAsia="宋体" w:cs="宋体"/>
          <w:color w:val="auto"/>
          <w:sz w:val="24"/>
          <w:szCs w:val="24"/>
          <w:u w:val="none"/>
          <w:lang w:val="en-US" w:eastAsia="zh-CN" w:bidi="ar-SA"/>
        </w:rPr>
        <w:t>级</w:t>
      </w:r>
      <w:r>
        <w:rPr>
          <w:rFonts w:hint="eastAsia" w:cs="宋体"/>
          <w:color w:val="auto"/>
          <w:sz w:val="24"/>
          <w:szCs w:val="24"/>
          <w:u w:val="none"/>
          <w:lang w:val="en-US" w:eastAsia="zh-CN" w:bidi="ar-SA"/>
        </w:rPr>
        <w:t>；天然气</w:t>
      </w:r>
      <w:r>
        <w:rPr>
          <w:rFonts w:hint="eastAsia" w:ascii="Times New Roman" w:hAnsi="Times New Roman" w:eastAsia="宋体" w:cs="宋体"/>
          <w:color w:val="auto"/>
          <w:sz w:val="24"/>
          <w:szCs w:val="24"/>
          <w:u w:val="none"/>
          <w:lang w:val="en-US" w:eastAsia="zh-CN" w:bidi="ar-SA"/>
        </w:rPr>
        <w:t>管线建设属于Ⅳ类项目，可不开展土壤环境影响评价工作</w:t>
      </w:r>
      <w:r>
        <w:rPr>
          <w:rFonts w:hint="eastAsia" w:ascii="Times New Roman" w:hAnsi="Times New Roman" w:cs="宋体"/>
          <w:color w:val="auto"/>
          <w:sz w:val="24"/>
          <w:szCs w:val="24"/>
          <w:u w:val="none"/>
          <w:lang w:val="en-US" w:eastAsia="zh-CN" w:bidi="ar-SA"/>
        </w:rPr>
        <w:t>。</w:t>
      </w:r>
    </w:p>
    <w:p w14:paraId="63F7BFDC">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宋体"/>
          <w:color w:val="auto"/>
          <w:sz w:val="24"/>
          <w:szCs w:val="24"/>
          <w:u w:val="none"/>
          <w:lang w:val="en-US" w:eastAsia="zh-CN" w:bidi="ar-SA"/>
        </w:rPr>
      </w:pPr>
      <w:r>
        <w:rPr>
          <w:rFonts w:hint="eastAsia" w:cs="宋体"/>
          <w:color w:val="auto"/>
          <w:sz w:val="24"/>
          <w:szCs w:val="24"/>
          <w:u w:val="none"/>
          <w:lang w:val="en-US" w:eastAsia="zh-CN" w:bidi="ar-SA"/>
        </w:rPr>
        <w:t>2）</w:t>
      </w:r>
      <w:r>
        <w:rPr>
          <w:rFonts w:hint="eastAsia" w:ascii="Times New Roman" w:hAnsi="Times New Roman" w:eastAsia="宋体" w:cs="宋体"/>
          <w:color w:val="auto"/>
          <w:sz w:val="24"/>
          <w:szCs w:val="24"/>
          <w:u w:val="none"/>
          <w:lang w:val="en-US" w:eastAsia="zh-CN" w:bidi="ar-SA"/>
        </w:rPr>
        <w:t>评价范围</w:t>
      </w:r>
    </w:p>
    <w:p w14:paraId="767AC616">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imes New Roman" w:eastAsia="宋体" w:cs="宋体"/>
          <w:color w:val="auto"/>
          <w:sz w:val="24"/>
          <w:szCs w:val="24"/>
          <w:u w:val="none"/>
          <w:lang w:val="en-US" w:eastAsia="zh-CN" w:bidi="ar-SA"/>
        </w:rPr>
      </w:pPr>
      <w:r>
        <w:rPr>
          <w:rFonts w:hint="eastAsia" w:ascii="Times New Roman" w:hAnsi="Times New Roman" w:eastAsia="宋体" w:cs="宋体"/>
          <w:color w:val="auto"/>
          <w:sz w:val="24"/>
          <w:szCs w:val="24"/>
          <w:u w:val="none"/>
          <w:lang w:val="en-US" w:eastAsia="zh-CN" w:bidi="ar-SA"/>
        </w:rPr>
        <w:t>根据评价工作等级，并结合本工程特点，考虑油田整体开发对区域的影响，确定土壤生态影响型评价范围为集输管线两侧各200m带状区域范围，</w:t>
      </w:r>
      <w:r>
        <w:rPr>
          <w:rFonts w:hint="eastAsia" w:cs="宋体"/>
          <w:color w:val="auto"/>
          <w:sz w:val="24"/>
          <w:szCs w:val="24"/>
          <w:u w:val="none"/>
          <w:lang w:val="en-US" w:eastAsia="zh-CN" w:bidi="ar-SA"/>
        </w:rPr>
        <w:t>井场</w:t>
      </w:r>
      <w:r>
        <w:rPr>
          <w:rFonts w:hint="eastAsia" w:ascii="Times New Roman" w:hAnsi="Times New Roman" w:eastAsia="宋体" w:cs="宋体"/>
          <w:color w:val="auto"/>
          <w:sz w:val="24"/>
          <w:szCs w:val="24"/>
          <w:u w:val="none"/>
          <w:lang w:val="en-US" w:eastAsia="zh-CN" w:bidi="ar-SA"/>
        </w:rPr>
        <w:t>边界外</w:t>
      </w:r>
      <w:r>
        <w:rPr>
          <w:rFonts w:hint="eastAsia" w:cs="宋体"/>
          <w:color w:val="auto"/>
          <w:sz w:val="24"/>
          <w:szCs w:val="24"/>
          <w:u w:val="none"/>
          <w:lang w:val="en-US" w:eastAsia="zh-CN" w:bidi="ar-SA"/>
        </w:rPr>
        <w:t>2</w:t>
      </w:r>
      <w:r>
        <w:rPr>
          <w:rFonts w:hint="eastAsia" w:ascii="Times New Roman" w:hAnsi="Times New Roman" w:eastAsia="宋体" w:cs="宋体"/>
          <w:color w:val="auto"/>
          <w:sz w:val="24"/>
          <w:szCs w:val="24"/>
          <w:u w:val="none"/>
          <w:lang w:val="en-US" w:eastAsia="zh-CN" w:bidi="ar-SA"/>
        </w:rPr>
        <w:t>km区域范围。</w:t>
      </w:r>
    </w:p>
    <w:p w14:paraId="75FDADB9">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imes New Roman" w:eastAsia="宋体" w:cs="宋体"/>
          <w:color w:val="auto"/>
          <w:sz w:val="24"/>
          <w:szCs w:val="24"/>
          <w:u w:val="none"/>
          <w:lang w:val="en-US" w:eastAsia="zh-CN" w:bidi="ar-SA"/>
        </w:rPr>
      </w:pPr>
      <w:r>
        <w:rPr>
          <w:rFonts w:hint="eastAsia" w:ascii="Times New Roman" w:hAnsi="Times New Roman" w:eastAsia="宋体" w:cs="宋体"/>
          <w:color w:val="auto"/>
          <w:sz w:val="24"/>
          <w:szCs w:val="24"/>
          <w:u w:val="none"/>
          <w:lang w:val="en-US" w:eastAsia="zh-CN" w:bidi="ar-SA"/>
        </w:rPr>
        <w:t>（2）污染影响型评价等级及评级范围</w:t>
      </w:r>
    </w:p>
    <w:p w14:paraId="43797BC9">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imes New Roman" w:eastAsia="宋体" w:cs="宋体"/>
          <w:color w:val="auto"/>
          <w:sz w:val="24"/>
          <w:szCs w:val="24"/>
          <w:u w:val="none"/>
          <w:lang w:val="en-US" w:eastAsia="zh-CN" w:bidi="ar-SA"/>
        </w:rPr>
      </w:pPr>
      <w:r>
        <w:rPr>
          <w:rFonts w:hint="eastAsia" w:cs="宋体"/>
          <w:color w:val="auto"/>
          <w:sz w:val="24"/>
          <w:szCs w:val="24"/>
          <w:u w:val="none"/>
          <w:lang w:val="en-US" w:eastAsia="zh-CN" w:bidi="ar-SA"/>
        </w:rPr>
        <w:t>1）</w:t>
      </w:r>
      <w:r>
        <w:rPr>
          <w:rFonts w:hint="eastAsia" w:ascii="Times New Roman" w:hAnsi="Times New Roman" w:eastAsia="宋体" w:cs="宋体"/>
          <w:color w:val="auto"/>
          <w:sz w:val="24"/>
          <w:szCs w:val="24"/>
          <w:u w:val="none"/>
          <w:lang w:val="en-US" w:eastAsia="zh-CN" w:bidi="ar-SA"/>
        </w:rPr>
        <w:t>污染影响型评价等级</w:t>
      </w:r>
    </w:p>
    <w:p w14:paraId="71F18E23">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宋体"/>
          <w:color w:val="auto"/>
          <w:sz w:val="24"/>
          <w:szCs w:val="24"/>
          <w:u w:val="none"/>
          <w:lang w:val="en-US" w:eastAsia="zh-CN" w:bidi="ar-SA"/>
        </w:rPr>
      </w:pPr>
      <w:r>
        <w:rPr>
          <w:rFonts w:hint="eastAsia" w:ascii="Times New Roman" w:hAnsi="Times New Roman" w:eastAsia="宋体" w:cs="宋体"/>
          <w:color w:val="auto"/>
          <w:sz w:val="24"/>
          <w:szCs w:val="24"/>
          <w:u w:val="none"/>
          <w:lang w:val="en-US" w:eastAsia="zh-CN" w:bidi="ar-SA"/>
        </w:rPr>
        <w:t>污染影响型敏感程度分级</w:t>
      </w:r>
      <w:r>
        <w:rPr>
          <w:rFonts w:hint="eastAsia" w:cs="宋体"/>
          <w:color w:val="auto"/>
          <w:sz w:val="24"/>
          <w:szCs w:val="24"/>
          <w:u w:val="none"/>
          <w:lang w:val="en-US" w:eastAsia="zh-CN" w:bidi="ar-SA"/>
        </w:rPr>
        <w:t>，</w:t>
      </w:r>
      <w:r>
        <w:rPr>
          <w:rFonts w:hint="eastAsia" w:ascii="Times New Roman" w:hAnsi="Times New Roman" w:eastAsia="宋体" w:cs="宋体"/>
          <w:color w:val="auto"/>
          <w:sz w:val="24"/>
          <w:szCs w:val="24"/>
          <w:u w:val="none"/>
          <w:lang w:val="en-US" w:eastAsia="zh-CN" w:bidi="ar-SA"/>
        </w:rPr>
        <w:t>见表2.</w:t>
      </w:r>
      <w:r>
        <w:rPr>
          <w:rFonts w:hint="eastAsia" w:cs="宋体"/>
          <w:color w:val="auto"/>
          <w:sz w:val="24"/>
          <w:szCs w:val="24"/>
          <w:u w:val="none"/>
          <w:lang w:val="en-US" w:eastAsia="zh-CN" w:bidi="ar-SA"/>
        </w:rPr>
        <w:t>5</w:t>
      </w:r>
      <w:r>
        <w:rPr>
          <w:rFonts w:hint="eastAsia" w:ascii="Times New Roman" w:hAnsi="Times New Roman" w:eastAsia="宋体" w:cs="宋体"/>
          <w:color w:val="auto"/>
          <w:sz w:val="24"/>
          <w:szCs w:val="24"/>
          <w:u w:val="none"/>
          <w:lang w:val="en-US" w:eastAsia="zh-CN" w:bidi="ar-SA"/>
        </w:rPr>
        <w:t>-</w:t>
      </w:r>
      <w:r>
        <w:rPr>
          <w:rFonts w:hint="eastAsia" w:cs="宋体"/>
          <w:color w:val="auto"/>
          <w:sz w:val="24"/>
          <w:szCs w:val="24"/>
          <w:u w:val="none"/>
          <w:lang w:val="en-US" w:eastAsia="zh-CN" w:bidi="ar-SA"/>
        </w:rPr>
        <w:t>10</w:t>
      </w:r>
      <w:r>
        <w:rPr>
          <w:rFonts w:hint="eastAsia" w:ascii="Times New Roman" w:hAnsi="Times New Roman" w:eastAsia="宋体" w:cs="宋体"/>
          <w:color w:val="auto"/>
          <w:sz w:val="24"/>
          <w:szCs w:val="24"/>
          <w:u w:val="none"/>
          <w:lang w:val="en-US" w:eastAsia="zh-CN" w:bidi="ar-SA"/>
        </w:rPr>
        <w:t>、表2.</w:t>
      </w:r>
      <w:r>
        <w:rPr>
          <w:rFonts w:hint="eastAsia" w:cs="宋体"/>
          <w:color w:val="auto"/>
          <w:sz w:val="24"/>
          <w:szCs w:val="24"/>
          <w:u w:val="none"/>
          <w:lang w:val="en-US" w:eastAsia="zh-CN" w:bidi="ar-SA"/>
        </w:rPr>
        <w:t>5-11</w:t>
      </w:r>
      <w:r>
        <w:rPr>
          <w:rFonts w:hint="eastAsia" w:ascii="Times New Roman" w:hAnsi="Times New Roman" w:eastAsia="宋体" w:cs="宋体"/>
          <w:color w:val="auto"/>
          <w:sz w:val="24"/>
          <w:szCs w:val="24"/>
          <w:u w:val="none"/>
          <w:lang w:val="en-US" w:eastAsia="zh-CN" w:bidi="ar-SA"/>
        </w:rPr>
        <w:t>。</w:t>
      </w:r>
    </w:p>
    <w:p w14:paraId="1BEF853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en-US" w:bidi="ar-SA"/>
        </w:rPr>
      </w:pPr>
    </w:p>
    <w:p w14:paraId="7CE2B8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en-US" w:bidi="ar-SA"/>
        </w:rPr>
      </w:pPr>
    </w:p>
    <w:p w14:paraId="4FFB19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en-US" w:bidi="ar-SA"/>
        </w:rPr>
      </w:pPr>
    </w:p>
    <w:p w14:paraId="2D5D1B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en-US" w:bidi="ar-SA"/>
        </w:rPr>
      </w:pPr>
      <w:r>
        <w:rPr>
          <w:rFonts w:hint="default" w:ascii="黑体" w:hAnsi="黑体" w:eastAsia="黑体" w:cs="黑体"/>
          <w:b w:val="0"/>
          <w:bCs/>
          <w:color w:val="auto"/>
          <w:kern w:val="2"/>
          <w:sz w:val="24"/>
          <w:szCs w:val="24"/>
          <w:u w:val="none"/>
          <w:lang w:val="en-US" w:eastAsia="en-US" w:bidi="ar-SA"/>
        </w:rPr>
        <w:t>表</w:t>
      </w:r>
      <w:r>
        <w:rPr>
          <w:rFonts w:hint="eastAsia" w:ascii="黑体" w:hAnsi="黑体" w:eastAsia="黑体" w:cs="黑体"/>
          <w:b w:val="0"/>
          <w:bCs/>
          <w:color w:val="auto"/>
          <w:kern w:val="2"/>
          <w:sz w:val="24"/>
          <w:szCs w:val="24"/>
          <w:u w:val="none"/>
          <w:lang w:val="en-US" w:eastAsia="zh-CN" w:bidi="ar-SA"/>
        </w:rPr>
        <w:t xml:space="preserve">2.5-10 </w:t>
      </w:r>
      <w:r>
        <w:rPr>
          <w:rFonts w:hint="default" w:ascii="黑体" w:hAnsi="黑体" w:eastAsia="黑体" w:cs="黑体"/>
          <w:b w:val="0"/>
          <w:bCs/>
          <w:color w:val="auto"/>
          <w:kern w:val="2"/>
          <w:sz w:val="24"/>
          <w:szCs w:val="24"/>
          <w:u w:val="none"/>
          <w:lang w:val="en-US" w:eastAsia="en-US" w:bidi="ar-SA"/>
        </w:rPr>
        <w:tab/>
      </w:r>
      <w:r>
        <w:rPr>
          <w:rFonts w:hint="default" w:ascii="黑体" w:hAnsi="黑体" w:eastAsia="黑体" w:cs="黑体"/>
          <w:b w:val="0"/>
          <w:bCs/>
          <w:color w:val="auto"/>
          <w:kern w:val="2"/>
          <w:sz w:val="24"/>
          <w:szCs w:val="24"/>
          <w:u w:val="none"/>
          <w:lang w:val="en-US" w:eastAsia="en-US" w:bidi="ar-SA"/>
        </w:rPr>
        <w:t>污染影响型敏感程度分级表</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autofit"/>
        <w:tblCellMar>
          <w:top w:w="0" w:type="dxa"/>
          <w:left w:w="0" w:type="dxa"/>
          <w:bottom w:w="0" w:type="dxa"/>
          <w:right w:w="0" w:type="dxa"/>
        </w:tblCellMar>
      </w:tblPr>
      <w:tblGrid>
        <w:gridCol w:w="1612"/>
        <w:gridCol w:w="7034"/>
      </w:tblGrid>
      <w:tr w14:paraId="3856A10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jc w:val="center"/>
        </w:trPr>
        <w:tc>
          <w:tcPr>
            <w:tcW w:w="932" w:type="pct"/>
            <w:tcBorders>
              <w:tl2br w:val="nil"/>
              <w:tr2bl w:val="nil"/>
            </w:tcBorders>
            <w:noWrap w:val="0"/>
            <w:vAlign w:val="center"/>
          </w:tcPr>
          <w:p w14:paraId="4561E0C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sz w:val="21"/>
                <w:szCs w:val="21"/>
                <w:u w:val="none"/>
                <w:lang w:val="en-US" w:eastAsia="en-US"/>
              </w:rPr>
            </w:pPr>
            <w:r>
              <w:rPr>
                <w:rFonts w:hint="default"/>
                <w:color w:val="auto"/>
                <w:sz w:val="21"/>
                <w:szCs w:val="21"/>
                <w:u w:val="none"/>
                <w:lang w:val="en-US" w:eastAsia="en-US"/>
              </w:rPr>
              <w:t>敏感程度</w:t>
            </w:r>
          </w:p>
        </w:tc>
        <w:tc>
          <w:tcPr>
            <w:tcW w:w="4067" w:type="pct"/>
            <w:tcBorders>
              <w:tl2br w:val="nil"/>
              <w:tr2bl w:val="nil"/>
            </w:tcBorders>
            <w:noWrap w:val="0"/>
            <w:vAlign w:val="center"/>
          </w:tcPr>
          <w:p w14:paraId="7039CB6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sz w:val="21"/>
                <w:szCs w:val="21"/>
                <w:u w:val="none"/>
                <w:lang w:val="en-US" w:eastAsia="en-US"/>
              </w:rPr>
            </w:pPr>
            <w:r>
              <w:rPr>
                <w:rFonts w:hint="default"/>
                <w:color w:val="auto"/>
                <w:sz w:val="21"/>
                <w:szCs w:val="21"/>
                <w:u w:val="none"/>
                <w:lang w:val="en-US" w:eastAsia="en-US"/>
              </w:rPr>
              <w:t>判别依据</w:t>
            </w:r>
          </w:p>
        </w:tc>
      </w:tr>
      <w:tr w14:paraId="2E211CB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jc w:val="center"/>
        </w:trPr>
        <w:tc>
          <w:tcPr>
            <w:tcW w:w="932" w:type="pct"/>
            <w:tcBorders>
              <w:tl2br w:val="nil"/>
              <w:tr2bl w:val="nil"/>
            </w:tcBorders>
            <w:noWrap w:val="0"/>
            <w:vAlign w:val="center"/>
          </w:tcPr>
          <w:p w14:paraId="0809C1B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sz w:val="21"/>
                <w:szCs w:val="21"/>
                <w:u w:val="none"/>
                <w:lang w:val="en-US" w:eastAsia="en-US"/>
              </w:rPr>
            </w:pPr>
            <w:r>
              <w:rPr>
                <w:rFonts w:hint="default"/>
                <w:color w:val="auto"/>
                <w:sz w:val="21"/>
                <w:szCs w:val="21"/>
                <w:u w:val="none"/>
                <w:lang w:val="en-US" w:eastAsia="en-US"/>
              </w:rPr>
              <w:t>敏</w:t>
            </w:r>
            <w:r>
              <w:rPr>
                <w:rFonts w:hint="eastAsia"/>
                <w:color w:val="auto"/>
                <w:sz w:val="21"/>
                <w:szCs w:val="21"/>
                <w:u w:val="none"/>
                <w:lang w:val="en-US" w:eastAsia="zh-CN"/>
              </w:rPr>
              <w:t xml:space="preserve">  </w:t>
            </w:r>
            <w:r>
              <w:rPr>
                <w:rFonts w:hint="default"/>
                <w:color w:val="auto"/>
                <w:sz w:val="21"/>
                <w:szCs w:val="21"/>
                <w:u w:val="none"/>
                <w:lang w:val="en-US" w:eastAsia="en-US"/>
              </w:rPr>
              <w:t>感</w:t>
            </w:r>
          </w:p>
        </w:tc>
        <w:tc>
          <w:tcPr>
            <w:tcW w:w="4067" w:type="pct"/>
            <w:tcBorders>
              <w:tl2br w:val="nil"/>
              <w:tr2bl w:val="nil"/>
            </w:tcBorders>
            <w:noWrap w:val="0"/>
            <w:vAlign w:val="center"/>
          </w:tcPr>
          <w:p w14:paraId="7E396F75">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color w:val="auto"/>
                <w:sz w:val="21"/>
                <w:szCs w:val="21"/>
                <w:u w:val="none"/>
                <w:lang w:val="en-US" w:eastAsia="en-US"/>
              </w:rPr>
            </w:pPr>
            <w:r>
              <w:rPr>
                <w:rFonts w:hint="default"/>
                <w:color w:val="auto"/>
                <w:sz w:val="21"/>
                <w:szCs w:val="21"/>
                <w:u w:val="none"/>
                <w:lang w:val="en-US" w:eastAsia="en-US"/>
              </w:rPr>
              <w:t>建设项目周边存在耕地、园地、牧草地、饮用水水源地或居民区、学校、医院、疗养院、养老 院等土壤环境敏感目标的</w:t>
            </w:r>
          </w:p>
        </w:tc>
      </w:tr>
      <w:tr w14:paraId="5E809CE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jc w:val="center"/>
        </w:trPr>
        <w:tc>
          <w:tcPr>
            <w:tcW w:w="932" w:type="pct"/>
            <w:tcBorders>
              <w:tl2br w:val="nil"/>
              <w:tr2bl w:val="nil"/>
            </w:tcBorders>
            <w:noWrap w:val="0"/>
            <w:vAlign w:val="center"/>
          </w:tcPr>
          <w:p w14:paraId="67F35BE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sz w:val="21"/>
                <w:szCs w:val="21"/>
                <w:u w:val="none"/>
                <w:lang w:val="en-US" w:eastAsia="en-US"/>
              </w:rPr>
            </w:pPr>
            <w:r>
              <w:rPr>
                <w:rFonts w:hint="default"/>
                <w:color w:val="auto"/>
                <w:sz w:val="21"/>
                <w:szCs w:val="21"/>
                <w:u w:val="none"/>
                <w:lang w:val="en-US" w:eastAsia="en-US"/>
              </w:rPr>
              <w:t>较敏感</w:t>
            </w:r>
          </w:p>
        </w:tc>
        <w:tc>
          <w:tcPr>
            <w:tcW w:w="4067" w:type="pct"/>
            <w:tcBorders>
              <w:tl2br w:val="nil"/>
              <w:tr2bl w:val="nil"/>
            </w:tcBorders>
            <w:noWrap w:val="0"/>
            <w:vAlign w:val="center"/>
          </w:tcPr>
          <w:p w14:paraId="6D33A0BF">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color w:val="auto"/>
                <w:sz w:val="21"/>
                <w:szCs w:val="21"/>
                <w:u w:val="none"/>
                <w:lang w:val="en-US" w:eastAsia="en-US"/>
              </w:rPr>
            </w:pPr>
            <w:r>
              <w:rPr>
                <w:rFonts w:hint="default"/>
                <w:color w:val="auto"/>
                <w:sz w:val="21"/>
                <w:szCs w:val="21"/>
                <w:u w:val="none"/>
                <w:lang w:val="en-US" w:eastAsia="en-US"/>
              </w:rPr>
              <w:t>建设项目周边存在其他土壤环境敏感目标的</w:t>
            </w:r>
          </w:p>
        </w:tc>
      </w:tr>
      <w:tr w14:paraId="44CFB2E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3" w:hRule="atLeast"/>
          <w:jc w:val="center"/>
        </w:trPr>
        <w:tc>
          <w:tcPr>
            <w:tcW w:w="932" w:type="pct"/>
            <w:tcBorders>
              <w:tl2br w:val="nil"/>
              <w:tr2bl w:val="nil"/>
            </w:tcBorders>
            <w:noWrap w:val="0"/>
            <w:vAlign w:val="center"/>
          </w:tcPr>
          <w:p w14:paraId="104CA7F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sz w:val="21"/>
                <w:szCs w:val="21"/>
                <w:u w:val="none"/>
                <w:lang w:val="en-US" w:eastAsia="en-US"/>
              </w:rPr>
            </w:pPr>
            <w:r>
              <w:rPr>
                <w:rFonts w:hint="default"/>
                <w:color w:val="auto"/>
                <w:sz w:val="21"/>
                <w:szCs w:val="21"/>
                <w:u w:val="none"/>
                <w:lang w:val="en-US" w:eastAsia="en-US"/>
              </w:rPr>
              <w:t>不敏感</w:t>
            </w:r>
          </w:p>
        </w:tc>
        <w:tc>
          <w:tcPr>
            <w:tcW w:w="4067" w:type="pct"/>
            <w:tcBorders>
              <w:tl2br w:val="nil"/>
              <w:tr2bl w:val="nil"/>
            </w:tcBorders>
            <w:noWrap w:val="0"/>
            <w:vAlign w:val="center"/>
          </w:tcPr>
          <w:p w14:paraId="1815B785">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color w:val="auto"/>
                <w:sz w:val="21"/>
                <w:szCs w:val="21"/>
                <w:u w:val="none"/>
                <w:lang w:val="en-US" w:eastAsia="en-US"/>
              </w:rPr>
            </w:pPr>
            <w:r>
              <w:rPr>
                <w:rFonts w:hint="default"/>
                <w:color w:val="auto"/>
                <w:sz w:val="21"/>
                <w:szCs w:val="21"/>
                <w:u w:val="none"/>
                <w:lang w:val="en-US" w:eastAsia="en-US"/>
              </w:rPr>
              <w:t>其他情况</w:t>
            </w:r>
          </w:p>
        </w:tc>
      </w:tr>
    </w:tbl>
    <w:p w14:paraId="124E45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表2.5-11  土壤污染类项目评价工作等级划分表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autofit"/>
        <w:tblCellMar>
          <w:top w:w="0" w:type="dxa"/>
          <w:left w:w="108" w:type="dxa"/>
          <w:bottom w:w="0" w:type="dxa"/>
          <w:right w:w="108" w:type="dxa"/>
        </w:tblCellMar>
      </w:tblPr>
      <w:tblGrid>
        <w:gridCol w:w="2386"/>
        <w:gridCol w:w="714"/>
        <w:gridCol w:w="714"/>
        <w:gridCol w:w="718"/>
        <w:gridCol w:w="714"/>
        <w:gridCol w:w="714"/>
        <w:gridCol w:w="719"/>
        <w:gridCol w:w="716"/>
        <w:gridCol w:w="716"/>
        <w:gridCol w:w="723"/>
      </w:tblGrid>
      <w:tr w14:paraId="7DCCFBB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1350" w:type="pct"/>
            <w:vMerge w:val="restart"/>
            <w:tcBorders>
              <w:tl2br w:val="nil"/>
              <w:tr2bl w:val="nil"/>
            </w:tcBorders>
            <w:noWrap w:val="0"/>
            <w:vAlign w:val="center"/>
          </w:tcPr>
          <w:p w14:paraId="708FDF35">
            <w:pPr>
              <w:keepNext w:val="0"/>
              <w:keepLines w:val="0"/>
              <w:pageBreakBefore w:val="0"/>
              <w:widowControl/>
              <w:kinsoku/>
              <w:wordWrap/>
              <w:overflowPunct/>
              <w:topLinePunct w:val="0"/>
              <w:autoSpaceDE/>
              <w:autoSpaceDN/>
              <w:bidi w:val="0"/>
              <w:adjustRightInd/>
              <w:snapToGrid w:val="0"/>
              <w:spacing w:line="340" w:lineRule="exact"/>
              <w:jc w:val="right"/>
              <w:textAlignment w:val="auto"/>
              <w:rPr>
                <w:rFonts w:ascii="Times New Roman" w:hAnsi="Times New Roman" w:eastAsia="宋体" w:cs="Times New Roman"/>
                <w:color w:val="auto"/>
                <w:kern w:val="0"/>
                <w:sz w:val="20"/>
                <w:szCs w:val="16"/>
                <w:u w:val="none"/>
              </w:rPr>
            </w:pPr>
            <w:r>
              <w:rPr>
                <w:rFonts w:ascii="Times New Roman" w:hAnsi="Times New Roman" w:eastAsia="宋体" w:cs="Times New Roman"/>
                <w:b/>
                <w:color w:val="auto"/>
                <w:kern w:val="0"/>
                <w:sz w:val="20"/>
                <w:szCs w:val="16"/>
                <w:u w:val="none"/>
              </w:rPr>
              <mc:AlternateContent>
                <mc:Choice Requires="wps">
                  <w:drawing>
                    <wp:anchor distT="0" distB="0" distL="114300" distR="114300" simplePos="0" relativeHeight="251691008" behindDoc="0" locked="0" layoutInCell="1" allowOverlap="1">
                      <wp:simplePos x="0" y="0"/>
                      <wp:positionH relativeFrom="column">
                        <wp:posOffset>614680</wp:posOffset>
                      </wp:positionH>
                      <wp:positionV relativeFrom="paragraph">
                        <wp:posOffset>1270</wp:posOffset>
                      </wp:positionV>
                      <wp:extent cx="774700" cy="774065"/>
                      <wp:effectExtent l="3175" t="3175" r="22225" b="3810"/>
                      <wp:wrapNone/>
                      <wp:docPr id="98" name="直接箭头连接符 98"/>
                      <wp:cNvGraphicFramePr/>
                      <a:graphic xmlns:a="http://schemas.openxmlformats.org/drawingml/2006/main">
                        <a:graphicData uri="http://schemas.microsoft.com/office/word/2010/wordprocessingShape">
                          <wps:wsp>
                            <wps:cNvCnPr/>
                            <wps:spPr>
                              <a:xfrm>
                                <a:off x="0" y="0"/>
                                <a:ext cx="774700" cy="774065"/>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8.4pt;margin-top:0.1pt;height:60.95pt;width:61pt;z-index:251691008;mso-width-relative:page;mso-height-relative:page;" filled="f" stroked="t" coordsize="21600,21600" o:gfxdata="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W1Fm1QAAAAcBAAAPAAAAAAAAAAEAIAAAACIAAABkcnMvZG93bnJl&#10;di54bWxQSwECFAAUAAAACACHTuJAaq1PpgACAADyAwAADgAAAAAAAAABACAAAAAkAQAAZHJzL2Uy&#10;b0RvYy54bWxQSwUGAAAAAAYABgBZAQAAlgUAAAAA&#10;">
                      <v:fill on="f" focussize="0,0"/>
                      <v:stroke weight="0.5pt" color="#0D0D0D" joinstyle="round"/>
                      <v:imagedata o:title=""/>
                      <o:lock v:ext="edit" aspectratio="f"/>
                    </v:shape>
                  </w:pict>
                </mc:Fallback>
              </mc:AlternateContent>
            </w:r>
            <w:r>
              <w:rPr>
                <w:rFonts w:ascii="Times New Roman" w:hAnsi="Times New Roman" w:eastAsia="宋体" w:cs="Times New Roman"/>
                <w:color w:val="auto"/>
                <w:kern w:val="0"/>
                <w:sz w:val="20"/>
                <w:szCs w:val="16"/>
                <w:u w:val="none"/>
              </w:rPr>
              <w:t>占地规模</w:t>
            </w:r>
          </w:p>
          <w:p w14:paraId="0C1F6730">
            <w:pPr>
              <w:keepNext w:val="0"/>
              <w:keepLines w:val="0"/>
              <w:pageBreakBefore w:val="0"/>
              <w:widowControl/>
              <w:kinsoku/>
              <w:wordWrap/>
              <w:overflowPunct/>
              <w:topLinePunct w:val="0"/>
              <w:autoSpaceDE/>
              <w:autoSpaceDN/>
              <w:bidi w:val="0"/>
              <w:adjustRightInd/>
              <w:snapToGrid w:val="0"/>
              <w:spacing w:line="340" w:lineRule="exact"/>
              <w:jc w:val="center"/>
              <w:textAlignment w:val="auto"/>
              <w:rPr>
                <w:rFonts w:ascii="Times New Roman" w:hAnsi="Times New Roman" w:eastAsia="宋体" w:cs="Times New Roman"/>
                <w:color w:val="auto"/>
                <w:kern w:val="0"/>
                <w:sz w:val="20"/>
                <w:szCs w:val="16"/>
                <w:u w:val="none"/>
              </w:rPr>
            </w:pPr>
            <w:r>
              <w:rPr>
                <w:rFonts w:hint="eastAsia" w:ascii="Times New Roman" w:hAnsi="Times New Roman" w:eastAsia="宋体" w:cs="Times New Roman"/>
                <w:color w:val="auto"/>
                <w:kern w:val="0"/>
                <w:sz w:val="20"/>
                <w:szCs w:val="16"/>
                <w:u w:val="none"/>
                <w:lang w:val="en-US" w:eastAsia="zh-CN"/>
              </w:rPr>
              <w:t>评价等级</w:t>
            </w:r>
            <w:r>
              <w:rPr>
                <w:rFonts w:ascii="Times New Roman" w:hAnsi="Times New Roman" w:eastAsia="宋体" w:cs="Times New Roman"/>
                <w:color w:val="auto"/>
                <w:kern w:val="0"/>
                <w:sz w:val="20"/>
                <w:szCs w:val="16"/>
                <w:u w:val="none"/>
              </w:rPr>
              <mc:AlternateContent>
                <mc:Choice Requires="wps">
                  <w:drawing>
                    <wp:anchor distT="0" distB="0" distL="114300" distR="114300" simplePos="0" relativeHeight="251692032" behindDoc="0" locked="0" layoutInCell="1" allowOverlap="1">
                      <wp:simplePos x="0" y="0"/>
                      <wp:positionH relativeFrom="column">
                        <wp:posOffset>-66675</wp:posOffset>
                      </wp:positionH>
                      <wp:positionV relativeFrom="paragraph">
                        <wp:posOffset>85725</wp:posOffset>
                      </wp:positionV>
                      <wp:extent cx="1456055" cy="428625"/>
                      <wp:effectExtent l="1270" t="4445" r="9525" b="5080"/>
                      <wp:wrapNone/>
                      <wp:docPr id="99" name="直接箭头连接符 99"/>
                      <wp:cNvGraphicFramePr/>
                      <a:graphic xmlns:a="http://schemas.openxmlformats.org/drawingml/2006/main">
                        <a:graphicData uri="http://schemas.microsoft.com/office/word/2010/wordprocessingShape">
                          <wps:wsp>
                            <wps:cNvCnPr/>
                            <wps:spPr>
                              <a:xfrm>
                                <a:off x="0" y="0"/>
                                <a:ext cx="1456055" cy="428625"/>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25pt;margin-top:6.75pt;height:33.75pt;width:114.65pt;z-index:251692032;mso-width-relative:page;mso-height-relative:page;" filled="f" stroked="t" coordsize="21600,21600" o:gfxdata="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LxDXTZAAAACQEAAA8AAAAAAAAAAQAgAAAAIgAAAGRy&#10;cy9kb3ducmV2LnhtbFBLAQIUABQAAAAIAIdO4kAk8T/LBAIAAPMDAAAOAAAAAAAAAAEAIAAAACgB&#10;AABkcnMvZTJvRG9jLnhtbFBLBQYAAAAABgAGAFkBAACeBQAAAAA=&#10;">
                      <v:fill on="f" focussize="0,0"/>
                      <v:stroke weight="0.5pt" color="#0D0D0D" joinstyle="round"/>
                      <v:imagedata o:title=""/>
                      <o:lock v:ext="edit" aspectratio="f"/>
                    </v:shape>
                  </w:pict>
                </mc:Fallback>
              </mc:AlternateContent>
            </w:r>
          </w:p>
          <w:p w14:paraId="70AB0DE3">
            <w:pPr>
              <w:keepNext w:val="0"/>
              <w:keepLines w:val="0"/>
              <w:pageBreakBefore w:val="0"/>
              <w:widowControl/>
              <w:kinsoku/>
              <w:wordWrap/>
              <w:overflowPunct/>
              <w:topLinePunct w:val="0"/>
              <w:autoSpaceDE/>
              <w:autoSpaceDN/>
              <w:bidi w:val="0"/>
              <w:adjustRightInd/>
              <w:snapToGrid w:val="0"/>
              <w:spacing w:line="340" w:lineRule="exact"/>
              <w:jc w:val="left"/>
              <w:textAlignment w:val="auto"/>
              <w:rPr>
                <w:rFonts w:ascii="Times New Roman" w:hAnsi="Times New Roman" w:eastAsia="宋体" w:cs="Times New Roman"/>
                <w:color w:val="auto"/>
                <w:kern w:val="0"/>
                <w:sz w:val="20"/>
                <w:szCs w:val="16"/>
                <w:u w:val="none"/>
              </w:rPr>
            </w:pPr>
            <w:r>
              <w:rPr>
                <w:rFonts w:hint="eastAsia" w:ascii="Times New Roman" w:hAnsi="Times New Roman" w:eastAsia="宋体" w:cs="Times New Roman"/>
                <w:color w:val="auto"/>
                <w:kern w:val="0"/>
                <w:sz w:val="20"/>
                <w:szCs w:val="16"/>
                <w:u w:val="none"/>
                <w:lang w:val="en-US" w:eastAsia="zh-CN"/>
              </w:rPr>
              <w:t>敏感程度</w:t>
            </w:r>
          </w:p>
        </w:tc>
        <w:tc>
          <w:tcPr>
            <w:tcW w:w="1214" w:type="pct"/>
            <w:gridSpan w:val="3"/>
            <w:tcBorders>
              <w:tl2br w:val="nil"/>
              <w:tr2bl w:val="nil"/>
            </w:tcBorders>
            <w:noWrap w:val="0"/>
            <w:vAlign w:val="center"/>
          </w:tcPr>
          <w:p w14:paraId="2FC3A2D2">
            <w:pPr>
              <w:keepNext w:val="0"/>
              <w:keepLines w:val="0"/>
              <w:pageBreakBefore w:val="0"/>
              <w:widowControl/>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kern w:val="0"/>
                <w:sz w:val="20"/>
                <w:szCs w:val="16"/>
                <w:u w:val="none"/>
              </w:rPr>
            </w:pPr>
            <w:r>
              <w:rPr>
                <w:rFonts w:ascii="Times New Roman" w:hAnsi="Times New Roman" w:eastAsia="宋体" w:cs="Times New Roman"/>
                <w:color w:val="auto"/>
                <w:kern w:val="0"/>
                <w:sz w:val="20"/>
                <w:szCs w:val="16"/>
                <w:u w:val="none"/>
              </w:rPr>
              <w:t>Ⅰ类</w:t>
            </w:r>
          </w:p>
        </w:tc>
        <w:tc>
          <w:tcPr>
            <w:tcW w:w="1215" w:type="pct"/>
            <w:gridSpan w:val="3"/>
            <w:tcBorders>
              <w:tl2br w:val="nil"/>
              <w:tr2bl w:val="nil"/>
            </w:tcBorders>
            <w:noWrap w:val="0"/>
            <w:vAlign w:val="center"/>
          </w:tcPr>
          <w:p w14:paraId="2F6B3E4C">
            <w:pPr>
              <w:keepNext w:val="0"/>
              <w:keepLines w:val="0"/>
              <w:pageBreakBefore w:val="0"/>
              <w:widowControl/>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kern w:val="0"/>
                <w:sz w:val="20"/>
                <w:szCs w:val="16"/>
                <w:u w:val="none"/>
              </w:rPr>
            </w:pPr>
            <w:r>
              <w:rPr>
                <w:rFonts w:ascii="Times New Roman" w:hAnsi="Times New Roman" w:eastAsia="宋体" w:cs="Times New Roman"/>
                <w:color w:val="auto"/>
                <w:kern w:val="0"/>
                <w:sz w:val="20"/>
                <w:szCs w:val="16"/>
                <w:u w:val="none"/>
              </w:rPr>
              <w:t>Ⅱ类</w:t>
            </w:r>
          </w:p>
        </w:tc>
        <w:tc>
          <w:tcPr>
            <w:tcW w:w="1219" w:type="pct"/>
            <w:gridSpan w:val="3"/>
            <w:tcBorders>
              <w:tl2br w:val="nil"/>
              <w:tr2bl w:val="nil"/>
            </w:tcBorders>
            <w:noWrap w:val="0"/>
            <w:vAlign w:val="center"/>
          </w:tcPr>
          <w:p w14:paraId="402A9E72">
            <w:pPr>
              <w:keepNext w:val="0"/>
              <w:keepLines w:val="0"/>
              <w:pageBreakBefore w:val="0"/>
              <w:widowControl/>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kern w:val="0"/>
                <w:sz w:val="20"/>
                <w:szCs w:val="16"/>
                <w:u w:val="none"/>
              </w:rPr>
            </w:pPr>
            <w:r>
              <w:rPr>
                <w:rFonts w:ascii="Times New Roman" w:hAnsi="Times New Roman" w:eastAsia="宋体" w:cs="Times New Roman"/>
                <w:color w:val="auto"/>
                <w:kern w:val="0"/>
                <w:sz w:val="20"/>
                <w:szCs w:val="16"/>
                <w:u w:val="none"/>
              </w:rPr>
              <w:t>Ⅲ类</w:t>
            </w:r>
          </w:p>
        </w:tc>
      </w:tr>
      <w:tr w14:paraId="44E2413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1350" w:type="pct"/>
            <w:vMerge w:val="continue"/>
            <w:tcBorders>
              <w:tl2br w:val="nil"/>
              <w:tr2bl w:val="nil"/>
            </w:tcBorders>
            <w:noWrap w:val="0"/>
            <w:vAlign w:val="center"/>
          </w:tcPr>
          <w:p w14:paraId="3082F0B1">
            <w:pPr>
              <w:keepNext w:val="0"/>
              <w:keepLines w:val="0"/>
              <w:pageBreakBefore w:val="0"/>
              <w:widowControl/>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kern w:val="0"/>
                <w:sz w:val="20"/>
                <w:szCs w:val="16"/>
                <w:u w:val="none"/>
              </w:rPr>
            </w:pPr>
          </w:p>
        </w:tc>
        <w:tc>
          <w:tcPr>
            <w:tcW w:w="404" w:type="pct"/>
            <w:tcBorders>
              <w:tl2br w:val="nil"/>
              <w:tr2bl w:val="nil"/>
            </w:tcBorders>
            <w:noWrap w:val="0"/>
            <w:vAlign w:val="center"/>
          </w:tcPr>
          <w:p w14:paraId="3BA71829">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大</w:t>
            </w:r>
          </w:p>
        </w:tc>
        <w:tc>
          <w:tcPr>
            <w:tcW w:w="404" w:type="pct"/>
            <w:tcBorders>
              <w:tl2br w:val="nil"/>
              <w:tr2bl w:val="nil"/>
            </w:tcBorders>
            <w:noWrap w:val="0"/>
            <w:vAlign w:val="center"/>
          </w:tcPr>
          <w:p w14:paraId="553A3BD5">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中</w:t>
            </w:r>
          </w:p>
        </w:tc>
        <w:tc>
          <w:tcPr>
            <w:tcW w:w="406" w:type="pct"/>
            <w:tcBorders>
              <w:tl2br w:val="nil"/>
              <w:tr2bl w:val="nil"/>
            </w:tcBorders>
            <w:noWrap w:val="0"/>
            <w:vAlign w:val="center"/>
          </w:tcPr>
          <w:p w14:paraId="7FCA83DF">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小</w:t>
            </w:r>
          </w:p>
        </w:tc>
        <w:tc>
          <w:tcPr>
            <w:tcW w:w="404" w:type="pct"/>
            <w:tcBorders>
              <w:tl2br w:val="nil"/>
              <w:tr2bl w:val="nil"/>
            </w:tcBorders>
            <w:noWrap w:val="0"/>
            <w:vAlign w:val="center"/>
          </w:tcPr>
          <w:p w14:paraId="5C93919B">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大</w:t>
            </w:r>
          </w:p>
        </w:tc>
        <w:tc>
          <w:tcPr>
            <w:tcW w:w="404" w:type="pct"/>
            <w:tcBorders>
              <w:tl2br w:val="nil"/>
              <w:tr2bl w:val="nil"/>
            </w:tcBorders>
            <w:noWrap w:val="0"/>
            <w:vAlign w:val="center"/>
          </w:tcPr>
          <w:p w14:paraId="4013B254">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中</w:t>
            </w:r>
          </w:p>
        </w:tc>
        <w:tc>
          <w:tcPr>
            <w:tcW w:w="407" w:type="pct"/>
            <w:tcBorders>
              <w:tl2br w:val="nil"/>
              <w:tr2bl w:val="nil"/>
            </w:tcBorders>
            <w:noWrap w:val="0"/>
            <w:vAlign w:val="center"/>
          </w:tcPr>
          <w:p w14:paraId="6A9E9941">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小</w:t>
            </w:r>
          </w:p>
        </w:tc>
        <w:tc>
          <w:tcPr>
            <w:tcW w:w="405" w:type="pct"/>
            <w:tcBorders>
              <w:tl2br w:val="nil"/>
              <w:tr2bl w:val="nil"/>
            </w:tcBorders>
            <w:noWrap w:val="0"/>
            <w:vAlign w:val="center"/>
          </w:tcPr>
          <w:p w14:paraId="09F7BA1B">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大</w:t>
            </w:r>
          </w:p>
        </w:tc>
        <w:tc>
          <w:tcPr>
            <w:tcW w:w="405" w:type="pct"/>
            <w:tcBorders>
              <w:tl2br w:val="nil"/>
              <w:tr2bl w:val="nil"/>
            </w:tcBorders>
            <w:noWrap w:val="0"/>
            <w:vAlign w:val="center"/>
          </w:tcPr>
          <w:p w14:paraId="61D52F2F">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中</w:t>
            </w:r>
          </w:p>
        </w:tc>
        <w:tc>
          <w:tcPr>
            <w:tcW w:w="408" w:type="pct"/>
            <w:tcBorders>
              <w:tl2br w:val="nil"/>
              <w:tr2bl w:val="nil"/>
            </w:tcBorders>
            <w:noWrap w:val="0"/>
            <w:vAlign w:val="center"/>
          </w:tcPr>
          <w:p w14:paraId="262D269B">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小</w:t>
            </w:r>
          </w:p>
        </w:tc>
      </w:tr>
      <w:tr w14:paraId="28D8F91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1350" w:type="pct"/>
            <w:tcBorders>
              <w:tl2br w:val="nil"/>
              <w:tr2bl w:val="nil"/>
            </w:tcBorders>
            <w:noWrap w:val="0"/>
            <w:vAlign w:val="center"/>
          </w:tcPr>
          <w:p w14:paraId="50F4955B">
            <w:pPr>
              <w:keepNext w:val="0"/>
              <w:keepLines w:val="0"/>
              <w:pageBreakBefore w:val="0"/>
              <w:widowControl/>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kern w:val="0"/>
                <w:sz w:val="20"/>
                <w:szCs w:val="16"/>
                <w:u w:val="none"/>
              </w:rPr>
            </w:pPr>
            <w:r>
              <w:rPr>
                <w:rFonts w:ascii="Times New Roman" w:hAnsi="Times New Roman" w:eastAsia="宋体" w:cs="Times New Roman"/>
                <w:color w:val="auto"/>
                <w:kern w:val="0"/>
                <w:sz w:val="20"/>
                <w:szCs w:val="16"/>
                <w:u w:val="none"/>
              </w:rPr>
              <w:t>敏感</w:t>
            </w:r>
          </w:p>
        </w:tc>
        <w:tc>
          <w:tcPr>
            <w:tcW w:w="404" w:type="pct"/>
            <w:tcBorders>
              <w:tl2br w:val="nil"/>
              <w:tr2bl w:val="nil"/>
            </w:tcBorders>
            <w:noWrap w:val="0"/>
            <w:vAlign w:val="center"/>
          </w:tcPr>
          <w:p w14:paraId="77E6A2C4">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一级</w:t>
            </w:r>
          </w:p>
        </w:tc>
        <w:tc>
          <w:tcPr>
            <w:tcW w:w="404" w:type="pct"/>
            <w:tcBorders>
              <w:tl2br w:val="nil"/>
              <w:tr2bl w:val="nil"/>
            </w:tcBorders>
            <w:noWrap w:val="0"/>
            <w:vAlign w:val="center"/>
          </w:tcPr>
          <w:p w14:paraId="493D2A44">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一级</w:t>
            </w:r>
          </w:p>
        </w:tc>
        <w:tc>
          <w:tcPr>
            <w:tcW w:w="406" w:type="pct"/>
            <w:tcBorders>
              <w:tl2br w:val="nil"/>
              <w:tr2bl w:val="nil"/>
            </w:tcBorders>
            <w:noWrap w:val="0"/>
            <w:vAlign w:val="center"/>
          </w:tcPr>
          <w:p w14:paraId="113F06E2">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一级</w:t>
            </w:r>
          </w:p>
        </w:tc>
        <w:tc>
          <w:tcPr>
            <w:tcW w:w="404" w:type="pct"/>
            <w:tcBorders>
              <w:tl2br w:val="nil"/>
              <w:tr2bl w:val="nil"/>
            </w:tcBorders>
            <w:noWrap w:val="0"/>
            <w:vAlign w:val="center"/>
          </w:tcPr>
          <w:p w14:paraId="7AFC7C50">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二级</w:t>
            </w:r>
          </w:p>
        </w:tc>
        <w:tc>
          <w:tcPr>
            <w:tcW w:w="404" w:type="pct"/>
            <w:tcBorders>
              <w:tl2br w:val="nil"/>
              <w:tr2bl w:val="nil"/>
            </w:tcBorders>
            <w:noWrap w:val="0"/>
            <w:vAlign w:val="center"/>
          </w:tcPr>
          <w:p w14:paraId="40E12842">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二级</w:t>
            </w:r>
          </w:p>
        </w:tc>
        <w:tc>
          <w:tcPr>
            <w:tcW w:w="407" w:type="pct"/>
            <w:tcBorders>
              <w:tl2br w:val="nil"/>
              <w:tr2bl w:val="nil"/>
            </w:tcBorders>
            <w:noWrap w:val="0"/>
            <w:vAlign w:val="center"/>
          </w:tcPr>
          <w:p w14:paraId="6E807C40">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二级</w:t>
            </w:r>
          </w:p>
        </w:tc>
        <w:tc>
          <w:tcPr>
            <w:tcW w:w="405" w:type="pct"/>
            <w:tcBorders>
              <w:tl2br w:val="nil"/>
              <w:tr2bl w:val="nil"/>
            </w:tcBorders>
            <w:noWrap w:val="0"/>
            <w:vAlign w:val="center"/>
          </w:tcPr>
          <w:p w14:paraId="29E94805">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三级</w:t>
            </w:r>
          </w:p>
        </w:tc>
        <w:tc>
          <w:tcPr>
            <w:tcW w:w="405" w:type="pct"/>
            <w:tcBorders>
              <w:tl2br w:val="nil"/>
              <w:tr2bl w:val="nil"/>
            </w:tcBorders>
            <w:noWrap w:val="0"/>
            <w:vAlign w:val="center"/>
          </w:tcPr>
          <w:p w14:paraId="748FC718">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三级</w:t>
            </w:r>
          </w:p>
        </w:tc>
        <w:tc>
          <w:tcPr>
            <w:tcW w:w="408" w:type="pct"/>
            <w:tcBorders>
              <w:tl2br w:val="nil"/>
              <w:tr2bl w:val="nil"/>
            </w:tcBorders>
            <w:noWrap w:val="0"/>
            <w:vAlign w:val="center"/>
          </w:tcPr>
          <w:p w14:paraId="555402A8">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三级</w:t>
            </w:r>
          </w:p>
        </w:tc>
      </w:tr>
      <w:tr w14:paraId="01120A5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1350" w:type="pct"/>
            <w:tcBorders>
              <w:tl2br w:val="nil"/>
              <w:tr2bl w:val="nil"/>
            </w:tcBorders>
            <w:noWrap w:val="0"/>
            <w:vAlign w:val="center"/>
          </w:tcPr>
          <w:p w14:paraId="6896D144">
            <w:pPr>
              <w:keepNext w:val="0"/>
              <w:keepLines w:val="0"/>
              <w:pageBreakBefore w:val="0"/>
              <w:widowControl/>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kern w:val="0"/>
                <w:sz w:val="20"/>
                <w:szCs w:val="16"/>
                <w:u w:val="none"/>
              </w:rPr>
            </w:pPr>
            <w:r>
              <w:rPr>
                <w:rFonts w:ascii="Times New Roman" w:hAnsi="Times New Roman" w:eastAsia="宋体" w:cs="Times New Roman"/>
                <w:color w:val="auto"/>
                <w:kern w:val="0"/>
                <w:sz w:val="20"/>
                <w:szCs w:val="16"/>
                <w:u w:val="none"/>
              </w:rPr>
              <w:t>较敏感</w:t>
            </w:r>
          </w:p>
        </w:tc>
        <w:tc>
          <w:tcPr>
            <w:tcW w:w="404" w:type="pct"/>
            <w:tcBorders>
              <w:tl2br w:val="nil"/>
              <w:tr2bl w:val="nil"/>
            </w:tcBorders>
            <w:noWrap w:val="0"/>
            <w:vAlign w:val="center"/>
          </w:tcPr>
          <w:p w14:paraId="76E641FC">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一级</w:t>
            </w:r>
          </w:p>
        </w:tc>
        <w:tc>
          <w:tcPr>
            <w:tcW w:w="404" w:type="pct"/>
            <w:tcBorders>
              <w:tl2br w:val="nil"/>
              <w:tr2bl w:val="nil"/>
            </w:tcBorders>
            <w:noWrap w:val="0"/>
            <w:vAlign w:val="center"/>
          </w:tcPr>
          <w:p w14:paraId="53699318">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一级</w:t>
            </w:r>
          </w:p>
        </w:tc>
        <w:tc>
          <w:tcPr>
            <w:tcW w:w="406" w:type="pct"/>
            <w:tcBorders>
              <w:tl2br w:val="nil"/>
              <w:tr2bl w:val="nil"/>
            </w:tcBorders>
            <w:noWrap w:val="0"/>
            <w:vAlign w:val="center"/>
          </w:tcPr>
          <w:p w14:paraId="7F7A57F2">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二级</w:t>
            </w:r>
          </w:p>
        </w:tc>
        <w:tc>
          <w:tcPr>
            <w:tcW w:w="404" w:type="pct"/>
            <w:tcBorders>
              <w:tl2br w:val="nil"/>
              <w:tr2bl w:val="nil"/>
            </w:tcBorders>
            <w:noWrap w:val="0"/>
            <w:vAlign w:val="center"/>
          </w:tcPr>
          <w:p w14:paraId="0A2FFE38">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二级</w:t>
            </w:r>
          </w:p>
        </w:tc>
        <w:tc>
          <w:tcPr>
            <w:tcW w:w="404" w:type="pct"/>
            <w:tcBorders>
              <w:tl2br w:val="nil"/>
              <w:tr2bl w:val="nil"/>
            </w:tcBorders>
            <w:noWrap w:val="0"/>
            <w:vAlign w:val="center"/>
          </w:tcPr>
          <w:p w14:paraId="146942DD">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二级</w:t>
            </w:r>
          </w:p>
        </w:tc>
        <w:tc>
          <w:tcPr>
            <w:tcW w:w="407" w:type="pct"/>
            <w:tcBorders>
              <w:tl2br w:val="nil"/>
              <w:tr2bl w:val="nil"/>
            </w:tcBorders>
            <w:noWrap w:val="0"/>
            <w:vAlign w:val="center"/>
          </w:tcPr>
          <w:p w14:paraId="3882311E">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三级</w:t>
            </w:r>
          </w:p>
        </w:tc>
        <w:tc>
          <w:tcPr>
            <w:tcW w:w="405" w:type="pct"/>
            <w:tcBorders>
              <w:tl2br w:val="nil"/>
              <w:tr2bl w:val="nil"/>
            </w:tcBorders>
            <w:noWrap w:val="0"/>
            <w:vAlign w:val="center"/>
          </w:tcPr>
          <w:p w14:paraId="091E606D">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三级</w:t>
            </w:r>
          </w:p>
        </w:tc>
        <w:tc>
          <w:tcPr>
            <w:tcW w:w="405" w:type="pct"/>
            <w:tcBorders>
              <w:tl2br w:val="nil"/>
              <w:tr2bl w:val="nil"/>
            </w:tcBorders>
            <w:noWrap w:val="0"/>
            <w:vAlign w:val="center"/>
          </w:tcPr>
          <w:p w14:paraId="3A33CFE1">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三级</w:t>
            </w:r>
          </w:p>
        </w:tc>
        <w:tc>
          <w:tcPr>
            <w:tcW w:w="408" w:type="pct"/>
            <w:tcBorders>
              <w:tl2br w:val="nil"/>
              <w:tr2bl w:val="nil"/>
            </w:tcBorders>
            <w:noWrap w:val="0"/>
            <w:vAlign w:val="center"/>
          </w:tcPr>
          <w:p w14:paraId="36F7A329">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w:t>
            </w:r>
          </w:p>
        </w:tc>
      </w:tr>
      <w:tr w14:paraId="58EFF47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1350" w:type="pct"/>
            <w:tcBorders>
              <w:tl2br w:val="nil"/>
              <w:tr2bl w:val="nil"/>
            </w:tcBorders>
            <w:noWrap w:val="0"/>
            <w:vAlign w:val="center"/>
          </w:tcPr>
          <w:p w14:paraId="3349E833">
            <w:pPr>
              <w:keepNext w:val="0"/>
              <w:keepLines w:val="0"/>
              <w:pageBreakBefore w:val="0"/>
              <w:widowControl/>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kern w:val="0"/>
                <w:sz w:val="20"/>
                <w:szCs w:val="16"/>
                <w:u w:val="none"/>
              </w:rPr>
            </w:pPr>
            <w:r>
              <w:rPr>
                <w:rFonts w:ascii="Times New Roman" w:hAnsi="Times New Roman" w:eastAsia="宋体" w:cs="Times New Roman"/>
                <w:color w:val="auto"/>
                <w:kern w:val="0"/>
                <w:sz w:val="20"/>
                <w:szCs w:val="16"/>
                <w:u w:val="none"/>
              </w:rPr>
              <w:t>不敏感</w:t>
            </w:r>
          </w:p>
        </w:tc>
        <w:tc>
          <w:tcPr>
            <w:tcW w:w="404" w:type="pct"/>
            <w:tcBorders>
              <w:tl2br w:val="nil"/>
              <w:tr2bl w:val="nil"/>
            </w:tcBorders>
            <w:noWrap w:val="0"/>
            <w:vAlign w:val="center"/>
          </w:tcPr>
          <w:p w14:paraId="1F828F24">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一级</w:t>
            </w:r>
          </w:p>
        </w:tc>
        <w:tc>
          <w:tcPr>
            <w:tcW w:w="404" w:type="pct"/>
            <w:tcBorders>
              <w:tl2br w:val="nil"/>
              <w:tr2bl w:val="nil"/>
            </w:tcBorders>
            <w:noWrap w:val="0"/>
            <w:vAlign w:val="center"/>
          </w:tcPr>
          <w:p w14:paraId="5D86CD4E">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二级</w:t>
            </w:r>
          </w:p>
        </w:tc>
        <w:tc>
          <w:tcPr>
            <w:tcW w:w="406" w:type="pct"/>
            <w:tcBorders>
              <w:tl2br w:val="nil"/>
              <w:tr2bl w:val="nil"/>
            </w:tcBorders>
            <w:noWrap w:val="0"/>
            <w:vAlign w:val="center"/>
          </w:tcPr>
          <w:p w14:paraId="3284F791">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二级</w:t>
            </w:r>
          </w:p>
        </w:tc>
        <w:tc>
          <w:tcPr>
            <w:tcW w:w="404" w:type="pct"/>
            <w:tcBorders>
              <w:tl2br w:val="nil"/>
              <w:tr2bl w:val="nil"/>
            </w:tcBorders>
            <w:noWrap w:val="0"/>
            <w:vAlign w:val="center"/>
          </w:tcPr>
          <w:p w14:paraId="204B3AD2">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二级</w:t>
            </w:r>
          </w:p>
        </w:tc>
        <w:tc>
          <w:tcPr>
            <w:tcW w:w="404" w:type="pct"/>
            <w:tcBorders>
              <w:tl2br w:val="nil"/>
              <w:tr2bl w:val="nil"/>
            </w:tcBorders>
            <w:noWrap w:val="0"/>
            <w:vAlign w:val="center"/>
          </w:tcPr>
          <w:p w14:paraId="27FF9233">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三级</w:t>
            </w:r>
          </w:p>
        </w:tc>
        <w:tc>
          <w:tcPr>
            <w:tcW w:w="407" w:type="pct"/>
            <w:tcBorders>
              <w:tl2br w:val="nil"/>
              <w:tr2bl w:val="nil"/>
            </w:tcBorders>
            <w:noWrap w:val="0"/>
            <w:vAlign w:val="center"/>
          </w:tcPr>
          <w:p w14:paraId="52F5EBFA">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三级</w:t>
            </w:r>
          </w:p>
        </w:tc>
        <w:tc>
          <w:tcPr>
            <w:tcW w:w="405" w:type="pct"/>
            <w:tcBorders>
              <w:tl2br w:val="nil"/>
              <w:tr2bl w:val="nil"/>
            </w:tcBorders>
            <w:noWrap w:val="0"/>
            <w:vAlign w:val="center"/>
          </w:tcPr>
          <w:p w14:paraId="32CC888D">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三级</w:t>
            </w:r>
          </w:p>
        </w:tc>
        <w:tc>
          <w:tcPr>
            <w:tcW w:w="405" w:type="pct"/>
            <w:tcBorders>
              <w:tl2br w:val="nil"/>
              <w:tr2bl w:val="nil"/>
            </w:tcBorders>
            <w:noWrap w:val="0"/>
            <w:vAlign w:val="center"/>
          </w:tcPr>
          <w:p w14:paraId="141492D8">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w:t>
            </w:r>
          </w:p>
        </w:tc>
        <w:tc>
          <w:tcPr>
            <w:tcW w:w="408" w:type="pct"/>
            <w:tcBorders>
              <w:tl2br w:val="nil"/>
              <w:tr2bl w:val="nil"/>
            </w:tcBorders>
            <w:noWrap w:val="0"/>
            <w:vAlign w:val="center"/>
          </w:tcPr>
          <w:p w14:paraId="06171796">
            <w:pPr>
              <w:keepNext w:val="0"/>
              <w:keepLines w:val="0"/>
              <w:pageBreakBefore w:val="0"/>
              <w:kinsoku/>
              <w:wordWrap/>
              <w:overflowPunct/>
              <w:topLinePunct w:val="0"/>
              <w:autoSpaceDE/>
              <w:autoSpaceDN/>
              <w:bidi w:val="0"/>
              <w:adjustRightInd/>
              <w:spacing w:line="340" w:lineRule="exact"/>
              <w:jc w:val="center"/>
              <w:textAlignment w:val="auto"/>
              <w:rPr>
                <w:rFonts w:ascii="Times New Roman" w:hAnsi="Times New Roman" w:eastAsia="宋体" w:cs="Times New Roman"/>
                <w:color w:val="auto"/>
                <w:sz w:val="21"/>
                <w:szCs w:val="18"/>
                <w:u w:val="none"/>
                <w:lang w:val="en-US" w:eastAsia="zh-CN" w:bidi="ar-SA"/>
              </w:rPr>
            </w:pPr>
            <w:r>
              <w:rPr>
                <w:rFonts w:ascii="Times New Roman" w:hAnsi="Times New Roman" w:eastAsia="宋体" w:cs="Times New Roman"/>
                <w:color w:val="auto"/>
                <w:sz w:val="21"/>
                <w:szCs w:val="18"/>
                <w:u w:val="none"/>
                <w:lang w:val="en-US" w:eastAsia="zh-CN" w:bidi="ar-SA"/>
              </w:rPr>
              <w:t>-</w:t>
            </w:r>
          </w:p>
        </w:tc>
      </w:tr>
    </w:tbl>
    <w:p w14:paraId="33A7FE7A">
      <w:pPr>
        <w:keepNext w:val="0"/>
        <w:keepLines w:val="0"/>
        <w:pageBreakBefore w:val="0"/>
        <w:widowControl w:val="0"/>
        <w:kinsoku/>
        <w:wordWrap/>
        <w:overflowPunct/>
        <w:topLinePunct w:val="0"/>
        <w:autoSpaceDE/>
        <w:autoSpaceDN/>
        <w:bidi w:val="0"/>
        <w:adjustRightInd/>
        <w:snapToGrid/>
        <w:spacing w:after="0" w:line="480" w:lineRule="exact"/>
        <w:ind w:firstLine="456" w:firstLineChars="200"/>
        <w:jc w:val="both"/>
        <w:textAlignment w:val="auto"/>
        <w:outlineLvl w:val="9"/>
        <w:rPr>
          <w:rFonts w:ascii="Times New Roman" w:hAnsi="Times New Roman" w:eastAsia="宋体" w:cs="宋体"/>
          <w:color w:val="auto"/>
          <w:sz w:val="24"/>
          <w:szCs w:val="24"/>
          <w:u w:val="none"/>
          <w:lang w:val="en-US" w:eastAsia="zh-CN" w:bidi="ar-SA"/>
        </w:rPr>
      </w:pPr>
      <w:r>
        <w:rPr>
          <w:rFonts w:hint="eastAsia" w:cs="宋体"/>
          <w:color w:val="auto"/>
          <w:spacing w:val="-6"/>
          <w:sz w:val="24"/>
          <w:szCs w:val="24"/>
          <w:u w:val="none"/>
          <w:lang w:val="en-US" w:eastAsia="zh-CN" w:bidi="ar-SA"/>
        </w:rPr>
        <w:t>根据工程分析</w:t>
      </w:r>
      <w:r>
        <w:rPr>
          <w:rFonts w:hint="eastAsia" w:ascii="Times New Roman" w:hAnsi="Times New Roman" w:eastAsia="宋体" w:cs="宋体"/>
          <w:color w:val="auto"/>
          <w:spacing w:val="-6"/>
          <w:sz w:val="24"/>
          <w:szCs w:val="24"/>
          <w:u w:val="none"/>
          <w:lang w:val="en-US" w:eastAsia="zh-CN" w:bidi="ar-SA"/>
        </w:rPr>
        <w:t>，</w:t>
      </w:r>
      <w:r>
        <w:rPr>
          <w:rFonts w:hint="eastAsia" w:cs="宋体"/>
          <w:color w:val="auto"/>
          <w:spacing w:val="-6"/>
          <w:sz w:val="24"/>
          <w:szCs w:val="24"/>
          <w:u w:val="none"/>
          <w:lang w:val="en-US" w:eastAsia="zh-CN" w:bidi="ar-SA"/>
        </w:rPr>
        <w:t>本工程</w:t>
      </w:r>
      <w:r>
        <w:rPr>
          <w:rFonts w:hint="eastAsia" w:ascii="Times New Roman" w:hAnsi="Times New Roman" w:eastAsia="宋体" w:cs="宋体"/>
          <w:color w:val="auto"/>
          <w:spacing w:val="-6"/>
          <w:sz w:val="24"/>
          <w:szCs w:val="24"/>
          <w:u w:val="none"/>
          <w:lang w:val="en-US" w:eastAsia="zh-CN" w:bidi="ar-SA"/>
        </w:rPr>
        <w:t>属于小型项目（永久占地&lt;5hm</w:t>
      </w:r>
      <w:r>
        <w:rPr>
          <w:rFonts w:hint="eastAsia" w:ascii="Times New Roman" w:hAnsi="Times New Roman" w:eastAsia="宋体" w:cs="宋体"/>
          <w:color w:val="auto"/>
          <w:spacing w:val="-6"/>
          <w:sz w:val="24"/>
          <w:szCs w:val="24"/>
          <w:u w:val="none"/>
          <w:vertAlign w:val="superscript"/>
          <w:lang w:val="en-US" w:eastAsia="zh-CN" w:bidi="ar-SA"/>
        </w:rPr>
        <w:t>2</w:t>
      </w:r>
      <w:r>
        <w:rPr>
          <w:rFonts w:hint="eastAsia" w:ascii="Times New Roman" w:hAnsi="Times New Roman" w:eastAsia="宋体" w:cs="宋体"/>
          <w:color w:val="auto"/>
          <w:spacing w:val="-6"/>
          <w:sz w:val="24"/>
          <w:szCs w:val="24"/>
          <w:u w:val="none"/>
          <w:lang w:val="en-US" w:eastAsia="zh-CN" w:bidi="ar-SA"/>
        </w:rPr>
        <w:t>），土壤敏感程度为“不敏感”</w:t>
      </w:r>
      <w:r>
        <w:rPr>
          <w:rFonts w:hint="eastAsia" w:cs="宋体"/>
          <w:color w:val="auto"/>
          <w:spacing w:val="-6"/>
          <w:sz w:val="24"/>
          <w:szCs w:val="24"/>
          <w:u w:val="none"/>
          <w:lang w:val="en-US" w:eastAsia="zh-CN" w:bidi="ar-SA"/>
        </w:rPr>
        <w:t>，</w:t>
      </w:r>
      <w:r>
        <w:rPr>
          <w:rFonts w:hint="eastAsia" w:ascii="Times New Roman" w:hAnsi="Times New Roman" w:eastAsia="宋体" w:cs="宋体"/>
          <w:color w:val="auto"/>
          <w:spacing w:val="-6"/>
          <w:sz w:val="24"/>
          <w:szCs w:val="24"/>
          <w:u w:val="none"/>
          <w:lang w:val="en-US" w:eastAsia="zh-CN" w:bidi="ar-SA"/>
        </w:rPr>
        <w:t>本工程为</w:t>
      </w:r>
      <w:r>
        <w:rPr>
          <w:rFonts w:hint="eastAsia" w:cs="宋体"/>
          <w:color w:val="auto"/>
          <w:spacing w:val="-6"/>
          <w:sz w:val="24"/>
          <w:szCs w:val="24"/>
          <w:u w:val="none"/>
          <w:lang w:val="en-US" w:eastAsia="zh-CN" w:bidi="ar-SA"/>
        </w:rPr>
        <w:t>天然气</w:t>
      </w:r>
      <w:r>
        <w:rPr>
          <w:rFonts w:hint="eastAsia" w:ascii="Times New Roman" w:hAnsi="Times New Roman" w:eastAsia="宋体" w:cs="宋体"/>
          <w:color w:val="auto"/>
          <w:spacing w:val="-6"/>
          <w:sz w:val="24"/>
          <w:szCs w:val="24"/>
          <w:u w:val="none"/>
          <w:lang w:val="en-US" w:eastAsia="zh-CN" w:bidi="ar-SA"/>
        </w:rPr>
        <w:t>开采项目，</w:t>
      </w:r>
      <w:r>
        <w:rPr>
          <w:rFonts w:hint="eastAsia" w:cs="宋体"/>
          <w:color w:val="auto"/>
          <w:spacing w:val="-6"/>
          <w:sz w:val="24"/>
          <w:szCs w:val="24"/>
          <w:u w:val="none"/>
          <w:lang w:val="en-US" w:eastAsia="zh-CN" w:bidi="ar-SA"/>
        </w:rPr>
        <w:t>其中井场</w:t>
      </w:r>
      <w:r>
        <w:rPr>
          <w:rFonts w:hint="eastAsia" w:ascii="Times New Roman" w:hAnsi="Times New Roman" w:eastAsia="宋体" w:cs="宋体"/>
          <w:color w:val="auto"/>
          <w:spacing w:val="-6"/>
          <w:sz w:val="24"/>
          <w:szCs w:val="24"/>
          <w:u w:val="none"/>
          <w:lang w:val="en-US" w:eastAsia="zh-CN" w:bidi="ar-SA"/>
        </w:rPr>
        <w:t>属于</w:t>
      </w:r>
      <w:r>
        <w:rPr>
          <w:rFonts w:hint="eastAsia" w:cs="Times New Roman"/>
          <w:color w:val="auto"/>
          <w:kern w:val="0"/>
          <w:sz w:val="24"/>
          <w:szCs w:val="24"/>
          <w:highlight w:val="none"/>
          <w:u w:val="none"/>
          <w:lang w:eastAsia="zh-CN"/>
        </w:rPr>
        <w:t>Ⅱ</w:t>
      </w:r>
      <w:r>
        <w:rPr>
          <w:rFonts w:hint="eastAsia" w:ascii="Times New Roman" w:hAnsi="Times New Roman" w:eastAsia="宋体" w:cs="宋体"/>
          <w:color w:val="auto"/>
          <w:spacing w:val="-6"/>
          <w:sz w:val="24"/>
          <w:szCs w:val="24"/>
          <w:u w:val="none"/>
          <w:lang w:val="en-US" w:eastAsia="zh-CN" w:bidi="ar-SA"/>
        </w:rPr>
        <w:t>类项目，污染影响型评价等级划分为</w:t>
      </w:r>
      <w:r>
        <w:rPr>
          <w:rFonts w:hint="eastAsia" w:cs="宋体"/>
          <w:color w:val="auto"/>
          <w:spacing w:val="-6"/>
          <w:sz w:val="24"/>
          <w:szCs w:val="24"/>
          <w:u w:val="none"/>
          <w:lang w:val="en-US" w:eastAsia="zh-CN" w:bidi="ar-SA"/>
        </w:rPr>
        <w:t>三</w:t>
      </w:r>
      <w:r>
        <w:rPr>
          <w:rFonts w:hint="eastAsia" w:ascii="Times New Roman" w:hAnsi="Times New Roman" w:eastAsia="宋体" w:cs="宋体"/>
          <w:color w:val="auto"/>
          <w:spacing w:val="-6"/>
          <w:sz w:val="24"/>
          <w:szCs w:val="24"/>
          <w:u w:val="none"/>
          <w:lang w:val="en-US" w:eastAsia="zh-CN" w:bidi="ar-SA"/>
        </w:rPr>
        <w:t>级；</w:t>
      </w:r>
      <w:r>
        <w:rPr>
          <w:rFonts w:hint="eastAsia" w:cs="宋体"/>
          <w:color w:val="auto"/>
          <w:spacing w:val="-6"/>
          <w:sz w:val="24"/>
          <w:szCs w:val="24"/>
          <w:u w:val="none"/>
          <w:lang w:val="en-US" w:eastAsia="zh-CN" w:bidi="ar-SA"/>
        </w:rPr>
        <w:t>天然气</w:t>
      </w:r>
      <w:r>
        <w:rPr>
          <w:rFonts w:hint="eastAsia" w:ascii="Times New Roman" w:hAnsi="Times New Roman" w:eastAsia="宋体" w:cs="宋体"/>
          <w:color w:val="auto"/>
          <w:spacing w:val="-6"/>
          <w:sz w:val="24"/>
          <w:szCs w:val="24"/>
          <w:u w:val="none"/>
          <w:lang w:val="en-US" w:eastAsia="zh-CN" w:bidi="ar-SA"/>
        </w:rPr>
        <w:t>管线建设属于Ⅳ类项目，可不开展土壤环境影响评价工作。</w:t>
      </w:r>
    </w:p>
    <w:p w14:paraId="7FBA339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宋体"/>
          <w:color w:val="auto"/>
          <w:sz w:val="24"/>
          <w:szCs w:val="24"/>
          <w:u w:val="none"/>
          <w:lang w:val="en-US" w:eastAsia="zh-CN" w:bidi="ar-SA"/>
        </w:rPr>
      </w:pPr>
      <w:r>
        <w:rPr>
          <w:rFonts w:hint="eastAsia" w:cs="宋体"/>
          <w:color w:val="auto"/>
          <w:sz w:val="24"/>
          <w:szCs w:val="24"/>
          <w:u w:val="none"/>
          <w:lang w:val="en-US" w:eastAsia="zh-CN" w:bidi="ar-SA"/>
        </w:rPr>
        <w:t>2）</w:t>
      </w:r>
      <w:r>
        <w:rPr>
          <w:rFonts w:hint="eastAsia" w:ascii="Times New Roman" w:hAnsi="Times New Roman" w:eastAsia="宋体" w:cs="宋体"/>
          <w:color w:val="auto"/>
          <w:sz w:val="24"/>
          <w:szCs w:val="24"/>
          <w:u w:val="none"/>
          <w:lang w:val="en-US" w:eastAsia="zh-CN" w:bidi="ar-SA"/>
        </w:rPr>
        <w:t>评价范围</w:t>
      </w:r>
    </w:p>
    <w:p w14:paraId="2C65714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宋体"/>
          <w:color w:val="auto"/>
          <w:sz w:val="24"/>
          <w:szCs w:val="24"/>
          <w:u w:val="none"/>
          <w:lang w:val="en-US" w:eastAsia="zh-CN" w:bidi="ar-SA"/>
        </w:rPr>
      </w:pPr>
      <w:r>
        <w:rPr>
          <w:rFonts w:hint="eastAsia" w:ascii="Times New Roman" w:hAnsi="Times New Roman" w:eastAsia="宋体" w:cs="宋体"/>
          <w:color w:val="auto"/>
          <w:sz w:val="24"/>
          <w:szCs w:val="24"/>
          <w:u w:val="none"/>
          <w:lang w:val="en-US" w:eastAsia="zh-CN" w:bidi="ar-SA"/>
        </w:rPr>
        <w:t>根据评价工作等级，并结合本工程特点，考虑油田整体开发对区域的影响，确定污染影响型评价范围为集输管线两侧各200m带状区域范围，</w:t>
      </w:r>
      <w:r>
        <w:rPr>
          <w:rFonts w:hint="eastAsia" w:cs="宋体"/>
          <w:color w:val="auto"/>
          <w:sz w:val="24"/>
          <w:szCs w:val="24"/>
          <w:u w:val="none"/>
          <w:lang w:val="en-US" w:eastAsia="zh-CN" w:bidi="ar-SA"/>
        </w:rPr>
        <w:t>井场</w:t>
      </w:r>
      <w:r>
        <w:rPr>
          <w:rFonts w:hint="eastAsia" w:ascii="Times New Roman" w:hAnsi="Times New Roman" w:eastAsia="宋体" w:cs="宋体"/>
          <w:color w:val="auto"/>
          <w:sz w:val="24"/>
          <w:szCs w:val="24"/>
          <w:u w:val="none"/>
          <w:lang w:val="en-US" w:eastAsia="zh-CN" w:bidi="ar-SA"/>
        </w:rPr>
        <w:t>边界外</w:t>
      </w:r>
      <w:r>
        <w:rPr>
          <w:rFonts w:hint="eastAsia" w:cs="宋体"/>
          <w:color w:val="auto"/>
          <w:sz w:val="24"/>
          <w:szCs w:val="24"/>
          <w:u w:val="none"/>
          <w:lang w:val="en-US" w:eastAsia="zh-CN" w:bidi="ar-SA"/>
        </w:rPr>
        <w:t>50</w:t>
      </w:r>
      <w:r>
        <w:rPr>
          <w:rFonts w:hint="eastAsia" w:ascii="Times New Roman" w:hAnsi="Times New Roman" w:eastAsia="宋体" w:cs="宋体"/>
          <w:color w:val="auto"/>
          <w:sz w:val="24"/>
          <w:szCs w:val="24"/>
          <w:u w:val="none"/>
          <w:lang w:val="en-US" w:eastAsia="zh-CN" w:bidi="ar-SA"/>
        </w:rPr>
        <w:t>m区域范围。</w:t>
      </w:r>
    </w:p>
    <w:p w14:paraId="616A955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宋体"/>
          <w:color w:val="auto"/>
          <w:sz w:val="24"/>
          <w:szCs w:val="24"/>
          <w:u w:val="none"/>
          <w:lang w:val="en-US" w:eastAsia="zh-CN" w:bidi="ar-SA"/>
        </w:rPr>
      </w:pPr>
      <w:r>
        <w:rPr>
          <w:rFonts w:hint="eastAsia" w:ascii="Times New Roman" w:hAnsi="Times New Roman" w:eastAsia="宋体" w:cs="宋体"/>
          <w:color w:val="auto"/>
          <w:sz w:val="24"/>
          <w:szCs w:val="24"/>
          <w:u w:val="none"/>
          <w:lang w:val="en-US" w:eastAsia="zh-CN" w:bidi="ar-SA"/>
        </w:rPr>
        <w:t>（3）土壤评价范围</w:t>
      </w:r>
    </w:p>
    <w:p w14:paraId="2AFCF8C1">
      <w:pPr>
        <w:keepNext w:val="0"/>
        <w:keepLines w:val="0"/>
        <w:pageBreakBefore w:val="0"/>
        <w:widowControl/>
        <w:kinsoku/>
        <w:wordWrap/>
        <w:overflowPunct/>
        <w:topLinePunct w:val="0"/>
        <w:autoSpaceDE/>
        <w:autoSpaceDN/>
        <w:bidi w:val="0"/>
        <w:adjustRightInd/>
        <w:snapToGrid/>
        <w:spacing w:line="480" w:lineRule="exact"/>
        <w:ind w:firstLine="456" w:firstLineChars="200"/>
        <w:jc w:val="left"/>
        <w:textAlignment w:val="auto"/>
        <w:rPr>
          <w:rFonts w:hint="default" w:ascii="Times New Roman" w:hAnsi="Times New Roman" w:eastAsia="宋体" w:cs="宋体"/>
          <w:color w:val="auto"/>
          <w:sz w:val="24"/>
          <w:szCs w:val="24"/>
          <w:u w:val="none"/>
          <w:lang w:val="en-US" w:eastAsia="zh-CN" w:bidi="ar-SA"/>
        </w:rPr>
      </w:pPr>
      <w:r>
        <w:rPr>
          <w:rFonts w:hint="eastAsia" w:ascii="Times New Roman" w:hAnsi="Times New Roman" w:eastAsia="宋体" w:cs="宋体"/>
          <w:color w:val="auto"/>
          <w:spacing w:val="-6"/>
          <w:sz w:val="24"/>
          <w:szCs w:val="24"/>
          <w:u w:val="none"/>
          <w:lang w:val="en-US" w:eastAsia="zh-CN" w:bidi="ar-SA"/>
        </w:rPr>
        <w:t>根据本工程生态影响型评价等级、污染影响型评价等级，结合工程特点，考虑油田整体开发对区域的影响，确定土壤评价范围为</w:t>
      </w:r>
      <w:r>
        <w:rPr>
          <w:rFonts w:hint="eastAsia" w:cs="宋体"/>
          <w:color w:val="auto"/>
          <w:spacing w:val="-6"/>
          <w:sz w:val="24"/>
          <w:szCs w:val="24"/>
          <w:u w:val="none"/>
          <w:lang w:val="en-US" w:eastAsia="zh-CN" w:bidi="ar-SA"/>
        </w:rPr>
        <w:t>井场</w:t>
      </w:r>
      <w:r>
        <w:rPr>
          <w:rFonts w:hint="eastAsia" w:ascii="Times New Roman" w:hAnsi="Times New Roman" w:eastAsia="宋体" w:cs="宋体"/>
          <w:color w:val="auto"/>
          <w:spacing w:val="-6"/>
          <w:sz w:val="24"/>
          <w:szCs w:val="24"/>
          <w:u w:val="none"/>
          <w:lang w:val="en-US" w:eastAsia="zh-CN" w:bidi="ar-SA"/>
        </w:rPr>
        <w:t>边界外</w:t>
      </w:r>
      <w:r>
        <w:rPr>
          <w:rFonts w:hint="eastAsia" w:cs="宋体"/>
          <w:color w:val="auto"/>
          <w:spacing w:val="-6"/>
          <w:sz w:val="24"/>
          <w:szCs w:val="24"/>
          <w:u w:val="none"/>
          <w:lang w:val="en-US" w:eastAsia="zh-CN" w:bidi="ar-SA"/>
        </w:rPr>
        <w:t>2</w:t>
      </w:r>
      <w:r>
        <w:rPr>
          <w:rFonts w:hint="eastAsia" w:ascii="Times New Roman" w:hAnsi="Times New Roman" w:eastAsia="宋体" w:cs="宋体"/>
          <w:color w:val="auto"/>
          <w:spacing w:val="-6"/>
          <w:sz w:val="24"/>
          <w:szCs w:val="24"/>
          <w:u w:val="none"/>
          <w:lang w:val="en-US" w:eastAsia="zh-CN" w:bidi="ar-SA"/>
        </w:rPr>
        <w:t>km</w:t>
      </w:r>
      <w:r>
        <w:rPr>
          <w:rFonts w:hint="eastAsia" w:cs="宋体"/>
          <w:color w:val="auto"/>
          <w:spacing w:val="-6"/>
          <w:sz w:val="24"/>
          <w:szCs w:val="24"/>
          <w:u w:val="none"/>
          <w:lang w:val="en-US" w:eastAsia="zh-CN" w:bidi="ar-SA"/>
        </w:rPr>
        <w:t>、集输管线两侧各200m带状区域范围</w:t>
      </w:r>
      <w:r>
        <w:rPr>
          <w:rFonts w:hint="eastAsia" w:ascii="Times New Roman" w:hAnsi="Times New Roman" w:eastAsia="宋体" w:cs="宋体"/>
          <w:color w:val="auto"/>
          <w:spacing w:val="-6"/>
          <w:sz w:val="24"/>
          <w:szCs w:val="24"/>
          <w:u w:val="none"/>
          <w:lang w:val="en-US" w:eastAsia="zh-CN" w:bidi="ar-SA"/>
        </w:rPr>
        <w:t>。</w:t>
      </w:r>
    </w:p>
    <w:p w14:paraId="415F749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宋体"/>
          <w:color w:val="auto"/>
          <w:sz w:val="24"/>
          <w:szCs w:val="24"/>
          <w:u w:val="none"/>
          <w:lang w:val="en-US" w:eastAsia="zh-CN" w:bidi="ar-SA"/>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cs="宋体"/>
          <w:color w:val="auto"/>
          <w:sz w:val="24"/>
          <w:szCs w:val="24"/>
          <w:u w:val="none"/>
          <w:lang w:val="en-US" w:eastAsia="zh-CN" w:bidi="ar-SA"/>
        </w:rPr>
        <w:t>土壤</w:t>
      </w:r>
      <w:r>
        <w:rPr>
          <w:rFonts w:ascii="Times New Roman" w:hAnsi="Times New Roman" w:eastAsia="宋体" w:cs="宋体"/>
          <w:color w:val="auto"/>
          <w:sz w:val="24"/>
          <w:szCs w:val="24"/>
          <w:u w:val="none"/>
          <w:lang w:val="en-US" w:eastAsia="zh-CN" w:bidi="ar-SA"/>
        </w:rPr>
        <w:t>评价范围</w:t>
      </w:r>
      <w:r>
        <w:rPr>
          <w:rFonts w:hint="eastAsia" w:cs="宋体"/>
          <w:color w:val="auto"/>
          <w:sz w:val="24"/>
          <w:szCs w:val="24"/>
          <w:u w:val="none"/>
          <w:lang w:val="en-US" w:eastAsia="zh-CN" w:bidi="ar-SA"/>
        </w:rPr>
        <w:t>，</w:t>
      </w:r>
      <w:r>
        <w:rPr>
          <w:rFonts w:ascii="Times New Roman" w:hAnsi="Times New Roman" w:eastAsia="宋体" w:cs="宋体"/>
          <w:color w:val="auto"/>
          <w:sz w:val="24"/>
          <w:szCs w:val="24"/>
          <w:u w:val="none"/>
          <w:lang w:val="en-US" w:eastAsia="zh-CN" w:bidi="ar-SA"/>
        </w:rPr>
        <w:t>见图2.</w:t>
      </w:r>
      <w:r>
        <w:rPr>
          <w:rFonts w:hint="eastAsia" w:cs="宋体"/>
          <w:color w:val="auto"/>
          <w:sz w:val="24"/>
          <w:szCs w:val="24"/>
          <w:u w:val="none"/>
          <w:lang w:val="en-US" w:eastAsia="zh-CN" w:bidi="ar-SA"/>
        </w:rPr>
        <w:t>5</w:t>
      </w:r>
      <w:r>
        <w:rPr>
          <w:rFonts w:ascii="Times New Roman" w:hAnsi="Times New Roman" w:eastAsia="宋体" w:cs="宋体"/>
          <w:color w:val="auto"/>
          <w:sz w:val="24"/>
          <w:szCs w:val="24"/>
          <w:u w:val="none"/>
          <w:lang w:val="en-US" w:eastAsia="zh-CN" w:bidi="ar-SA"/>
        </w:rPr>
        <w:t>-1。</w:t>
      </w:r>
    </w:p>
    <w:p w14:paraId="644EC4F0">
      <w:pPr>
        <w:tabs>
          <w:tab w:val="center" w:pos="7699"/>
        </w:tabs>
        <w:spacing w:line="240" w:lineRule="auto"/>
        <w:outlineLvl w:val="9"/>
        <w:rPr>
          <w:rFonts w:hint="default" w:eastAsia="宋体"/>
          <w:color w:val="auto"/>
          <w:u w:val="none"/>
          <w:lang w:val="en-US" w:eastAsia="zh-CN"/>
        </w:rPr>
        <w:sectPr>
          <w:pgSz w:w="16838" w:h="11906" w:orient="landscape"/>
          <w:pgMar w:top="720" w:right="720" w:bottom="720" w:left="720" w:header="283" w:footer="283" w:gutter="0"/>
          <w:pgBorders>
            <w:top w:val="none" w:sz="0" w:space="0"/>
            <w:left w:val="none" w:sz="0" w:space="0"/>
            <w:bottom w:val="none" w:sz="0" w:space="0"/>
            <w:right w:val="none" w:sz="0" w:space="0"/>
          </w:pgBorders>
          <w:pgNumType w:fmt="decimal"/>
          <w:cols w:space="0" w:num="1"/>
          <w:rtlGutter w:val="0"/>
          <w:docGrid w:type="linesAndChars" w:linePitch="312" w:charSpace="0"/>
        </w:sectPr>
      </w:pPr>
      <w:r>
        <w:rPr>
          <w:rFonts w:hint="eastAsia"/>
          <w:color w:val="auto"/>
          <w:u w:val="none"/>
          <w:lang w:eastAsia="zh-CN"/>
        </w:rPr>
        <w:drawing>
          <wp:anchor distT="0" distB="0" distL="114300" distR="114300" simplePos="0" relativeHeight="251702272" behindDoc="0" locked="0" layoutInCell="1" allowOverlap="1">
            <wp:simplePos x="0" y="0"/>
            <wp:positionH relativeFrom="column">
              <wp:posOffset>448945</wp:posOffset>
            </wp:positionH>
            <wp:positionV relativeFrom="paragraph">
              <wp:posOffset>62865</wp:posOffset>
            </wp:positionV>
            <wp:extent cx="8836660" cy="6246495"/>
            <wp:effectExtent l="0" t="0" r="2540" b="1905"/>
            <wp:wrapTopAndBottom/>
            <wp:docPr id="43" name="图片 43" descr="评价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评价范围图"/>
                    <pic:cNvPicPr>
                      <a:picLocks noChangeAspect="1"/>
                    </pic:cNvPicPr>
                  </pic:nvPicPr>
                  <pic:blipFill>
                    <a:blip r:embed="rId28"/>
                    <a:stretch>
                      <a:fillRect/>
                    </a:stretch>
                  </pic:blipFill>
                  <pic:spPr>
                    <a:xfrm>
                      <a:off x="0" y="0"/>
                      <a:ext cx="8836660" cy="6246495"/>
                    </a:xfrm>
                    <a:prstGeom prst="rect">
                      <a:avLst/>
                    </a:prstGeom>
                  </pic:spPr>
                </pic:pic>
              </a:graphicData>
            </a:graphic>
          </wp:anchor>
        </w:drawing>
      </w:r>
      <w:r>
        <w:rPr>
          <w:rFonts w:hint="eastAsia"/>
          <w:color w:val="auto"/>
          <w:u w:val="none"/>
          <w:lang w:eastAsia="zh-CN"/>
        </w:rPr>
        <w:tab/>
      </w:r>
      <w:r>
        <w:rPr>
          <w:rFonts w:hint="eastAsia" w:ascii="黑体" w:hAnsi="黑体" w:eastAsia="黑体" w:cs="黑体"/>
          <w:b w:val="0"/>
          <w:bCs/>
          <w:color w:val="auto"/>
          <w:kern w:val="2"/>
          <w:sz w:val="24"/>
          <w:szCs w:val="24"/>
          <w:u w:val="none"/>
          <w:lang w:val="en-US" w:eastAsia="zh-CN" w:bidi="ar-SA"/>
        </w:rPr>
        <w:t>图2.5-1  评价范围图</w:t>
      </w:r>
    </w:p>
    <w:bookmarkEnd w:id="118"/>
    <w:bookmarkEnd w:id="119"/>
    <w:bookmarkEnd w:id="120"/>
    <w:bookmarkEnd w:id="121"/>
    <w:bookmarkEnd w:id="122"/>
    <w:bookmarkEnd w:id="123"/>
    <w:bookmarkEnd w:id="126"/>
    <w:bookmarkEnd w:id="127"/>
    <w:bookmarkEnd w:id="128"/>
    <w:p w14:paraId="6CE3DEBA">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129" w:name="_Toc15574"/>
      <w:bookmarkStart w:id="130" w:name="_Toc13550"/>
      <w:bookmarkStart w:id="131" w:name="_Toc18914"/>
      <w:r>
        <w:rPr>
          <w:rFonts w:hint="default" w:ascii="黑体" w:hAnsi="黑体" w:eastAsia="黑体" w:cs="黑体"/>
          <w:color w:val="auto"/>
          <w:sz w:val="28"/>
          <w:szCs w:val="28"/>
          <w:u w:val="none"/>
          <w:lang w:val="en-US" w:eastAsia="zh-CN"/>
        </w:rPr>
        <w:t>2.</w:t>
      </w:r>
      <w:r>
        <w:rPr>
          <w:rFonts w:hint="eastAsia" w:ascii="黑体" w:hAnsi="黑体" w:eastAsia="黑体" w:cs="黑体"/>
          <w:color w:val="auto"/>
          <w:sz w:val="28"/>
          <w:szCs w:val="28"/>
          <w:u w:val="none"/>
          <w:lang w:val="en-US" w:eastAsia="zh-CN"/>
        </w:rPr>
        <w:t xml:space="preserve">6 </w:t>
      </w:r>
      <w:r>
        <w:rPr>
          <w:rFonts w:hint="default" w:ascii="黑体" w:hAnsi="黑体" w:eastAsia="黑体" w:cs="黑体"/>
          <w:color w:val="auto"/>
          <w:sz w:val="28"/>
          <w:szCs w:val="28"/>
          <w:u w:val="none"/>
          <w:lang w:val="en-US" w:eastAsia="zh-CN"/>
        </w:rPr>
        <w:t>环境保护目标</w:t>
      </w:r>
      <w:bookmarkEnd w:id="129"/>
      <w:bookmarkEnd w:id="130"/>
      <w:bookmarkEnd w:id="131"/>
    </w:p>
    <w:p w14:paraId="6ACF168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val="en-US" w:eastAsia="zh-CN"/>
        </w:rPr>
      </w:pPr>
      <w:bookmarkStart w:id="132" w:name="_Toc36583807"/>
      <w:bookmarkStart w:id="133" w:name="_Toc507411708"/>
      <w:bookmarkStart w:id="134" w:name="_Toc500856914"/>
      <w:bookmarkStart w:id="135" w:name="_Toc390851523"/>
      <w:bookmarkStart w:id="136" w:name="_Toc8116"/>
      <w:r>
        <w:rPr>
          <w:rFonts w:hint="eastAsia" w:ascii="宋体" w:hAnsi="宋体" w:eastAsia="宋体" w:cs="宋体"/>
          <w:color w:val="auto"/>
          <w:sz w:val="24"/>
          <w:szCs w:val="24"/>
          <w:u w:val="none"/>
          <w:lang w:val="en-US" w:eastAsia="zh-CN"/>
        </w:rPr>
        <w:t>项目区地处准噶尔盆地古尔班通古特沙漠腹部，现场踏勘结果表明，区域为典型的风积沙漠地貌，地表为固定～半固定沙丘覆盖，项目区属于水土流失重点预防区。评价范围内无国家公园、自然保护区、世界文化和自然遗产地、饮用水水源保护区、永久基本农田、基本草原、自然公园、重要湿地、重点保护野生动物栖息地、重点保护野生植物生长繁殖地、沙化土地封禁保护区等，项目远离人群居住区。</w:t>
      </w:r>
    </w:p>
    <w:p w14:paraId="01D63EF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rPr>
      </w:pPr>
      <w:r>
        <w:rPr>
          <w:rFonts w:hint="eastAsia" w:ascii="宋体" w:hAnsi="宋体" w:eastAsia="宋体" w:cs="宋体"/>
          <w:color w:val="auto"/>
          <w:sz w:val="24"/>
          <w:szCs w:val="24"/>
          <w:u w:val="none"/>
        </w:rPr>
        <w:t>据现场调查，确定</w:t>
      </w:r>
      <w:r>
        <w:rPr>
          <w:rFonts w:hint="eastAsia" w:ascii="宋体" w:hAnsi="宋体" w:eastAsia="宋体" w:cs="宋体"/>
          <w:color w:val="auto"/>
          <w:sz w:val="24"/>
          <w:szCs w:val="24"/>
          <w:u w:val="none"/>
          <w:lang w:eastAsia="zh-CN"/>
        </w:rPr>
        <w:t>本工程</w:t>
      </w:r>
      <w:r>
        <w:rPr>
          <w:rFonts w:hint="eastAsia" w:ascii="宋体" w:hAnsi="宋体" w:eastAsia="宋体" w:cs="宋体"/>
          <w:color w:val="auto"/>
          <w:sz w:val="24"/>
          <w:szCs w:val="24"/>
          <w:u w:val="none"/>
        </w:rPr>
        <w:t>评价范围内主要环境保护敏感目标</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见表2.</w:t>
      </w:r>
      <w:r>
        <w:rPr>
          <w:rFonts w:hint="eastAsia" w:ascii="宋体" w:hAnsi="宋体" w:eastAsia="宋体" w:cs="宋体"/>
          <w:color w:val="auto"/>
          <w:sz w:val="24"/>
          <w:szCs w:val="24"/>
          <w:u w:val="none"/>
          <w:lang w:val="en-US" w:eastAsia="zh-CN"/>
        </w:rPr>
        <w:t>6</w:t>
      </w:r>
      <w:r>
        <w:rPr>
          <w:rFonts w:hint="eastAsia" w:ascii="宋体" w:hAnsi="宋体" w:eastAsia="宋体" w:cs="宋体"/>
          <w:color w:val="auto"/>
          <w:sz w:val="24"/>
          <w:szCs w:val="24"/>
          <w:u w:val="none"/>
        </w:rPr>
        <w:t>-1。</w:t>
      </w:r>
    </w:p>
    <w:p w14:paraId="594086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表2.</w:t>
      </w:r>
      <w:r>
        <w:rPr>
          <w:rFonts w:hint="eastAsia" w:ascii="黑体" w:hAnsi="黑体" w:eastAsia="黑体" w:cs="黑体"/>
          <w:b w:val="0"/>
          <w:bCs/>
          <w:color w:val="auto"/>
          <w:kern w:val="2"/>
          <w:sz w:val="24"/>
          <w:szCs w:val="24"/>
          <w:u w:val="none"/>
          <w:lang w:val="en-US" w:eastAsia="zh-CN" w:bidi="ar-SA"/>
        </w:rPr>
        <w:t>6</w:t>
      </w:r>
      <w:r>
        <w:rPr>
          <w:rFonts w:hint="default" w:ascii="黑体" w:hAnsi="黑体" w:eastAsia="黑体" w:cs="黑体"/>
          <w:b w:val="0"/>
          <w:bCs/>
          <w:color w:val="auto"/>
          <w:kern w:val="2"/>
          <w:sz w:val="24"/>
          <w:szCs w:val="24"/>
          <w:u w:val="none"/>
          <w:lang w:val="en-US" w:eastAsia="zh-CN" w:bidi="ar-SA"/>
        </w:rPr>
        <w:t>-1</w:t>
      </w:r>
      <w:r>
        <w:rPr>
          <w:rFonts w:hint="eastAsia" w:ascii="黑体" w:hAnsi="黑体" w:eastAsia="黑体" w:cs="黑体"/>
          <w:b w:val="0"/>
          <w:bCs/>
          <w:color w:val="auto"/>
          <w:kern w:val="2"/>
          <w:sz w:val="24"/>
          <w:szCs w:val="24"/>
          <w:u w:val="none"/>
          <w:lang w:val="en-US" w:eastAsia="zh-CN" w:bidi="ar-SA"/>
        </w:rPr>
        <w:t xml:space="preserve">  </w:t>
      </w:r>
      <w:r>
        <w:rPr>
          <w:rFonts w:hint="default" w:ascii="黑体" w:hAnsi="黑体" w:eastAsia="黑体" w:cs="黑体"/>
          <w:b w:val="0"/>
          <w:bCs/>
          <w:color w:val="auto"/>
          <w:kern w:val="2"/>
          <w:sz w:val="24"/>
          <w:szCs w:val="24"/>
          <w:u w:val="none"/>
          <w:lang w:val="en-US" w:eastAsia="zh-CN" w:bidi="ar-SA"/>
        </w:rPr>
        <w:t>环境保护目标</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6"/>
        <w:gridCol w:w="1681"/>
        <w:gridCol w:w="1282"/>
        <w:gridCol w:w="4712"/>
      </w:tblGrid>
      <w:tr w14:paraId="3675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4" w:type="pct"/>
            <w:noWrap w:val="0"/>
            <w:vAlign w:val="center"/>
          </w:tcPr>
          <w:p w14:paraId="35A7B886">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环境要素</w:t>
            </w:r>
          </w:p>
        </w:tc>
        <w:tc>
          <w:tcPr>
            <w:tcW w:w="969" w:type="pct"/>
            <w:noWrap w:val="0"/>
            <w:vAlign w:val="center"/>
          </w:tcPr>
          <w:p w14:paraId="637417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环境保护</w:t>
            </w:r>
          </w:p>
          <w:p w14:paraId="180100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目标名称</w:t>
            </w:r>
          </w:p>
        </w:tc>
        <w:tc>
          <w:tcPr>
            <w:tcW w:w="739" w:type="pct"/>
            <w:noWrap w:val="0"/>
            <w:vAlign w:val="center"/>
          </w:tcPr>
          <w:p w14:paraId="6B5AA38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与</w:t>
            </w:r>
            <w:r>
              <w:rPr>
                <w:rFonts w:hint="eastAsia" w:ascii="宋体" w:hAnsi="宋体" w:eastAsia="宋体" w:cs="宋体"/>
                <w:color w:val="auto"/>
                <w:kern w:val="0"/>
                <w:sz w:val="21"/>
                <w:szCs w:val="21"/>
                <w:highlight w:val="none"/>
                <w:u w:val="none"/>
                <w:lang w:eastAsia="zh-CN"/>
              </w:rPr>
              <w:t>本工程</w:t>
            </w:r>
            <w:r>
              <w:rPr>
                <w:rFonts w:hint="eastAsia" w:ascii="宋体" w:hAnsi="宋体" w:eastAsia="宋体" w:cs="宋体"/>
                <w:color w:val="auto"/>
                <w:kern w:val="0"/>
                <w:sz w:val="21"/>
                <w:szCs w:val="21"/>
                <w:highlight w:val="none"/>
                <w:u w:val="none"/>
              </w:rPr>
              <w:t>位置关系</w:t>
            </w:r>
          </w:p>
        </w:tc>
        <w:tc>
          <w:tcPr>
            <w:tcW w:w="2716" w:type="pct"/>
            <w:noWrap w:val="0"/>
            <w:vAlign w:val="center"/>
          </w:tcPr>
          <w:p w14:paraId="1CEA036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保护要求</w:t>
            </w:r>
          </w:p>
        </w:tc>
      </w:tr>
      <w:tr w14:paraId="749A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4" w:type="pct"/>
            <w:noWrap w:val="0"/>
            <w:vAlign w:val="center"/>
          </w:tcPr>
          <w:p w14:paraId="5C8F6C7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生态环境</w:t>
            </w:r>
          </w:p>
        </w:tc>
        <w:tc>
          <w:tcPr>
            <w:tcW w:w="969" w:type="pct"/>
            <w:noWrap w:val="0"/>
            <w:vAlign w:val="center"/>
          </w:tcPr>
          <w:p w14:paraId="2F7E9B8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kern w:val="0"/>
                <w:sz w:val="21"/>
                <w:szCs w:val="21"/>
                <w:highlight w:val="none"/>
                <w:u w:val="none"/>
                <w:lang w:val="en-US"/>
              </w:rPr>
            </w:pPr>
            <w:r>
              <w:rPr>
                <w:rFonts w:hint="eastAsia" w:ascii="宋体" w:hAnsi="宋体" w:eastAsia="宋体" w:cs="宋体"/>
                <w:color w:val="auto"/>
                <w:kern w:val="0"/>
                <w:sz w:val="21"/>
                <w:szCs w:val="21"/>
                <w:highlight w:val="none"/>
                <w:u w:val="none"/>
                <w:lang w:val="en-US" w:eastAsia="zh-CN"/>
              </w:rPr>
              <w:t>水土流失重点预防区</w:t>
            </w:r>
            <w:r>
              <w:rPr>
                <w:rFonts w:hint="eastAsia" w:ascii="宋体" w:hAnsi="宋体" w:cs="宋体"/>
                <w:color w:val="auto"/>
                <w:kern w:val="0"/>
                <w:sz w:val="21"/>
                <w:szCs w:val="21"/>
                <w:highlight w:val="none"/>
                <w:u w:val="none"/>
                <w:lang w:val="en-US" w:eastAsia="zh-CN"/>
              </w:rPr>
              <w:t>、国家Ⅱ级保护动物、植被</w:t>
            </w:r>
          </w:p>
        </w:tc>
        <w:tc>
          <w:tcPr>
            <w:tcW w:w="739" w:type="pct"/>
            <w:noWrap w:val="0"/>
            <w:vAlign w:val="center"/>
          </w:tcPr>
          <w:p w14:paraId="4741709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项目区及</w:t>
            </w:r>
          </w:p>
          <w:p w14:paraId="45B07CF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val="en-US" w:eastAsia="zh-CN"/>
              </w:rPr>
              <w:t>周边</w:t>
            </w:r>
          </w:p>
        </w:tc>
        <w:tc>
          <w:tcPr>
            <w:tcW w:w="2716" w:type="pct"/>
            <w:noWrap w:val="0"/>
            <w:vAlign w:val="center"/>
          </w:tcPr>
          <w:p w14:paraId="789B1B8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val="zh-TW"/>
              </w:rPr>
              <w:t>保护项目区生态系统完整性和稳定性，保护土壤环境质量，</w:t>
            </w:r>
            <w:r>
              <w:rPr>
                <w:rFonts w:hint="eastAsia" w:ascii="宋体" w:hAnsi="宋体" w:eastAsia="宋体" w:cs="宋体"/>
                <w:color w:val="auto"/>
                <w:kern w:val="0"/>
                <w:sz w:val="21"/>
                <w:szCs w:val="21"/>
                <w:highlight w:val="none"/>
                <w:u w:val="none"/>
              </w:rPr>
              <w:t>做好植被恢复与水土保持工作</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zh-TW"/>
              </w:rPr>
              <w:t>使项目区现有生态环境不因本工程的建设受到破坏</w:t>
            </w:r>
          </w:p>
        </w:tc>
      </w:tr>
      <w:tr w14:paraId="58B2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4" w:type="pct"/>
            <w:noWrap w:val="0"/>
            <w:vAlign w:val="center"/>
          </w:tcPr>
          <w:p w14:paraId="03C62B3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空气</w:t>
            </w:r>
          </w:p>
        </w:tc>
        <w:tc>
          <w:tcPr>
            <w:tcW w:w="969" w:type="pct"/>
            <w:noWrap w:val="0"/>
            <w:vAlign w:val="center"/>
          </w:tcPr>
          <w:p w14:paraId="038FFAC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w:t>
            </w:r>
          </w:p>
        </w:tc>
        <w:tc>
          <w:tcPr>
            <w:tcW w:w="739" w:type="pct"/>
            <w:noWrap w:val="0"/>
            <w:vAlign w:val="center"/>
          </w:tcPr>
          <w:p w14:paraId="780414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w:t>
            </w:r>
          </w:p>
        </w:tc>
        <w:tc>
          <w:tcPr>
            <w:tcW w:w="2716" w:type="pct"/>
            <w:noWrap w:val="0"/>
            <w:vAlign w:val="center"/>
          </w:tcPr>
          <w:p w14:paraId="6978505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kern w:val="0"/>
                <w:sz w:val="21"/>
                <w:szCs w:val="21"/>
                <w:highlight w:val="none"/>
                <w:u w:val="none"/>
              </w:rPr>
              <w:t>《环境空气质量标准》（GB3095-2012）中二级标准</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不因本工程建设降低区域环境空气质量</w:t>
            </w:r>
          </w:p>
        </w:tc>
      </w:tr>
      <w:tr w14:paraId="075B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4" w:type="pct"/>
            <w:noWrap w:val="0"/>
            <w:vAlign w:val="center"/>
          </w:tcPr>
          <w:p w14:paraId="5C50C93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水环境</w:t>
            </w:r>
          </w:p>
        </w:tc>
        <w:tc>
          <w:tcPr>
            <w:tcW w:w="969" w:type="pct"/>
            <w:noWrap w:val="0"/>
            <w:vAlign w:val="center"/>
          </w:tcPr>
          <w:p w14:paraId="28DA92D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val="en-US" w:eastAsia="zh-CN"/>
              </w:rPr>
              <w:t>评价范围内的潜水含水层</w:t>
            </w:r>
          </w:p>
        </w:tc>
        <w:tc>
          <w:tcPr>
            <w:tcW w:w="739" w:type="pct"/>
            <w:noWrap w:val="0"/>
            <w:vAlign w:val="center"/>
          </w:tcPr>
          <w:p w14:paraId="0475C59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项目区及</w:t>
            </w:r>
          </w:p>
          <w:p w14:paraId="7449A4B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周边</w:t>
            </w:r>
          </w:p>
        </w:tc>
        <w:tc>
          <w:tcPr>
            <w:tcW w:w="2716" w:type="pct"/>
            <w:noWrap w:val="0"/>
            <w:vAlign w:val="center"/>
          </w:tcPr>
          <w:p w14:paraId="6CAF818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《地下水质量标准》（GB/T14848-2017）中Ⅲ类标准</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不因本工程建设降低区域地下水环境质量</w:t>
            </w:r>
          </w:p>
        </w:tc>
      </w:tr>
      <w:tr w14:paraId="327C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4" w:type="pct"/>
            <w:noWrap w:val="0"/>
            <w:vAlign w:val="center"/>
          </w:tcPr>
          <w:p w14:paraId="411CD5B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声</w:t>
            </w:r>
          </w:p>
        </w:tc>
        <w:tc>
          <w:tcPr>
            <w:tcW w:w="969" w:type="pct"/>
            <w:noWrap w:val="0"/>
            <w:vAlign w:val="center"/>
          </w:tcPr>
          <w:p w14:paraId="269984E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w:t>
            </w:r>
          </w:p>
        </w:tc>
        <w:tc>
          <w:tcPr>
            <w:tcW w:w="739" w:type="pct"/>
            <w:noWrap w:val="0"/>
            <w:vAlign w:val="center"/>
          </w:tcPr>
          <w:p w14:paraId="08AF927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w:t>
            </w:r>
          </w:p>
        </w:tc>
        <w:tc>
          <w:tcPr>
            <w:tcW w:w="2716" w:type="pct"/>
            <w:noWrap w:val="0"/>
            <w:vAlign w:val="center"/>
          </w:tcPr>
          <w:p w14:paraId="464F5CD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kern w:val="0"/>
                <w:sz w:val="21"/>
                <w:szCs w:val="21"/>
                <w:highlight w:val="none"/>
                <w:u w:val="none"/>
              </w:rPr>
              <w:t>《声环境质量标准》（GB3096-2008）中2类区标准</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不因本工程建设降低区域声环境质量</w:t>
            </w:r>
          </w:p>
        </w:tc>
      </w:tr>
      <w:tr w14:paraId="3C48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4" w:type="pct"/>
            <w:noWrap w:val="0"/>
            <w:vAlign w:val="center"/>
          </w:tcPr>
          <w:p w14:paraId="4902638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土壤</w:t>
            </w:r>
          </w:p>
        </w:tc>
        <w:tc>
          <w:tcPr>
            <w:tcW w:w="969" w:type="pct"/>
            <w:noWrap w:val="0"/>
            <w:vAlign w:val="center"/>
          </w:tcPr>
          <w:p w14:paraId="7003106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评价范围内土壤</w:t>
            </w:r>
          </w:p>
        </w:tc>
        <w:tc>
          <w:tcPr>
            <w:tcW w:w="739" w:type="pct"/>
            <w:noWrap w:val="0"/>
            <w:vAlign w:val="center"/>
          </w:tcPr>
          <w:p w14:paraId="4A967BB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cs="宋体"/>
                <w:color w:val="auto"/>
                <w:kern w:val="0"/>
                <w:sz w:val="21"/>
                <w:szCs w:val="21"/>
                <w:highlight w:val="none"/>
                <w:u w:val="none"/>
                <w:lang w:val="en-US" w:eastAsia="zh-CN"/>
              </w:rPr>
              <w:t>井场、站场</w:t>
            </w:r>
            <w:r>
              <w:rPr>
                <w:rFonts w:hint="eastAsia" w:ascii="宋体" w:hAnsi="宋体" w:eastAsia="宋体" w:cs="宋体"/>
                <w:color w:val="auto"/>
                <w:kern w:val="0"/>
                <w:sz w:val="21"/>
                <w:szCs w:val="21"/>
                <w:highlight w:val="none"/>
                <w:u w:val="none"/>
              </w:rPr>
              <w:t>周边</w:t>
            </w:r>
            <w:r>
              <w:rPr>
                <w:rFonts w:hint="eastAsia" w:ascii="宋体" w:hAnsi="宋体" w:cs="宋体"/>
                <w:color w:val="auto"/>
                <w:kern w:val="0"/>
                <w:sz w:val="21"/>
                <w:szCs w:val="21"/>
                <w:highlight w:val="none"/>
                <w:u w:val="none"/>
                <w:lang w:val="en-US" w:eastAsia="zh-CN"/>
              </w:rPr>
              <w:t>2k</w:t>
            </w:r>
            <w:r>
              <w:rPr>
                <w:rFonts w:hint="eastAsia" w:ascii="宋体" w:hAnsi="宋体" w:eastAsia="宋体" w:cs="宋体"/>
                <w:color w:val="auto"/>
                <w:kern w:val="0"/>
                <w:sz w:val="21"/>
                <w:szCs w:val="21"/>
                <w:highlight w:val="none"/>
                <w:u w:val="none"/>
              </w:rPr>
              <w:t>m</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rPr>
              <w:t>管线两侧200m</w:t>
            </w:r>
          </w:p>
        </w:tc>
        <w:tc>
          <w:tcPr>
            <w:tcW w:w="2716" w:type="pct"/>
            <w:noWrap w:val="0"/>
            <w:vAlign w:val="center"/>
          </w:tcPr>
          <w:p w14:paraId="1653D59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确保</w:t>
            </w:r>
            <w:r>
              <w:rPr>
                <w:rFonts w:hint="eastAsia" w:ascii="宋体" w:hAnsi="宋体" w:eastAsia="宋体" w:cs="宋体"/>
                <w:color w:val="auto"/>
                <w:kern w:val="0"/>
                <w:sz w:val="21"/>
                <w:szCs w:val="21"/>
                <w:highlight w:val="none"/>
                <w:u w:val="none"/>
                <w:lang w:val="en-US" w:eastAsia="zh-CN"/>
              </w:rPr>
              <w:t>占地</w:t>
            </w:r>
            <w:r>
              <w:rPr>
                <w:rFonts w:hint="eastAsia" w:ascii="宋体" w:hAnsi="宋体" w:eastAsia="宋体" w:cs="宋体"/>
                <w:color w:val="auto"/>
                <w:kern w:val="0"/>
                <w:sz w:val="21"/>
                <w:szCs w:val="21"/>
                <w:highlight w:val="none"/>
                <w:u w:val="none"/>
              </w:rPr>
              <w:t>范围内土壤质量达到</w:t>
            </w:r>
            <w:r>
              <w:rPr>
                <w:rFonts w:hint="eastAsia" w:ascii="宋体" w:hAnsi="宋体" w:eastAsia="宋体" w:cs="宋体"/>
                <w:color w:val="auto"/>
                <w:spacing w:val="-6"/>
                <w:kern w:val="0"/>
                <w:sz w:val="21"/>
                <w:szCs w:val="21"/>
                <w:highlight w:val="none"/>
                <w:u w:val="none"/>
              </w:rPr>
              <w:t>《土壤环境质量建设用地土壤污染风险管控标准（试行）》（GB36600-2018）</w:t>
            </w:r>
            <w:r>
              <w:rPr>
                <w:rFonts w:hint="eastAsia" w:ascii="宋体" w:hAnsi="宋体" w:eastAsia="宋体" w:cs="宋体"/>
                <w:color w:val="auto"/>
                <w:kern w:val="0"/>
                <w:sz w:val="21"/>
                <w:szCs w:val="21"/>
                <w:highlight w:val="none"/>
                <w:u w:val="none"/>
              </w:rPr>
              <w:t>第二类用地土壤筛选值要求</w:t>
            </w:r>
          </w:p>
        </w:tc>
      </w:tr>
      <w:tr w14:paraId="41D1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4" w:type="pct"/>
            <w:noWrap w:val="0"/>
            <w:vAlign w:val="center"/>
          </w:tcPr>
          <w:p w14:paraId="13FC1D9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环境风险</w:t>
            </w:r>
          </w:p>
        </w:tc>
        <w:tc>
          <w:tcPr>
            <w:tcW w:w="969" w:type="pct"/>
            <w:noWrap w:val="0"/>
            <w:vAlign w:val="center"/>
          </w:tcPr>
          <w:p w14:paraId="649E98C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u w:val="none"/>
              </w:rPr>
              <w:t>项目区土壤、地下水</w:t>
            </w:r>
          </w:p>
        </w:tc>
        <w:tc>
          <w:tcPr>
            <w:tcW w:w="739" w:type="pct"/>
            <w:noWrap w:val="0"/>
            <w:vAlign w:val="center"/>
          </w:tcPr>
          <w:p w14:paraId="679968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项目区及</w:t>
            </w:r>
          </w:p>
          <w:p w14:paraId="12AAB6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rPr>
              <w:t>周边</w:t>
            </w:r>
          </w:p>
        </w:tc>
        <w:tc>
          <w:tcPr>
            <w:tcW w:w="2716" w:type="pct"/>
            <w:noWrap w:val="0"/>
            <w:vAlign w:val="center"/>
          </w:tcPr>
          <w:p w14:paraId="741AA9C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6"/>
                <w:kern w:val="0"/>
                <w:sz w:val="21"/>
                <w:szCs w:val="21"/>
                <w:highlight w:val="none"/>
                <w:u w:val="none"/>
              </w:rPr>
              <w:t>发生风险事故时，可快速采取环境风险防范措施，确保风险事故对土壤、地下水等环境的影响程度可控</w:t>
            </w:r>
          </w:p>
        </w:tc>
      </w:tr>
    </w:tbl>
    <w:p w14:paraId="401FFDA8">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137" w:name="_Toc10886"/>
      <w:bookmarkStart w:id="138" w:name="_Toc25234"/>
      <w:bookmarkStart w:id="139" w:name="_Toc13969"/>
      <w:r>
        <w:rPr>
          <w:rFonts w:hint="default" w:ascii="黑体" w:hAnsi="黑体" w:eastAsia="黑体" w:cs="黑体"/>
          <w:color w:val="auto"/>
          <w:sz w:val="28"/>
          <w:szCs w:val="28"/>
          <w:u w:val="none"/>
          <w:lang w:val="en-US" w:eastAsia="zh-CN"/>
        </w:rPr>
        <w:t>2.</w:t>
      </w:r>
      <w:r>
        <w:rPr>
          <w:rFonts w:hint="eastAsia" w:ascii="黑体" w:hAnsi="黑体" w:eastAsia="黑体" w:cs="黑体"/>
          <w:color w:val="auto"/>
          <w:sz w:val="28"/>
          <w:szCs w:val="28"/>
          <w:u w:val="none"/>
          <w:lang w:val="en-US" w:eastAsia="zh-CN"/>
        </w:rPr>
        <w:t xml:space="preserve">7 </w:t>
      </w:r>
      <w:bookmarkEnd w:id="132"/>
      <w:bookmarkEnd w:id="133"/>
      <w:bookmarkEnd w:id="134"/>
      <w:bookmarkEnd w:id="135"/>
      <w:bookmarkEnd w:id="136"/>
      <w:bookmarkEnd w:id="137"/>
      <w:bookmarkEnd w:id="138"/>
      <w:r>
        <w:rPr>
          <w:rFonts w:hint="default" w:ascii="黑体" w:hAnsi="黑体" w:eastAsia="黑体" w:cs="黑体"/>
          <w:color w:val="auto"/>
          <w:sz w:val="28"/>
          <w:szCs w:val="28"/>
          <w:u w:val="none"/>
          <w:lang w:val="en-US" w:eastAsia="zh-CN"/>
        </w:rPr>
        <w:t>评价内容和评价重点</w:t>
      </w:r>
      <w:bookmarkEnd w:id="139"/>
    </w:p>
    <w:p w14:paraId="30CE537B">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ascii="Times New Roman" w:hAnsi="Times New Roman" w:eastAsia="宋体" w:cs="Times New Roman"/>
          <w:b/>
          <w:bCs w:val="0"/>
          <w:color w:val="auto"/>
          <w:sz w:val="24"/>
          <w:szCs w:val="20"/>
          <w:highlight w:val="none"/>
          <w:u w:val="none"/>
          <w:lang w:val="en-US" w:eastAsia="zh-CN" w:bidi="ar-SA"/>
        </w:rPr>
      </w:pPr>
      <w:bookmarkStart w:id="140" w:name="_Toc14039"/>
      <w:r>
        <w:rPr>
          <w:rFonts w:hint="eastAsia" w:ascii="黑体" w:hAnsi="黑体" w:eastAsia="黑体" w:cs="黑体"/>
          <w:b/>
          <w:color w:val="auto"/>
          <w:kern w:val="0"/>
          <w:sz w:val="24"/>
          <w:szCs w:val="24"/>
          <w:highlight w:val="none"/>
          <w:u w:val="none"/>
          <w:lang w:val="en-US" w:eastAsia="zh-CN"/>
        </w:rPr>
        <w:t>2.7.1 评价内容</w:t>
      </w:r>
    </w:p>
    <w:p w14:paraId="3267E48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11"/>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根据拟建工程特点及周围环境特征，将本次评价工作内容列于表2.7-1。</w:t>
      </w:r>
    </w:p>
    <w:p w14:paraId="1BD68F95">
      <w:pPr>
        <w:widowControl w:val="0"/>
        <w:bidi w:val="0"/>
        <w:adjustRightInd/>
        <w:snapToGrid/>
        <w:spacing w:line="360" w:lineRule="auto"/>
        <w:ind w:firstLine="480" w:firstLineChars="200"/>
        <w:jc w:val="center"/>
        <w:textAlignment w:val="baseline"/>
        <w:rPr>
          <w:rFonts w:hint="eastAsia" w:ascii="黑体" w:hAnsi="黑体" w:eastAsia="黑体" w:cs="Times New Roman"/>
          <w:b/>
          <w:color w:val="auto"/>
          <w:kern w:val="2"/>
          <w:sz w:val="24"/>
          <w:szCs w:val="20"/>
          <w:highlight w:val="none"/>
          <w:u w:val="none"/>
          <w:lang w:val="en-US" w:eastAsia="zh-CN" w:bidi="ar-SA"/>
        </w:rPr>
      </w:pPr>
    </w:p>
    <w:p w14:paraId="493C09D2">
      <w:pPr>
        <w:widowControl w:val="0"/>
        <w:bidi w:val="0"/>
        <w:adjustRightInd/>
        <w:snapToGrid/>
        <w:spacing w:line="360" w:lineRule="auto"/>
        <w:ind w:firstLine="480" w:firstLineChars="200"/>
        <w:jc w:val="center"/>
        <w:textAlignment w:val="baseline"/>
        <w:rPr>
          <w:rFonts w:hint="eastAsia" w:ascii="黑体" w:hAnsi="黑体" w:eastAsia="黑体" w:cs="Times New Roman"/>
          <w:b/>
          <w:color w:val="auto"/>
          <w:kern w:val="2"/>
          <w:sz w:val="24"/>
          <w:szCs w:val="20"/>
          <w:highlight w:val="none"/>
          <w:u w:val="none"/>
          <w:lang w:val="en-US" w:eastAsia="zh-CN" w:bidi="ar-SA"/>
        </w:rPr>
      </w:pPr>
    </w:p>
    <w:p w14:paraId="766ABC4E">
      <w:pPr>
        <w:widowControl w:val="0"/>
        <w:bidi w:val="0"/>
        <w:adjustRightInd/>
        <w:snapToGrid/>
        <w:spacing w:line="360" w:lineRule="auto"/>
        <w:ind w:firstLine="480" w:firstLineChars="200"/>
        <w:jc w:val="center"/>
        <w:textAlignment w:val="baseline"/>
        <w:rPr>
          <w:rFonts w:hint="eastAsia" w:ascii="黑体" w:hAnsi="黑体" w:eastAsia="黑体" w:cs="Times New Roman"/>
          <w:b/>
          <w:color w:val="auto"/>
          <w:kern w:val="2"/>
          <w:sz w:val="24"/>
          <w:szCs w:val="20"/>
          <w:highlight w:val="none"/>
          <w:u w:val="none"/>
          <w:lang w:val="en-US" w:eastAsia="zh-CN" w:bidi="ar-SA"/>
        </w:rPr>
      </w:pPr>
    </w:p>
    <w:p w14:paraId="035634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表2.7-1  评价内容一览表</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12"/>
        <w:gridCol w:w="7460"/>
      </w:tblGrid>
      <w:tr w14:paraId="0A887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vAlign w:val="center"/>
          </w:tcPr>
          <w:p w14:paraId="00F6540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w:t>
            </w:r>
          </w:p>
        </w:tc>
        <w:tc>
          <w:tcPr>
            <w:tcW w:w="4300" w:type="pct"/>
            <w:tcBorders>
              <w:tl2br w:val="nil"/>
              <w:tr2bl w:val="nil"/>
            </w:tcBorders>
            <w:vAlign w:val="center"/>
          </w:tcPr>
          <w:p w14:paraId="0BB72EC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内容</w:t>
            </w:r>
          </w:p>
        </w:tc>
      </w:tr>
      <w:tr w14:paraId="28ACD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vAlign w:val="center"/>
          </w:tcPr>
          <w:p w14:paraId="6C8FF02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概述</w:t>
            </w:r>
          </w:p>
        </w:tc>
        <w:tc>
          <w:tcPr>
            <w:tcW w:w="4300" w:type="pct"/>
            <w:tcBorders>
              <w:tl2br w:val="nil"/>
              <w:tr2bl w:val="nil"/>
            </w:tcBorders>
            <w:vAlign w:val="center"/>
          </w:tcPr>
          <w:p w14:paraId="0F5EC652">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建设项目特点、环境影响评价的工作过程、分析判定相关情况、关注的主要环境问题及环境影响、环境影响评价的主要结论</w:t>
            </w:r>
          </w:p>
        </w:tc>
      </w:tr>
      <w:tr w14:paraId="5609E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vAlign w:val="center"/>
          </w:tcPr>
          <w:p w14:paraId="2F31583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总则</w:t>
            </w:r>
          </w:p>
        </w:tc>
        <w:tc>
          <w:tcPr>
            <w:tcW w:w="4300" w:type="pct"/>
            <w:tcBorders>
              <w:tl2br w:val="nil"/>
              <w:tr2bl w:val="nil"/>
            </w:tcBorders>
            <w:vAlign w:val="center"/>
          </w:tcPr>
          <w:p w14:paraId="78131C5C">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编制依据、评价目的和评价原则、环境影响要素和评价因子、环境功能区划及评价标准、评价工作等级和评价范围、环境保护目标、评价内容和评价重点、评价时段和评价方法</w:t>
            </w:r>
          </w:p>
        </w:tc>
      </w:tr>
      <w:tr w14:paraId="33F52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vAlign w:val="center"/>
          </w:tcPr>
          <w:p w14:paraId="769A4C9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建设项目工程分析</w:t>
            </w:r>
          </w:p>
        </w:tc>
        <w:tc>
          <w:tcPr>
            <w:tcW w:w="4300" w:type="pct"/>
            <w:tcBorders>
              <w:tl2br w:val="nil"/>
              <w:tr2bl w:val="nil"/>
            </w:tcBorders>
            <w:vAlign w:val="center"/>
          </w:tcPr>
          <w:p w14:paraId="22D1CD38">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区块开发现状及环境影响回顾：油田区块开发现状、“三同时”执行情况、区块环境影响回顾性评价、区块污染物排放情况、环境问题及“以新带老”改进意见</w:t>
            </w:r>
          </w:p>
          <w:p w14:paraId="074160EA">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现有工程：现有工程概况、现有工程“三同时”执行情况、现有工程污染物达标情况、现有工程污染物年排放量、现有工程环境问题及“以新带老”改进意见</w:t>
            </w:r>
          </w:p>
          <w:p w14:paraId="0DCF7504">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拟建工程：项目概况、油气资源概况、主要技术经济指标、工程组成、依托工程</w:t>
            </w:r>
          </w:p>
          <w:p w14:paraId="214FA766">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工程分析：工艺流程及产排污节点、</w:t>
            </w:r>
            <w:r>
              <w:rPr>
                <w:rFonts w:hint="eastAsia" w:ascii="宋体" w:hAnsi="宋体" w:eastAsia="宋体" w:cs="宋体"/>
                <w:color w:val="auto"/>
                <w:sz w:val="21"/>
                <w:szCs w:val="21"/>
                <w:highlight w:val="none"/>
                <w:u w:val="none"/>
              </w:rPr>
              <w:fldChar w:fldCharType="begin"/>
            </w:r>
            <w:r>
              <w:rPr>
                <w:rFonts w:hint="eastAsia" w:ascii="宋体" w:hAnsi="宋体" w:eastAsia="宋体" w:cs="宋体"/>
                <w:color w:val="auto"/>
                <w:sz w:val="21"/>
                <w:szCs w:val="21"/>
                <w:highlight w:val="none"/>
                <w:u w:val="none"/>
              </w:rPr>
              <w:instrText xml:space="preserve">HYPERLINK\l"_Toc23548"</w:instrText>
            </w:r>
            <w:r>
              <w:rPr>
                <w:rFonts w:hint="eastAsia" w:ascii="宋体" w:hAnsi="宋体" w:eastAsia="宋体" w:cs="宋体"/>
                <w:color w:val="auto"/>
                <w:sz w:val="21"/>
                <w:szCs w:val="21"/>
                <w:highlight w:val="none"/>
                <w:u w:val="none"/>
              </w:rPr>
              <w:fldChar w:fldCharType="separate"/>
            </w:r>
            <w:r>
              <w:rPr>
                <w:rFonts w:hint="eastAsia" w:ascii="宋体" w:hAnsi="宋体" w:eastAsia="宋体" w:cs="宋体"/>
                <w:color w:val="auto"/>
                <w:sz w:val="21"/>
                <w:szCs w:val="21"/>
                <w:highlight w:val="none"/>
                <w:u w:val="none"/>
              </w:rPr>
              <w:t>施工期环境影响因素分析</w:t>
            </w:r>
            <w:r>
              <w:rPr>
                <w:rFonts w:hint="eastAsia" w:ascii="宋体" w:hAnsi="宋体" w:eastAsia="宋体" w:cs="宋体"/>
                <w:color w:val="auto"/>
                <w:sz w:val="21"/>
                <w:szCs w:val="21"/>
                <w:highlight w:val="none"/>
                <w:u w:val="none"/>
              </w:rPr>
              <w:fldChar w:fldCharType="end"/>
            </w:r>
            <w:r>
              <w:rPr>
                <w:rFonts w:hint="eastAsia" w:ascii="宋体" w:hAnsi="宋体" w:eastAsia="宋体" w:cs="宋体"/>
                <w:color w:val="auto"/>
                <w:sz w:val="21"/>
                <w:szCs w:val="21"/>
                <w:highlight w:val="none"/>
                <w:u w:val="none"/>
              </w:rPr>
              <w:t>、运营期环境影响因素分析、退役期环境影响因素分析、非正常排放、清洁生产水平分析、污染物排放“三本账”、污染物总量控制分析</w:t>
            </w:r>
          </w:p>
          <w:p w14:paraId="0C41C9DB">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相关政策法规、规划符合性分析：产业政策符合性分析、相关法规、政策、规范、规划符合性分析、生态环境分区管控符合性分析</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选址选线合理性分析</w:t>
            </w:r>
          </w:p>
        </w:tc>
      </w:tr>
      <w:tr w14:paraId="35623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vAlign w:val="center"/>
          </w:tcPr>
          <w:p w14:paraId="6239890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环境现状调查与评价</w:t>
            </w:r>
          </w:p>
        </w:tc>
        <w:tc>
          <w:tcPr>
            <w:tcW w:w="4300" w:type="pct"/>
            <w:tcBorders>
              <w:tl2br w:val="nil"/>
              <w:tr2bl w:val="nil"/>
            </w:tcBorders>
            <w:vAlign w:val="center"/>
          </w:tcPr>
          <w:p w14:paraId="2F490DE3">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自然环境概况、生态现状调查与评价、环境质量现状监测与评价</w:t>
            </w:r>
          </w:p>
        </w:tc>
      </w:tr>
      <w:tr w14:paraId="1CC9C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shd w:val="clear" w:color="auto" w:fill="auto"/>
            <w:vAlign w:val="center"/>
          </w:tcPr>
          <w:p w14:paraId="13917D9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环境影响预测与评价</w:t>
            </w:r>
          </w:p>
        </w:tc>
        <w:tc>
          <w:tcPr>
            <w:tcW w:w="4300" w:type="pct"/>
            <w:tcBorders>
              <w:tl2br w:val="nil"/>
              <w:tr2bl w:val="nil"/>
            </w:tcBorders>
            <w:shd w:val="clear" w:color="auto" w:fill="auto"/>
            <w:vAlign w:val="center"/>
          </w:tcPr>
          <w:p w14:paraId="4242DCC8">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施工期环境影响分析(施工废气、施工噪声、施工期固体废物、施工废水、施工期生态影响分析)</w:t>
            </w:r>
          </w:p>
          <w:p w14:paraId="61A08A9A">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运营期环境影响预测与评价(大气环境、地表水环境、地下水环境、声环境、固体废物、生态影响、土壤环境及环境风险)</w:t>
            </w:r>
          </w:p>
          <w:p w14:paraId="7C79E02F">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退役期环境影响分析(退役期污染物情况、退役期生态保护措施)</w:t>
            </w:r>
          </w:p>
        </w:tc>
      </w:tr>
      <w:tr w14:paraId="3EC79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shd w:val="clear" w:color="auto" w:fill="auto"/>
            <w:vAlign w:val="center"/>
          </w:tcPr>
          <w:p w14:paraId="461ED24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环保措施及其可行性论证</w:t>
            </w:r>
          </w:p>
        </w:tc>
        <w:tc>
          <w:tcPr>
            <w:tcW w:w="4300" w:type="pct"/>
            <w:tcBorders>
              <w:tl2br w:val="nil"/>
              <w:tr2bl w:val="nil"/>
            </w:tcBorders>
            <w:shd w:val="clear" w:color="auto" w:fill="auto"/>
            <w:vAlign w:val="center"/>
          </w:tcPr>
          <w:p w14:paraId="4E1236B2">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针对项目拟采取的污染防治、生态保护、环境风险防范等环境保护措施，分析论证其技术可行性、经济合理性、长期稳定运行和达标排放的可靠性、满足环境质量改善和排污许可要求的可行性、生态保护和恢复效果的可达性</w:t>
            </w:r>
          </w:p>
        </w:tc>
      </w:tr>
      <w:tr w14:paraId="5B043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shd w:val="clear" w:color="auto" w:fill="auto"/>
            <w:vAlign w:val="center"/>
          </w:tcPr>
          <w:p w14:paraId="53A0346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温室气体排放影响评价</w:t>
            </w:r>
          </w:p>
        </w:tc>
        <w:tc>
          <w:tcPr>
            <w:tcW w:w="4300" w:type="pct"/>
            <w:tcBorders>
              <w:tl2br w:val="nil"/>
              <w:tr2bl w:val="nil"/>
            </w:tcBorders>
            <w:shd w:val="clear" w:color="auto" w:fill="auto"/>
            <w:vAlign w:val="center"/>
          </w:tcPr>
          <w:p w14:paraId="18B59411">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温室气体排放分析、减污降碳措施、温室气体排放评价结论及建议</w:t>
            </w:r>
          </w:p>
        </w:tc>
      </w:tr>
      <w:tr w14:paraId="696E8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shd w:val="clear" w:color="auto" w:fill="auto"/>
            <w:vAlign w:val="center"/>
          </w:tcPr>
          <w:p w14:paraId="361381C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环境影响经济损益分析</w:t>
            </w:r>
          </w:p>
        </w:tc>
        <w:tc>
          <w:tcPr>
            <w:tcW w:w="4300" w:type="pct"/>
            <w:tcBorders>
              <w:tl2br w:val="nil"/>
              <w:tr2bl w:val="nil"/>
            </w:tcBorders>
            <w:shd w:val="clear" w:color="auto" w:fill="auto"/>
            <w:vAlign w:val="center"/>
          </w:tcPr>
          <w:p w14:paraId="0DFD20B5">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从项目实施后的环境影响的正负两方面，以定性和定量相结合方式估算建设项目环境影响的经济价值</w:t>
            </w:r>
          </w:p>
        </w:tc>
      </w:tr>
      <w:tr w14:paraId="0C4A1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shd w:val="clear" w:color="auto" w:fill="auto"/>
            <w:vAlign w:val="center"/>
          </w:tcPr>
          <w:p w14:paraId="0367B23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环境管理与监测计划</w:t>
            </w:r>
          </w:p>
        </w:tc>
        <w:tc>
          <w:tcPr>
            <w:tcW w:w="4300" w:type="pct"/>
            <w:tcBorders>
              <w:tl2br w:val="nil"/>
              <w:tr2bl w:val="nil"/>
            </w:tcBorders>
            <w:shd w:val="clear" w:color="auto" w:fill="auto"/>
            <w:vAlign w:val="center"/>
          </w:tcPr>
          <w:p w14:paraId="58B82ECF">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按项目建设阶段、生产运行阶段，提出具体环境管理要求；给出污染物排放清单，明确污染物排放的管理要求；提出应向社会公开的信息内容；提出建立日常环境管理制度、组织机构和环境管理台账相关要求；提出环境监理要求；提出环境监测计划</w:t>
            </w:r>
          </w:p>
        </w:tc>
      </w:tr>
      <w:tr w14:paraId="2F0F8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pct"/>
            <w:tcBorders>
              <w:tl2br w:val="nil"/>
              <w:tr2bl w:val="nil"/>
            </w:tcBorders>
            <w:shd w:val="clear" w:color="auto" w:fill="auto"/>
            <w:vAlign w:val="center"/>
          </w:tcPr>
          <w:p w14:paraId="49B9BBF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结论</w:t>
            </w:r>
          </w:p>
        </w:tc>
        <w:tc>
          <w:tcPr>
            <w:tcW w:w="4300" w:type="pct"/>
            <w:tcBorders>
              <w:tl2br w:val="nil"/>
              <w:tr2bl w:val="nil"/>
            </w:tcBorders>
            <w:shd w:val="clear" w:color="auto" w:fill="auto"/>
            <w:vAlign w:val="center"/>
          </w:tcPr>
          <w:p w14:paraId="0455578A">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对建设项目环境影响评价各章节结论进行概括总结和综合分析，结合环境质量目标要求，明确给出建设项目的环境影响可行性结论</w:t>
            </w:r>
          </w:p>
        </w:tc>
      </w:tr>
    </w:tbl>
    <w:p w14:paraId="296F2ABC">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Times New Roman" w:hAnsi="Times New Roman" w:eastAsia="宋体" w:cs="Times New Roman"/>
          <w:b/>
          <w:bCs w:val="0"/>
          <w:color w:val="auto"/>
          <w:sz w:val="24"/>
          <w:szCs w:val="20"/>
          <w:highlight w:val="none"/>
          <w:u w:val="none"/>
          <w:lang w:val="en-US" w:eastAsia="zh-CN" w:bidi="ar-SA"/>
        </w:rPr>
      </w:pPr>
      <w:r>
        <w:rPr>
          <w:rFonts w:hint="eastAsia" w:ascii="黑体" w:hAnsi="黑体" w:eastAsia="黑体" w:cs="黑体"/>
          <w:b/>
          <w:color w:val="auto"/>
          <w:kern w:val="0"/>
          <w:sz w:val="24"/>
          <w:szCs w:val="24"/>
          <w:highlight w:val="none"/>
          <w:u w:val="none"/>
          <w:lang w:val="en-US" w:eastAsia="zh-CN"/>
        </w:rPr>
        <w:t>2.7.2 评价重点</w:t>
      </w:r>
    </w:p>
    <w:p w14:paraId="7FE1903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rPr>
      </w:pPr>
      <w:r>
        <w:rPr>
          <w:rFonts w:hint="default" w:ascii="宋体" w:hAnsi="宋体" w:eastAsia="宋体" w:cs="宋体"/>
          <w:color w:val="auto"/>
          <w:sz w:val="24"/>
          <w:szCs w:val="24"/>
          <w:u w:val="none"/>
        </w:rPr>
        <w:t>经对项目区域自然地理、环境现状和社会经济的调查研究及工程排污特点的分析，确定评价工作的重点如下：</w:t>
      </w:r>
    </w:p>
    <w:p w14:paraId="092DFAB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rPr>
      </w:pPr>
      <w:r>
        <w:rPr>
          <w:rFonts w:hint="default" w:ascii="宋体" w:hAnsi="宋体" w:eastAsia="宋体" w:cs="宋体"/>
          <w:color w:val="auto"/>
          <w:sz w:val="24"/>
          <w:szCs w:val="24"/>
          <w:u w:val="none"/>
        </w:rPr>
        <w:t>（1）工程分析；</w:t>
      </w:r>
    </w:p>
    <w:p w14:paraId="2B858C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rPr>
      </w:pPr>
      <w:r>
        <w:rPr>
          <w:rFonts w:hint="default" w:ascii="宋体" w:hAnsi="宋体" w:eastAsia="宋体" w:cs="宋体"/>
          <w:color w:val="auto"/>
          <w:sz w:val="24"/>
          <w:szCs w:val="24"/>
          <w:u w:val="none"/>
        </w:rPr>
        <w:t>（2）生态环境影响评价及水土保持；</w:t>
      </w:r>
    </w:p>
    <w:p w14:paraId="67CDA7D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rPr>
      </w:pPr>
      <w:r>
        <w:rPr>
          <w:rFonts w:hint="default" w:ascii="宋体" w:hAnsi="宋体" w:eastAsia="宋体" w:cs="宋体"/>
          <w:color w:val="auto"/>
          <w:sz w:val="24"/>
          <w:szCs w:val="24"/>
          <w:u w:val="none"/>
        </w:rPr>
        <w:t>（3）地下水环境影响评价；</w:t>
      </w:r>
    </w:p>
    <w:p w14:paraId="2060115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rPr>
      </w:pPr>
      <w:r>
        <w:rPr>
          <w:rFonts w:hint="default" w:ascii="宋体" w:hAnsi="宋体" w:eastAsia="宋体" w:cs="宋体"/>
          <w:color w:val="auto"/>
          <w:sz w:val="24"/>
          <w:szCs w:val="24"/>
          <w:u w:val="none"/>
        </w:rPr>
        <w:t>（4）</w:t>
      </w:r>
      <w:r>
        <w:rPr>
          <w:rFonts w:hint="eastAsia" w:ascii="宋体" w:hAnsi="宋体" w:eastAsia="宋体" w:cs="宋体"/>
          <w:color w:val="auto"/>
          <w:sz w:val="24"/>
          <w:szCs w:val="24"/>
          <w:u w:val="none"/>
          <w:lang w:val="en-US" w:eastAsia="zh-CN"/>
        </w:rPr>
        <w:t>土壤环境</w:t>
      </w:r>
      <w:r>
        <w:rPr>
          <w:rFonts w:hint="default" w:ascii="宋体" w:hAnsi="宋体" w:eastAsia="宋体" w:cs="宋体"/>
          <w:color w:val="auto"/>
          <w:sz w:val="24"/>
          <w:szCs w:val="24"/>
          <w:u w:val="none"/>
        </w:rPr>
        <w:t>影响评价；</w:t>
      </w:r>
    </w:p>
    <w:p w14:paraId="530240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rPr>
      </w:pPr>
      <w:r>
        <w:rPr>
          <w:rFonts w:hint="default" w:ascii="宋体" w:hAnsi="宋体" w:eastAsia="宋体" w:cs="宋体"/>
          <w:color w:val="auto"/>
          <w:sz w:val="24"/>
          <w:szCs w:val="24"/>
          <w:u w:val="none"/>
        </w:rPr>
        <w:t>（5）环境风险影响评价及风险管理；</w:t>
      </w:r>
    </w:p>
    <w:p w14:paraId="6F76A96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val="en-US" w:eastAsia="zh-CN"/>
        </w:rPr>
      </w:pPr>
      <w:r>
        <w:rPr>
          <w:rFonts w:hint="default" w:ascii="宋体" w:hAnsi="宋体" w:eastAsia="宋体" w:cs="宋体"/>
          <w:color w:val="auto"/>
          <w:sz w:val="24"/>
          <w:szCs w:val="24"/>
          <w:u w:val="none"/>
        </w:rPr>
        <w:t>（6）环境保护措施技术经济及可行性论证</w:t>
      </w:r>
      <w:bookmarkStart w:id="141" w:name="_Toc18423"/>
      <w:r>
        <w:rPr>
          <w:rFonts w:hint="eastAsia" w:ascii="宋体" w:hAnsi="宋体" w:eastAsia="宋体" w:cs="宋体"/>
          <w:color w:val="auto"/>
          <w:sz w:val="24"/>
          <w:szCs w:val="24"/>
          <w:u w:val="none"/>
          <w:lang w:eastAsia="zh-CN"/>
        </w:rPr>
        <w:t>。</w:t>
      </w:r>
    </w:p>
    <w:p w14:paraId="261AE599">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142" w:name="_Toc25989"/>
      <w:bookmarkStart w:id="143" w:name="_Toc20528"/>
      <w:r>
        <w:rPr>
          <w:rFonts w:hint="default" w:ascii="黑体" w:hAnsi="黑体" w:eastAsia="黑体" w:cs="黑体"/>
          <w:color w:val="auto"/>
          <w:sz w:val="28"/>
          <w:szCs w:val="28"/>
          <w:u w:val="none"/>
          <w:lang w:val="en-US" w:eastAsia="zh-CN"/>
        </w:rPr>
        <w:t>2.</w:t>
      </w:r>
      <w:r>
        <w:rPr>
          <w:rFonts w:hint="eastAsia" w:ascii="黑体" w:hAnsi="黑体" w:eastAsia="黑体" w:cs="黑体"/>
          <w:color w:val="auto"/>
          <w:sz w:val="28"/>
          <w:szCs w:val="28"/>
          <w:u w:val="none"/>
          <w:lang w:val="en-US" w:eastAsia="zh-CN"/>
        </w:rPr>
        <w:t xml:space="preserve">8 </w:t>
      </w:r>
      <w:r>
        <w:rPr>
          <w:rFonts w:hint="default" w:ascii="黑体" w:hAnsi="黑体" w:eastAsia="黑体" w:cs="黑体"/>
          <w:color w:val="auto"/>
          <w:sz w:val="28"/>
          <w:szCs w:val="28"/>
          <w:u w:val="none"/>
          <w:lang w:val="en-US" w:eastAsia="zh-CN"/>
        </w:rPr>
        <w:t>评价</w:t>
      </w:r>
      <w:r>
        <w:rPr>
          <w:rFonts w:hint="eastAsia" w:ascii="黑体" w:hAnsi="黑体" w:eastAsia="黑体" w:cs="黑体"/>
          <w:color w:val="auto"/>
          <w:sz w:val="28"/>
          <w:szCs w:val="28"/>
          <w:u w:val="none"/>
          <w:lang w:val="en-US" w:eastAsia="zh-CN"/>
        </w:rPr>
        <w:t>时段和</w:t>
      </w:r>
      <w:r>
        <w:rPr>
          <w:rFonts w:hint="default" w:ascii="黑体" w:hAnsi="黑体" w:eastAsia="黑体" w:cs="黑体"/>
          <w:color w:val="auto"/>
          <w:sz w:val="28"/>
          <w:szCs w:val="28"/>
          <w:u w:val="none"/>
          <w:lang w:val="en-US" w:eastAsia="zh-CN"/>
        </w:rPr>
        <w:t>评价方法</w:t>
      </w:r>
      <w:bookmarkEnd w:id="140"/>
      <w:bookmarkEnd w:id="141"/>
      <w:bookmarkEnd w:id="142"/>
      <w:bookmarkEnd w:id="143"/>
    </w:p>
    <w:p w14:paraId="4630C89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bookmarkStart w:id="144" w:name="_Toc173941811"/>
      <w:r>
        <w:rPr>
          <w:rFonts w:hint="eastAsia" w:ascii="黑体" w:hAnsi="黑体" w:eastAsia="黑体" w:cs="黑体"/>
          <w:b/>
          <w:color w:val="auto"/>
          <w:kern w:val="0"/>
          <w:sz w:val="24"/>
          <w:szCs w:val="24"/>
          <w:highlight w:val="none"/>
          <w:u w:val="none"/>
          <w:lang w:val="en-US" w:eastAsia="zh-CN"/>
        </w:rPr>
        <w:t>2.8.1</w:t>
      </w:r>
      <w:bookmarkEnd w:id="144"/>
      <w:r>
        <w:rPr>
          <w:rFonts w:hint="eastAsia" w:ascii="黑体" w:hAnsi="黑体" w:eastAsia="黑体" w:cs="黑体"/>
          <w:b/>
          <w:color w:val="auto"/>
          <w:kern w:val="0"/>
          <w:sz w:val="24"/>
          <w:szCs w:val="24"/>
          <w:highlight w:val="none"/>
          <w:u w:val="none"/>
          <w:lang w:val="en-US" w:eastAsia="zh-CN"/>
        </w:rPr>
        <w:t>评价时段</w:t>
      </w:r>
    </w:p>
    <w:p w14:paraId="0FE2EFEC">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评价时段包括施工期、运营期、</w:t>
      </w:r>
      <w:r>
        <w:rPr>
          <w:rFonts w:hint="eastAsia" w:ascii="Times New Roman" w:hAnsi="Times New Roman" w:eastAsia="宋体" w:cs="Times New Roman"/>
          <w:color w:val="auto"/>
          <w:sz w:val="24"/>
          <w:szCs w:val="21"/>
          <w:highlight w:val="none"/>
          <w:u w:val="none"/>
          <w:lang w:val="en-US" w:eastAsia="zh-CN" w:bidi="ar-SA"/>
        </w:rPr>
        <w:t>退役期</w:t>
      </w:r>
      <w:r>
        <w:rPr>
          <w:rFonts w:ascii="Times New Roman" w:hAnsi="Times New Roman" w:eastAsia="宋体" w:cs="Times New Roman"/>
          <w:color w:val="auto"/>
          <w:sz w:val="24"/>
          <w:szCs w:val="21"/>
          <w:highlight w:val="none"/>
          <w:u w:val="none"/>
          <w:lang w:val="en-US" w:eastAsia="zh-CN" w:bidi="ar-SA"/>
        </w:rPr>
        <w:t>三个时段，其中以施工期和运营期为主。</w:t>
      </w:r>
    </w:p>
    <w:p w14:paraId="2B05C18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bookmarkStart w:id="145" w:name="_Toc173941813"/>
      <w:bookmarkStart w:id="146" w:name="_Toc173942672"/>
      <w:bookmarkStart w:id="147" w:name="_Toc173941718"/>
      <w:bookmarkStart w:id="148" w:name="_Toc13755"/>
      <w:r>
        <w:rPr>
          <w:rFonts w:hint="eastAsia" w:ascii="黑体" w:hAnsi="黑体" w:eastAsia="黑体" w:cs="黑体"/>
          <w:b/>
          <w:color w:val="auto"/>
          <w:kern w:val="0"/>
          <w:sz w:val="24"/>
          <w:szCs w:val="24"/>
          <w:highlight w:val="none"/>
          <w:u w:val="none"/>
          <w:lang w:val="en-US" w:eastAsia="zh-CN"/>
        </w:rPr>
        <w:t>2.8.2评价方法</w:t>
      </w:r>
      <w:bookmarkEnd w:id="145"/>
      <w:bookmarkEnd w:id="146"/>
      <w:bookmarkEnd w:id="147"/>
      <w:bookmarkEnd w:id="148"/>
    </w:p>
    <w:p w14:paraId="21E29E5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lang w:val="zh-CN"/>
        </w:rPr>
      </w:pPr>
      <w:r>
        <w:rPr>
          <w:rFonts w:hint="eastAsia" w:ascii="宋体" w:hAnsi="宋体" w:eastAsia="宋体" w:cs="宋体"/>
          <w:color w:val="auto"/>
          <w:sz w:val="24"/>
          <w:szCs w:val="24"/>
          <w:u w:val="none"/>
          <w:lang w:val="zh-CN"/>
        </w:rPr>
        <w:t>本工程环境影响评价采用定量评价与定性评价相结合的方法，以量化评价为主。采用环境影响评价技术导则规定的评价方法予以分析。本次评价采用了类比法、产污系数法、排污系数法、数学模式法等。本次环境评价使用的评价方法，见表2.</w:t>
      </w:r>
      <w:r>
        <w:rPr>
          <w:rFonts w:hint="eastAsia" w:ascii="宋体" w:hAnsi="宋体" w:eastAsia="宋体" w:cs="宋体"/>
          <w:color w:val="auto"/>
          <w:sz w:val="24"/>
          <w:szCs w:val="24"/>
          <w:u w:val="none"/>
          <w:lang w:val="en-US" w:eastAsia="zh-CN"/>
        </w:rPr>
        <w:t>8</w:t>
      </w:r>
      <w:r>
        <w:rPr>
          <w:rFonts w:hint="eastAsia" w:ascii="宋体" w:hAnsi="宋体" w:eastAsia="宋体" w:cs="宋体"/>
          <w:color w:val="auto"/>
          <w:sz w:val="24"/>
          <w:szCs w:val="24"/>
          <w:u w:val="none"/>
          <w:lang w:val="zh-CN"/>
        </w:rPr>
        <w:t>-1。</w:t>
      </w:r>
    </w:p>
    <w:p w14:paraId="1A82F3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表2.</w:t>
      </w:r>
      <w:r>
        <w:rPr>
          <w:rFonts w:hint="eastAsia" w:ascii="黑体" w:hAnsi="黑体" w:eastAsia="黑体" w:cs="黑体"/>
          <w:b w:val="0"/>
          <w:bCs/>
          <w:color w:val="auto"/>
          <w:kern w:val="2"/>
          <w:sz w:val="24"/>
          <w:szCs w:val="24"/>
          <w:u w:val="none"/>
          <w:lang w:val="en-US" w:eastAsia="zh-CN" w:bidi="ar-SA"/>
        </w:rPr>
        <w:t>8</w:t>
      </w:r>
      <w:r>
        <w:rPr>
          <w:rFonts w:hint="default" w:ascii="黑体" w:hAnsi="黑体" w:eastAsia="黑体" w:cs="黑体"/>
          <w:b w:val="0"/>
          <w:bCs/>
          <w:color w:val="auto"/>
          <w:kern w:val="2"/>
          <w:sz w:val="24"/>
          <w:szCs w:val="24"/>
          <w:u w:val="none"/>
          <w:lang w:val="en-US" w:eastAsia="zh-CN" w:bidi="ar-SA"/>
        </w:rPr>
        <w:t>-1</w:t>
      </w:r>
      <w:r>
        <w:rPr>
          <w:rFonts w:hint="eastAsia" w:ascii="黑体" w:hAnsi="黑体" w:eastAsia="黑体" w:cs="黑体"/>
          <w:b w:val="0"/>
          <w:bCs/>
          <w:color w:val="auto"/>
          <w:kern w:val="2"/>
          <w:sz w:val="24"/>
          <w:szCs w:val="24"/>
          <w:u w:val="none"/>
          <w:lang w:val="en-US" w:eastAsia="zh-CN" w:bidi="ar-SA"/>
        </w:rPr>
        <w:t xml:space="preserve"> </w:t>
      </w:r>
      <w:r>
        <w:rPr>
          <w:rFonts w:hint="default" w:ascii="黑体" w:hAnsi="黑体" w:eastAsia="黑体" w:cs="黑体"/>
          <w:b w:val="0"/>
          <w:bCs/>
          <w:color w:val="auto"/>
          <w:kern w:val="2"/>
          <w:sz w:val="24"/>
          <w:szCs w:val="24"/>
          <w:u w:val="none"/>
          <w:lang w:val="en-US" w:eastAsia="zh-CN" w:bidi="ar-SA"/>
        </w:rPr>
        <w:t>评价内容一览表</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588"/>
        <w:gridCol w:w="5393"/>
      </w:tblGrid>
      <w:tr w14:paraId="252F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81" w:type="pct"/>
            <w:noWrap w:val="0"/>
            <w:vAlign w:val="center"/>
          </w:tcPr>
          <w:p w14:paraId="22A4C4D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序号</w:t>
            </w:r>
          </w:p>
        </w:tc>
        <w:tc>
          <w:tcPr>
            <w:tcW w:w="1465" w:type="pct"/>
            <w:noWrap w:val="0"/>
            <w:vAlign w:val="center"/>
          </w:tcPr>
          <w:p w14:paraId="596A6F3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w:t>
            </w:r>
            <w:r>
              <w:rPr>
                <w:rFonts w:hint="eastAsia" w:ascii="宋体" w:hAnsi="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rPr>
              <w:t>目</w:t>
            </w:r>
          </w:p>
        </w:tc>
        <w:tc>
          <w:tcPr>
            <w:tcW w:w="3053" w:type="pct"/>
            <w:noWrap w:val="0"/>
            <w:vAlign w:val="center"/>
          </w:tcPr>
          <w:p w14:paraId="059980C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采用方法</w:t>
            </w:r>
          </w:p>
        </w:tc>
      </w:tr>
      <w:tr w14:paraId="7DD5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81" w:type="pct"/>
            <w:noWrap w:val="0"/>
            <w:vAlign w:val="center"/>
          </w:tcPr>
          <w:p w14:paraId="0FC5A3B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w:t>
            </w:r>
          </w:p>
        </w:tc>
        <w:tc>
          <w:tcPr>
            <w:tcW w:w="1465" w:type="pct"/>
            <w:noWrap w:val="0"/>
            <w:vAlign w:val="center"/>
          </w:tcPr>
          <w:p w14:paraId="6982B85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环境影响因素识别方法</w:t>
            </w:r>
          </w:p>
        </w:tc>
        <w:tc>
          <w:tcPr>
            <w:tcW w:w="3053" w:type="pct"/>
            <w:noWrap w:val="0"/>
            <w:vAlign w:val="center"/>
          </w:tcPr>
          <w:p w14:paraId="7CB1ACA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矩阵法</w:t>
            </w:r>
          </w:p>
        </w:tc>
      </w:tr>
      <w:tr w14:paraId="3793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81" w:type="pct"/>
            <w:noWrap w:val="0"/>
            <w:vAlign w:val="center"/>
          </w:tcPr>
          <w:p w14:paraId="08F6D5C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w:t>
            </w:r>
          </w:p>
        </w:tc>
        <w:tc>
          <w:tcPr>
            <w:tcW w:w="1465" w:type="pct"/>
            <w:noWrap w:val="0"/>
            <w:vAlign w:val="center"/>
          </w:tcPr>
          <w:p w14:paraId="08C47F2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环境现状调查</w:t>
            </w:r>
          </w:p>
        </w:tc>
        <w:tc>
          <w:tcPr>
            <w:tcW w:w="3053" w:type="pct"/>
            <w:noWrap w:val="0"/>
            <w:vAlign w:val="center"/>
          </w:tcPr>
          <w:p w14:paraId="340B31C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收集资料法、现场调查法</w:t>
            </w:r>
          </w:p>
        </w:tc>
      </w:tr>
      <w:tr w14:paraId="63ED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81" w:type="pct"/>
            <w:noWrap w:val="0"/>
            <w:vAlign w:val="center"/>
          </w:tcPr>
          <w:p w14:paraId="35A290D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w:t>
            </w:r>
          </w:p>
        </w:tc>
        <w:tc>
          <w:tcPr>
            <w:tcW w:w="1465" w:type="pct"/>
            <w:noWrap w:val="0"/>
            <w:vAlign w:val="center"/>
          </w:tcPr>
          <w:p w14:paraId="1D7B204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工程分析</w:t>
            </w:r>
          </w:p>
        </w:tc>
        <w:tc>
          <w:tcPr>
            <w:tcW w:w="3053" w:type="pct"/>
            <w:noWrap w:val="0"/>
            <w:vAlign w:val="center"/>
          </w:tcPr>
          <w:p w14:paraId="6EC1CD4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pacing w:val="-6"/>
                <w:sz w:val="21"/>
                <w:szCs w:val="21"/>
                <w:highlight w:val="none"/>
                <w:u w:val="none"/>
              </w:rPr>
              <w:t>类比分析法、查阅参考资料法、产污系数法</w:t>
            </w:r>
            <w:r>
              <w:rPr>
                <w:rFonts w:hint="eastAsia" w:ascii="宋体" w:hAnsi="宋体" w:eastAsia="宋体" w:cs="宋体"/>
                <w:color w:val="auto"/>
                <w:sz w:val="21"/>
                <w:szCs w:val="21"/>
                <w:highlight w:val="none"/>
                <w:u w:val="none"/>
              </w:rPr>
              <w:t>、排污系数法</w:t>
            </w:r>
          </w:p>
        </w:tc>
      </w:tr>
      <w:tr w14:paraId="2E83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81" w:type="pct"/>
            <w:noWrap w:val="0"/>
            <w:vAlign w:val="center"/>
          </w:tcPr>
          <w:p w14:paraId="1284A61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w:t>
            </w:r>
          </w:p>
        </w:tc>
        <w:tc>
          <w:tcPr>
            <w:tcW w:w="1465" w:type="pct"/>
            <w:noWrap w:val="0"/>
            <w:vAlign w:val="center"/>
          </w:tcPr>
          <w:p w14:paraId="649EF17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影响评价</w:t>
            </w:r>
          </w:p>
        </w:tc>
        <w:tc>
          <w:tcPr>
            <w:tcW w:w="3053" w:type="pct"/>
            <w:noWrap w:val="0"/>
            <w:vAlign w:val="center"/>
          </w:tcPr>
          <w:p w14:paraId="5A07A46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类比分析法</w:t>
            </w:r>
            <w:r>
              <w:rPr>
                <w:rFonts w:hint="eastAsia" w:ascii="宋体" w:hAnsi="宋体" w:eastAsia="宋体" w:cs="宋体"/>
                <w:color w:val="auto"/>
                <w:spacing w:val="-6"/>
                <w:sz w:val="21"/>
                <w:szCs w:val="21"/>
                <w:highlight w:val="none"/>
                <w:u w:val="none"/>
              </w:rPr>
              <w:t>、</w:t>
            </w:r>
            <w:r>
              <w:rPr>
                <w:rFonts w:hint="eastAsia" w:ascii="宋体" w:hAnsi="宋体" w:eastAsia="宋体" w:cs="宋体"/>
                <w:color w:val="auto"/>
                <w:sz w:val="21"/>
                <w:szCs w:val="21"/>
                <w:highlight w:val="none"/>
                <w:u w:val="none"/>
              </w:rPr>
              <w:t>数学模式法、预测模式</w:t>
            </w:r>
          </w:p>
        </w:tc>
      </w:tr>
    </w:tbl>
    <w:p w14:paraId="6EA1606C">
      <w:pPr>
        <w:rPr>
          <w:rFonts w:hint="default" w:ascii="Times New Roman" w:hAnsi="Times New Roman" w:eastAsia="黑体" w:cs="Times New Roman"/>
          <w:color w:val="auto"/>
          <w:szCs w:val="36"/>
          <w:u w:val="none"/>
        </w:rPr>
      </w:pPr>
      <w:r>
        <w:rPr>
          <w:rFonts w:hint="default" w:ascii="Times New Roman" w:hAnsi="Times New Roman" w:eastAsia="黑体" w:cs="Times New Roman"/>
          <w:color w:val="auto"/>
          <w:szCs w:val="36"/>
          <w:u w:val="none"/>
        </w:rPr>
        <w:br w:type="page"/>
      </w:r>
    </w:p>
    <w:p w14:paraId="3DC90243">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rPr>
          <w:rFonts w:hint="default" w:ascii="Times New Roman" w:hAnsi="Times New Roman" w:eastAsia="黑体" w:cs="Times New Roman"/>
          <w:b/>
          <w:bCs w:val="0"/>
          <w:color w:val="auto"/>
          <w:szCs w:val="36"/>
          <w:u w:val="none"/>
        </w:rPr>
      </w:pPr>
      <w:bookmarkStart w:id="149" w:name="_Toc32317"/>
      <w:bookmarkStart w:id="150" w:name="_Toc109382916"/>
      <w:bookmarkStart w:id="151" w:name="_Toc28148"/>
      <w:bookmarkStart w:id="152" w:name="OLE_LINK3"/>
      <w:r>
        <w:rPr>
          <w:rFonts w:hint="eastAsia" w:ascii="黑体" w:hAnsi="黑体" w:eastAsia="黑体" w:cs="黑体"/>
          <w:color w:val="auto"/>
          <w:sz w:val="32"/>
          <w:szCs w:val="32"/>
          <w:u w:val="none"/>
        </w:rPr>
        <w:t>3</w:t>
      </w:r>
      <w:r>
        <w:rPr>
          <w:rFonts w:hint="eastAsia" w:ascii="黑体" w:hAnsi="黑体" w:eastAsia="黑体" w:cs="黑体"/>
          <w:color w:val="auto"/>
          <w:sz w:val="32"/>
          <w:szCs w:val="32"/>
          <w:u w:val="none"/>
          <w:lang w:val="en-US" w:eastAsia="zh-CN"/>
        </w:rPr>
        <w:t xml:space="preserve"> </w:t>
      </w:r>
      <w:r>
        <w:rPr>
          <w:rFonts w:hint="eastAsia" w:ascii="黑体" w:hAnsi="黑体" w:eastAsia="黑体" w:cs="黑体"/>
          <w:color w:val="auto"/>
          <w:sz w:val="32"/>
          <w:szCs w:val="32"/>
          <w:u w:val="none"/>
        </w:rPr>
        <w:t>建设项目工程分析</w:t>
      </w:r>
      <w:bookmarkEnd w:id="149"/>
      <w:bookmarkEnd w:id="150"/>
      <w:bookmarkEnd w:id="151"/>
    </w:p>
    <w:p w14:paraId="1B64FD52">
      <w:pPr>
        <w:pStyle w:val="50"/>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黑体" w:hAnsi="黑体" w:eastAsia="黑体" w:cs="黑体"/>
          <w:color w:val="auto"/>
          <w:sz w:val="28"/>
          <w:szCs w:val="28"/>
          <w:u w:val="none"/>
          <w:lang w:val="en-US" w:eastAsia="zh-CN"/>
        </w:rPr>
      </w:pPr>
      <w:bookmarkStart w:id="153" w:name="_Toc21213"/>
      <w:bookmarkStart w:id="154" w:name="_Toc4257"/>
      <w:bookmarkStart w:id="155" w:name="_Toc119915006"/>
      <w:bookmarkStart w:id="156" w:name="_Toc25648"/>
      <w:bookmarkStart w:id="157" w:name="_Toc3175"/>
      <w:bookmarkStart w:id="158" w:name="_Toc16329"/>
      <w:bookmarkStart w:id="159" w:name="_Toc12956"/>
      <w:bookmarkStart w:id="160" w:name="_Toc109382917"/>
      <w:bookmarkStart w:id="161" w:name="_Toc6032"/>
      <w:bookmarkStart w:id="162" w:name="_Toc68025012"/>
      <w:bookmarkStart w:id="163" w:name="_Toc9926"/>
      <w:bookmarkStart w:id="164" w:name="_Toc508291880"/>
      <w:r>
        <w:rPr>
          <w:rFonts w:hint="eastAsia" w:ascii="黑体" w:hAnsi="黑体" w:eastAsia="黑体" w:cs="黑体"/>
          <w:color w:val="auto"/>
          <w:sz w:val="28"/>
          <w:szCs w:val="28"/>
          <w:u w:val="none"/>
          <w:lang w:val="en-US" w:eastAsia="zh-CN"/>
        </w:rPr>
        <w:t>3.1 区块开发现状及环境影响回顾</w:t>
      </w:r>
      <w:bookmarkEnd w:id="153"/>
      <w:bookmarkEnd w:id="154"/>
      <w:bookmarkEnd w:id="155"/>
      <w:bookmarkEnd w:id="156"/>
      <w:bookmarkEnd w:id="157"/>
      <w:bookmarkEnd w:id="158"/>
      <w:bookmarkEnd w:id="159"/>
    </w:p>
    <w:p w14:paraId="3BCFF52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莫北油田莫116井区位于准噶尔盆地腹部中央坳陷的莫北凸起，行政隶属于新疆维吾尔自治区昌吉回族自治州呼图壁县。莫116井区J</w:t>
      </w:r>
      <w:r>
        <w:rPr>
          <w:rFonts w:hint="eastAsia" w:ascii="宋体" w:hAnsi="宋体" w:eastAsia="宋体" w:cs="宋体"/>
          <w:color w:val="auto"/>
          <w:sz w:val="24"/>
          <w:szCs w:val="24"/>
          <w:u w:val="none"/>
          <w:vertAlign w:val="subscript"/>
        </w:rPr>
        <w:t>1</w:t>
      </w:r>
      <w:r>
        <w:rPr>
          <w:rFonts w:hint="eastAsia" w:ascii="宋体" w:hAnsi="宋体" w:eastAsia="宋体" w:cs="宋体"/>
          <w:color w:val="auto"/>
          <w:sz w:val="24"/>
          <w:szCs w:val="24"/>
          <w:u w:val="none"/>
        </w:rPr>
        <w:t>s</w:t>
      </w:r>
      <w:r>
        <w:rPr>
          <w:rFonts w:hint="eastAsia" w:ascii="宋体" w:hAnsi="宋体" w:eastAsia="宋体" w:cs="宋体"/>
          <w:color w:val="auto"/>
          <w:sz w:val="24"/>
          <w:szCs w:val="24"/>
          <w:u w:val="none"/>
          <w:vertAlign w:val="subscript"/>
        </w:rPr>
        <w:t>2</w:t>
      </w:r>
      <w:r>
        <w:rPr>
          <w:rFonts w:hint="eastAsia" w:ascii="宋体" w:hAnsi="宋体" w:eastAsia="宋体" w:cs="宋体"/>
          <w:color w:val="auto"/>
          <w:sz w:val="24"/>
          <w:szCs w:val="24"/>
          <w:u w:val="none"/>
          <w:vertAlign w:val="superscript"/>
        </w:rPr>
        <w:t>1-2</w:t>
      </w:r>
      <w:r>
        <w:rPr>
          <w:rFonts w:hint="eastAsia" w:ascii="宋体" w:hAnsi="宋体" w:eastAsia="宋体" w:cs="宋体"/>
          <w:color w:val="auto"/>
          <w:sz w:val="24"/>
          <w:szCs w:val="24"/>
          <w:u w:val="none"/>
        </w:rPr>
        <w:t>砂层顶界构造形态为北东-南西向展布的鼻状构造，发育北东、北西两组走向断裂，将该区切割成多个断块，断裂均为正断裂，主断裂走向以北东-南西向为主，其次还发育一些近东西向、北西-南东向的小断裂，断裂控藏。</w:t>
      </w:r>
    </w:p>
    <w:p w14:paraId="64952F1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莫北油田莫116井区三工河组气藏的发现井为莫7井，该井于2002年10月在J</w:t>
      </w:r>
      <w:r>
        <w:rPr>
          <w:rFonts w:hint="eastAsia" w:ascii="宋体" w:hAnsi="宋体" w:eastAsia="宋体" w:cs="宋体"/>
          <w:color w:val="auto"/>
          <w:sz w:val="24"/>
          <w:szCs w:val="24"/>
          <w:u w:val="none"/>
          <w:vertAlign w:val="subscript"/>
        </w:rPr>
        <w:t>1</w:t>
      </w:r>
      <w:r>
        <w:rPr>
          <w:rFonts w:hint="eastAsia" w:ascii="宋体" w:hAnsi="宋体" w:eastAsia="宋体" w:cs="宋体"/>
          <w:color w:val="auto"/>
          <w:sz w:val="24"/>
          <w:szCs w:val="24"/>
          <w:u w:val="none"/>
        </w:rPr>
        <w:t>s</w:t>
      </w:r>
      <w:r>
        <w:rPr>
          <w:rFonts w:hint="eastAsia" w:ascii="宋体" w:hAnsi="宋体" w:eastAsia="宋体" w:cs="宋体"/>
          <w:color w:val="auto"/>
          <w:sz w:val="24"/>
          <w:szCs w:val="24"/>
          <w:u w:val="none"/>
          <w:vertAlign w:val="subscript"/>
        </w:rPr>
        <w:t>2</w:t>
      </w:r>
      <w:r>
        <w:rPr>
          <w:rFonts w:hint="eastAsia" w:ascii="宋体" w:hAnsi="宋体" w:eastAsia="宋体" w:cs="宋体"/>
          <w:color w:val="auto"/>
          <w:sz w:val="24"/>
          <w:szCs w:val="24"/>
          <w:u w:val="none"/>
          <w:vertAlign w:val="superscript"/>
        </w:rPr>
        <w:t>2-2</w:t>
      </w:r>
      <w:r>
        <w:rPr>
          <w:rFonts w:hint="eastAsia" w:ascii="宋体" w:hAnsi="宋体" w:eastAsia="宋体" w:cs="宋体"/>
          <w:color w:val="auto"/>
          <w:sz w:val="24"/>
          <w:szCs w:val="24"/>
          <w:u w:val="none"/>
        </w:rPr>
        <w:t>试油获日产油15.94t、日产气117820m</w:t>
      </w:r>
      <w:r>
        <w:rPr>
          <w:rFonts w:hint="eastAsia" w:ascii="宋体" w:hAnsi="宋体" w:eastAsia="宋体" w:cs="宋体"/>
          <w:color w:val="auto"/>
          <w:sz w:val="24"/>
          <w:szCs w:val="24"/>
          <w:u w:val="none"/>
          <w:vertAlign w:val="superscript"/>
        </w:rPr>
        <w:t>3</w:t>
      </w:r>
      <w:r>
        <w:rPr>
          <w:rFonts w:hint="eastAsia" w:ascii="宋体" w:hAnsi="宋体" w:eastAsia="宋体" w:cs="宋体"/>
          <w:color w:val="auto"/>
          <w:sz w:val="24"/>
          <w:szCs w:val="24"/>
          <w:u w:val="none"/>
        </w:rPr>
        <w:t>；2003年5月在J</w:t>
      </w:r>
      <w:r>
        <w:rPr>
          <w:rFonts w:hint="eastAsia" w:ascii="宋体" w:hAnsi="宋体" w:eastAsia="宋体" w:cs="宋体"/>
          <w:color w:val="auto"/>
          <w:sz w:val="24"/>
          <w:szCs w:val="24"/>
          <w:u w:val="none"/>
          <w:vertAlign w:val="subscript"/>
        </w:rPr>
        <w:t>1</w:t>
      </w:r>
      <w:r>
        <w:rPr>
          <w:rFonts w:hint="eastAsia" w:ascii="宋体" w:hAnsi="宋体" w:eastAsia="宋体" w:cs="宋体"/>
          <w:color w:val="auto"/>
          <w:sz w:val="24"/>
          <w:szCs w:val="24"/>
          <w:u w:val="none"/>
        </w:rPr>
        <w:t>s</w:t>
      </w:r>
      <w:r>
        <w:rPr>
          <w:rFonts w:hint="eastAsia" w:ascii="宋体" w:hAnsi="宋体" w:eastAsia="宋体" w:cs="宋体"/>
          <w:color w:val="auto"/>
          <w:sz w:val="24"/>
          <w:szCs w:val="24"/>
          <w:u w:val="none"/>
          <w:vertAlign w:val="subscript"/>
        </w:rPr>
        <w:t>2</w:t>
      </w:r>
      <w:r>
        <w:rPr>
          <w:rFonts w:hint="eastAsia" w:ascii="宋体" w:hAnsi="宋体" w:eastAsia="宋体" w:cs="宋体"/>
          <w:color w:val="auto"/>
          <w:sz w:val="24"/>
          <w:szCs w:val="24"/>
          <w:u w:val="none"/>
          <w:vertAlign w:val="superscript"/>
        </w:rPr>
        <w:t>1-2</w:t>
      </w:r>
      <w:r>
        <w:rPr>
          <w:rFonts w:hint="eastAsia" w:ascii="宋体" w:hAnsi="宋体" w:eastAsia="宋体" w:cs="宋体"/>
          <w:color w:val="auto"/>
          <w:sz w:val="24"/>
          <w:szCs w:val="24"/>
          <w:u w:val="none"/>
        </w:rPr>
        <w:t>试油获日产油11.92t、日产气69900m</w:t>
      </w:r>
      <w:r>
        <w:rPr>
          <w:rFonts w:hint="eastAsia" w:ascii="宋体" w:hAnsi="宋体" w:eastAsia="宋体" w:cs="宋体"/>
          <w:color w:val="auto"/>
          <w:sz w:val="24"/>
          <w:szCs w:val="24"/>
          <w:u w:val="none"/>
          <w:vertAlign w:val="superscript"/>
        </w:rPr>
        <w:t>3</w:t>
      </w:r>
      <w:r>
        <w:rPr>
          <w:rFonts w:hint="eastAsia" w:ascii="宋体" w:hAnsi="宋体" w:eastAsia="宋体" w:cs="宋体"/>
          <w:color w:val="auto"/>
          <w:sz w:val="24"/>
          <w:szCs w:val="24"/>
          <w:u w:val="none"/>
        </w:rPr>
        <w:t>。莫7、莫113、莫117断块三工河组J</w:t>
      </w:r>
      <w:r>
        <w:rPr>
          <w:rFonts w:hint="eastAsia" w:ascii="宋体" w:hAnsi="宋体" w:eastAsia="宋体" w:cs="宋体"/>
          <w:color w:val="auto"/>
          <w:sz w:val="24"/>
          <w:szCs w:val="24"/>
          <w:u w:val="none"/>
          <w:vertAlign w:val="subscript"/>
        </w:rPr>
        <w:t>1</w:t>
      </w:r>
      <w:r>
        <w:rPr>
          <w:rFonts w:hint="eastAsia" w:ascii="宋体" w:hAnsi="宋体" w:eastAsia="宋体" w:cs="宋体"/>
          <w:color w:val="auto"/>
          <w:sz w:val="24"/>
          <w:szCs w:val="24"/>
          <w:u w:val="none"/>
        </w:rPr>
        <w:t>s</w:t>
      </w:r>
      <w:r>
        <w:rPr>
          <w:rFonts w:hint="eastAsia" w:ascii="宋体" w:hAnsi="宋体" w:eastAsia="宋体" w:cs="宋体"/>
          <w:color w:val="auto"/>
          <w:sz w:val="24"/>
          <w:szCs w:val="24"/>
          <w:u w:val="none"/>
          <w:vertAlign w:val="subscript"/>
        </w:rPr>
        <w:t>2</w:t>
      </w:r>
      <w:r>
        <w:rPr>
          <w:rFonts w:hint="eastAsia" w:ascii="宋体" w:hAnsi="宋体" w:eastAsia="宋体" w:cs="宋体"/>
          <w:color w:val="auto"/>
          <w:sz w:val="24"/>
          <w:szCs w:val="24"/>
          <w:u w:val="none"/>
          <w:vertAlign w:val="superscript"/>
        </w:rPr>
        <w:t>1-2</w:t>
      </w:r>
      <w:r>
        <w:rPr>
          <w:rFonts w:hint="eastAsia" w:ascii="宋体" w:hAnsi="宋体" w:eastAsia="宋体" w:cs="宋体"/>
          <w:color w:val="auto"/>
          <w:sz w:val="24"/>
          <w:szCs w:val="24"/>
          <w:u w:val="none"/>
        </w:rPr>
        <w:t>探明天然气地质储量5.67×10</w:t>
      </w:r>
      <w:r>
        <w:rPr>
          <w:rFonts w:hint="eastAsia" w:ascii="宋体" w:hAnsi="宋体" w:eastAsia="宋体" w:cs="宋体"/>
          <w:color w:val="auto"/>
          <w:sz w:val="24"/>
          <w:szCs w:val="24"/>
          <w:u w:val="none"/>
          <w:vertAlign w:val="superscript"/>
        </w:rPr>
        <w:t>8</w:t>
      </w:r>
      <w:r>
        <w:rPr>
          <w:rFonts w:hint="eastAsia" w:ascii="宋体" w:hAnsi="宋体" w:eastAsia="宋体" w:cs="宋体"/>
          <w:color w:val="auto"/>
          <w:sz w:val="24"/>
          <w:szCs w:val="24"/>
          <w:u w:val="none"/>
        </w:rPr>
        <w:t>m</w:t>
      </w:r>
      <w:r>
        <w:rPr>
          <w:rFonts w:hint="eastAsia" w:ascii="宋体" w:hAnsi="宋体" w:eastAsia="宋体" w:cs="宋体"/>
          <w:color w:val="auto"/>
          <w:sz w:val="24"/>
          <w:szCs w:val="24"/>
          <w:u w:val="none"/>
          <w:vertAlign w:val="superscript"/>
        </w:rPr>
        <w:t>3</w:t>
      </w:r>
      <w:r>
        <w:rPr>
          <w:rFonts w:hint="eastAsia" w:ascii="宋体" w:hAnsi="宋体" w:eastAsia="宋体" w:cs="宋体"/>
          <w:color w:val="auto"/>
          <w:sz w:val="24"/>
          <w:szCs w:val="24"/>
          <w:u w:val="none"/>
        </w:rPr>
        <w:t>。本次结合最新地质认识，计算部署区J</w:t>
      </w:r>
      <w:r>
        <w:rPr>
          <w:rFonts w:hint="eastAsia" w:ascii="宋体" w:hAnsi="宋体" w:eastAsia="宋体" w:cs="宋体"/>
          <w:color w:val="auto"/>
          <w:sz w:val="24"/>
          <w:szCs w:val="24"/>
          <w:u w:val="none"/>
          <w:vertAlign w:val="subscript"/>
        </w:rPr>
        <w:t>1</w:t>
      </w:r>
      <w:r>
        <w:rPr>
          <w:rFonts w:hint="eastAsia" w:ascii="宋体" w:hAnsi="宋体" w:eastAsia="宋体" w:cs="宋体"/>
          <w:color w:val="auto"/>
          <w:sz w:val="24"/>
          <w:szCs w:val="24"/>
          <w:u w:val="none"/>
        </w:rPr>
        <w:t>s</w:t>
      </w:r>
      <w:r>
        <w:rPr>
          <w:rFonts w:hint="eastAsia" w:ascii="宋体" w:hAnsi="宋体" w:eastAsia="宋体" w:cs="宋体"/>
          <w:color w:val="auto"/>
          <w:sz w:val="24"/>
          <w:szCs w:val="24"/>
          <w:u w:val="none"/>
          <w:vertAlign w:val="subscript"/>
        </w:rPr>
        <w:t>2</w:t>
      </w:r>
      <w:r>
        <w:rPr>
          <w:rFonts w:hint="eastAsia" w:ascii="宋体" w:hAnsi="宋体" w:eastAsia="宋体" w:cs="宋体"/>
          <w:color w:val="auto"/>
          <w:sz w:val="24"/>
          <w:szCs w:val="24"/>
          <w:u w:val="none"/>
          <w:vertAlign w:val="superscript"/>
        </w:rPr>
        <w:t>1-2</w:t>
      </w:r>
      <w:r>
        <w:rPr>
          <w:rFonts w:hint="eastAsia" w:ascii="宋体" w:hAnsi="宋体" w:eastAsia="宋体" w:cs="宋体"/>
          <w:color w:val="auto"/>
          <w:sz w:val="24"/>
          <w:szCs w:val="24"/>
          <w:u w:val="none"/>
        </w:rPr>
        <w:t>气藏天然气储量共9.26×10</w:t>
      </w:r>
      <w:r>
        <w:rPr>
          <w:rFonts w:hint="eastAsia" w:ascii="宋体" w:hAnsi="宋体" w:eastAsia="宋体" w:cs="宋体"/>
          <w:color w:val="auto"/>
          <w:sz w:val="24"/>
          <w:szCs w:val="24"/>
          <w:u w:val="none"/>
          <w:vertAlign w:val="superscript"/>
        </w:rPr>
        <w:t>8</w:t>
      </w:r>
      <w:r>
        <w:rPr>
          <w:rFonts w:hint="eastAsia" w:ascii="宋体" w:hAnsi="宋体" w:eastAsia="宋体" w:cs="宋体"/>
          <w:color w:val="auto"/>
          <w:sz w:val="24"/>
          <w:szCs w:val="24"/>
          <w:u w:val="none"/>
        </w:rPr>
        <w:t>m</w:t>
      </w:r>
      <w:r>
        <w:rPr>
          <w:rFonts w:hint="eastAsia" w:ascii="宋体" w:hAnsi="宋体" w:eastAsia="宋体" w:cs="宋体"/>
          <w:color w:val="auto"/>
          <w:sz w:val="24"/>
          <w:szCs w:val="24"/>
          <w:u w:val="none"/>
          <w:vertAlign w:val="superscript"/>
        </w:rPr>
        <w:t>3</w:t>
      </w:r>
      <w:r>
        <w:rPr>
          <w:rFonts w:hint="eastAsia" w:ascii="宋体" w:hAnsi="宋体" w:eastAsia="宋体" w:cs="宋体"/>
          <w:color w:val="auto"/>
          <w:sz w:val="24"/>
          <w:szCs w:val="24"/>
          <w:u w:val="none"/>
        </w:rPr>
        <w:t>。</w:t>
      </w:r>
    </w:p>
    <w:p w14:paraId="28DEB239">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cs="宋体"/>
          <w:color w:val="auto"/>
          <w:sz w:val="24"/>
          <w:szCs w:val="24"/>
          <w:u w:val="none"/>
          <w:lang w:eastAsia="zh-CN"/>
        </w:rPr>
      </w:pPr>
      <w:r>
        <w:rPr>
          <w:rFonts w:hint="eastAsia" w:ascii="宋体" w:hAnsi="宋体" w:eastAsia="宋体" w:cs="宋体"/>
          <w:color w:val="auto"/>
          <w:sz w:val="24"/>
          <w:szCs w:val="24"/>
          <w:u w:val="none"/>
        </w:rPr>
        <w:t>为进一步落实该区构造特征，扩大勘探评价成果，2007年在该区实施了莫109井评价三维（面积161.07km</w:t>
      </w:r>
      <w:r>
        <w:rPr>
          <w:rFonts w:hint="eastAsia" w:ascii="宋体" w:hAnsi="宋体" w:eastAsia="宋体" w:cs="宋体"/>
          <w:color w:val="auto"/>
          <w:sz w:val="24"/>
          <w:szCs w:val="24"/>
          <w:u w:val="none"/>
          <w:vertAlign w:val="superscript"/>
        </w:rPr>
        <w:t>2</w:t>
      </w:r>
      <w:r>
        <w:rPr>
          <w:rFonts w:hint="eastAsia" w:ascii="宋体" w:hAnsi="宋体" w:eastAsia="宋体" w:cs="宋体"/>
          <w:color w:val="auto"/>
          <w:sz w:val="24"/>
          <w:szCs w:val="24"/>
          <w:u w:val="none"/>
        </w:rPr>
        <w:t>，面元25×25m），2008～2010年，运用新三维解释结果，在莫116井区部署评价井11口，试油11井23层，获工业油气流8井15层</w:t>
      </w:r>
      <w:r>
        <w:rPr>
          <w:rFonts w:hint="eastAsia" w:ascii="宋体" w:hAnsi="宋体" w:cs="宋体"/>
          <w:color w:val="auto"/>
          <w:sz w:val="24"/>
          <w:szCs w:val="24"/>
          <w:u w:val="none"/>
          <w:lang w:eastAsia="zh-CN"/>
        </w:rPr>
        <w:t>。</w:t>
      </w:r>
    </w:p>
    <w:p w14:paraId="2B99CC5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截止2011年12月，莫116井区三工河组油气藏共上报天然气地质储量45.92×10</w:t>
      </w:r>
      <w:r>
        <w:rPr>
          <w:rFonts w:hint="eastAsia" w:ascii="宋体" w:hAnsi="宋体" w:eastAsia="宋体" w:cs="宋体"/>
          <w:color w:val="auto"/>
          <w:sz w:val="24"/>
          <w:szCs w:val="24"/>
          <w:u w:val="none"/>
          <w:vertAlign w:val="superscript"/>
        </w:rPr>
        <w:t>8</w:t>
      </w:r>
      <w:r>
        <w:rPr>
          <w:rFonts w:hint="eastAsia" w:ascii="宋体" w:hAnsi="宋体" w:eastAsia="宋体" w:cs="宋体"/>
          <w:color w:val="auto"/>
          <w:sz w:val="24"/>
          <w:szCs w:val="24"/>
          <w:u w:val="none"/>
        </w:rPr>
        <w:t>m</w:t>
      </w:r>
      <w:r>
        <w:rPr>
          <w:rFonts w:hint="eastAsia" w:ascii="宋体" w:hAnsi="宋体" w:eastAsia="宋体" w:cs="宋体"/>
          <w:color w:val="auto"/>
          <w:sz w:val="24"/>
          <w:szCs w:val="24"/>
          <w:u w:val="none"/>
          <w:vertAlign w:val="superscript"/>
        </w:rPr>
        <w:t>3</w:t>
      </w:r>
      <w:r>
        <w:rPr>
          <w:rFonts w:hint="eastAsia" w:ascii="宋体" w:hAnsi="宋体" w:eastAsia="宋体" w:cs="宋体"/>
          <w:color w:val="auto"/>
          <w:sz w:val="24"/>
          <w:szCs w:val="24"/>
          <w:u w:val="none"/>
        </w:rPr>
        <w:t>，石油地质储量1857.63×10</w:t>
      </w:r>
      <w:r>
        <w:rPr>
          <w:rFonts w:hint="eastAsia" w:ascii="宋体" w:hAnsi="宋体" w:eastAsia="宋体" w:cs="宋体"/>
          <w:color w:val="auto"/>
          <w:sz w:val="24"/>
          <w:szCs w:val="24"/>
          <w:u w:val="none"/>
          <w:vertAlign w:val="superscript"/>
        </w:rPr>
        <w:t>4</w:t>
      </w:r>
      <w:r>
        <w:rPr>
          <w:rFonts w:hint="eastAsia" w:ascii="宋体" w:hAnsi="宋体" w:eastAsia="宋体" w:cs="宋体"/>
          <w:color w:val="auto"/>
          <w:sz w:val="24"/>
          <w:szCs w:val="24"/>
          <w:u w:val="none"/>
        </w:rPr>
        <w:t>t。</w:t>
      </w:r>
    </w:p>
    <w:p w14:paraId="4B978E8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rPr>
        <w:t>本次方案部署目标区为试油、试采效果较好，油气水关系落实的莫7、莫113、莫117井断块J</w:t>
      </w:r>
      <w:r>
        <w:rPr>
          <w:rFonts w:hint="eastAsia" w:ascii="宋体" w:hAnsi="宋体" w:eastAsia="宋体" w:cs="宋体"/>
          <w:color w:val="auto"/>
          <w:sz w:val="24"/>
          <w:szCs w:val="24"/>
          <w:u w:val="none"/>
          <w:vertAlign w:val="subscript"/>
        </w:rPr>
        <w:t>1</w:t>
      </w:r>
      <w:r>
        <w:rPr>
          <w:rFonts w:hint="eastAsia" w:ascii="宋体" w:hAnsi="宋体" w:eastAsia="宋体" w:cs="宋体"/>
          <w:color w:val="auto"/>
          <w:sz w:val="24"/>
          <w:szCs w:val="24"/>
          <w:u w:val="none"/>
        </w:rPr>
        <w:t>s</w:t>
      </w:r>
      <w:r>
        <w:rPr>
          <w:rFonts w:hint="eastAsia" w:ascii="宋体" w:hAnsi="宋体" w:eastAsia="宋体" w:cs="宋体"/>
          <w:color w:val="auto"/>
          <w:sz w:val="24"/>
          <w:szCs w:val="24"/>
          <w:u w:val="none"/>
          <w:vertAlign w:val="subscript"/>
        </w:rPr>
        <w:t>2</w:t>
      </w:r>
      <w:r>
        <w:rPr>
          <w:rFonts w:hint="eastAsia" w:ascii="宋体" w:hAnsi="宋体" w:eastAsia="宋体" w:cs="宋体"/>
          <w:color w:val="auto"/>
          <w:sz w:val="24"/>
          <w:szCs w:val="24"/>
          <w:u w:val="none"/>
          <w:vertAlign w:val="superscript"/>
        </w:rPr>
        <w:t>1</w:t>
      </w:r>
      <w:r>
        <w:rPr>
          <w:rFonts w:hint="eastAsia" w:ascii="宋体" w:hAnsi="宋体" w:eastAsia="宋体" w:cs="宋体"/>
          <w:color w:val="auto"/>
          <w:sz w:val="24"/>
          <w:szCs w:val="24"/>
          <w:u w:val="none"/>
        </w:rPr>
        <w:t>气藏。目标气藏探明含气面积4.71km</w:t>
      </w:r>
      <w:r>
        <w:rPr>
          <w:rFonts w:hint="eastAsia" w:ascii="宋体" w:hAnsi="宋体" w:eastAsia="宋体" w:cs="宋体"/>
          <w:color w:val="auto"/>
          <w:sz w:val="24"/>
          <w:szCs w:val="24"/>
          <w:u w:val="none"/>
          <w:vertAlign w:val="superscript"/>
        </w:rPr>
        <w:t>2</w:t>
      </w:r>
      <w:r>
        <w:rPr>
          <w:rFonts w:hint="eastAsia" w:ascii="宋体" w:hAnsi="宋体" w:eastAsia="宋体" w:cs="宋体"/>
          <w:color w:val="auto"/>
          <w:sz w:val="24"/>
          <w:szCs w:val="24"/>
          <w:u w:val="none"/>
        </w:rPr>
        <w:t>，天然气地质储量10.76×10</w:t>
      </w:r>
      <w:r>
        <w:rPr>
          <w:rFonts w:hint="eastAsia" w:ascii="宋体" w:hAnsi="宋体" w:eastAsia="宋体" w:cs="宋体"/>
          <w:color w:val="auto"/>
          <w:sz w:val="24"/>
          <w:szCs w:val="24"/>
          <w:u w:val="none"/>
          <w:vertAlign w:val="superscript"/>
        </w:rPr>
        <w:t>8</w:t>
      </w:r>
      <w:r>
        <w:rPr>
          <w:rFonts w:hint="eastAsia" w:ascii="宋体" w:hAnsi="宋体" w:eastAsia="宋体" w:cs="宋体"/>
          <w:color w:val="auto"/>
          <w:sz w:val="24"/>
          <w:szCs w:val="24"/>
          <w:u w:val="none"/>
        </w:rPr>
        <w:t>m</w:t>
      </w:r>
      <w:r>
        <w:rPr>
          <w:rFonts w:hint="eastAsia" w:ascii="宋体" w:hAnsi="宋体" w:eastAsia="宋体" w:cs="宋体"/>
          <w:color w:val="auto"/>
          <w:sz w:val="24"/>
          <w:szCs w:val="24"/>
          <w:u w:val="none"/>
          <w:vertAlign w:val="superscript"/>
        </w:rPr>
        <w:t>3</w:t>
      </w:r>
      <w:r>
        <w:rPr>
          <w:rFonts w:hint="eastAsia" w:ascii="宋体" w:hAnsi="宋体" w:eastAsia="宋体" w:cs="宋体"/>
          <w:color w:val="auto"/>
          <w:sz w:val="24"/>
          <w:szCs w:val="24"/>
          <w:u w:val="none"/>
        </w:rPr>
        <w:t>。</w:t>
      </w:r>
      <w:r>
        <w:rPr>
          <w:rFonts w:hint="eastAsia" w:ascii="宋体" w:hAnsi="宋体" w:cs="宋体"/>
          <w:color w:val="auto"/>
          <w:sz w:val="24"/>
          <w:szCs w:val="24"/>
          <w:u w:val="none"/>
          <w:lang w:val="en-US" w:eastAsia="zh-CN"/>
        </w:rPr>
        <w:t>井区位置见下图。</w:t>
      </w:r>
    </w:p>
    <w:p w14:paraId="3FEE42A7">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cs="宋体"/>
          <w:color w:val="auto"/>
          <w:sz w:val="24"/>
          <w:szCs w:val="24"/>
          <w:u w:val="none"/>
          <w:lang w:val="en-US" w:eastAsia="zh-CN"/>
        </w:rPr>
      </w:pPr>
    </w:p>
    <w:p w14:paraId="1720381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cs="宋体"/>
          <w:color w:val="auto"/>
          <w:sz w:val="24"/>
          <w:szCs w:val="24"/>
          <w:u w:val="none"/>
          <w:lang w:val="en-US" w:eastAsia="zh-CN"/>
        </w:rPr>
      </w:pPr>
    </w:p>
    <w:p w14:paraId="5E3D5EE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cs="宋体"/>
          <w:color w:val="auto"/>
          <w:sz w:val="24"/>
          <w:szCs w:val="24"/>
          <w:u w:val="none"/>
          <w:lang w:val="en-US" w:eastAsia="zh-CN"/>
        </w:rPr>
      </w:pPr>
    </w:p>
    <w:p w14:paraId="25C264C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cs="宋体"/>
          <w:color w:val="auto"/>
          <w:sz w:val="24"/>
          <w:szCs w:val="24"/>
          <w:u w:val="none"/>
          <w:lang w:val="en-US" w:eastAsia="zh-CN"/>
        </w:rPr>
      </w:pPr>
    </w:p>
    <w:p w14:paraId="66B432CE">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cs="宋体"/>
          <w:color w:val="auto"/>
          <w:sz w:val="24"/>
          <w:szCs w:val="24"/>
          <w:u w:val="none"/>
          <w:lang w:val="en-US" w:eastAsia="zh-CN"/>
        </w:rPr>
      </w:pPr>
    </w:p>
    <w:p w14:paraId="62523F86">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cs="宋体"/>
          <w:color w:val="auto"/>
          <w:sz w:val="24"/>
          <w:szCs w:val="24"/>
          <w:u w:val="none"/>
          <w:lang w:val="en-US" w:eastAsia="zh-CN"/>
        </w:rPr>
      </w:pPr>
    </w:p>
    <w:p w14:paraId="1369BC0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cs="宋体"/>
          <w:color w:val="auto"/>
          <w:sz w:val="24"/>
          <w:szCs w:val="24"/>
          <w:u w:val="none"/>
          <w:lang w:val="en-US" w:eastAsia="zh-CN"/>
        </w:rPr>
      </w:pPr>
    </w:p>
    <w:p w14:paraId="479F6DB3">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u w:val="none"/>
          <w:lang w:val="en-US" w:eastAsia="zh-CN"/>
        </w:rPr>
      </w:pPr>
      <w:r>
        <w:rPr>
          <w:color w:val="auto"/>
          <w:u w:val="none"/>
        </w:rPr>
        <w:drawing>
          <wp:anchor distT="0" distB="0" distL="114300" distR="114300" simplePos="0" relativeHeight="251717632" behindDoc="0" locked="0" layoutInCell="1" allowOverlap="1">
            <wp:simplePos x="0" y="0"/>
            <wp:positionH relativeFrom="column">
              <wp:posOffset>13335</wp:posOffset>
            </wp:positionH>
            <wp:positionV relativeFrom="paragraph">
              <wp:posOffset>91440</wp:posOffset>
            </wp:positionV>
            <wp:extent cx="5469890" cy="4080510"/>
            <wp:effectExtent l="0" t="0" r="16510" b="15240"/>
            <wp:wrapTopAndBottom/>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29"/>
                    <a:stretch>
                      <a:fillRect/>
                    </a:stretch>
                  </pic:blipFill>
                  <pic:spPr>
                    <a:xfrm>
                      <a:off x="0" y="0"/>
                      <a:ext cx="5469890" cy="4080510"/>
                    </a:xfrm>
                    <a:prstGeom prst="rect">
                      <a:avLst/>
                    </a:prstGeom>
                    <a:noFill/>
                    <a:ln>
                      <a:noFill/>
                    </a:ln>
                  </pic:spPr>
                </pic:pic>
              </a:graphicData>
            </a:graphic>
          </wp:anchor>
        </w:drawing>
      </w:r>
      <w:r>
        <w:rPr>
          <w:rFonts w:hint="eastAsia" w:ascii="宋体" w:hAnsi="宋体" w:cs="宋体"/>
          <w:color w:val="auto"/>
          <w:sz w:val="24"/>
          <w:szCs w:val="24"/>
          <w:u w:val="none"/>
          <w:lang w:val="en-US" w:eastAsia="zh-CN"/>
        </w:rPr>
        <w:t>图3.1-1 井区位置示意图</w:t>
      </w:r>
    </w:p>
    <w:p w14:paraId="58DC73E3">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165" w:name="_Toc8892"/>
      <w:r>
        <w:rPr>
          <w:rFonts w:hint="default" w:ascii="黑体" w:hAnsi="黑体" w:eastAsia="黑体" w:cs="黑体"/>
          <w:color w:val="auto"/>
          <w:sz w:val="28"/>
          <w:szCs w:val="28"/>
          <w:u w:val="none"/>
          <w:lang w:val="en-US" w:eastAsia="zh-CN"/>
        </w:rPr>
        <w:t>3.2</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现有工程</w:t>
      </w:r>
      <w:bookmarkEnd w:id="165"/>
    </w:p>
    <w:p w14:paraId="06065623">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3.2.1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现有工程环保手续履行情况</w:t>
      </w:r>
    </w:p>
    <w:p w14:paraId="1283E94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val="en-US" w:eastAsia="zh-CN"/>
        </w:rPr>
      </w:pPr>
      <w:bookmarkStart w:id="166" w:name="_Hlk69147216"/>
      <w:bookmarkStart w:id="167" w:name="_Hlk69147654"/>
      <w:r>
        <w:rPr>
          <w:rFonts w:hint="eastAsia" w:ascii="宋体" w:hAnsi="宋体" w:eastAsia="宋体" w:cs="宋体"/>
          <w:color w:val="auto"/>
          <w:sz w:val="24"/>
          <w:szCs w:val="24"/>
          <w:u w:val="none"/>
          <w:lang w:val="en-US" w:eastAsia="zh-CN"/>
        </w:rPr>
        <w:t>莫116井区属于莫北油田已开发区块，区块开发建设较早，近年来未实施新的产能建设工程，区块开发前期，按照国家法律法规开展了环境影响评价和竣工环境保护验收工作，主要包括《中国石油新疆油田分公司莫北油田莫116井区2012年产能建设项目环境影响报告书》《中国石油新疆油田分公司莫北油田莫116井区2011年开发建设项目环境影响报告书》等。</w:t>
      </w:r>
    </w:p>
    <w:p w14:paraId="539A6A0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cs="宋体"/>
          <w:color w:val="auto"/>
          <w:kern w:val="0"/>
          <w:sz w:val="24"/>
          <w:szCs w:val="24"/>
          <w:highlight w:val="none"/>
          <w:u w:val="none"/>
        </w:rPr>
      </w:pPr>
      <w:r>
        <w:rPr>
          <w:rFonts w:hint="eastAsia" w:ascii="宋体" w:hAnsi="宋体" w:eastAsia="宋体" w:cs="宋体"/>
          <w:color w:val="auto"/>
          <w:sz w:val="24"/>
          <w:szCs w:val="24"/>
          <w:u w:val="none"/>
          <w:lang w:val="en-US" w:eastAsia="zh-CN"/>
        </w:rPr>
        <w:t>本工程不涉及老井利用，依托工程主要为莫109转油站、莫北转油站、石西集中处理站。现有工程</w:t>
      </w:r>
      <w:r>
        <w:rPr>
          <w:rFonts w:hint="eastAsia" w:ascii="宋体" w:hAnsi="宋体" w:eastAsia="宋体" w:cs="宋体"/>
          <w:color w:val="auto"/>
          <w:sz w:val="24"/>
          <w:szCs w:val="24"/>
          <w:u w:val="none"/>
          <w:lang w:val="zh-CN"/>
        </w:rPr>
        <w:t>的环保手续履行情况</w:t>
      </w:r>
      <w:r>
        <w:rPr>
          <w:rFonts w:hint="eastAsia" w:ascii="宋体" w:hAnsi="宋体" w:eastAsia="宋体" w:cs="宋体"/>
          <w:color w:val="auto"/>
          <w:sz w:val="24"/>
          <w:szCs w:val="24"/>
          <w:u w:val="none"/>
          <w:lang w:val="zh-CN" w:eastAsia="zh-CN"/>
        </w:rPr>
        <w:t>，</w:t>
      </w:r>
      <w:r>
        <w:rPr>
          <w:rFonts w:hint="eastAsia" w:ascii="宋体" w:hAnsi="宋体" w:eastAsia="宋体" w:cs="宋体"/>
          <w:color w:val="auto"/>
          <w:sz w:val="24"/>
          <w:szCs w:val="24"/>
          <w:u w:val="none"/>
          <w:lang w:val="zh-CN"/>
        </w:rPr>
        <w:t>见表3.</w:t>
      </w:r>
      <w:r>
        <w:rPr>
          <w:rFonts w:hint="eastAsia" w:ascii="宋体" w:hAnsi="宋体" w:eastAsia="宋体" w:cs="宋体"/>
          <w:color w:val="auto"/>
          <w:sz w:val="24"/>
          <w:szCs w:val="24"/>
          <w:u w:val="none"/>
          <w:lang w:val="en-US" w:eastAsia="zh-CN"/>
        </w:rPr>
        <w:t>2</w:t>
      </w:r>
      <w:r>
        <w:rPr>
          <w:rFonts w:hint="eastAsia" w:ascii="宋体" w:hAnsi="宋体" w:eastAsia="宋体" w:cs="宋体"/>
          <w:color w:val="auto"/>
          <w:sz w:val="24"/>
          <w:szCs w:val="24"/>
          <w:u w:val="none"/>
          <w:lang w:val="zh-CN"/>
        </w:rPr>
        <w:t>-</w:t>
      </w:r>
      <w:r>
        <w:rPr>
          <w:rFonts w:hint="eastAsia" w:ascii="宋体" w:hAnsi="宋体" w:eastAsia="宋体" w:cs="宋体"/>
          <w:color w:val="auto"/>
          <w:sz w:val="24"/>
          <w:szCs w:val="24"/>
          <w:u w:val="none"/>
          <w:lang w:val="en-US" w:eastAsia="zh-CN"/>
        </w:rPr>
        <w:t>1</w:t>
      </w:r>
      <w:r>
        <w:rPr>
          <w:rFonts w:hint="eastAsia" w:ascii="宋体" w:hAnsi="宋体" w:eastAsia="宋体" w:cs="宋体"/>
          <w:color w:val="auto"/>
          <w:sz w:val="24"/>
          <w:szCs w:val="24"/>
          <w:u w:val="none"/>
          <w:lang w:val="zh-CN"/>
        </w:rPr>
        <w:t>。</w:t>
      </w:r>
    </w:p>
    <w:p w14:paraId="5421AE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1CD30B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4C9F8F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1A7A0B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04CAD7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zh-CN" w:eastAsia="zh-CN" w:bidi="ar-SA"/>
        </w:rPr>
      </w:pPr>
      <w:r>
        <w:rPr>
          <w:rFonts w:hint="eastAsia" w:ascii="黑体" w:hAnsi="黑体" w:eastAsia="黑体" w:cs="黑体"/>
          <w:b w:val="0"/>
          <w:bCs/>
          <w:color w:val="auto"/>
          <w:kern w:val="2"/>
          <w:sz w:val="24"/>
          <w:szCs w:val="24"/>
          <w:u w:val="none"/>
          <w:lang w:val="en-US" w:eastAsia="zh-CN" w:bidi="ar-SA"/>
        </w:rPr>
        <w:t xml:space="preserve">表3.2-1  </w:t>
      </w:r>
      <w:r>
        <w:rPr>
          <w:rFonts w:hint="eastAsia" w:ascii="黑体" w:hAnsi="黑体" w:eastAsia="黑体" w:cs="黑体"/>
          <w:b w:val="0"/>
          <w:bCs/>
          <w:color w:val="auto"/>
          <w:kern w:val="2"/>
          <w:sz w:val="24"/>
          <w:szCs w:val="24"/>
          <w:u w:val="none"/>
          <w:lang w:val="zh-CN" w:eastAsia="zh-CN" w:bidi="ar-SA"/>
        </w:rPr>
        <w:t>现有工程环评及验收情况一览表</w:t>
      </w:r>
    </w:p>
    <w:tbl>
      <w:tblPr>
        <w:tblStyle w:val="37"/>
        <w:tblW w:w="55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29"/>
        <w:gridCol w:w="950"/>
        <w:gridCol w:w="2332"/>
        <w:gridCol w:w="2714"/>
        <w:gridCol w:w="2515"/>
      </w:tblGrid>
      <w:tr w14:paraId="7C3AA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tcBorders>
              <w:tl2br w:val="nil"/>
              <w:tr2bl w:val="nil"/>
            </w:tcBorders>
            <w:noWrap w:val="0"/>
            <w:vAlign w:val="center"/>
          </w:tcPr>
          <w:p w14:paraId="795A4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类别</w:t>
            </w:r>
          </w:p>
        </w:tc>
        <w:tc>
          <w:tcPr>
            <w:tcW w:w="498" w:type="pct"/>
            <w:tcBorders>
              <w:tl2br w:val="nil"/>
              <w:tr2bl w:val="nil"/>
            </w:tcBorders>
            <w:noWrap w:val="0"/>
            <w:vAlign w:val="center"/>
          </w:tcPr>
          <w:p w14:paraId="56A3BC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工程内容</w:t>
            </w:r>
          </w:p>
        </w:tc>
        <w:tc>
          <w:tcPr>
            <w:tcW w:w="1222" w:type="pct"/>
            <w:tcBorders>
              <w:tl2br w:val="nil"/>
              <w:tr2bl w:val="nil"/>
            </w:tcBorders>
            <w:noWrap w:val="0"/>
            <w:vAlign w:val="center"/>
          </w:tcPr>
          <w:p w14:paraId="1E275A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项目名称</w:t>
            </w:r>
          </w:p>
        </w:tc>
        <w:tc>
          <w:tcPr>
            <w:tcW w:w="1422" w:type="pct"/>
            <w:tcBorders>
              <w:tl2br w:val="nil"/>
              <w:tr2bl w:val="nil"/>
            </w:tcBorders>
            <w:noWrap w:val="0"/>
            <w:vAlign w:val="center"/>
          </w:tcPr>
          <w:p w14:paraId="1CADDC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审批</w:t>
            </w:r>
            <w:r>
              <w:rPr>
                <w:rFonts w:hint="eastAsia" w:ascii="宋体" w:hAnsi="宋体" w:eastAsia="宋体" w:cs="宋体"/>
                <w:color w:val="auto"/>
                <w:sz w:val="21"/>
                <w:szCs w:val="21"/>
                <w:u w:val="none"/>
                <w:lang w:val="en-US" w:eastAsia="zh-CN"/>
              </w:rPr>
              <w:t>部门及</w:t>
            </w:r>
            <w:r>
              <w:rPr>
                <w:rFonts w:hint="eastAsia" w:ascii="宋体" w:hAnsi="宋体" w:eastAsia="宋体" w:cs="宋体"/>
                <w:color w:val="auto"/>
                <w:sz w:val="21"/>
                <w:szCs w:val="21"/>
                <w:u w:val="none"/>
              </w:rPr>
              <w:t>文号</w:t>
            </w:r>
          </w:p>
        </w:tc>
        <w:tc>
          <w:tcPr>
            <w:tcW w:w="1318" w:type="pct"/>
            <w:tcBorders>
              <w:tl2br w:val="nil"/>
              <w:tr2bl w:val="nil"/>
            </w:tcBorders>
            <w:noWrap w:val="0"/>
            <w:vAlign w:val="center"/>
          </w:tcPr>
          <w:p w14:paraId="510177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验收情况</w:t>
            </w:r>
          </w:p>
        </w:tc>
      </w:tr>
      <w:tr w14:paraId="50ADC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restart"/>
            <w:tcBorders>
              <w:tl2br w:val="nil"/>
              <w:tr2bl w:val="nil"/>
            </w:tcBorders>
            <w:noWrap w:val="0"/>
            <w:vAlign w:val="center"/>
          </w:tcPr>
          <w:p w14:paraId="108F92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环评及验收情况</w:t>
            </w:r>
          </w:p>
        </w:tc>
        <w:tc>
          <w:tcPr>
            <w:tcW w:w="498" w:type="pct"/>
            <w:vMerge w:val="restart"/>
            <w:tcBorders>
              <w:tl2br w:val="nil"/>
              <w:tr2bl w:val="nil"/>
            </w:tcBorders>
            <w:noWrap w:val="0"/>
            <w:vAlign w:val="center"/>
          </w:tcPr>
          <w:p w14:paraId="29AF72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产能建设</w:t>
            </w:r>
          </w:p>
        </w:tc>
        <w:tc>
          <w:tcPr>
            <w:tcW w:w="1222" w:type="pct"/>
            <w:tcBorders>
              <w:tl2br w:val="nil"/>
              <w:tr2bl w:val="nil"/>
            </w:tcBorders>
            <w:noWrap w:val="0"/>
            <w:vAlign w:val="center"/>
          </w:tcPr>
          <w:p w14:paraId="227F2E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中国石油新疆油田分公司莫北油田莫116井区2011年开发建设项目环境影响报告书</w:t>
            </w:r>
          </w:p>
        </w:tc>
        <w:tc>
          <w:tcPr>
            <w:tcW w:w="1422" w:type="pct"/>
            <w:tcBorders>
              <w:tl2br w:val="nil"/>
              <w:tr2bl w:val="nil"/>
            </w:tcBorders>
            <w:noWrap w:val="0"/>
            <w:vAlign w:val="center"/>
          </w:tcPr>
          <w:p w14:paraId="468F9B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原</w:t>
            </w:r>
            <w:r>
              <w:rPr>
                <w:rFonts w:hint="eastAsia" w:ascii="宋体" w:hAnsi="宋体" w:eastAsia="宋体" w:cs="宋体"/>
                <w:color w:val="auto"/>
                <w:sz w:val="21"/>
                <w:szCs w:val="21"/>
                <w:u w:val="none"/>
                <w:lang w:eastAsia="zh-CN"/>
              </w:rPr>
              <w:t>新疆维吾尔自治区</w:t>
            </w:r>
          </w:p>
          <w:p w14:paraId="3AB691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eastAsia="zh-CN"/>
              </w:rPr>
              <w:t>环境保护厅</w:t>
            </w:r>
          </w:p>
          <w:p w14:paraId="42BA2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新环评价函〔2012〕388号</w:t>
            </w:r>
          </w:p>
          <w:p w14:paraId="37CB3F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rPr>
              <w:t>2012年5月4日</w:t>
            </w: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附件2</w:t>
            </w:r>
            <w:r>
              <w:rPr>
                <w:rFonts w:hint="eastAsia" w:ascii="宋体" w:hAnsi="宋体" w:cs="宋体"/>
                <w:color w:val="auto"/>
                <w:sz w:val="21"/>
                <w:szCs w:val="21"/>
                <w:u w:val="none"/>
                <w:lang w:eastAsia="zh-CN"/>
              </w:rPr>
              <w:t>）</w:t>
            </w:r>
          </w:p>
        </w:tc>
        <w:tc>
          <w:tcPr>
            <w:tcW w:w="1318" w:type="pct"/>
            <w:tcBorders>
              <w:tl2br w:val="nil"/>
              <w:tr2bl w:val="nil"/>
            </w:tcBorders>
            <w:noWrap w:val="0"/>
            <w:vAlign w:val="center"/>
          </w:tcPr>
          <w:p w14:paraId="08DEF9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原</w:t>
            </w:r>
            <w:r>
              <w:rPr>
                <w:rFonts w:hint="eastAsia" w:ascii="宋体" w:hAnsi="宋体" w:eastAsia="宋体" w:cs="宋体"/>
                <w:color w:val="auto"/>
                <w:sz w:val="21"/>
                <w:szCs w:val="21"/>
                <w:u w:val="none"/>
                <w:lang w:eastAsia="zh-CN"/>
              </w:rPr>
              <w:t>新疆维吾尔自治区</w:t>
            </w:r>
          </w:p>
          <w:p w14:paraId="1C9C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eastAsia="zh-CN"/>
              </w:rPr>
              <w:t>环境保护厅</w:t>
            </w:r>
          </w:p>
          <w:p w14:paraId="12F920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新环函〔2016〕1297号</w:t>
            </w:r>
          </w:p>
          <w:p w14:paraId="76C917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2016年9月6日</w:t>
            </w: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附件3</w:t>
            </w:r>
            <w:r>
              <w:rPr>
                <w:rFonts w:hint="eastAsia" w:ascii="宋体" w:hAnsi="宋体" w:cs="宋体"/>
                <w:color w:val="auto"/>
                <w:sz w:val="21"/>
                <w:szCs w:val="21"/>
                <w:u w:val="none"/>
                <w:lang w:eastAsia="zh-CN"/>
              </w:rPr>
              <w:t>）</w:t>
            </w:r>
          </w:p>
        </w:tc>
      </w:tr>
      <w:tr w14:paraId="01BD5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continue"/>
            <w:tcBorders>
              <w:tl2br w:val="nil"/>
              <w:tr2bl w:val="nil"/>
            </w:tcBorders>
            <w:noWrap w:val="0"/>
            <w:vAlign w:val="center"/>
          </w:tcPr>
          <w:p w14:paraId="7E7F85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p>
        </w:tc>
        <w:tc>
          <w:tcPr>
            <w:tcW w:w="498" w:type="pct"/>
            <w:vMerge w:val="continue"/>
            <w:tcBorders>
              <w:tl2br w:val="nil"/>
              <w:tr2bl w:val="nil"/>
            </w:tcBorders>
            <w:noWrap w:val="0"/>
            <w:vAlign w:val="center"/>
          </w:tcPr>
          <w:p w14:paraId="5B076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val="en-US" w:eastAsia="zh-CN"/>
              </w:rPr>
            </w:pPr>
          </w:p>
        </w:tc>
        <w:tc>
          <w:tcPr>
            <w:tcW w:w="1222" w:type="pct"/>
            <w:tcBorders>
              <w:tl2br w:val="nil"/>
              <w:tr2bl w:val="nil"/>
            </w:tcBorders>
            <w:noWrap w:val="0"/>
            <w:vAlign w:val="center"/>
          </w:tcPr>
          <w:p w14:paraId="2FAE5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中国石油新疆油田分公司莫北油田莫116井区2012年产能建设项目环境影响报告书</w:t>
            </w:r>
          </w:p>
        </w:tc>
        <w:tc>
          <w:tcPr>
            <w:tcW w:w="1422" w:type="pct"/>
            <w:tcBorders>
              <w:tl2br w:val="nil"/>
              <w:tr2bl w:val="nil"/>
            </w:tcBorders>
            <w:noWrap w:val="0"/>
            <w:vAlign w:val="center"/>
          </w:tcPr>
          <w:p w14:paraId="5A1293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原</w:t>
            </w:r>
            <w:r>
              <w:rPr>
                <w:rFonts w:hint="eastAsia" w:ascii="宋体" w:hAnsi="宋体" w:eastAsia="宋体" w:cs="宋体"/>
                <w:color w:val="auto"/>
                <w:sz w:val="21"/>
                <w:szCs w:val="21"/>
                <w:u w:val="none"/>
                <w:lang w:eastAsia="zh-CN"/>
              </w:rPr>
              <w:t>新疆维吾尔自治区</w:t>
            </w:r>
          </w:p>
          <w:p w14:paraId="04B8E2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eastAsia="zh-CN"/>
              </w:rPr>
              <w:t>环境保护厅</w:t>
            </w:r>
          </w:p>
          <w:p w14:paraId="710A51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新环评价函〔2013〕382号</w:t>
            </w:r>
          </w:p>
          <w:p w14:paraId="70F94E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2013年5月16日</w:t>
            </w: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附件4</w:t>
            </w:r>
            <w:r>
              <w:rPr>
                <w:rFonts w:hint="eastAsia" w:ascii="宋体" w:hAnsi="宋体" w:cs="宋体"/>
                <w:color w:val="auto"/>
                <w:sz w:val="21"/>
                <w:szCs w:val="21"/>
                <w:u w:val="none"/>
                <w:lang w:eastAsia="zh-CN"/>
              </w:rPr>
              <w:t>）</w:t>
            </w:r>
          </w:p>
        </w:tc>
        <w:tc>
          <w:tcPr>
            <w:tcW w:w="1318" w:type="pct"/>
            <w:tcBorders>
              <w:tl2br w:val="nil"/>
              <w:tr2bl w:val="nil"/>
            </w:tcBorders>
            <w:noWrap w:val="0"/>
            <w:vAlign w:val="center"/>
          </w:tcPr>
          <w:p w14:paraId="3A912A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原</w:t>
            </w:r>
            <w:r>
              <w:rPr>
                <w:rFonts w:hint="eastAsia" w:ascii="宋体" w:hAnsi="宋体" w:eastAsia="宋体" w:cs="宋体"/>
                <w:color w:val="auto"/>
                <w:sz w:val="21"/>
                <w:szCs w:val="21"/>
                <w:u w:val="none"/>
                <w:lang w:eastAsia="zh-CN"/>
              </w:rPr>
              <w:t>新疆维吾尔自治区</w:t>
            </w:r>
          </w:p>
          <w:p w14:paraId="68146B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eastAsia="zh-CN"/>
              </w:rPr>
              <w:t>环境保护厅</w:t>
            </w:r>
          </w:p>
          <w:p w14:paraId="088AD1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新环函〔2016〕1296号</w:t>
            </w:r>
          </w:p>
          <w:p w14:paraId="5B541F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2016年9月7日</w:t>
            </w: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附件5</w:t>
            </w:r>
            <w:r>
              <w:rPr>
                <w:rFonts w:hint="eastAsia" w:ascii="宋体" w:hAnsi="宋体" w:cs="宋体"/>
                <w:color w:val="auto"/>
                <w:sz w:val="21"/>
                <w:szCs w:val="21"/>
                <w:u w:val="none"/>
                <w:lang w:eastAsia="zh-CN"/>
              </w:rPr>
              <w:t>）</w:t>
            </w:r>
          </w:p>
        </w:tc>
      </w:tr>
      <w:tr w14:paraId="1C3E0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continue"/>
            <w:tcBorders>
              <w:tl2br w:val="nil"/>
              <w:tr2bl w:val="nil"/>
            </w:tcBorders>
            <w:noWrap w:val="0"/>
            <w:vAlign w:val="center"/>
          </w:tcPr>
          <w:p w14:paraId="0F68B9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p>
        </w:tc>
        <w:tc>
          <w:tcPr>
            <w:tcW w:w="498" w:type="pct"/>
            <w:tcBorders>
              <w:tl2br w:val="nil"/>
              <w:tr2bl w:val="nil"/>
            </w:tcBorders>
            <w:noWrap w:val="0"/>
            <w:vAlign w:val="center"/>
          </w:tcPr>
          <w:p w14:paraId="16A4EC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rPr>
            </w:pPr>
            <w:r>
              <w:rPr>
                <w:rFonts w:hint="eastAsia" w:ascii="宋体" w:hAnsi="宋体" w:cs="宋体"/>
                <w:color w:val="auto"/>
                <w:sz w:val="21"/>
                <w:szCs w:val="21"/>
                <w:u w:val="none"/>
                <w:lang w:val="en-US" w:eastAsia="zh-CN"/>
              </w:rPr>
              <w:t>莫109转油站</w:t>
            </w:r>
          </w:p>
        </w:tc>
        <w:tc>
          <w:tcPr>
            <w:tcW w:w="1222" w:type="pct"/>
            <w:tcBorders>
              <w:tl2br w:val="nil"/>
              <w:tr2bl w:val="nil"/>
            </w:tcBorders>
            <w:noWrap w:val="0"/>
            <w:vAlign w:val="center"/>
          </w:tcPr>
          <w:p w14:paraId="6D1E0E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莫7-莫11井区开发建设项目环境影响报告表</w:t>
            </w:r>
          </w:p>
        </w:tc>
        <w:tc>
          <w:tcPr>
            <w:tcW w:w="1422" w:type="pct"/>
            <w:tcBorders>
              <w:tl2br w:val="nil"/>
              <w:tr2bl w:val="nil"/>
            </w:tcBorders>
            <w:noWrap w:val="0"/>
            <w:vAlign w:val="center"/>
          </w:tcPr>
          <w:p w14:paraId="532A74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新环监建函</w:t>
            </w:r>
            <w:r>
              <w:rPr>
                <w:rFonts w:hint="eastAsia" w:ascii="宋体" w:hAnsi="宋体" w:eastAsia="宋体" w:cs="宋体"/>
                <w:color w:val="auto"/>
                <w:sz w:val="21"/>
                <w:szCs w:val="21"/>
                <w:u w:val="none"/>
              </w:rPr>
              <w:t>〔20</w:t>
            </w:r>
            <w:r>
              <w:rPr>
                <w:rFonts w:hint="eastAsia" w:ascii="宋体" w:hAnsi="宋体" w:cs="宋体"/>
                <w:color w:val="auto"/>
                <w:sz w:val="21"/>
                <w:szCs w:val="21"/>
                <w:u w:val="none"/>
                <w:lang w:val="en-US" w:eastAsia="zh-CN"/>
              </w:rPr>
              <w:t>08</w:t>
            </w:r>
            <w:r>
              <w:rPr>
                <w:rFonts w:hint="eastAsia" w:ascii="宋体" w:hAnsi="宋体" w:eastAsia="宋体" w:cs="宋体"/>
                <w:color w:val="auto"/>
                <w:sz w:val="21"/>
                <w:szCs w:val="21"/>
                <w:u w:val="none"/>
              </w:rPr>
              <w:t>〕</w:t>
            </w:r>
            <w:r>
              <w:rPr>
                <w:rFonts w:hint="eastAsia" w:ascii="宋体" w:hAnsi="宋体" w:cs="宋体"/>
                <w:color w:val="auto"/>
                <w:sz w:val="21"/>
                <w:szCs w:val="21"/>
                <w:u w:val="none"/>
                <w:lang w:val="en-US" w:eastAsia="zh-CN"/>
              </w:rPr>
              <w:t>03</w:t>
            </w:r>
            <w:r>
              <w:rPr>
                <w:rFonts w:hint="eastAsia" w:ascii="宋体" w:hAnsi="宋体" w:eastAsia="宋体" w:cs="宋体"/>
                <w:color w:val="auto"/>
                <w:sz w:val="21"/>
                <w:szCs w:val="21"/>
                <w:u w:val="none"/>
              </w:rPr>
              <w:t>号</w:t>
            </w:r>
          </w:p>
          <w:p w14:paraId="0A3EF2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附件6</w:t>
            </w:r>
            <w:r>
              <w:rPr>
                <w:rFonts w:hint="eastAsia" w:ascii="宋体" w:hAnsi="宋体" w:cs="宋体"/>
                <w:color w:val="auto"/>
                <w:sz w:val="21"/>
                <w:szCs w:val="21"/>
                <w:u w:val="none"/>
                <w:lang w:eastAsia="zh-CN"/>
              </w:rPr>
              <w:t>）</w:t>
            </w:r>
          </w:p>
        </w:tc>
        <w:tc>
          <w:tcPr>
            <w:tcW w:w="1318" w:type="pct"/>
            <w:tcBorders>
              <w:tl2br w:val="nil"/>
              <w:tr2bl w:val="nil"/>
            </w:tcBorders>
            <w:noWrap w:val="0"/>
            <w:vAlign w:val="center"/>
          </w:tcPr>
          <w:p w14:paraId="14BC7C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原</w:t>
            </w:r>
            <w:r>
              <w:rPr>
                <w:rFonts w:hint="eastAsia" w:ascii="宋体" w:hAnsi="宋体" w:eastAsia="宋体" w:cs="宋体"/>
                <w:color w:val="auto"/>
                <w:sz w:val="21"/>
                <w:szCs w:val="21"/>
                <w:u w:val="none"/>
                <w:lang w:eastAsia="zh-CN"/>
              </w:rPr>
              <w:t>新疆维吾尔自治区</w:t>
            </w:r>
          </w:p>
          <w:p w14:paraId="1A623A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eastAsia="zh-CN"/>
              </w:rPr>
              <w:t>环境保护厅</w:t>
            </w:r>
          </w:p>
          <w:p w14:paraId="5DB1C0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新环</w:t>
            </w:r>
            <w:r>
              <w:rPr>
                <w:rFonts w:hint="eastAsia" w:ascii="宋体" w:hAnsi="宋体" w:cs="宋体"/>
                <w:color w:val="auto"/>
                <w:sz w:val="21"/>
                <w:szCs w:val="21"/>
                <w:u w:val="none"/>
                <w:lang w:val="en-US" w:eastAsia="zh-CN"/>
              </w:rPr>
              <w:t>评价</w:t>
            </w:r>
            <w:r>
              <w:rPr>
                <w:rFonts w:hint="eastAsia" w:ascii="宋体" w:hAnsi="宋体" w:eastAsia="宋体" w:cs="宋体"/>
                <w:color w:val="auto"/>
                <w:sz w:val="21"/>
                <w:szCs w:val="21"/>
                <w:u w:val="none"/>
                <w:lang w:val="en-US" w:eastAsia="zh-CN"/>
              </w:rPr>
              <w:t>函〔20</w:t>
            </w:r>
            <w:r>
              <w:rPr>
                <w:rFonts w:hint="eastAsia" w:ascii="宋体" w:hAnsi="宋体" w:cs="宋体"/>
                <w:color w:val="auto"/>
                <w:sz w:val="21"/>
                <w:szCs w:val="21"/>
                <w:u w:val="none"/>
                <w:lang w:val="en-US" w:eastAsia="zh-CN"/>
              </w:rPr>
              <w:t>10</w:t>
            </w:r>
            <w:r>
              <w:rPr>
                <w:rFonts w:hint="eastAsia" w:ascii="宋体" w:hAnsi="宋体" w:eastAsia="宋体" w:cs="宋体"/>
                <w:color w:val="auto"/>
                <w:sz w:val="21"/>
                <w:szCs w:val="21"/>
                <w:u w:val="none"/>
                <w:lang w:val="en-US" w:eastAsia="zh-CN"/>
              </w:rPr>
              <w:t>〕</w:t>
            </w:r>
            <w:r>
              <w:rPr>
                <w:rFonts w:hint="eastAsia" w:ascii="宋体" w:hAnsi="宋体" w:cs="宋体"/>
                <w:color w:val="auto"/>
                <w:sz w:val="21"/>
                <w:szCs w:val="21"/>
                <w:u w:val="none"/>
                <w:lang w:val="en-US" w:eastAsia="zh-CN"/>
              </w:rPr>
              <w:t>828</w:t>
            </w:r>
            <w:r>
              <w:rPr>
                <w:rFonts w:hint="eastAsia" w:ascii="宋体" w:hAnsi="宋体" w:eastAsia="宋体" w:cs="宋体"/>
                <w:color w:val="auto"/>
                <w:sz w:val="21"/>
                <w:szCs w:val="21"/>
                <w:u w:val="none"/>
                <w:lang w:val="en-US" w:eastAsia="zh-CN"/>
              </w:rPr>
              <w:t>号</w:t>
            </w:r>
          </w:p>
          <w:p w14:paraId="4C45F9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20</w:t>
            </w:r>
            <w:r>
              <w:rPr>
                <w:rFonts w:hint="eastAsia" w:ascii="宋体" w:hAnsi="宋体" w:cs="宋体"/>
                <w:color w:val="auto"/>
                <w:sz w:val="21"/>
                <w:szCs w:val="21"/>
                <w:u w:val="none"/>
                <w:lang w:val="en-US" w:eastAsia="zh-CN"/>
              </w:rPr>
              <w:t>10</w:t>
            </w:r>
            <w:r>
              <w:rPr>
                <w:rFonts w:hint="eastAsia" w:ascii="宋体" w:hAnsi="宋体" w:eastAsia="宋体" w:cs="宋体"/>
                <w:color w:val="auto"/>
                <w:sz w:val="21"/>
                <w:szCs w:val="21"/>
                <w:u w:val="none"/>
                <w:lang w:val="en-US" w:eastAsia="zh-CN"/>
              </w:rPr>
              <w:t>年</w:t>
            </w:r>
            <w:r>
              <w:rPr>
                <w:rFonts w:hint="eastAsia" w:ascii="宋体" w:hAnsi="宋体" w:cs="宋体"/>
                <w:color w:val="auto"/>
                <w:sz w:val="21"/>
                <w:szCs w:val="21"/>
                <w:u w:val="none"/>
                <w:lang w:val="en-US" w:eastAsia="zh-CN"/>
              </w:rPr>
              <w:t>12</w:t>
            </w:r>
            <w:r>
              <w:rPr>
                <w:rFonts w:hint="eastAsia" w:ascii="宋体" w:hAnsi="宋体" w:eastAsia="宋体" w:cs="宋体"/>
                <w:color w:val="auto"/>
                <w:sz w:val="21"/>
                <w:szCs w:val="21"/>
                <w:u w:val="none"/>
                <w:lang w:val="en-US" w:eastAsia="zh-CN"/>
              </w:rPr>
              <w:t>月</w:t>
            </w:r>
            <w:r>
              <w:rPr>
                <w:rFonts w:hint="eastAsia" w:ascii="宋体" w:hAnsi="宋体" w:cs="宋体"/>
                <w:color w:val="auto"/>
                <w:sz w:val="21"/>
                <w:szCs w:val="21"/>
                <w:u w:val="none"/>
                <w:lang w:val="en-US" w:eastAsia="zh-CN"/>
              </w:rPr>
              <w:t>3</w:t>
            </w:r>
            <w:r>
              <w:rPr>
                <w:rFonts w:hint="eastAsia" w:ascii="宋体" w:hAnsi="宋体" w:eastAsia="宋体" w:cs="宋体"/>
                <w:color w:val="auto"/>
                <w:sz w:val="21"/>
                <w:szCs w:val="21"/>
                <w:u w:val="none"/>
                <w:lang w:val="en-US" w:eastAsia="zh-CN"/>
              </w:rPr>
              <w:t>日</w:t>
            </w: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附件7</w:t>
            </w:r>
            <w:r>
              <w:rPr>
                <w:rFonts w:hint="eastAsia" w:ascii="宋体" w:hAnsi="宋体" w:cs="宋体"/>
                <w:color w:val="auto"/>
                <w:sz w:val="21"/>
                <w:szCs w:val="21"/>
                <w:u w:val="none"/>
                <w:lang w:eastAsia="zh-CN"/>
              </w:rPr>
              <w:t>）</w:t>
            </w:r>
          </w:p>
        </w:tc>
      </w:tr>
      <w:tr w14:paraId="2E1D1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continue"/>
            <w:tcBorders>
              <w:tl2br w:val="nil"/>
              <w:tr2bl w:val="nil"/>
            </w:tcBorders>
            <w:noWrap w:val="0"/>
            <w:vAlign w:val="center"/>
          </w:tcPr>
          <w:p w14:paraId="13388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p>
        </w:tc>
        <w:tc>
          <w:tcPr>
            <w:tcW w:w="498" w:type="pct"/>
            <w:tcBorders>
              <w:tl2br w:val="nil"/>
              <w:tr2bl w:val="nil"/>
            </w:tcBorders>
            <w:noWrap w:val="0"/>
            <w:vAlign w:val="center"/>
          </w:tcPr>
          <w:p w14:paraId="53A4DA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莫北转油站</w:t>
            </w:r>
          </w:p>
        </w:tc>
        <w:tc>
          <w:tcPr>
            <w:tcW w:w="1222" w:type="pct"/>
            <w:tcBorders>
              <w:tl2br w:val="nil"/>
              <w:tr2bl w:val="nil"/>
            </w:tcBorders>
            <w:noWrap w:val="0"/>
            <w:vAlign w:val="center"/>
          </w:tcPr>
          <w:p w14:paraId="7388A49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莫北转油站油水处理系统改造完善工程环境影响报告书</w:t>
            </w:r>
          </w:p>
        </w:tc>
        <w:tc>
          <w:tcPr>
            <w:tcW w:w="1422" w:type="pct"/>
            <w:tcBorders>
              <w:tl2br w:val="nil"/>
              <w:tr2bl w:val="nil"/>
            </w:tcBorders>
            <w:noWrap w:val="0"/>
            <w:vAlign w:val="center"/>
          </w:tcPr>
          <w:p w14:paraId="24D709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原</w:t>
            </w:r>
            <w:r>
              <w:rPr>
                <w:rFonts w:hint="eastAsia" w:ascii="宋体" w:hAnsi="宋体" w:eastAsia="宋体" w:cs="宋体"/>
                <w:color w:val="auto"/>
                <w:sz w:val="21"/>
                <w:szCs w:val="21"/>
                <w:u w:val="none"/>
                <w:lang w:eastAsia="zh-CN"/>
              </w:rPr>
              <w:t>新疆维吾尔自治区</w:t>
            </w:r>
          </w:p>
          <w:p w14:paraId="74E1FE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环境保护厅</w:t>
            </w:r>
          </w:p>
          <w:p w14:paraId="6247D1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新环函〔</w:t>
            </w:r>
            <w:r>
              <w:rPr>
                <w:rFonts w:hint="eastAsia" w:ascii="宋体" w:hAnsi="宋体" w:eastAsia="宋体" w:cs="宋体"/>
                <w:color w:val="auto"/>
                <w:sz w:val="21"/>
                <w:szCs w:val="21"/>
                <w:u w:val="none"/>
                <w:lang w:val="en-US" w:eastAsia="zh-CN"/>
              </w:rPr>
              <w:t>2016</w:t>
            </w:r>
            <w:r>
              <w:rPr>
                <w:rFonts w:hint="eastAsia" w:ascii="宋体" w:hAnsi="宋体" w:eastAsia="宋体" w:cs="宋体"/>
                <w:color w:val="auto"/>
                <w:sz w:val="21"/>
                <w:szCs w:val="21"/>
                <w:u w:val="none"/>
                <w:lang w:eastAsia="zh-CN"/>
              </w:rPr>
              <w:t>〕560号</w:t>
            </w:r>
          </w:p>
          <w:p w14:paraId="655563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pacing w:val="0"/>
                <w:sz w:val="21"/>
                <w:szCs w:val="21"/>
                <w:u w:val="none"/>
                <w:lang w:val="en-US" w:eastAsia="zh-CN"/>
              </w:rPr>
            </w:pP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附件8</w:t>
            </w:r>
            <w:r>
              <w:rPr>
                <w:rFonts w:hint="eastAsia" w:ascii="宋体" w:hAnsi="宋体" w:cs="宋体"/>
                <w:color w:val="auto"/>
                <w:sz w:val="21"/>
                <w:szCs w:val="21"/>
                <w:u w:val="none"/>
                <w:lang w:eastAsia="zh-CN"/>
              </w:rPr>
              <w:t>）</w:t>
            </w:r>
          </w:p>
        </w:tc>
        <w:tc>
          <w:tcPr>
            <w:tcW w:w="1318" w:type="pct"/>
            <w:tcBorders>
              <w:tl2br w:val="nil"/>
              <w:tr2bl w:val="nil"/>
            </w:tcBorders>
            <w:noWrap w:val="0"/>
            <w:vAlign w:val="center"/>
          </w:tcPr>
          <w:p w14:paraId="3BB43A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自主验收</w:t>
            </w:r>
          </w:p>
          <w:p w14:paraId="70344B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2019年12月5日</w:t>
            </w:r>
          </w:p>
          <w:p w14:paraId="3929FE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yellow"/>
                <w:u w:val="none"/>
                <w:lang w:val="en-US" w:eastAsia="zh-CN"/>
              </w:rPr>
            </w:pP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附件9</w:t>
            </w:r>
            <w:r>
              <w:rPr>
                <w:rFonts w:hint="eastAsia" w:ascii="宋体" w:hAnsi="宋体" w:cs="宋体"/>
                <w:color w:val="auto"/>
                <w:sz w:val="21"/>
                <w:szCs w:val="21"/>
                <w:u w:val="none"/>
                <w:lang w:eastAsia="zh-CN"/>
              </w:rPr>
              <w:t>）</w:t>
            </w:r>
          </w:p>
        </w:tc>
      </w:tr>
      <w:tr w14:paraId="1336A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continue"/>
            <w:tcBorders>
              <w:tl2br w:val="nil"/>
              <w:tr2bl w:val="nil"/>
            </w:tcBorders>
            <w:noWrap w:val="0"/>
            <w:vAlign w:val="center"/>
          </w:tcPr>
          <w:p w14:paraId="639969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p>
        </w:tc>
        <w:tc>
          <w:tcPr>
            <w:tcW w:w="498" w:type="pct"/>
            <w:vMerge w:val="restart"/>
            <w:tcBorders>
              <w:tl2br w:val="nil"/>
              <w:tr2bl w:val="nil"/>
            </w:tcBorders>
            <w:noWrap w:val="0"/>
            <w:vAlign w:val="center"/>
          </w:tcPr>
          <w:p w14:paraId="7ADA43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highlight w:val="none"/>
                <w:u w:val="none"/>
                <w:lang w:val="en-US" w:eastAsia="zh-CN"/>
              </w:rPr>
              <w:t>石西集中处理站</w:t>
            </w:r>
          </w:p>
        </w:tc>
        <w:tc>
          <w:tcPr>
            <w:tcW w:w="1222" w:type="pct"/>
            <w:tcBorders>
              <w:tl2br w:val="nil"/>
              <w:tr2bl w:val="nil"/>
            </w:tcBorders>
            <w:noWrap w:val="0"/>
            <w:vAlign w:val="center"/>
          </w:tcPr>
          <w:p w14:paraId="2CA2E5F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highlight w:val="none"/>
                <w:u w:val="none"/>
              </w:rPr>
              <w:t>新疆石油管理局石西油田开发建设环境影响报告书</w:t>
            </w:r>
          </w:p>
        </w:tc>
        <w:tc>
          <w:tcPr>
            <w:tcW w:w="1422" w:type="pct"/>
            <w:tcBorders>
              <w:tl2br w:val="nil"/>
              <w:tr2bl w:val="nil"/>
            </w:tcBorders>
            <w:noWrap w:val="0"/>
            <w:vAlign w:val="center"/>
          </w:tcPr>
          <w:p w14:paraId="3D863A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原国家环境保护总局</w:t>
            </w:r>
          </w:p>
          <w:p w14:paraId="2E0F60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eastAsia="zh-CN"/>
              </w:rPr>
            </w:pPr>
            <w:r>
              <w:rPr>
                <w:rFonts w:hint="eastAsia" w:ascii="宋体" w:hAnsi="宋体" w:eastAsia="宋体" w:cs="宋体"/>
                <w:color w:val="auto"/>
                <w:sz w:val="21"/>
                <w:szCs w:val="21"/>
                <w:highlight w:val="none"/>
                <w:u w:val="none"/>
              </w:rPr>
              <w:t>环发</w:t>
            </w:r>
            <w:r>
              <w:rPr>
                <w:rFonts w:hint="eastAsia" w:ascii="宋体" w:hAnsi="宋体" w:eastAsia="宋体" w:cs="宋体"/>
                <w:color w:val="auto"/>
                <w:sz w:val="21"/>
                <w:szCs w:val="21"/>
                <w:highlight w:val="none"/>
                <w:u w:val="none"/>
                <w:lang w:eastAsia="zh-CN"/>
              </w:rPr>
              <w:t>〔</w:t>
            </w:r>
            <w:r>
              <w:rPr>
                <w:rFonts w:hint="eastAsia" w:ascii="宋体" w:hAnsi="宋体" w:cs="宋体"/>
                <w:color w:val="auto"/>
                <w:sz w:val="21"/>
                <w:szCs w:val="21"/>
                <w:highlight w:val="none"/>
                <w:u w:val="none"/>
                <w:lang w:val="en-US" w:eastAsia="zh-CN"/>
              </w:rPr>
              <w:t>1998</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201号</w:t>
            </w:r>
          </w:p>
        </w:tc>
        <w:tc>
          <w:tcPr>
            <w:tcW w:w="1318" w:type="pct"/>
            <w:tcBorders>
              <w:tl2br w:val="nil"/>
              <w:tr2bl w:val="nil"/>
            </w:tcBorders>
            <w:noWrap w:val="0"/>
            <w:vAlign w:val="center"/>
          </w:tcPr>
          <w:p w14:paraId="6F5F4D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原国家环境保护总局环验</w:t>
            </w:r>
          </w:p>
          <w:p w14:paraId="2E769D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20</w:t>
            </w:r>
            <w:r>
              <w:rPr>
                <w:rFonts w:hint="eastAsia" w:ascii="宋体" w:hAnsi="宋体" w:cs="宋体"/>
                <w:color w:val="auto"/>
                <w:sz w:val="21"/>
                <w:szCs w:val="21"/>
                <w:highlight w:val="none"/>
                <w:u w:val="none"/>
                <w:lang w:val="en-US" w:eastAsia="zh-CN"/>
              </w:rPr>
              <w:t>05</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007号</w:t>
            </w:r>
          </w:p>
          <w:p w14:paraId="41C082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eastAsia="zh-CN"/>
              </w:rPr>
            </w:pPr>
            <w:r>
              <w:rPr>
                <w:rFonts w:hint="eastAsia" w:ascii="宋体" w:hAnsi="宋体" w:eastAsia="宋体" w:cs="宋体"/>
                <w:color w:val="auto"/>
                <w:sz w:val="21"/>
                <w:szCs w:val="21"/>
                <w:highlight w:val="none"/>
                <w:u w:val="none"/>
              </w:rPr>
              <w:t>2005年1月13日</w:t>
            </w:r>
          </w:p>
        </w:tc>
      </w:tr>
      <w:tr w14:paraId="305455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continue"/>
            <w:tcBorders>
              <w:tl2br w:val="nil"/>
              <w:tr2bl w:val="nil"/>
            </w:tcBorders>
            <w:noWrap w:val="0"/>
            <w:vAlign w:val="center"/>
          </w:tcPr>
          <w:p w14:paraId="39EBE5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p>
        </w:tc>
        <w:tc>
          <w:tcPr>
            <w:tcW w:w="498" w:type="pct"/>
            <w:vMerge w:val="continue"/>
            <w:tcBorders>
              <w:tl2br w:val="nil"/>
              <w:tr2bl w:val="nil"/>
            </w:tcBorders>
            <w:noWrap w:val="0"/>
            <w:vAlign w:val="center"/>
          </w:tcPr>
          <w:p w14:paraId="569E54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val="en-US" w:eastAsia="zh-CN"/>
              </w:rPr>
            </w:pPr>
          </w:p>
        </w:tc>
        <w:tc>
          <w:tcPr>
            <w:tcW w:w="1222" w:type="pct"/>
            <w:tcBorders>
              <w:tl2br w:val="nil"/>
              <w:tr2bl w:val="nil"/>
            </w:tcBorders>
            <w:noWrap w:val="0"/>
            <w:vAlign w:val="center"/>
          </w:tcPr>
          <w:p w14:paraId="436A093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highlight w:val="none"/>
                <w:u w:val="none"/>
              </w:rPr>
              <w:t>石西油田作业区采油废水回注（再利用）工程</w:t>
            </w:r>
          </w:p>
        </w:tc>
        <w:tc>
          <w:tcPr>
            <w:tcW w:w="1422" w:type="pct"/>
            <w:tcBorders>
              <w:tl2br w:val="nil"/>
              <w:tr2bl w:val="nil"/>
            </w:tcBorders>
            <w:noWrap w:val="0"/>
            <w:vAlign w:val="center"/>
          </w:tcPr>
          <w:p w14:paraId="4914C6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原新疆维吾尔自治区</w:t>
            </w:r>
          </w:p>
          <w:p w14:paraId="3DCD64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环境保护厅</w:t>
            </w:r>
          </w:p>
          <w:p w14:paraId="79448B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eastAsia="zh-CN"/>
              </w:rPr>
            </w:pPr>
            <w:r>
              <w:rPr>
                <w:rFonts w:hint="eastAsia" w:ascii="宋体" w:hAnsi="宋体" w:eastAsia="宋体" w:cs="宋体"/>
                <w:color w:val="auto"/>
                <w:sz w:val="21"/>
                <w:szCs w:val="21"/>
                <w:highlight w:val="none"/>
                <w:u w:val="none"/>
              </w:rPr>
              <w:t>新环函</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20</w:t>
            </w:r>
            <w:r>
              <w:rPr>
                <w:rFonts w:hint="eastAsia" w:ascii="宋体" w:hAnsi="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191号</w:t>
            </w:r>
          </w:p>
        </w:tc>
        <w:tc>
          <w:tcPr>
            <w:tcW w:w="1318" w:type="pct"/>
            <w:tcBorders>
              <w:tl2br w:val="nil"/>
              <w:tr2bl w:val="nil"/>
            </w:tcBorders>
            <w:noWrap w:val="0"/>
            <w:vAlign w:val="center"/>
          </w:tcPr>
          <w:p w14:paraId="2A0CB2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原新疆维吾尔自治区</w:t>
            </w:r>
          </w:p>
          <w:p w14:paraId="382489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环境保护厅</w:t>
            </w:r>
          </w:p>
          <w:p w14:paraId="747ED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eastAsia="zh-CN"/>
              </w:rPr>
            </w:pPr>
            <w:r>
              <w:rPr>
                <w:rFonts w:hint="eastAsia" w:ascii="宋体" w:hAnsi="宋体" w:eastAsia="宋体" w:cs="宋体"/>
                <w:color w:val="auto"/>
                <w:sz w:val="21"/>
                <w:szCs w:val="21"/>
                <w:highlight w:val="none"/>
                <w:u w:val="none"/>
              </w:rPr>
              <w:t>新环函</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lang w:val="en-US" w:eastAsia="zh-CN"/>
              </w:rPr>
              <w:t>2015</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highlight w:val="none"/>
                <w:u w:val="none"/>
              </w:rPr>
              <w:t>1155号</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2015年10月28日</w:t>
            </w:r>
          </w:p>
        </w:tc>
      </w:tr>
      <w:tr w14:paraId="2F0A9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continue"/>
            <w:tcBorders>
              <w:tl2br w:val="nil"/>
              <w:tr2bl w:val="nil"/>
            </w:tcBorders>
            <w:noWrap w:val="0"/>
            <w:vAlign w:val="center"/>
          </w:tcPr>
          <w:p w14:paraId="1A0F0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p>
        </w:tc>
        <w:tc>
          <w:tcPr>
            <w:tcW w:w="498" w:type="pct"/>
            <w:vMerge w:val="continue"/>
            <w:tcBorders>
              <w:tl2br w:val="nil"/>
              <w:tr2bl w:val="nil"/>
            </w:tcBorders>
            <w:noWrap w:val="0"/>
            <w:vAlign w:val="center"/>
          </w:tcPr>
          <w:p w14:paraId="528116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val="en-US" w:eastAsia="zh-CN"/>
              </w:rPr>
            </w:pPr>
          </w:p>
        </w:tc>
        <w:tc>
          <w:tcPr>
            <w:tcW w:w="1222" w:type="pct"/>
            <w:tcBorders>
              <w:tl2br w:val="nil"/>
              <w:tr2bl w:val="nil"/>
            </w:tcBorders>
            <w:noWrap w:val="0"/>
            <w:vAlign w:val="center"/>
          </w:tcPr>
          <w:p w14:paraId="2AE253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highlight w:val="none"/>
                <w:u w:val="none"/>
              </w:rPr>
              <w:t>新疆油田陆梁和石西原油密闭处理与稳定改造工程（石西部分）环境影响报告表</w:t>
            </w:r>
          </w:p>
        </w:tc>
        <w:tc>
          <w:tcPr>
            <w:tcW w:w="1422" w:type="pct"/>
            <w:tcBorders>
              <w:tl2br w:val="nil"/>
              <w:tr2bl w:val="nil"/>
            </w:tcBorders>
            <w:noWrap w:val="0"/>
            <w:vAlign w:val="center"/>
          </w:tcPr>
          <w:p w14:paraId="548F5A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pacing w:val="-11"/>
                <w:sz w:val="21"/>
                <w:szCs w:val="21"/>
                <w:highlight w:val="none"/>
                <w:u w:val="none"/>
              </w:rPr>
            </w:pPr>
            <w:r>
              <w:rPr>
                <w:rFonts w:hint="eastAsia" w:ascii="宋体" w:hAnsi="宋体" w:eastAsia="宋体" w:cs="宋体"/>
                <w:color w:val="auto"/>
                <w:spacing w:val="-11"/>
                <w:sz w:val="21"/>
                <w:szCs w:val="21"/>
                <w:highlight w:val="none"/>
                <w:u w:val="none"/>
              </w:rPr>
              <w:t>塔城地区生态环境局和布克赛尔蒙古自治县分局</w:t>
            </w:r>
          </w:p>
          <w:p w14:paraId="3E12C7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pacing w:val="-11"/>
                <w:sz w:val="21"/>
                <w:szCs w:val="21"/>
                <w:highlight w:val="none"/>
                <w:u w:val="none"/>
              </w:rPr>
            </w:pPr>
            <w:r>
              <w:rPr>
                <w:rFonts w:hint="eastAsia" w:ascii="宋体" w:hAnsi="宋体" w:eastAsia="宋体" w:cs="宋体"/>
                <w:color w:val="auto"/>
                <w:spacing w:val="-11"/>
                <w:sz w:val="21"/>
                <w:szCs w:val="21"/>
                <w:highlight w:val="none"/>
                <w:u w:val="none"/>
              </w:rPr>
              <w:t>和生环评函字</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201</w:t>
            </w:r>
            <w:r>
              <w:rPr>
                <w:rFonts w:hint="eastAsia" w:ascii="宋体" w:hAnsi="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pacing w:val="-11"/>
                <w:sz w:val="21"/>
                <w:szCs w:val="21"/>
                <w:highlight w:val="none"/>
                <w:u w:val="none"/>
              </w:rPr>
              <w:t>27号</w:t>
            </w:r>
          </w:p>
          <w:p w14:paraId="376E4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eastAsia="zh-CN"/>
              </w:rPr>
            </w:pPr>
            <w:r>
              <w:rPr>
                <w:rFonts w:hint="eastAsia" w:ascii="宋体" w:hAnsi="宋体" w:cs="宋体"/>
                <w:color w:val="auto"/>
                <w:spacing w:val="-11"/>
                <w:sz w:val="21"/>
                <w:szCs w:val="21"/>
                <w:highlight w:val="none"/>
                <w:u w:val="none"/>
                <w:lang w:eastAsia="zh-CN"/>
              </w:rPr>
              <w:t>（</w:t>
            </w:r>
            <w:r>
              <w:rPr>
                <w:rFonts w:hint="eastAsia" w:ascii="宋体" w:hAnsi="宋体" w:cs="宋体"/>
                <w:color w:val="auto"/>
                <w:spacing w:val="-11"/>
                <w:sz w:val="21"/>
                <w:szCs w:val="21"/>
                <w:highlight w:val="none"/>
                <w:u w:val="none"/>
                <w:lang w:val="en-US" w:eastAsia="zh-CN"/>
              </w:rPr>
              <w:t>附件10</w:t>
            </w:r>
            <w:r>
              <w:rPr>
                <w:rFonts w:hint="eastAsia" w:ascii="宋体" w:hAnsi="宋体" w:cs="宋体"/>
                <w:color w:val="auto"/>
                <w:spacing w:val="-11"/>
                <w:sz w:val="21"/>
                <w:szCs w:val="21"/>
                <w:highlight w:val="none"/>
                <w:u w:val="none"/>
                <w:lang w:eastAsia="zh-CN"/>
              </w:rPr>
              <w:t>）</w:t>
            </w:r>
          </w:p>
        </w:tc>
        <w:tc>
          <w:tcPr>
            <w:tcW w:w="1318" w:type="pct"/>
            <w:tcBorders>
              <w:tl2br w:val="nil"/>
              <w:tr2bl w:val="nil"/>
            </w:tcBorders>
            <w:noWrap w:val="0"/>
            <w:vAlign w:val="center"/>
          </w:tcPr>
          <w:p w14:paraId="72F685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eastAsia="zh-CN"/>
              </w:rPr>
            </w:pPr>
            <w:r>
              <w:rPr>
                <w:rFonts w:hint="eastAsia" w:ascii="宋体" w:hAnsi="宋体" w:cs="宋体"/>
                <w:color w:val="auto"/>
                <w:sz w:val="21"/>
                <w:szCs w:val="21"/>
                <w:highlight w:val="none"/>
                <w:u w:val="none"/>
                <w:lang w:val="en-US" w:eastAsia="zh-CN"/>
              </w:rPr>
              <w:t>已取得验收意见</w:t>
            </w:r>
          </w:p>
        </w:tc>
      </w:tr>
      <w:tr w14:paraId="4BE07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restart"/>
            <w:tcBorders>
              <w:tl2br w:val="nil"/>
              <w:tr2bl w:val="nil"/>
            </w:tcBorders>
            <w:noWrap w:val="0"/>
            <w:vAlign w:val="center"/>
          </w:tcPr>
          <w:p w14:paraId="6C8B4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环境管理</w:t>
            </w:r>
          </w:p>
        </w:tc>
        <w:tc>
          <w:tcPr>
            <w:tcW w:w="498" w:type="pct"/>
            <w:tcBorders>
              <w:tl2br w:val="nil"/>
              <w:tr2bl w:val="nil"/>
            </w:tcBorders>
            <w:noWrap w:val="0"/>
            <w:vAlign w:val="center"/>
          </w:tcPr>
          <w:p w14:paraId="10923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u w:val="none"/>
                <w:lang w:val="en-US" w:eastAsia="zh-CN"/>
              </w:rPr>
              <w:t>应急预案</w:t>
            </w:r>
          </w:p>
        </w:tc>
        <w:tc>
          <w:tcPr>
            <w:tcW w:w="3962" w:type="pct"/>
            <w:gridSpan w:val="3"/>
            <w:tcBorders>
              <w:tl2br w:val="nil"/>
              <w:tr2bl w:val="nil"/>
            </w:tcBorders>
            <w:noWrap w:val="0"/>
            <w:vAlign w:val="center"/>
          </w:tcPr>
          <w:p w14:paraId="68E1366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1"/>
                <w:szCs w:val="21"/>
                <w:highlight w:val="none"/>
                <w:u w:val="none"/>
                <w:lang w:val="en-US" w:eastAsia="zh-CN"/>
              </w:rPr>
            </w:pPr>
            <w:r>
              <w:rPr>
                <w:rFonts w:hint="eastAsia"/>
                <w:color w:val="auto"/>
                <w:u w:val="none"/>
              </w:rPr>
              <w:t>中国石油新疆油田分公司石西油田作业区突发环境事件</w:t>
            </w:r>
            <w:r>
              <w:rPr>
                <w:rFonts w:hint="eastAsia"/>
                <w:color w:val="auto"/>
                <w:u w:val="none"/>
                <w:lang w:val="en-US" w:eastAsia="zh-CN"/>
              </w:rPr>
              <w:t>于</w:t>
            </w:r>
            <w:r>
              <w:rPr>
                <w:rFonts w:hint="eastAsia"/>
                <w:color w:val="auto"/>
                <w:u w:val="none"/>
              </w:rPr>
              <w:t>202</w:t>
            </w:r>
            <w:r>
              <w:rPr>
                <w:rFonts w:hint="eastAsia"/>
                <w:color w:val="auto"/>
                <w:u w:val="none"/>
                <w:lang w:val="en-US" w:eastAsia="zh-CN"/>
              </w:rPr>
              <w:t>3</w:t>
            </w:r>
            <w:r>
              <w:rPr>
                <w:rFonts w:hint="eastAsia"/>
                <w:color w:val="auto"/>
                <w:u w:val="none"/>
              </w:rPr>
              <w:t>年</w:t>
            </w:r>
            <w:r>
              <w:rPr>
                <w:rFonts w:hint="eastAsia"/>
                <w:color w:val="auto"/>
                <w:u w:val="none"/>
                <w:lang w:val="en-US" w:eastAsia="zh-CN"/>
              </w:rPr>
              <w:t>3</w:t>
            </w:r>
            <w:r>
              <w:rPr>
                <w:rFonts w:hint="eastAsia"/>
                <w:color w:val="auto"/>
                <w:u w:val="none"/>
              </w:rPr>
              <w:t>月</w:t>
            </w:r>
            <w:r>
              <w:rPr>
                <w:rFonts w:hint="eastAsia"/>
                <w:color w:val="auto"/>
                <w:u w:val="none"/>
                <w:lang w:val="en-US" w:eastAsia="zh-CN"/>
              </w:rPr>
              <w:t>9</w:t>
            </w:r>
            <w:r>
              <w:rPr>
                <w:rFonts w:hint="eastAsia"/>
                <w:color w:val="auto"/>
                <w:u w:val="none"/>
              </w:rPr>
              <w:t>日在</w:t>
            </w:r>
            <w:r>
              <w:rPr>
                <w:rFonts w:hint="eastAsia"/>
                <w:color w:val="auto"/>
                <w:u w:val="none"/>
                <w:lang w:val="en-US" w:eastAsia="zh-CN"/>
              </w:rPr>
              <w:t>昌吉回族自治州</w:t>
            </w:r>
            <w:r>
              <w:rPr>
                <w:rFonts w:hint="eastAsia"/>
                <w:color w:val="auto"/>
                <w:u w:val="none"/>
              </w:rPr>
              <w:t>生态环境局</w:t>
            </w:r>
            <w:r>
              <w:rPr>
                <w:rFonts w:hint="eastAsia"/>
                <w:color w:val="auto"/>
                <w:u w:val="none"/>
                <w:lang w:val="en-US" w:eastAsia="zh-CN"/>
              </w:rPr>
              <w:t>呼图壁县</w:t>
            </w:r>
            <w:r>
              <w:rPr>
                <w:rFonts w:hint="eastAsia"/>
                <w:color w:val="auto"/>
                <w:u w:val="none"/>
              </w:rPr>
              <w:t>分局进行了备案(备案编号：</w:t>
            </w:r>
            <w:r>
              <w:rPr>
                <w:rFonts w:hint="eastAsia"/>
                <w:color w:val="auto"/>
                <w:u w:val="none"/>
                <w:lang w:val="en-US" w:eastAsia="zh-CN"/>
              </w:rPr>
              <w:t>652323-2023-08-MT</w:t>
            </w:r>
            <w:r>
              <w:rPr>
                <w:rFonts w:hint="eastAsia"/>
                <w:color w:val="auto"/>
                <w:u w:val="none"/>
              </w:rPr>
              <w:t>)，</w:t>
            </w:r>
            <w:r>
              <w:rPr>
                <w:rFonts w:hint="eastAsia"/>
                <w:color w:val="auto"/>
                <w:highlight w:val="none"/>
                <w:u w:val="none"/>
                <w:lang w:val="en-US" w:eastAsia="zh-CN"/>
              </w:rPr>
              <w:t>见</w:t>
            </w:r>
            <w:r>
              <w:rPr>
                <w:rFonts w:hint="eastAsia"/>
                <w:color w:val="auto"/>
                <w:highlight w:val="none"/>
                <w:u w:val="none"/>
              </w:rPr>
              <w:t>附件</w:t>
            </w:r>
            <w:r>
              <w:rPr>
                <w:rFonts w:hint="eastAsia"/>
                <w:color w:val="auto"/>
                <w:highlight w:val="none"/>
                <w:u w:val="none"/>
                <w:lang w:val="en-US" w:eastAsia="zh-CN"/>
              </w:rPr>
              <w:t>11。</w:t>
            </w:r>
          </w:p>
        </w:tc>
      </w:tr>
      <w:tr w14:paraId="56E0A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continue"/>
            <w:tcBorders>
              <w:tl2br w:val="nil"/>
              <w:tr2bl w:val="nil"/>
            </w:tcBorders>
            <w:noWrap w:val="0"/>
            <w:vAlign w:val="center"/>
          </w:tcPr>
          <w:p w14:paraId="2BCF2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u w:val="none"/>
                <w:lang w:val="en-US" w:eastAsia="zh-CN"/>
              </w:rPr>
            </w:pPr>
          </w:p>
        </w:tc>
        <w:tc>
          <w:tcPr>
            <w:tcW w:w="498" w:type="pct"/>
            <w:tcBorders>
              <w:tl2br w:val="nil"/>
              <w:tr2bl w:val="nil"/>
            </w:tcBorders>
            <w:noWrap w:val="0"/>
            <w:vAlign w:val="center"/>
          </w:tcPr>
          <w:p w14:paraId="3615CC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排污许可</w:t>
            </w:r>
          </w:p>
        </w:tc>
        <w:tc>
          <w:tcPr>
            <w:tcW w:w="3962" w:type="pct"/>
            <w:gridSpan w:val="3"/>
            <w:tcBorders>
              <w:tl2br w:val="nil"/>
              <w:tr2bl w:val="nil"/>
            </w:tcBorders>
            <w:noWrap w:val="0"/>
            <w:vAlign w:val="center"/>
          </w:tcPr>
          <w:p w14:paraId="20523C5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olor w:val="auto"/>
                <w:u w:val="none"/>
                <w:lang w:val="en-US"/>
              </w:rPr>
            </w:pPr>
            <w:r>
              <w:rPr>
                <w:rFonts w:hint="eastAsia"/>
                <w:color w:val="auto"/>
                <w:u w:val="none"/>
              </w:rPr>
              <w:t>中国石油新疆油田分公司（石西油田作业</w:t>
            </w:r>
            <w:r>
              <w:rPr>
                <w:rFonts w:hint="eastAsia"/>
                <w:color w:val="auto"/>
                <w:u w:val="none"/>
                <w:lang w:val="en-US" w:eastAsia="zh-CN"/>
              </w:rPr>
              <w:t>区莫北转油站）已办理排污许可登记</w:t>
            </w:r>
          </w:p>
        </w:tc>
      </w:tr>
      <w:tr w14:paraId="6D584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continue"/>
            <w:tcBorders>
              <w:tl2br w:val="nil"/>
              <w:tr2bl w:val="nil"/>
            </w:tcBorders>
            <w:noWrap w:val="0"/>
            <w:vAlign w:val="center"/>
          </w:tcPr>
          <w:p w14:paraId="7A4189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p>
        </w:tc>
        <w:tc>
          <w:tcPr>
            <w:tcW w:w="498" w:type="pct"/>
            <w:tcBorders>
              <w:tl2br w:val="nil"/>
              <w:tr2bl w:val="nil"/>
            </w:tcBorders>
            <w:noWrap w:val="0"/>
            <w:vAlign w:val="center"/>
          </w:tcPr>
          <w:p w14:paraId="4FE9F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自行监测</w:t>
            </w:r>
          </w:p>
        </w:tc>
        <w:tc>
          <w:tcPr>
            <w:tcW w:w="3962" w:type="pct"/>
            <w:gridSpan w:val="3"/>
            <w:tcBorders>
              <w:tl2br w:val="nil"/>
              <w:tr2bl w:val="nil"/>
            </w:tcBorders>
            <w:noWrap w:val="0"/>
            <w:vAlign w:val="center"/>
          </w:tcPr>
          <w:p w14:paraId="1FDE87A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eastAsia="宋体"/>
                <w:color w:val="auto"/>
                <w:u w:val="none"/>
                <w:lang w:val="en-US" w:eastAsia="zh-CN"/>
              </w:rPr>
            </w:pPr>
            <w:r>
              <w:rPr>
                <w:rFonts w:hint="eastAsia"/>
                <w:color w:val="auto"/>
                <w:u w:val="none"/>
                <w:lang w:val="en-US" w:eastAsia="zh-CN"/>
              </w:rPr>
              <w:t>生产运行管理单位石西油田作业区设置有自行监测台账，定期定区域内废气、废水、噪声、土壤、地下水开展例行监测。</w:t>
            </w:r>
          </w:p>
        </w:tc>
      </w:tr>
      <w:tr w14:paraId="7B5BE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9" w:type="pct"/>
            <w:vMerge w:val="continue"/>
            <w:tcBorders>
              <w:tl2br w:val="nil"/>
              <w:tr2bl w:val="nil"/>
            </w:tcBorders>
            <w:noWrap w:val="0"/>
            <w:vAlign w:val="center"/>
          </w:tcPr>
          <w:p w14:paraId="35E54D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p>
        </w:tc>
        <w:tc>
          <w:tcPr>
            <w:tcW w:w="498" w:type="pct"/>
            <w:tcBorders>
              <w:tl2br w:val="nil"/>
              <w:tr2bl w:val="nil"/>
            </w:tcBorders>
            <w:noWrap w:val="0"/>
            <w:vAlign w:val="center"/>
          </w:tcPr>
          <w:p w14:paraId="513ADE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环境管理</w:t>
            </w:r>
          </w:p>
        </w:tc>
        <w:tc>
          <w:tcPr>
            <w:tcW w:w="3962" w:type="pct"/>
            <w:gridSpan w:val="3"/>
            <w:tcBorders>
              <w:tl2br w:val="nil"/>
              <w:tr2bl w:val="nil"/>
            </w:tcBorders>
            <w:noWrap w:val="0"/>
            <w:vAlign w:val="center"/>
          </w:tcPr>
          <w:p w14:paraId="2371424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olor w:val="auto"/>
                <w:u w:val="none"/>
                <w:lang w:val="en-US" w:eastAsia="zh-CN"/>
              </w:rPr>
            </w:pPr>
            <w:r>
              <w:rPr>
                <w:rFonts w:hint="eastAsia"/>
                <w:color w:val="auto"/>
                <w:u w:val="none"/>
                <w:lang w:val="en-US" w:eastAsia="zh-CN"/>
              </w:rPr>
              <w:t>生产运行管理单位石西油田作业区与克拉玛依博达生态环保科技有限责任公司签订了沾油废物、含有污泥处置合同，建立了危险废物管理台账，依法合规处置。</w:t>
            </w:r>
          </w:p>
        </w:tc>
      </w:tr>
      <w:bookmarkEnd w:id="166"/>
      <w:bookmarkEnd w:id="167"/>
    </w:tbl>
    <w:p w14:paraId="3BB8413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3.2.2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环境影响回顾评价</w:t>
      </w:r>
    </w:p>
    <w:p w14:paraId="4468A631">
      <w:pPr>
        <w:keepNext w:val="0"/>
        <w:keepLines w:val="0"/>
        <w:pageBreakBefore w:val="0"/>
        <w:kinsoku/>
        <w:wordWrap/>
        <w:overflowPunct/>
        <w:autoSpaceDE/>
        <w:autoSpaceDN/>
        <w:bidi w:val="0"/>
        <w:snapToGrid/>
        <w:spacing w:after="0" w:line="480" w:lineRule="exact"/>
        <w:ind w:firstLine="540" w:firstLineChars="225"/>
        <w:textAlignment w:val="auto"/>
        <w:rPr>
          <w:rFonts w:hint="default" w:ascii="宋体" w:hAnsi="宋体" w:eastAsia="宋体" w:cs="宋体"/>
          <w:snapToGrid w:val="0"/>
          <w:color w:val="auto"/>
          <w:kern w:val="2"/>
          <w:sz w:val="24"/>
          <w:szCs w:val="24"/>
          <w:highlight w:val="none"/>
          <w:u w:val="none"/>
          <w:lang w:val="en-US" w:eastAsia="zh-CN" w:bidi="ar-SA"/>
        </w:rPr>
      </w:pPr>
      <w:bookmarkStart w:id="168" w:name="_Hlk68944310"/>
      <w:r>
        <w:rPr>
          <w:rFonts w:hint="eastAsia" w:ascii="宋体" w:hAnsi="宋体" w:cs="宋体"/>
          <w:snapToGrid w:val="0"/>
          <w:color w:val="auto"/>
          <w:kern w:val="2"/>
          <w:sz w:val="24"/>
          <w:szCs w:val="24"/>
          <w:highlight w:val="none"/>
          <w:u w:val="none"/>
          <w:lang w:val="en-US" w:eastAsia="zh-CN" w:bidi="ar-SA"/>
        </w:rPr>
        <w:t>莫北油田莫116井区</w:t>
      </w:r>
      <w:r>
        <w:rPr>
          <w:rFonts w:hint="eastAsia" w:ascii="宋体" w:hAnsi="宋体" w:eastAsia="宋体" w:cs="宋体"/>
          <w:snapToGrid w:val="0"/>
          <w:color w:val="auto"/>
          <w:kern w:val="2"/>
          <w:sz w:val="24"/>
          <w:szCs w:val="24"/>
          <w:highlight w:val="none"/>
          <w:u w:val="none"/>
          <w:lang w:val="en-US" w:eastAsia="zh-CN" w:bidi="ar-SA"/>
        </w:rPr>
        <w:t>开发建设较早，近年来未实施新的产能建设工程，</w:t>
      </w:r>
      <w:r>
        <w:rPr>
          <w:rFonts w:hint="eastAsia" w:ascii="宋体" w:hAnsi="宋体" w:cs="宋体"/>
          <w:snapToGrid w:val="0"/>
          <w:color w:val="auto"/>
          <w:kern w:val="2"/>
          <w:sz w:val="24"/>
          <w:szCs w:val="24"/>
          <w:highlight w:val="none"/>
          <w:u w:val="none"/>
          <w:lang w:val="en-US" w:eastAsia="zh-CN" w:bidi="ar-SA"/>
        </w:rPr>
        <w:t>本次环境影响回顾评价根据</w:t>
      </w:r>
      <w:r>
        <w:rPr>
          <w:rFonts w:hint="eastAsia" w:ascii="宋体" w:hAnsi="宋体" w:eastAsia="宋体" w:cs="宋体"/>
          <w:snapToGrid w:val="0"/>
          <w:color w:val="auto"/>
          <w:kern w:val="2"/>
          <w:sz w:val="24"/>
          <w:szCs w:val="24"/>
          <w:highlight w:val="none"/>
          <w:u w:val="none"/>
          <w:lang w:val="en-US" w:eastAsia="zh-CN" w:bidi="ar-SA"/>
        </w:rPr>
        <w:t>现场调查情况，结合</w:t>
      </w:r>
      <w:r>
        <w:rPr>
          <w:rFonts w:hint="eastAsia" w:ascii="宋体" w:hAnsi="宋体" w:cs="宋体"/>
          <w:snapToGrid w:val="0"/>
          <w:color w:val="auto"/>
          <w:kern w:val="2"/>
          <w:sz w:val="24"/>
          <w:szCs w:val="24"/>
          <w:highlight w:val="none"/>
          <w:u w:val="none"/>
          <w:lang w:val="en-US" w:eastAsia="zh-CN" w:bidi="ar-SA"/>
        </w:rPr>
        <w:t>临近</w:t>
      </w:r>
      <w:r>
        <w:rPr>
          <w:rFonts w:hint="eastAsia" w:ascii="宋体" w:hAnsi="宋体" w:eastAsia="宋体" w:cs="宋体"/>
          <w:snapToGrid w:val="0"/>
          <w:color w:val="auto"/>
          <w:kern w:val="2"/>
          <w:sz w:val="24"/>
          <w:szCs w:val="24"/>
          <w:highlight w:val="none"/>
          <w:u w:val="none"/>
          <w:lang w:val="en-US" w:eastAsia="zh-CN" w:bidi="ar-SA"/>
        </w:rPr>
        <w:t>莫11井区2023年9月开展的《莫北油田莫11井区三工河组油藏开发建设工程竣工环境保护验收报告》调查结论，对区块进行环境影响回顾</w:t>
      </w:r>
      <w:r>
        <w:rPr>
          <w:rFonts w:hint="eastAsia" w:ascii="宋体" w:hAnsi="宋体" w:cs="宋体"/>
          <w:snapToGrid w:val="0"/>
          <w:color w:val="auto"/>
          <w:kern w:val="2"/>
          <w:sz w:val="24"/>
          <w:szCs w:val="24"/>
          <w:highlight w:val="none"/>
          <w:u w:val="none"/>
          <w:lang w:val="en-US" w:eastAsia="zh-CN" w:bidi="ar-SA"/>
        </w:rPr>
        <w:t>，莫11井区MBHW1103井场与本项目位置关系见下图。</w:t>
      </w:r>
    </w:p>
    <w:p w14:paraId="4997DF62">
      <w:pPr>
        <w:keepNext w:val="0"/>
        <w:keepLines w:val="0"/>
        <w:pageBreakBefore w:val="0"/>
        <w:widowControl w:val="0"/>
        <w:kinsoku/>
        <w:wordWrap/>
        <w:overflowPunct/>
        <w:topLinePunct w:val="0"/>
        <w:autoSpaceDE/>
        <w:autoSpaceDN/>
        <w:bidi w:val="0"/>
        <w:adjustRightInd/>
        <w:snapToGrid/>
        <w:spacing w:after="0" w:afterLines="0" w:line="480" w:lineRule="exact"/>
        <w:ind w:firstLine="0" w:firstLineChars="0"/>
        <w:jc w:val="center"/>
        <w:textAlignment w:val="auto"/>
        <w:rPr>
          <w:rFonts w:hint="default" w:ascii="Times New Roman" w:hAnsi="Times New Roman" w:eastAsia="宋体" w:cs="Times New Roman"/>
          <w:snapToGrid w:val="0"/>
          <w:color w:val="auto"/>
          <w:kern w:val="2"/>
          <w:sz w:val="24"/>
          <w:szCs w:val="24"/>
          <w:highlight w:val="none"/>
          <w:u w:val="none"/>
          <w:lang w:val="en-US" w:eastAsia="zh-CN" w:bidi="ar-SA"/>
        </w:rPr>
      </w:pPr>
      <w:r>
        <w:rPr>
          <w:rFonts w:hint="default" w:ascii="Times New Roman" w:hAnsi="Times New Roman" w:eastAsia="宋体" w:cs="Times New Roman"/>
          <w:snapToGrid w:val="0"/>
          <w:color w:val="auto"/>
          <w:kern w:val="2"/>
          <w:sz w:val="24"/>
          <w:szCs w:val="24"/>
          <w:highlight w:val="none"/>
          <w:u w:val="none"/>
          <w:lang w:val="en-US" w:eastAsia="zh-CN" w:bidi="ar-SA"/>
        </w:rPr>
        <w:drawing>
          <wp:anchor distT="0" distB="0" distL="114300" distR="114300" simplePos="0" relativeHeight="251716608" behindDoc="0" locked="0" layoutInCell="1" allowOverlap="1">
            <wp:simplePos x="0" y="0"/>
            <wp:positionH relativeFrom="column">
              <wp:posOffset>3175</wp:posOffset>
            </wp:positionH>
            <wp:positionV relativeFrom="paragraph">
              <wp:posOffset>153670</wp:posOffset>
            </wp:positionV>
            <wp:extent cx="5466715" cy="3863975"/>
            <wp:effectExtent l="0" t="0" r="635" b="3175"/>
            <wp:wrapTopAndBottom/>
            <wp:docPr id="28" name="图片 28" descr="与莫11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与莫11位置"/>
                    <pic:cNvPicPr>
                      <a:picLocks noChangeAspect="1"/>
                    </pic:cNvPicPr>
                  </pic:nvPicPr>
                  <pic:blipFill>
                    <a:blip r:embed="rId30"/>
                    <a:stretch>
                      <a:fillRect/>
                    </a:stretch>
                  </pic:blipFill>
                  <pic:spPr>
                    <a:xfrm>
                      <a:off x="0" y="0"/>
                      <a:ext cx="5466715" cy="3863975"/>
                    </a:xfrm>
                    <a:prstGeom prst="rect">
                      <a:avLst/>
                    </a:prstGeom>
                  </pic:spPr>
                </pic:pic>
              </a:graphicData>
            </a:graphic>
          </wp:anchor>
        </w:drawing>
      </w:r>
      <w:r>
        <w:rPr>
          <w:rFonts w:hint="eastAsia" w:ascii="黑体" w:hAnsi="黑体" w:eastAsia="黑体" w:cs="黑体"/>
          <w:b w:val="0"/>
          <w:bCs/>
          <w:color w:val="auto"/>
          <w:kern w:val="2"/>
          <w:sz w:val="24"/>
          <w:szCs w:val="24"/>
          <w:u w:val="none"/>
          <w:lang w:val="en-US" w:eastAsia="zh-CN" w:bidi="ar-SA"/>
        </w:rPr>
        <w:t>图3.2-1  莫11井区MBHW1103井场与本项目位置关系图</w:t>
      </w:r>
    </w:p>
    <w:p w14:paraId="4CAEDA21">
      <w:pPr>
        <w:keepNext w:val="0"/>
        <w:keepLines w:val="0"/>
        <w:pageBreakBefore w:val="0"/>
        <w:kinsoku/>
        <w:wordWrap/>
        <w:overflowPunct/>
        <w:autoSpaceDE/>
        <w:autoSpaceDN/>
        <w:bidi w:val="0"/>
        <w:snapToGrid/>
        <w:spacing w:after="0" w:afterLines="0" w:line="480" w:lineRule="exact"/>
        <w:ind w:firstLine="540" w:firstLineChars="225"/>
        <w:textAlignment w:val="auto"/>
        <w:rPr>
          <w:rFonts w:hint="default" w:ascii="Times New Roman" w:hAnsi="Times New Roman" w:eastAsia="宋体" w:cs="Times New Roman"/>
          <w:snapToGrid w:val="0"/>
          <w:color w:val="auto"/>
          <w:kern w:val="2"/>
          <w:sz w:val="24"/>
          <w:szCs w:val="24"/>
          <w:highlight w:val="none"/>
          <w:u w:val="none"/>
          <w:lang w:val="en-US" w:eastAsia="zh-CN" w:bidi="ar-SA"/>
        </w:rPr>
      </w:pPr>
      <w:r>
        <w:rPr>
          <w:rFonts w:hint="default" w:ascii="Times New Roman" w:hAnsi="Times New Roman" w:eastAsia="宋体" w:cs="Times New Roman"/>
          <w:snapToGrid w:val="0"/>
          <w:color w:val="auto"/>
          <w:kern w:val="2"/>
          <w:sz w:val="24"/>
          <w:szCs w:val="24"/>
          <w:highlight w:val="none"/>
          <w:u w:val="none"/>
          <w:lang w:val="en-US" w:eastAsia="zh-CN" w:bidi="ar-SA"/>
        </w:rPr>
        <w:t>（1）生态环境影响回顾评价</w:t>
      </w:r>
    </w:p>
    <w:p w14:paraId="25660BB5">
      <w:pPr>
        <w:keepNext w:val="0"/>
        <w:keepLines w:val="0"/>
        <w:pageBreakBefore w:val="0"/>
        <w:widowControl/>
        <w:kinsoku/>
        <w:wordWrap/>
        <w:overflowPunct/>
        <w:topLinePunct/>
        <w:autoSpaceDE/>
        <w:autoSpaceDN/>
        <w:bidi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作业区开发建设对生态的影响主要表现为占地</w:t>
      </w:r>
      <w:r>
        <w:rPr>
          <w:rFonts w:hint="eastAsia" w:cs="Times New Roman"/>
          <w:color w:val="auto"/>
          <w:kern w:val="0"/>
          <w:sz w:val="24"/>
          <w:szCs w:val="24"/>
          <w:highlight w:val="none"/>
          <w:u w:val="none"/>
          <w:lang w:val="en-US" w:eastAsia="zh-CN"/>
        </w:rPr>
        <w:t>影响</w:t>
      </w:r>
      <w:r>
        <w:rPr>
          <w:rFonts w:hint="default" w:ascii="Times New Roman" w:hAnsi="Times New Roman" w:cs="Times New Roman"/>
          <w:color w:val="auto"/>
          <w:kern w:val="0"/>
          <w:sz w:val="24"/>
          <w:szCs w:val="24"/>
          <w:highlight w:val="none"/>
          <w:u w:val="none"/>
        </w:rPr>
        <w:t>，分</w:t>
      </w:r>
      <w:r>
        <w:rPr>
          <w:rFonts w:hint="eastAsia" w:cs="Times New Roman"/>
          <w:color w:val="auto"/>
          <w:kern w:val="0"/>
          <w:sz w:val="24"/>
          <w:szCs w:val="24"/>
          <w:highlight w:val="none"/>
          <w:u w:val="none"/>
          <w:lang w:val="en-US" w:eastAsia="zh-CN"/>
        </w:rPr>
        <w:t>为</w:t>
      </w:r>
      <w:r>
        <w:rPr>
          <w:rFonts w:hint="default" w:ascii="Times New Roman" w:hAnsi="Times New Roman" w:cs="Times New Roman"/>
          <w:color w:val="auto"/>
          <w:kern w:val="0"/>
          <w:sz w:val="24"/>
          <w:szCs w:val="24"/>
          <w:highlight w:val="none"/>
          <w:u w:val="none"/>
        </w:rPr>
        <w:t>临时</w:t>
      </w:r>
      <w:r>
        <w:rPr>
          <w:rFonts w:hint="eastAsia" w:cs="Times New Roman"/>
          <w:color w:val="auto"/>
          <w:kern w:val="0"/>
          <w:sz w:val="24"/>
          <w:szCs w:val="24"/>
          <w:highlight w:val="none"/>
          <w:u w:val="none"/>
          <w:lang w:val="en-US" w:eastAsia="zh-CN"/>
        </w:rPr>
        <w:t>占地</w:t>
      </w:r>
      <w:r>
        <w:rPr>
          <w:rFonts w:hint="default" w:ascii="Times New Roman" w:hAnsi="Times New Roman" w:cs="Times New Roman"/>
          <w:color w:val="auto"/>
          <w:kern w:val="0"/>
          <w:sz w:val="24"/>
          <w:szCs w:val="24"/>
          <w:highlight w:val="none"/>
          <w:u w:val="none"/>
        </w:rPr>
        <w:t>和永久</w:t>
      </w:r>
      <w:r>
        <w:rPr>
          <w:rFonts w:hint="eastAsia" w:cs="Times New Roman"/>
          <w:color w:val="auto"/>
          <w:kern w:val="0"/>
          <w:sz w:val="24"/>
          <w:szCs w:val="24"/>
          <w:highlight w:val="none"/>
          <w:u w:val="none"/>
          <w:lang w:val="en-US" w:eastAsia="zh-CN"/>
        </w:rPr>
        <w:t>占地</w:t>
      </w:r>
      <w:r>
        <w:rPr>
          <w:rFonts w:hint="default" w:ascii="Times New Roman" w:hAnsi="Times New Roman" w:cs="Times New Roman"/>
          <w:color w:val="auto"/>
          <w:kern w:val="0"/>
          <w:sz w:val="24"/>
          <w:szCs w:val="24"/>
          <w:highlight w:val="none"/>
          <w:u w:val="none"/>
        </w:rPr>
        <w:t>。施工期临时占地会造成占地范围内植被灭失、土壤扰动及水土流失等影响，永久占地会改变土地利用类型，造成生态景观破碎化等影响。</w:t>
      </w:r>
    </w:p>
    <w:p w14:paraId="757F9D34">
      <w:pPr>
        <w:keepNext w:val="0"/>
        <w:keepLines w:val="0"/>
        <w:pageBreakBefore w:val="0"/>
        <w:widowControl/>
        <w:kinsoku/>
        <w:wordWrap/>
        <w:overflowPunct/>
        <w:topLinePunct/>
        <w:autoSpaceDE/>
        <w:autoSpaceDN/>
        <w:bidi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施工期结束后，对建设工程的临时占地采取地表清理、平整，表层土回填等措施，使其恢复至相对自然的状态；对产生永久占地的场站，采取地面硬化等措施，以期减少风力剥蚀；在管廊上方、道路边坡等局部段易产生沙化的地段用草方格固沙，防止沙丘活化，减少水土流失。</w:t>
      </w:r>
    </w:p>
    <w:p w14:paraId="66AD6E74">
      <w:pPr>
        <w:keepNext w:val="0"/>
        <w:keepLines w:val="0"/>
        <w:pageBreakBefore w:val="0"/>
        <w:widowControl/>
        <w:kinsoku/>
        <w:wordWrap/>
        <w:overflowPunct/>
        <w:topLinePunct/>
        <w:autoSpaceDE/>
        <w:autoSpaceDN/>
        <w:bidi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val="en-US" w:eastAsia="zh-CN"/>
        </w:rPr>
        <w:t>区块内现有井场</w:t>
      </w:r>
      <w:r>
        <w:rPr>
          <w:rFonts w:hint="default" w:ascii="Times New Roman" w:hAnsi="Times New Roman" w:cs="Times New Roman"/>
          <w:color w:val="auto"/>
          <w:kern w:val="0"/>
          <w:sz w:val="24"/>
          <w:szCs w:val="24"/>
          <w:highlight w:val="none"/>
          <w:u w:val="none"/>
        </w:rPr>
        <w:t>临时占地范围内草本植被已经恢复，但植被覆盖度较低，土壤表层部分已开始硬化，减缓了风蚀速率，每年生物量损失逐渐减少。对场站周围已建成的永久性占地进行砾石铺垫，永久占地均为规划用地，所占用的土地均按相应法律、法规办理了相关手续。此外，作业区积极宣传环境保护相关知识，安置了各类环保标识牌。</w:t>
      </w:r>
    </w:p>
    <w:p w14:paraId="497F104A">
      <w:pPr>
        <w:keepNext w:val="0"/>
        <w:keepLines w:val="0"/>
        <w:pageBreakBefore w:val="0"/>
        <w:widowControl/>
        <w:kinsoku/>
        <w:wordWrap/>
        <w:overflowPunct/>
        <w:autoSpaceDE/>
        <w:autoSpaceDN/>
        <w:bidi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（2）水环境影响回顾评价</w:t>
      </w:r>
    </w:p>
    <w:p w14:paraId="0591DBCD">
      <w:pPr>
        <w:keepNext w:val="0"/>
        <w:keepLines w:val="0"/>
        <w:pageBreakBefore w:val="0"/>
        <w:widowControl/>
        <w:kinsoku/>
        <w:wordWrap/>
        <w:overflowPunct/>
        <w:autoSpaceDE/>
        <w:autoSpaceDN/>
        <w:bidi w:val="0"/>
        <w:snapToGrid/>
        <w:spacing w:line="480" w:lineRule="exact"/>
        <w:ind w:firstLine="480" w:firstLineChars="200"/>
        <w:jc w:val="left"/>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油田开发建设项目</w:t>
      </w:r>
      <w:r>
        <w:rPr>
          <w:rFonts w:hint="eastAsia" w:ascii="Times New Roman" w:hAnsi="Times New Roman" w:eastAsia="宋体" w:cs="Times New Roman"/>
          <w:color w:val="auto"/>
          <w:kern w:val="2"/>
          <w:sz w:val="24"/>
          <w:szCs w:val="24"/>
          <w:highlight w:val="none"/>
          <w:u w:val="none"/>
          <w:lang w:val="en-US" w:eastAsia="zh-CN" w:bidi="ar"/>
        </w:rPr>
        <w:t>施工期</w:t>
      </w:r>
      <w:r>
        <w:rPr>
          <w:rFonts w:hint="default" w:ascii="Times New Roman" w:hAnsi="Times New Roman" w:eastAsia="宋体" w:cs="Times New Roman"/>
          <w:color w:val="auto"/>
          <w:kern w:val="2"/>
          <w:sz w:val="24"/>
          <w:szCs w:val="24"/>
          <w:highlight w:val="none"/>
          <w:u w:val="none"/>
          <w:lang w:val="en-US" w:eastAsia="zh-CN" w:bidi="ar"/>
        </w:rPr>
        <w:t>，主要废水来源于钻井过程中产生的钻井废液和施工人员产生的生活污水。工程施工期钻井采用泥浆不落地技术，钻井液循环使用；油基钻井岩屑采用专用的方罐进行收集，并交由克拉玛依博达生态环保科技有限责任公司进行转运、处置</w:t>
      </w:r>
      <w:r>
        <w:rPr>
          <w:rFonts w:hint="eastAsia" w:ascii="Times New Roman" w:hAnsi="Times New Roman" w:eastAsia="宋体" w:cs="Times New Roman"/>
          <w:color w:val="auto"/>
          <w:kern w:val="2"/>
          <w:sz w:val="24"/>
          <w:szCs w:val="24"/>
          <w:highlight w:val="none"/>
          <w:u w:val="none"/>
          <w:lang w:val="en-US" w:eastAsia="zh-CN" w:bidi="ar"/>
        </w:rPr>
        <w:t>；</w:t>
      </w:r>
      <w:r>
        <w:rPr>
          <w:rFonts w:hint="default" w:ascii="Times New Roman" w:hAnsi="Times New Roman" w:eastAsia="宋体" w:cs="Times New Roman"/>
          <w:color w:val="auto"/>
          <w:kern w:val="2"/>
          <w:sz w:val="24"/>
          <w:szCs w:val="24"/>
          <w:highlight w:val="none"/>
          <w:u w:val="none"/>
          <w:lang w:val="en-US" w:eastAsia="zh-CN" w:bidi="ar"/>
        </w:rPr>
        <w:t>施工期钻井井场设置移动式旱厕，钻井队野外生活营地生活污水进入防渗池，定期用罐车拉运至乌尔禾区污水处理厂</w:t>
      </w:r>
      <w:r>
        <w:rPr>
          <w:rFonts w:hint="eastAsia" w:ascii="Times New Roman" w:hAnsi="Times New Roman" w:eastAsia="宋体" w:cs="Times New Roman"/>
          <w:color w:val="auto"/>
          <w:kern w:val="2"/>
          <w:sz w:val="24"/>
          <w:szCs w:val="24"/>
          <w:highlight w:val="none"/>
          <w:u w:val="none"/>
          <w:lang w:val="en-US" w:eastAsia="zh-CN" w:bidi="ar"/>
        </w:rPr>
        <w:t>。</w:t>
      </w:r>
    </w:p>
    <w:p w14:paraId="721DB60B">
      <w:pPr>
        <w:keepNext w:val="0"/>
        <w:keepLines w:val="0"/>
        <w:pageBreakBefore w:val="0"/>
        <w:widowControl/>
        <w:kinsoku/>
        <w:wordWrap/>
        <w:overflowPunct/>
        <w:autoSpaceDE/>
        <w:autoSpaceDN/>
        <w:bidi w:val="0"/>
        <w:snapToGrid/>
        <w:spacing w:line="480" w:lineRule="exact"/>
        <w:ind w:firstLine="480" w:firstLineChars="200"/>
        <w:jc w:val="left"/>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油田开发建设项目</w:t>
      </w:r>
      <w:r>
        <w:rPr>
          <w:rFonts w:hint="eastAsia" w:ascii="Times New Roman" w:hAnsi="Times New Roman" w:eastAsia="宋体" w:cs="Times New Roman"/>
          <w:color w:val="auto"/>
          <w:kern w:val="2"/>
          <w:sz w:val="24"/>
          <w:szCs w:val="24"/>
          <w:highlight w:val="none"/>
          <w:u w:val="none"/>
          <w:lang w:val="en-US" w:eastAsia="zh-CN" w:bidi="ar"/>
        </w:rPr>
        <w:t>运营期</w:t>
      </w:r>
      <w:r>
        <w:rPr>
          <w:rFonts w:hint="default" w:ascii="Times New Roman" w:hAnsi="Times New Roman" w:eastAsia="宋体" w:cs="Times New Roman"/>
          <w:color w:val="auto"/>
          <w:kern w:val="2"/>
          <w:sz w:val="24"/>
          <w:szCs w:val="24"/>
          <w:highlight w:val="none"/>
          <w:u w:val="none"/>
          <w:lang w:val="en-US" w:eastAsia="zh-CN" w:bidi="ar"/>
        </w:rPr>
        <w:t>，产生的废水主要有采出水、井下作业废水等。运营期采出水经莫北转油站污水处理系统污水处理系统处理达到《碎屑岩油藏注水水质推荐指标及分析方法》（SY/T5329-2012）标准后用于油田回注</w:t>
      </w:r>
      <w:r>
        <w:rPr>
          <w:rFonts w:hint="eastAsia" w:ascii="Times New Roman" w:hAnsi="Times New Roman" w:eastAsia="宋体" w:cs="Times New Roman"/>
          <w:color w:val="auto"/>
          <w:kern w:val="2"/>
          <w:sz w:val="24"/>
          <w:szCs w:val="24"/>
          <w:highlight w:val="none"/>
          <w:u w:val="none"/>
          <w:lang w:val="en-US" w:eastAsia="zh-CN" w:bidi="ar"/>
        </w:rPr>
        <w:t>；</w:t>
      </w:r>
      <w:r>
        <w:rPr>
          <w:rFonts w:hint="default" w:ascii="Times New Roman" w:hAnsi="Times New Roman" w:eastAsia="宋体" w:cs="Times New Roman"/>
          <w:color w:val="auto"/>
          <w:kern w:val="2"/>
          <w:sz w:val="24"/>
          <w:szCs w:val="24"/>
          <w:highlight w:val="none"/>
          <w:u w:val="none"/>
          <w:lang w:val="en-US" w:eastAsia="zh-CN" w:bidi="ar"/>
        </w:rPr>
        <w:t>井下作业废水由作业单位自带罐回收，运至石西污水沉淀池沉淀后，上清液返回石西集中处理站污水处理系统处理达标后用于油田回注。</w:t>
      </w:r>
    </w:p>
    <w:p w14:paraId="24E9C49B">
      <w:pPr>
        <w:keepNext w:val="0"/>
        <w:keepLines w:val="0"/>
        <w:pageBreakBefore w:val="0"/>
        <w:kinsoku/>
        <w:wordWrap/>
        <w:overflowPunct/>
        <w:autoSpaceDE/>
        <w:autoSpaceDN/>
        <w:bidi w:val="0"/>
        <w:snapToGrid/>
        <w:spacing w:after="0" w:afterLines="0" w:line="480" w:lineRule="exact"/>
        <w:ind w:firstLine="540" w:firstLineChars="225"/>
        <w:textAlignment w:val="auto"/>
        <w:rPr>
          <w:rFonts w:hint="default" w:ascii="Times New Roman" w:hAnsi="Times New Roman" w:eastAsia="宋体" w:cs="Times New Roman"/>
          <w:snapToGrid w:val="0"/>
          <w:color w:val="auto"/>
          <w:kern w:val="2"/>
          <w:sz w:val="24"/>
          <w:szCs w:val="24"/>
          <w:highlight w:val="none"/>
          <w:u w:val="none"/>
          <w:lang w:val="en-US" w:eastAsia="zh-CN" w:bidi="ar-SA"/>
        </w:rPr>
      </w:pPr>
      <w:r>
        <w:rPr>
          <w:rFonts w:hint="default" w:ascii="Times New Roman" w:hAnsi="Times New Roman" w:eastAsia="宋体" w:cs="Times New Roman"/>
          <w:snapToGrid w:val="0"/>
          <w:color w:val="auto"/>
          <w:kern w:val="2"/>
          <w:sz w:val="24"/>
          <w:szCs w:val="24"/>
          <w:highlight w:val="none"/>
          <w:u w:val="none"/>
          <w:lang w:val="en-US" w:eastAsia="zh-CN" w:bidi="ar-SA"/>
        </w:rPr>
        <w:t>（3）大气环境影响回顾评价</w:t>
      </w:r>
    </w:p>
    <w:p w14:paraId="5C6267B3">
      <w:pPr>
        <w:keepNext w:val="0"/>
        <w:keepLines w:val="0"/>
        <w:pageBreakBefore w:val="0"/>
        <w:widowControl w:val="0"/>
        <w:suppressLineNumbers w:val="0"/>
        <w:kinsoku/>
        <w:wordWrap/>
        <w:overflowPunct/>
        <w:topLinePunct/>
        <w:autoSpaceDE/>
        <w:autoSpaceDN/>
        <w:bidi w:val="0"/>
        <w:adjustRightInd w:val="0"/>
        <w:snapToGrid/>
        <w:spacing w:before="0" w:beforeAutospacing="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油田开发建设项目</w:t>
      </w:r>
      <w:r>
        <w:rPr>
          <w:rFonts w:hint="eastAsia" w:ascii="Times New Roman" w:hAnsi="Times New Roman" w:eastAsia="宋体" w:cs="Times New Roman"/>
          <w:color w:val="auto"/>
          <w:kern w:val="2"/>
          <w:sz w:val="24"/>
          <w:szCs w:val="24"/>
          <w:highlight w:val="none"/>
          <w:u w:val="none"/>
          <w:lang w:val="en-US" w:eastAsia="zh-CN" w:bidi="ar"/>
        </w:rPr>
        <w:t>施工期</w:t>
      </w:r>
      <w:r>
        <w:rPr>
          <w:rFonts w:hint="default" w:ascii="Times New Roman" w:hAnsi="Times New Roman" w:eastAsia="宋体" w:cs="Times New Roman"/>
          <w:color w:val="auto"/>
          <w:kern w:val="2"/>
          <w:sz w:val="24"/>
          <w:szCs w:val="24"/>
          <w:highlight w:val="none"/>
          <w:u w:val="none"/>
          <w:lang w:val="en-US" w:eastAsia="zh-CN" w:bidi="ar"/>
        </w:rPr>
        <w:t>，对大气环境的影响主要</w:t>
      </w:r>
      <w:r>
        <w:rPr>
          <w:rFonts w:hint="eastAsia" w:ascii="Times New Roman" w:hAnsi="Times New Roman" w:eastAsia="宋体" w:cs="Times New Roman"/>
          <w:color w:val="auto"/>
          <w:kern w:val="2"/>
          <w:sz w:val="24"/>
          <w:szCs w:val="24"/>
          <w:highlight w:val="none"/>
          <w:u w:val="none"/>
          <w:lang w:val="en-US" w:eastAsia="zh-CN" w:bidi="ar"/>
        </w:rPr>
        <w:t>为</w:t>
      </w:r>
      <w:r>
        <w:rPr>
          <w:rFonts w:hint="default" w:ascii="Times New Roman" w:hAnsi="Times New Roman" w:eastAsia="宋体" w:cs="Times New Roman"/>
          <w:color w:val="auto"/>
          <w:kern w:val="2"/>
          <w:sz w:val="24"/>
          <w:szCs w:val="24"/>
          <w:highlight w:val="none"/>
          <w:u w:val="none"/>
          <w:lang w:val="en-US" w:eastAsia="zh-CN" w:bidi="ar"/>
        </w:rPr>
        <w:t>地表开挖和建设管线、道路时产生的扬尘、钻井时柴油机排放的烟气、</w:t>
      </w:r>
      <w:r>
        <w:rPr>
          <w:rFonts w:hint="eastAsia" w:cs="Times New Roman"/>
          <w:color w:val="auto"/>
          <w:kern w:val="2"/>
          <w:sz w:val="24"/>
          <w:szCs w:val="24"/>
          <w:highlight w:val="none"/>
          <w:u w:val="none"/>
          <w:lang w:val="en-US" w:eastAsia="zh-CN" w:bidi="ar"/>
        </w:rPr>
        <w:t>泄漏</w:t>
      </w:r>
      <w:r>
        <w:rPr>
          <w:rFonts w:hint="default" w:ascii="Times New Roman" w:hAnsi="Times New Roman" w:eastAsia="宋体" w:cs="Times New Roman"/>
          <w:color w:val="auto"/>
          <w:kern w:val="2"/>
          <w:sz w:val="24"/>
          <w:szCs w:val="24"/>
          <w:highlight w:val="none"/>
          <w:u w:val="none"/>
          <w:lang w:val="en-US" w:eastAsia="zh-CN" w:bidi="ar"/>
        </w:rPr>
        <w:t>的伴生气等。工程建设期施工周期较短，在正常情况下，所排放的大气污染物总量较少，故对大气环境没有造成明显的影响。本工程各井场在建设过程中加强安全预防工作，没有发生油气</w:t>
      </w:r>
      <w:r>
        <w:rPr>
          <w:rFonts w:hint="eastAsia" w:cs="Times New Roman"/>
          <w:color w:val="auto"/>
          <w:kern w:val="2"/>
          <w:sz w:val="24"/>
          <w:szCs w:val="24"/>
          <w:highlight w:val="none"/>
          <w:u w:val="none"/>
          <w:lang w:val="en-US" w:eastAsia="zh-CN" w:bidi="ar"/>
        </w:rPr>
        <w:t>泄漏</w:t>
      </w:r>
      <w:r>
        <w:rPr>
          <w:rFonts w:hint="default" w:ascii="Times New Roman" w:hAnsi="Times New Roman" w:eastAsia="宋体" w:cs="Times New Roman"/>
          <w:color w:val="auto"/>
          <w:kern w:val="2"/>
          <w:sz w:val="24"/>
          <w:szCs w:val="24"/>
          <w:highlight w:val="none"/>
          <w:u w:val="none"/>
          <w:lang w:val="en-US" w:eastAsia="zh-CN" w:bidi="ar"/>
        </w:rPr>
        <w:t>等恶性事故。</w:t>
      </w:r>
    </w:p>
    <w:p w14:paraId="21A97D54">
      <w:pPr>
        <w:keepNext w:val="0"/>
        <w:keepLines w:val="0"/>
        <w:pageBreakBefore w:val="0"/>
        <w:widowControl w:val="0"/>
        <w:suppressLineNumbers w:val="0"/>
        <w:kinsoku/>
        <w:wordWrap/>
        <w:overflowPunct/>
        <w:topLinePunct/>
        <w:autoSpaceDE/>
        <w:autoSpaceDN/>
        <w:bidi w:val="0"/>
        <w:adjustRightInd w:val="0"/>
        <w:snapToGrid/>
        <w:spacing w:before="0" w:beforeAutospacing="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油田开发建设项目</w:t>
      </w:r>
      <w:r>
        <w:rPr>
          <w:rFonts w:hint="eastAsia" w:ascii="Times New Roman" w:hAnsi="Times New Roman" w:eastAsia="宋体" w:cs="Times New Roman"/>
          <w:color w:val="auto"/>
          <w:kern w:val="2"/>
          <w:sz w:val="24"/>
          <w:szCs w:val="24"/>
          <w:highlight w:val="none"/>
          <w:u w:val="none"/>
          <w:lang w:val="en-US" w:eastAsia="zh-CN" w:bidi="ar"/>
        </w:rPr>
        <w:t>运营期</w:t>
      </w:r>
      <w:r>
        <w:rPr>
          <w:rFonts w:hint="default" w:ascii="Times New Roman" w:hAnsi="Times New Roman" w:eastAsia="宋体" w:cs="Times New Roman"/>
          <w:color w:val="auto"/>
          <w:kern w:val="2"/>
          <w:sz w:val="24"/>
          <w:szCs w:val="24"/>
          <w:highlight w:val="none"/>
          <w:u w:val="none"/>
          <w:lang w:val="en-US" w:eastAsia="zh-CN" w:bidi="ar"/>
        </w:rPr>
        <w:t>，对大气环境的影响主要</w:t>
      </w:r>
      <w:r>
        <w:rPr>
          <w:rFonts w:hint="eastAsia" w:ascii="Times New Roman" w:hAnsi="Times New Roman" w:eastAsia="宋体" w:cs="Times New Roman"/>
          <w:color w:val="auto"/>
          <w:kern w:val="2"/>
          <w:sz w:val="24"/>
          <w:szCs w:val="24"/>
          <w:highlight w:val="none"/>
          <w:u w:val="none"/>
          <w:lang w:val="en-US" w:eastAsia="zh-CN" w:bidi="ar"/>
        </w:rPr>
        <w:t>为油气集输过程中无组织排放的非甲烷总烃。</w:t>
      </w:r>
    </w:p>
    <w:p w14:paraId="0AE5277C">
      <w:pPr>
        <w:keepNext w:val="0"/>
        <w:keepLines w:val="0"/>
        <w:pageBreakBefore w:val="0"/>
        <w:widowControl w:val="0"/>
        <w:suppressLineNumbers w:val="0"/>
        <w:kinsoku/>
        <w:wordWrap/>
        <w:overflowPunct/>
        <w:topLinePunct/>
        <w:autoSpaceDE/>
        <w:autoSpaceDN/>
        <w:bidi w:val="0"/>
        <w:adjustRightInd w:val="0"/>
        <w:snapToGrid/>
        <w:spacing w:before="0" w:beforeAutospacing="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自油田建设开发、投产以来，各污染源设备运行基本正常，未出现过井喷、泄漏等重大环境污染事故。</w:t>
      </w:r>
    </w:p>
    <w:p w14:paraId="4A25EF11">
      <w:pPr>
        <w:keepNext w:val="0"/>
        <w:keepLines w:val="0"/>
        <w:pageBreakBefore w:val="0"/>
        <w:widowControl w:val="0"/>
        <w:suppressLineNumbers w:val="0"/>
        <w:kinsoku/>
        <w:wordWrap/>
        <w:overflowPunct/>
        <w:topLinePunct/>
        <w:autoSpaceDE/>
        <w:autoSpaceDN/>
        <w:bidi w:val="0"/>
        <w:adjustRightInd w:val="0"/>
        <w:snapToGrid/>
        <w:spacing w:before="0" w:beforeAutospacing="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根据</w:t>
      </w:r>
      <w:r>
        <w:rPr>
          <w:rFonts w:hint="eastAsia" w:ascii="Times New Roman" w:hAnsi="Times New Roman" w:eastAsia="宋体" w:cs="Times New Roman"/>
          <w:color w:val="auto"/>
          <w:kern w:val="2"/>
          <w:sz w:val="24"/>
          <w:szCs w:val="24"/>
          <w:highlight w:val="none"/>
          <w:u w:val="none"/>
          <w:lang w:val="en-US" w:eastAsia="zh-CN" w:bidi="ar"/>
        </w:rPr>
        <w:t>《</w:t>
      </w:r>
      <w:r>
        <w:rPr>
          <w:rFonts w:hint="default" w:ascii="Times New Roman" w:hAnsi="Times New Roman" w:eastAsia="宋体" w:cs="Times New Roman"/>
          <w:color w:val="auto"/>
          <w:kern w:val="2"/>
          <w:sz w:val="24"/>
          <w:szCs w:val="24"/>
          <w:highlight w:val="none"/>
          <w:u w:val="none"/>
          <w:lang w:val="en-US" w:eastAsia="zh-CN" w:bidi="ar"/>
        </w:rPr>
        <w:t>莫北油田莫11井区三工河组油藏开发建设工程竣工环境保护验收报告》</w:t>
      </w:r>
      <w:r>
        <w:rPr>
          <w:rFonts w:hint="eastAsia" w:ascii="Times New Roman" w:hAnsi="Times New Roman" w:eastAsia="宋体" w:cs="Times New Roman"/>
          <w:color w:val="auto"/>
          <w:kern w:val="2"/>
          <w:sz w:val="24"/>
          <w:szCs w:val="24"/>
          <w:highlight w:val="none"/>
          <w:u w:val="none"/>
          <w:lang w:val="en-US" w:eastAsia="zh-CN" w:bidi="ar"/>
        </w:rPr>
        <w:t>中</w:t>
      </w:r>
      <w:r>
        <w:rPr>
          <w:rFonts w:hint="eastAsia" w:cs="Times New Roman"/>
          <w:color w:val="auto"/>
          <w:kern w:val="2"/>
          <w:sz w:val="24"/>
          <w:szCs w:val="24"/>
          <w:highlight w:val="none"/>
          <w:u w:val="none"/>
          <w:lang w:val="en-US" w:eastAsia="zh-CN" w:bidi="ar"/>
        </w:rPr>
        <w:t>于2023年9月</w:t>
      </w:r>
      <w:r>
        <w:rPr>
          <w:rFonts w:hint="eastAsia" w:ascii="Times New Roman" w:hAnsi="Times New Roman" w:eastAsia="宋体" w:cs="Times New Roman"/>
          <w:color w:val="auto"/>
          <w:kern w:val="2"/>
          <w:sz w:val="24"/>
          <w:szCs w:val="24"/>
          <w:highlight w:val="none"/>
          <w:u w:val="none"/>
          <w:lang w:val="en-US" w:eastAsia="zh-CN" w:bidi="ar"/>
        </w:rPr>
        <w:t>对</w:t>
      </w:r>
      <w:r>
        <w:rPr>
          <w:rFonts w:hint="default" w:ascii="Times New Roman" w:hAnsi="Times New Roman" w:eastAsia="宋体" w:cs="Times New Roman"/>
          <w:color w:val="auto"/>
          <w:kern w:val="2"/>
          <w:sz w:val="24"/>
          <w:szCs w:val="24"/>
          <w:highlight w:val="none"/>
          <w:u w:val="none"/>
          <w:lang w:val="en-US" w:eastAsia="zh-CN" w:bidi="ar"/>
        </w:rPr>
        <w:t>MBHW1103井及储罐厂界非甲烷总烃的监测数据可知</w:t>
      </w:r>
      <w:r>
        <w:rPr>
          <w:rFonts w:hint="eastAsia" w:ascii="Times New Roman" w:hAnsi="Times New Roman" w:eastAsia="宋体" w:cs="Times New Roman"/>
          <w:color w:val="auto"/>
          <w:kern w:val="2"/>
          <w:sz w:val="24"/>
          <w:szCs w:val="24"/>
          <w:highlight w:val="none"/>
          <w:u w:val="none"/>
          <w:lang w:val="en-US" w:eastAsia="zh-CN" w:bidi="ar"/>
        </w:rPr>
        <w:t>：MBHW1103 井、储罐厂界无组织排放非甲烷总烃最高浓度满足《陆上石油天然气开采工业大气污染物排放标准》（GB39728-2020）标准限值要求。</w:t>
      </w:r>
    </w:p>
    <w:p w14:paraId="7C353C0D">
      <w:pPr>
        <w:keepNext w:val="0"/>
        <w:keepLines w:val="0"/>
        <w:pageBreakBefore w:val="0"/>
        <w:widowControl w:val="0"/>
        <w:suppressLineNumbers w:val="0"/>
        <w:kinsoku/>
        <w:wordWrap/>
        <w:overflowPunct/>
        <w:topLinePunct/>
        <w:autoSpaceDE/>
        <w:autoSpaceDN/>
        <w:bidi w:val="0"/>
        <w:adjustRightInd w:val="0"/>
        <w:snapToGrid/>
        <w:spacing w:before="0" w:beforeAutospacing="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eastAsia" w:ascii="Times New Roman" w:hAnsi="Times New Roman" w:eastAsia="宋体" w:cs="Times New Roman"/>
          <w:color w:val="auto"/>
          <w:kern w:val="2"/>
          <w:sz w:val="24"/>
          <w:szCs w:val="24"/>
          <w:highlight w:val="none"/>
          <w:u w:val="none"/>
          <w:lang w:val="en-US" w:eastAsia="zh-CN" w:bidi="ar"/>
        </w:rPr>
        <w:t>验收监测数据见</w:t>
      </w:r>
      <w:r>
        <w:rPr>
          <w:rFonts w:hint="eastAsia" w:cs="Times New Roman"/>
          <w:color w:val="auto"/>
          <w:kern w:val="2"/>
          <w:sz w:val="24"/>
          <w:szCs w:val="24"/>
          <w:highlight w:val="none"/>
          <w:u w:val="none"/>
          <w:lang w:val="en-US" w:eastAsia="zh-CN" w:bidi="ar"/>
        </w:rPr>
        <w:t>，</w:t>
      </w:r>
      <w:r>
        <w:rPr>
          <w:rFonts w:hint="eastAsia" w:ascii="Times New Roman" w:hAnsi="Times New Roman" w:eastAsia="宋体" w:cs="Times New Roman"/>
          <w:color w:val="auto"/>
          <w:kern w:val="2"/>
          <w:sz w:val="24"/>
          <w:szCs w:val="24"/>
          <w:highlight w:val="none"/>
          <w:u w:val="none"/>
          <w:lang w:val="en-US" w:eastAsia="zh-CN" w:bidi="ar"/>
        </w:rPr>
        <w:t>表3.2-2。</w:t>
      </w:r>
    </w:p>
    <w:p w14:paraId="0101A94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en-US" w:bidi="ar-SA"/>
        </w:rPr>
      </w:pPr>
      <w:r>
        <w:rPr>
          <w:rFonts w:hint="eastAsia" w:ascii="黑体" w:hAnsi="黑体" w:eastAsia="黑体" w:cs="黑体"/>
          <w:b w:val="0"/>
          <w:bCs/>
          <w:color w:val="auto"/>
          <w:kern w:val="2"/>
          <w:sz w:val="24"/>
          <w:szCs w:val="24"/>
          <w:u w:val="none"/>
          <w:lang w:val="en-US" w:eastAsia="en-US" w:bidi="ar-SA"/>
        </w:rPr>
        <w:t xml:space="preserve">表 </w:t>
      </w:r>
      <w:r>
        <w:rPr>
          <w:rFonts w:hint="eastAsia" w:ascii="黑体" w:hAnsi="黑体" w:eastAsia="黑体" w:cs="黑体"/>
          <w:b w:val="0"/>
          <w:bCs/>
          <w:color w:val="auto"/>
          <w:kern w:val="2"/>
          <w:sz w:val="24"/>
          <w:szCs w:val="24"/>
          <w:u w:val="none"/>
          <w:lang w:val="en-US" w:eastAsia="zh-CN" w:bidi="ar-SA"/>
        </w:rPr>
        <w:t>3.</w:t>
      </w:r>
      <w:r>
        <w:rPr>
          <w:rFonts w:hint="eastAsia" w:ascii="黑体" w:hAnsi="黑体" w:eastAsia="黑体" w:cs="黑体"/>
          <w:b w:val="0"/>
          <w:bCs/>
          <w:color w:val="auto"/>
          <w:kern w:val="2"/>
          <w:sz w:val="24"/>
          <w:szCs w:val="24"/>
          <w:u w:val="none"/>
          <w:lang w:val="en-US" w:eastAsia="en-US" w:bidi="ar-SA"/>
        </w:rPr>
        <w:t>2-2</w:t>
      </w:r>
      <w:r>
        <w:rPr>
          <w:rFonts w:hint="eastAsia" w:ascii="黑体" w:hAnsi="黑体" w:eastAsia="黑体" w:cs="黑体"/>
          <w:b w:val="0"/>
          <w:bCs/>
          <w:color w:val="auto"/>
          <w:kern w:val="2"/>
          <w:sz w:val="24"/>
          <w:szCs w:val="24"/>
          <w:u w:val="none"/>
          <w:lang w:val="en-US" w:eastAsia="zh-CN" w:bidi="ar-SA"/>
        </w:rPr>
        <w:t xml:space="preserve">  </w:t>
      </w:r>
      <w:r>
        <w:rPr>
          <w:rFonts w:hint="eastAsia" w:ascii="黑体" w:hAnsi="黑体" w:eastAsia="黑体" w:cs="黑体"/>
          <w:b w:val="0"/>
          <w:bCs/>
          <w:color w:val="auto"/>
          <w:kern w:val="2"/>
          <w:sz w:val="24"/>
          <w:szCs w:val="24"/>
          <w:u w:val="none"/>
          <w:lang w:val="en-US" w:eastAsia="en-US" w:bidi="ar-SA"/>
        </w:rPr>
        <w:t>无组织废气排放监测结果</w:t>
      </w:r>
    </w:p>
    <w:tbl>
      <w:tblPr>
        <w:tblStyle w:val="3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40"/>
        <w:gridCol w:w="1440"/>
        <w:gridCol w:w="1440"/>
        <w:gridCol w:w="1440"/>
        <w:gridCol w:w="1440"/>
        <w:gridCol w:w="1445"/>
      </w:tblGrid>
      <w:tr w14:paraId="6FF9A4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tcBorders>
              <w:tl2br w:val="nil"/>
              <w:tr2bl w:val="nil"/>
            </w:tcBorders>
            <w:vAlign w:val="center"/>
          </w:tcPr>
          <w:p w14:paraId="1D9B87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采样地点</w:t>
            </w:r>
          </w:p>
        </w:tc>
        <w:tc>
          <w:tcPr>
            <w:tcW w:w="833" w:type="pct"/>
            <w:tcBorders>
              <w:tl2br w:val="nil"/>
              <w:tr2bl w:val="nil"/>
            </w:tcBorders>
            <w:vAlign w:val="center"/>
          </w:tcPr>
          <w:p w14:paraId="75FC22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监测点位</w:t>
            </w:r>
          </w:p>
        </w:tc>
        <w:tc>
          <w:tcPr>
            <w:tcW w:w="833" w:type="pct"/>
            <w:tcBorders>
              <w:tl2br w:val="nil"/>
              <w:tr2bl w:val="nil"/>
            </w:tcBorders>
            <w:vAlign w:val="center"/>
          </w:tcPr>
          <w:p w14:paraId="6ACAD0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浓度范围</w:t>
            </w:r>
          </w:p>
        </w:tc>
        <w:tc>
          <w:tcPr>
            <w:tcW w:w="833" w:type="pct"/>
            <w:tcBorders>
              <w:tl2br w:val="nil"/>
              <w:tr2bl w:val="nil"/>
            </w:tcBorders>
            <w:vAlign w:val="center"/>
          </w:tcPr>
          <w:p w14:paraId="1C8B4B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最高值</w:t>
            </w:r>
          </w:p>
        </w:tc>
        <w:tc>
          <w:tcPr>
            <w:tcW w:w="833" w:type="pct"/>
            <w:tcBorders>
              <w:tl2br w:val="nil"/>
              <w:tr2bl w:val="nil"/>
            </w:tcBorders>
            <w:vAlign w:val="center"/>
          </w:tcPr>
          <w:p w14:paraId="410EEF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标准限值</w:t>
            </w:r>
          </w:p>
        </w:tc>
        <w:tc>
          <w:tcPr>
            <w:tcW w:w="833" w:type="pct"/>
            <w:tcBorders>
              <w:tl2br w:val="nil"/>
              <w:tr2bl w:val="nil"/>
            </w:tcBorders>
            <w:vAlign w:val="center"/>
          </w:tcPr>
          <w:p w14:paraId="5F004C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达标情况</w:t>
            </w:r>
          </w:p>
        </w:tc>
      </w:tr>
      <w:tr w14:paraId="0D4EFF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000" w:type="pct"/>
            <w:gridSpan w:val="6"/>
            <w:tcBorders>
              <w:tl2br w:val="nil"/>
              <w:tr2bl w:val="nil"/>
            </w:tcBorders>
            <w:vAlign w:val="center"/>
          </w:tcPr>
          <w:p w14:paraId="0F52B2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非甲烷总烃</w:t>
            </w:r>
          </w:p>
        </w:tc>
      </w:tr>
      <w:tr w14:paraId="7D02CB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restart"/>
            <w:tcBorders>
              <w:tl2br w:val="nil"/>
              <w:tr2bl w:val="nil"/>
            </w:tcBorders>
            <w:vAlign w:val="center"/>
          </w:tcPr>
          <w:p w14:paraId="248A47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MBHW1103井</w:t>
            </w:r>
          </w:p>
        </w:tc>
        <w:tc>
          <w:tcPr>
            <w:tcW w:w="833" w:type="pct"/>
            <w:tcBorders>
              <w:tl2br w:val="nil"/>
              <w:tr2bl w:val="nil"/>
            </w:tcBorders>
            <w:vAlign w:val="center"/>
          </w:tcPr>
          <w:p w14:paraId="1E363D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上风向</w:t>
            </w:r>
          </w:p>
        </w:tc>
        <w:tc>
          <w:tcPr>
            <w:tcW w:w="833" w:type="pct"/>
            <w:tcBorders>
              <w:tl2br w:val="nil"/>
              <w:tr2bl w:val="nil"/>
            </w:tcBorders>
            <w:vAlign w:val="center"/>
          </w:tcPr>
          <w:p w14:paraId="120FE8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0.7</w:t>
            </w:r>
            <w:r>
              <w:rPr>
                <w:rFonts w:hint="eastAsia" w:ascii="宋体" w:hAnsi="宋体" w:cs="宋体"/>
                <w:color w:val="auto"/>
                <w:sz w:val="21"/>
                <w:szCs w:val="21"/>
                <w:u w:val="none"/>
                <w:lang w:val="en-US" w:eastAsia="zh-CN"/>
              </w:rPr>
              <w:t>0～</w:t>
            </w:r>
            <w:r>
              <w:rPr>
                <w:rFonts w:hint="eastAsia" w:ascii="宋体" w:hAnsi="宋体" w:eastAsia="宋体" w:cs="宋体"/>
                <w:color w:val="auto"/>
                <w:sz w:val="21"/>
                <w:szCs w:val="21"/>
                <w:u w:val="none"/>
                <w:lang w:val="en-US" w:eastAsia="en-US"/>
              </w:rPr>
              <w:t>0.98</w:t>
            </w:r>
          </w:p>
        </w:tc>
        <w:tc>
          <w:tcPr>
            <w:tcW w:w="833" w:type="pct"/>
            <w:tcBorders>
              <w:tl2br w:val="nil"/>
              <w:tr2bl w:val="nil"/>
            </w:tcBorders>
            <w:vAlign w:val="center"/>
          </w:tcPr>
          <w:p w14:paraId="14627D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0.98</w:t>
            </w:r>
          </w:p>
        </w:tc>
        <w:tc>
          <w:tcPr>
            <w:tcW w:w="833" w:type="pct"/>
            <w:tcBorders>
              <w:tl2br w:val="nil"/>
              <w:tr2bl w:val="nil"/>
            </w:tcBorders>
            <w:vAlign w:val="center"/>
          </w:tcPr>
          <w:p w14:paraId="64DDA1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4.0</w:t>
            </w:r>
          </w:p>
        </w:tc>
        <w:tc>
          <w:tcPr>
            <w:tcW w:w="833" w:type="pct"/>
            <w:tcBorders>
              <w:tl2br w:val="nil"/>
              <w:tr2bl w:val="nil"/>
            </w:tcBorders>
            <w:vAlign w:val="center"/>
          </w:tcPr>
          <w:p w14:paraId="5DBD8E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798AD4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continue"/>
            <w:tcBorders>
              <w:tl2br w:val="nil"/>
              <w:tr2bl w:val="nil"/>
            </w:tcBorders>
            <w:vAlign w:val="center"/>
          </w:tcPr>
          <w:p w14:paraId="737CFF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en-US"/>
              </w:rPr>
            </w:pPr>
          </w:p>
        </w:tc>
        <w:tc>
          <w:tcPr>
            <w:tcW w:w="833" w:type="pct"/>
            <w:tcBorders>
              <w:tl2br w:val="nil"/>
              <w:tr2bl w:val="nil"/>
            </w:tcBorders>
            <w:vAlign w:val="center"/>
          </w:tcPr>
          <w:p w14:paraId="5BB1C4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下风向1#</w:t>
            </w:r>
          </w:p>
        </w:tc>
        <w:tc>
          <w:tcPr>
            <w:tcW w:w="833" w:type="pct"/>
            <w:tcBorders>
              <w:tl2br w:val="nil"/>
              <w:tr2bl w:val="nil"/>
            </w:tcBorders>
            <w:vAlign w:val="center"/>
          </w:tcPr>
          <w:p w14:paraId="00AAD0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1.28</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lang w:val="en-US" w:eastAsia="en-US"/>
              </w:rPr>
              <w:t>1.51</w:t>
            </w:r>
          </w:p>
        </w:tc>
        <w:tc>
          <w:tcPr>
            <w:tcW w:w="833" w:type="pct"/>
            <w:tcBorders>
              <w:tl2br w:val="nil"/>
              <w:tr2bl w:val="nil"/>
            </w:tcBorders>
            <w:vAlign w:val="center"/>
          </w:tcPr>
          <w:p w14:paraId="59A1E5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1.51</w:t>
            </w:r>
          </w:p>
        </w:tc>
        <w:tc>
          <w:tcPr>
            <w:tcW w:w="833" w:type="pct"/>
            <w:tcBorders>
              <w:tl2br w:val="nil"/>
              <w:tr2bl w:val="nil"/>
            </w:tcBorders>
            <w:vAlign w:val="center"/>
          </w:tcPr>
          <w:p w14:paraId="00CFDB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4.0</w:t>
            </w:r>
          </w:p>
        </w:tc>
        <w:tc>
          <w:tcPr>
            <w:tcW w:w="833" w:type="pct"/>
            <w:tcBorders>
              <w:tl2br w:val="nil"/>
              <w:tr2bl w:val="nil"/>
            </w:tcBorders>
            <w:vAlign w:val="center"/>
          </w:tcPr>
          <w:p w14:paraId="4DA51F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50A28C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continue"/>
            <w:tcBorders>
              <w:tl2br w:val="nil"/>
              <w:tr2bl w:val="nil"/>
            </w:tcBorders>
            <w:vAlign w:val="center"/>
          </w:tcPr>
          <w:p w14:paraId="72A5D5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en-US"/>
              </w:rPr>
            </w:pPr>
          </w:p>
        </w:tc>
        <w:tc>
          <w:tcPr>
            <w:tcW w:w="833" w:type="pct"/>
            <w:tcBorders>
              <w:tl2br w:val="nil"/>
              <w:tr2bl w:val="nil"/>
            </w:tcBorders>
            <w:vAlign w:val="center"/>
          </w:tcPr>
          <w:p w14:paraId="42CF8C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下风向2#</w:t>
            </w:r>
          </w:p>
        </w:tc>
        <w:tc>
          <w:tcPr>
            <w:tcW w:w="833" w:type="pct"/>
            <w:tcBorders>
              <w:tl2br w:val="nil"/>
              <w:tr2bl w:val="nil"/>
            </w:tcBorders>
            <w:vAlign w:val="center"/>
          </w:tcPr>
          <w:p w14:paraId="438DA8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1.15</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lang w:val="en-US" w:eastAsia="en-US"/>
              </w:rPr>
              <w:t>1.45</w:t>
            </w:r>
          </w:p>
        </w:tc>
        <w:tc>
          <w:tcPr>
            <w:tcW w:w="833" w:type="pct"/>
            <w:tcBorders>
              <w:tl2br w:val="nil"/>
              <w:tr2bl w:val="nil"/>
            </w:tcBorders>
            <w:vAlign w:val="center"/>
          </w:tcPr>
          <w:p w14:paraId="4058C6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1.45</w:t>
            </w:r>
          </w:p>
        </w:tc>
        <w:tc>
          <w:tcPr>
            <w:tcW w:w="833" w:type="pct"/>
            <w:tcBorders>
              <w:tl2br w:val="nil"/>
              <w:tr2bl w:val="nil"/>
            </w:tcBorders>
            <w:vAlign w:val="center"/>
          </w:tcPr>
          <w:p w14:paraId="3D4F93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4.0</w:t>
            </w:r>
          </w:p>
        </w:tc>
        <w:tc>
          <w:tcPr>
            <w:tcW w:w="833" w:type="pct"/>
            <w:tcBorders>
              <w:tl2br w:val="nil"/>
              <w:tr2bl w:val="nil"/>
            </w:tcBorders>
            <w:vAlign w:val="center"/>
          </w:tcPr>
          <w:p w14:paraId="3ABB7B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5B64A5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restart"/>
            <w:tcBorders>
              <w:tl2br w:val="nil"/>
              <w:tr2bl w:val="nil"/>
            </w:tcBorders>
            <w:vAlign w:val="center"/>
          </w:tcPr>
          <w:p w14:paraId="5F42D0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储</w:t>
            </w:r>
            <w:r>
              <w:rPr>
                <w:rFonts w:hint="eastAsia" w:ascii="宋体" w:hAnsi="宋体" w:cs="宋体"/>
                <w:color w:val="auto"/>
                <w:sz w:val="21"/>
                <w:szCs w:val="21"/>
                <w:u w:val="none"/>
                <w:lang w:val="en-US" w:eastAsia="zh-CN"/>
              </w:rPr>
              <w:t xml:space="preserve">  </w:t>
            </w:r>
            <w:r>
              <w:rPr>
                <w:rFonts w:hint="eastAsia" w:ascii="宋体" w:hAnsi="宋体" w:eastAsia="宋体" w:cs="宋体"/>
                <w:color w:val="auto"/>
                <w:sz w:val="21"/>
                <w:szCs w:val="21"/>
                <w:u w:val="none"/>
                <w:lang w:val="en-US" w:eastAsia="en-US"/>
              </w:rPr>
              <w:t>罐</w:t>
            </w:r>
          </w:p>
        </w:tc>
        <w:tc>
          <w:tcPr>
            <w:tcW w:w="833" w:type="pct"/>
            <w:tcBorders>
              <w:tl2br w:val="nil"/>
              <w:tr2bl w:val="nil"/>
            </w:tcBorders>
            <w:vAlign w:val="center"/>
          </w:tcPr>
          <w:p w14:paraId="31CA5C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上风向</w:t>
            </w:r>
          </w:p>
        </w:tc>
        <w:tc>
          <w:tcPr>
            <w:tcW w:w="833" w:type="pct"/>
            <w:tcBorders>
              <w:tl2br w:val="nil"/>
              <w:tr2bl w:val="nil"/>
            </w:tcBorders>
            <w:vAlign w:val="center"/>
          </w:tcPr>
          <w:p w14:paraId="0A390E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0.71</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lang w:val="en-US" w:eastAsia="en-US"/>
              </w:rPr>
              <w:t>0.95</w:t>
            </w:r>
          </w:p>
        </w:tc>
        <w:tc>
          <w:tcPr>
            <w:tcW w:w="833" w:type="pct"/>
            <w:tcBorders>
              <w:tl2br w:val="nil"/>
              <w:tr2bl w:val="nil"/>
            </w:tcBorders>
            <w:vAlign w:val="center"/>
          </w:tcPr>
          <w:p w14:paraId="25AE42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0.95</w:t>
            </w:r>
          </w:p>
        </w:tc>
        <w:tc>
          <w:tcPr>
            <w:tcW w:w="833" w:type="pct"/>
            <w:tcBorders>
              <w:tl2br w:val="nil"/>
              <w:tr2bl w:val="nil"/>
            </w:tcBorders>
            <w:vAlign w:val="center"/>
          </w:tcPr>
          <w:p w14:paraId="55DDC4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4.0</w:t>
            </w:r>
          </w:p>
        </w:tc>
        <w:tc>
          <w:tcPr>
            <w:tcW w:w="833" w:type="pct"/>
            <w:tcBorders>
              <w:tl2br w:val="nil"/>
              <w:tr2bl w:val="nil"/>
            </w:tcBorders>
            <w:vAlign w:val="center"/>
          </w:tcPr>
          <w:p w14:paraId="705057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29C360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continue"/>
            <w:tcBorders>
              <w:tl2br w:val="nil"/>
              <w:tr2bl w:val="nil"/>
            </w:tcBorders>
            <w:vAlign w:val="center"/>
          </w:tcPr>
          <w:p w14:paraId="72A248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en-US"/>
              </w:rPr>
            </w:pPr>
          </w:p>
        </w:tc>
        <w:tc>
          <w:tcPr>
            <w:tcW w:w="833" w:type="pct"/>
            <w:tcBorders>
              <w:tl2br w:val="nil"/>
              <w:tr2bl w:val="nil"/>
            </w:tcBorders>
            <w:vAlign w:val="center"/>
          </w:tcPr>
          <w:p w14:paraId="7C9AF3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下风向1#</w:t>
            </w:r>
          </w:p>
        </w:tc>
        <w:tc>
          <w:tcPr>
            <w:tcW w:w="833" w:type="pct"/>
            <w:tcBorders>
              <w:tl2br w:val="nil"/>
              <w:tr2bl w:val="nil"/>
            </w:tcBorders>
            <w:vAlign w:val="center"/>
          </w:tcPr>
          <w:p w14:paraId="037DB1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1.16</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lang w:val="en-US" w:eastAsia="en-US"/>
              </w:rPr>
              <w:t>1.46</w:t>
            </w:r>
          </w:p>
        </w:tc>
        <w:tc>
          <w:tcPr>
            <w:tcW w:w="833" w:type="pct"/>
            <w:tcBorders>
              <w:tl2br w:val="nil"/>
              <w:tr2bl w:val="nil"/>
            </w:tcBorders>
            <w:vAlign w:val="center"/>
          </w:tcPr>
          <w:p w14:paraId="152E2B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1.46</w:t>
            </w:r>
          </w:p>
        </w:tc>
        <w:tc>
          <w:tcPr>
            <w:tcW w:w="833" w:type="pct"/>
            <w:tcBorders>
              <w:tl2br w:val="nil"/>
              <w:tr2bl w:val="nil"/>
            </w:tcBorders>
            <w:vAlign w:val="center"/>
          </w:tcPr>
          <w:p w14:paraId="58E8B4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4.0</w:t>
            </w:r>
          </w:p>
        </w:tc>
        <w:tc>
          <w:tcPr>
            <w:tcW w:w="833" w:type="pct"/>
            <w:tcBorders>
              <w:tl2br w:val="nil"/>
              <w:tr2bl w:val="nil"/>
            </w:tcBorders>
            <w:vAlign w:val="center"/>
          </w:tcPr>
          <w:p w14:paraId="6A09D5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0993C1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continue"/>
            <w:tcBorders>
              <w:tl2br w:val="nil"/>
              <w:tr2bl w:val="nil"/>
            </w:tcBorders>
            <w:vAlign w:val="center"/>
          </w:tcPr>
          <w:p w14:paraId="0FFE4D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en-US"/>
              </w:rPr>
            </w:pPr>
          </w:p>
        </w:tc>
        <w:tc>
          <w:tcPr>
            <w:tcW w:w="833" w:type="pct"/>
            <w:tcBorders>
              <w:tl2br w:val="nil"/>
              <w:tr2bl w:val="nil"/>
            </w:tcBorders>
            <w:vAlign w:val="center"/>
          </w:tcPr>
          <w:p w14:paraId="0D5C76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下风向2#</w:t>
            </w:r>
          </w:p>
        </w:tc>
        <w:tc>
          <w:tcPr>
            <w:tcW w:w="833" w:type="pct"/>
            <w:tcBorders>
              <w:tl2br w:val="nil"/>
              <w:tr2bl w:val="nil"/>
            </w:tcBorders>
            <w:vAlign w:val="center"/>
          </w:tcPr>
          <w:p w14:paraId="54AC30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1.28</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lang w:val="en-US" w:eastAsia="en-US"/>
              </w:rPr>
              <w:t>1.52</w:t>
            </w:r>
          </w:p>
        </w:tc>
        <w:tc>
          <w:tcPr>
            <w:tcW w:w="833" w:type="pct"/>
            <w:tcBorders>
              <w:tl2br w:val="nil"/>
              <w:tr2bl w:val="nil"/>
            </w:tcBorders>
            <w:vAlign w:val="center"/>
          </w:tcPr>
          <w:p w14:paraId="0F067F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1.52</w:t>
            </w:r>
          </w:p>
        </w:tc>
        <w:tc>
          <w:tcPr>
            <w:tcW w:w="833" w:type="pct"/>
            <w:tcBorders>
              <w:tl2br w:val="nil"/>
              <w:tr2bl w:val="nil"/>
            </w:tcBorders>
            <w:vAlign w:val="center"/>
          </w:tcPr>
          <w:p w14:paraId="5DEE86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4.0</w:t>
            </w:r>
          </w:p>
        </w:tc>
        <w:tc>
          <w:tcPr>
            <w:tcW w:w="833" w:type="pct"/>
            <w:tcBorders>
              <w:tl2br w:val="nil"/>
              <w:tr2bl w:val="nil"/>
            </w:tcBorders>
            <w:vAlign w:val="center"/>
          </w:tcPr>
          <w:p w14:paraId="244467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0BFDCA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000" w:type="pct"/>
            <w:gridSpan w:val="6"/>
            <w:tcBorders>
              <w:tl2br w:val="nil"/>
              <w:tr2bl w:val="nil"/>
            </w:tcBorders>
            <w:vAlign w:val="center"/>
          </w:tcPr>
          <w:p w14:paraId="6089EA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硫化氢</w:t>
            </w:r>
          </w:p>
        </w:tc>
      </w:tr>
      <w:tr w14:paraId="36475E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restart"/>
            <w:tcBorders>
              <w:tl2br w:val="nil"/>
              <w:tr2bl w:val="nil"/>
            </w:tcBorders>
            <w:vAlign w:val="center"/>
          </w:tcPr>
          <w:p w14:paraId="2E5D64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MBHW1103井</w:t>
            </w:r>
          </w:p>
        </w:tc>
        <w:tc>
          <w:tcPr>
            <w:tcW w:w="833" w:type="pct"/>
            <w:tcBorders>
              <w:tl2br w:val="nil"/>
              <w:tr2bl w:val="nil"/>
            </w:tcBorders>
            <w:vAlign w:val="center"/>
          </w:tcPr>
          <w:p w14:paraId="610AD2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上风向</w:t>
            </w:r>
          </w:p>
        </w:tc>
        <w:tc>
          <w:tcPr>
            <w:tcW w:w="833" w:type="pct"/>
            <w:tcBorders>
              <w:tl2br w:val="nil"/>
              <w:tr2bl w:val="nil"/>
            </w:tcBorders>
            <w:vAlign w:val="center"/>
          </w:tcPr>
          <w:p w14:paraId="5DE3C9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0816B8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667E7C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0.06</w:t>
            </w:r>
          </w:p>
        </w:tc>
        <w:tc>
          <w:tcPr>
            <w:tcW w:w="833" w:type="pct"/>
            <w:tcBorders>
              <w:tl2br w:val="nil"/>
              <w:tr2bl w:val="nil"/>
            </w:tcBorders>
            <w:vAlign w:val="center"/>
          </w:tcPr>
          <w:p w14:paraId="61691A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611850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continue"/>
            <w:tcBorders>
              <w:tl2br w:val="nil"/>
              <w:tr2bl w:val="nil"/>
            </w:tcBorders>
            <w:vAlign w:val="center"/>
          </w:tcPr>
          <w:p w14:paraId="0240DB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en-US"/>
              </w:rPr>
            </w:pPr>
          </w:p>
        </w:tc>
        <w:tc>
          <w:tcPr>
            <w:tcW w:w="833" w:type="pct"/>
            <w:tcBorders>
              <w:tl2br w:val="nil"/>
              <w:tr2bl w:val="nil"/>
            </w:tcBorders>
            <w:vAlign w:val="center"/>
          </w:tcPr>
          <w:p w14:paraId="417B99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下风向1#</w:t>
            </w:r>
          </w:p>
        </w:tc>
        <w:tc>
          <w:tcPr>
            <w:tcW w:w="833" w:type="pct"/>
            <w:tcBorders>
              <w:tl2br w:val="nil"/>
              <w:tr2bl w:val="nil"/>
            </w:tcBorders>
            <w:vAlign w:val="center"/>
          </w:tcPr>
          <w:p w14:paraId="63FDE4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046510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6691E4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0.06</w:t>
            </w:r>
          </w:p>
        </w:tc>
        <w:tc>
          <w:tcPr>
            <w:tcW w:w="833" w:type="pct"/>
            <w:tcBorders>
              <w:tl2br w:val="nil"/>
              <w:tr2bl w:val="nil"/>
            </w:tcBorders>
            <w:vAlign w:val="center"/>
          </w:tcPr>
          <w:p w14:paraId="39B0AC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4A5544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continue"/>
            <w:tcBorders>
              <w:tl2br w:val="nil"/>
              <w:tr2bl w:val="nil"/>
            </w:tcBorders>
            <w:vAlign w:val="center"/>
          </w:tcPr>
          <w:p w14:paraId="509533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en-US"/>
              </w:rPr>
            </w:pPr>
          </w:p>
        </w:tc>
        <w:tc>
          <w:tcPr>
            <w:tcW w:w="833" w:type="pct"/>
            <w:tcBorders>
              <w:tl2br w:val="nil"/>
              <w:tr2bl w:val="nil"/>
            </w:tcBorders>
            <w:vAlign w:val="center"/>
          </w:tcPr>
          <w:p w14:paraId="65A285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下风向2#</w:t>
            </w:r>
          </w:p>
        </w:tc>
        <w:tc>
          <w:tcPr>
            <w:tcW w:w="833" w:type="pct"/>
            <w:tcBorders>
              <w:tl2br w:val="nil"/>
              <w:tr2bl w:val="nil"/>
            </w:tcBorders>
            <w:vAlign w:val="center"/>
          </w:tcPr>
          <w:p w14:paraId="18D9D3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74C450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32BE0B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0.06</w:t>
            </w:r>
          </w:p>
        </w:tc>
        <w:tc>
          <w:tcPr>
            <w:tcW w:w="833" w:type="pct"/>
            <w:tcBorders>
              <w:tl2br w:val="nil"/>
              <w:tr2bl w:val="nil"/>
            </w:tcBorders>
            <w:vAlign w:val="center"/>
          </w:tcPr>
          <w:p w14:paraId="46E645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3D38DA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restart"/>
            <w:tcBorders>
              <w:tl2br w:val="nil"/>
              <w:tr2bl w:val="nil"/>
            </w:tcBorders>
            <w:vAlign w:val="center"/>
          </w:tcPr>
          <w:p w14:paraId="5FB4CD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储</w:t>
            </w:r>
            <w:r>
              <w:rPr>
                <w:rFonts w:hint="eastAsia" w:ascii="宋体" w:hAnsi="宋体" w:cs="宋体"/>
                <w:color w:val="auto"/>
                <w:sz w:val="21"/>
                <w:szCs w:val="21"/>
                <w:u w:val="none"/>
                <w:lang w:val="en-US" w:eastAsia="zh-CN"/>
              </w:rPr>
              <w:t xml:space="preserve">  </w:t>
            </w:r>
            <w:r>
              <w:rPr>
                <w:rFonts w:hint="eastAsia" w:ascii="宋体" w:hAnsi="宋体" w:eastAsia="宋体" w:cs="宋体"/>
                <w:color w:val="auto"/>
                <w:sz w:val="21"/>
                <w:szCs w:val="21"/>
                <w:u w:val="none"/>
                <w:lang w:val="en-US" w:eastAsia="en-US"/>
              </w:rPr>
              <w:t>罐</w:t>
            </w:r>
          </w:p>
        </w:tc>
        <w:tc>
          <w:tcPr>
            <w:tcW w:w="833" w:type="pct"/>
            <w:tcBorders>
              <w:tl2br w:val="nil"/>
              <w:tr2bl w:val="nil"/>
            </w:tcBorders>
            <w:vAlign w:val="center"/>
          </w:tcPr>
          <w:p w14:paraId="0B0C76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上风向</w:t>
            </w:r>
          </w:p>
        </w:tc>
        <w:tc>
          <w:tcPr>
            <w:tcW w:w="833" w:type="pct"/>
            <w:tcBorders>
              <w:tl2br w:val="nil"/>
              <w:tr2bl w:val="nil"/>
            </w:tcBorders>
            <w:vAlign w:val="center"/>
          </w:tcPr>
          <w:p w14:paraId="6EF3DB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0CA331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3D0728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0.06</w:t>
            </w:r>
          </w:p>
        </w:tc>
        <w:tc>
          <w:tcPr>
            <w:tcW w:w="833" w:type="pct"/>
            <w:tcBorders>
              <w:tl2br w:val="nil"/>
              <w:tr2bl w:val="nil"/>
            </w:tcBorders>
            <w:vAlign w:val="center"/>
          </w:tcPr>
          <w:p w14:paraId="52FE8C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0DB9DE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continue"/>
            <w:tcBorders>
              <w:tl2br w:val="nil"/>
              <w:tr2bl w:val="nil"/>
            </w:tcBorders>
            <w:vAlign w:val="center"/>
          </w:tcPr>
          <w:p w14:paraId="61EC25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en-US"/>
              </w:rPr>
            </w:pPr>
          </w:p>
        </w:tc>
        <w:tc>
          <w:tcPr>
            <w:tcW w:w="833" w:type="pct"/>
            <w:tcBorders>
              <w:tl2br w:val="nil"/>
              <w:tr2bl w:val="nil"/>
            </w:tcBorders>
            <w:vAlign w:val="center"/>
          </w:tcPr>
          <w:p w14:paraId="348ADD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下风向1#</w:t>
            </w:r>
          </w:p>
        </w:tc>
        <w:tc>
          <w:tcPr>
            <w:tcW w:w="833" w:type="pct"/>
            <w:tcBorders>
              <w:tl2br w:val="nil"/>
              <w:tr2bl w:val="nil"/>
            </w:tcBorders>
            <w:vAlign w:val="center"/>
          </w:tcPr>
          <w:p w14:paraId="5FEC7F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5B52C8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2DE0FF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0.06</w:t>
            </w:r>
          </w:p>
        </w:tc>
        <w:tc>
          <w:tcPr>
            <w:tcW w:w="833" w:type="pct"/>
            <w:tcBorders>
              <w:tl2br w:val="nil"/>
              <w:tr2bl w:val="nil"/>
            </w:tcBorders>
            <w:vAlign w:val="center"/>
          </w:tcPr>
          <w:p w14:paraId="449BFA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r w14:paraId="1FA4D5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continue"/>
            <w:tcBorders>
              <w:tl2br w:val="nil"/>
              <w:tr2bl w:val="nil"/>
            </w:tcBorders>
            <w:vAlign w:val="center"/>
          </w:tcPr>
          <w:p w14:paraId="109A49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en-US"/>
              </w:rPr>
            </w:pPr>
          </w:p>
        </w:tc>
        <w:tc>
          <w:tcPr>
            <w:tcW w:w="833" w:type="pct"/>
            <w:tcBorders>
              <w:tl2br w:val="nil"/>
              <w:tr2bl w:val="nil"/>
            </w:tcBorders>
            <w:vAlign w:val="center"/>
          </w:tcPr>
          <w:p w14:paraId="2BDD42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下风向2#</w:t>
            </w:r>
          </w:p>
        </w:tc>
        <w:tc>
          <w:tcPr>
            <w:tcW w:w="833" w:type="pct"/>
            <w:tcBorders>
              <w:tl2br w:val="nil"/>
              <w:tr2bl w:val="nil"/>
            </w:tcBorders>
            <w:vAlign w:val="center"/>
          </w:tcPr>
          <w:p w14:paraId="5E6A7B7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6A55BE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1.0×10</w:t>
            </w:r>
            <w:r>
              <w:rPr>
                <w:rFonts w:hint="eastAsia" w:ascii="宋体" w:hAnsi="宋体" w:eastAsia="宋体" w:cs="宋体"/>
                <w:color w:val="auto"/>
                <w:sz w:val="21"/>
                <w:szCs w:val="21"/>
                <w:u w:val="none"/>
                <w:vertAlign w:val="superscript"/>
                <w:lang w:val="en-US" w:eastAsia="en-US"/>
              </w:rPr>
              <w:t>-3</w:t>
            </w:r>
            <w:r>
              <w:rPr>
                <w:rFonts w:hint="eastAsia" w:ascii="宋体" w:hAnsi="宋体" w:eastAsia="宋体" w:cs="宋体"/>
                <w:color w:val="auto"/>
                <w:sz w:val="21"/>
                <w:szCs w:val="21"/>
                <w:u w:val="none"/>
                <w:lang w:val="en-US" w:eastAsia="en-US"/>
              </w:rPr>
              <w:t>L</w:t>
            </w:r>
          </w:p>
        </w:tc>
        <w:tc>
          <w:tcPr>
            <w:tcW w:w="833" w:type="pct"/>
            <w:tcBorders>
              <w:tl2br w:val="nil"/>
              <w:tr2bl w:val="nil"/>
            </w:tcBorders>
            <w:vAlign w:val="center"/>
          </w:tcPr>
          <w:p w14:paraId="64753B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0.06</w:t>
            </w:r>
          </w:p>
        </w:tc>
        <w:tc>
          <w:tcPr>
            <w:tcW w:w="833" w:type="pct"/>
            <w:tcBorders>
              <w:tl2br w:val="nil"/>
              <w:tr2bl w:val="nil"/>
            </w:tcBorders>
            <w:vAlign w:val="center"/>
          </w:tcPr>
          <w:p w14:paraId="0A5618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en-US"/>
              </w:rPr>
            </w:pPr>
            <w:r>
              <w:rPr>
                <w:rFonts w:hint="eastAsia" w:ascii="宋体" w:hAnsi="宋体" w:eastAsia="宋体" w:cs="宋体"/>
                <w:color w:val="auto"/>
                <w:sz w:val="21"/>
                <w:szCs w:val="21"/>
                <w:u w:val="none"/>
                <w:lang w:val="en-US" w:eastAsia="en-US"/>
              </w:rPr>
              <w:t>达标</w:t>
            </w:r>
          </w:p>
        </w:tc>
      </w:tr>
    </w:tbl>
    <w:p w14:paraId="2932F787">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eastAsia="宋体" w:cs="Times New Roman"/>
          <w:color w:val="auto"/>
          <w:kern w:val="2"/>
          <w:sz w:val="24"/>
          <w:szCs w:val="24"/>
          <w:highlight w:val="none"/>
          <w:u w:val="none"/>
          <w:lang w:val="en-US" w:eastAsia="zh-CN" w:bidi="ar"/>
        </w:rPr>
        <w:t>油田开发建设项目</w:t>
      </w:r>
      <w:r>
        <w:rPr>
          <w:rFonts w:hint="default" w:ascii="宋体" w:hAnsi="宋体" w:cs="宋体"/>
          <w:color w:val="auto"/>
          <w:kern w:val="0"/>
          <w:sz w:val="24"/>
          <w:szCs w:val="24"/>
          <w:highlight w:val="none"/>
          <w:u w:val="none"/>
        </w:rPr>
        <w:t>施工期和运营期对大气环境的影响在影响时间和影响范围上各不相同，施工期为暂时性小范围影响，随施工的结束而消失，运营期为持续的长期影响，但各项废气污染物均可以得到较好扩散，对大气中污染物浓度贡献值较小，并不会使区域环境空气质量发生显著改变，且油田区地域空旷，项目的建设对区域大气环境的影响可以保持在环境可接受的范围之内</w:t>
      </w:r>
      <w:r>
        <w:rPr>
          <w:rFonts w:hint="default" w:ascii="Times New Roman" w:hAnsi="Times New Roman" w:cs="Times New Roman"/>
          <w:snapToGrid w:val="0"/>
          <w:color w:val="auto"/>
          <w:kern w:val="0"/>
          <w:sz w:val="24"/>
          <w:szCs w:val="24"/>
          <w:highlight w:val="none"/>
          <w:u w:val="none"/>
        </w:rPr>
        <w:t>。</w:t>
      </w:r>
    </w:p>
    <w:p w14:paraId="4583C0AA">
      <w:pPr>
        <w:keepNext w:val="0"/>
        <w:keepLines w:val="0"/>
        <w:pageBreakBefore w:val="0"/>
        <w:kinsoku/>
        <w:wordWrap/>
        <w:overflowPunct/>
        <w:autoSpaceDE/>
        <w:autoSpaceDN/>
        <w:bidi w:val="0"/>
        <w:snapToGrid/>
        <w:spacing w:line="480" w:lineRule="exact"/>
        <w:ind w:firstLine="540" w:firstLineChars="225"/>
        <w:textAlignment w:val="auto"/>
        <w:rPr>
          <w:rFonts w:hint="default" w:ascii="Times New Roman" w:hAnsi="Times New Roman" w:eastAsia="宋体" w:cs="Times New Roman"/>
          <w:snapToGrid w:val="0"/>
          <w:color w:val="auto"/>
          <w:kern w:val="2"/>
          <w:sz w:val="24"/>
          <w:szCs w:val="24"/>
          <w:highlight w:val="none"/>
          <w:u w:val="none"/>
          <w:lang w:val="en-US" w:eastAsia="zh-CN" w:bidi="ar-SA"/>
        </w:rPr>
      </w:pPr>
      <w:r>
        <w:rPr>
          <w:rFonts w:hint="default" w:ascii="Times New Roman" w:hAnsi="Times New Roman" w:eastAsia="宋体" w:cs="Times New Roman"/>
          <w:snapToGrid w:val="0"/>
          <w:color w:val="auto"/>
          <w:kern w:val="2"/>
          <w:sz w:val="24"/>
          <w:szCs w:val="24"/>
          <w:highlight w:val="none"/>
          <w:u w:val="none"/>
          <w:lang w:val="en-US" w:eastAsia="zh-CN" w:bidi="ar-SA"/>
        </w:rPr>
        <w:t>（4）声环境影响回顾评价</w:t>
      </w:r>
    </w:p>
    <w:p w14:paraId="4F88A86A">
      <w:pPr>
        <w:keepNext w:val="0"/>
        <w:keepLines w:val="0"/>
        <w:pageBreakBefore w:val="0"/>
        <w:widowControl w:val="0"/>
        <w:suppressLineNumbers w:val="0"/>
        <w:kinsoku/>
        <w:wordWrap/>
        <w:overflowPunct/>
        <w:autoSpaceDE/>
        <w:autoSpaceDN/>
        <w:bidi w:val="0"/>
        <w:snapToGrid/>
        <w:spacing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油田开发建设项目</w:t>
      </w:r>
      <w:r>
        <w:rPr>
          <w:rFonts w:hint="eastAsia" w:ascii="Times New Roman" w:hAnsi="Times New Roman" w:eastAsia="宋体" w:cs="Times New Roman"/>
          <w:color w:val="auto"/>
          <w:kern w:val="2"/>
          <w:sz w:val="24"/>
          <w:szCs w:val="24"/>
          <w:highlight w:val="none"/>
          <w:u w:val="none"/>
          <w:lang w:val="en-US" w:eastAsia="zh-CN" w:bidi="ar"/>
        </w:rPr>
        <w:t>施工期</w:t>
      </w:r>
      <w:r>
        <w:rPr>
          <w:rFonts w:hint="default" w:ascii="Times New Roman" w:hAnsi="Times New Roman" w:eastAsia="宋体" w:cs="Times New Roman"/>
          <w:color w:val="auto"/>
          <w:kern w:val="2"/>
          <w:sz w:val="24"/>
          <w:szCs w:val="24"/>
          <w:highlight w:val="none"/>
          <w:u w:val="none"/>
          <w:lang w:val="en-US" w:eastAsia="zh-CN" w:bidi="ar"/>
        </w:rPr>
        <w:t>，声环境影响主要表现在钻井过程中的各种设备噪声。钻井井场中的噪声源主要集中在钻井平台周围，其中能够产生较大噪声的设备有发电机、柴油机联动机组和泥浆泵。钻井过程为临时性的工程，对局部环境的影响是暂时的。</w:t>
      </w:r>
    </w:p>
    <w:p w14:paraId="36B7842C">
      <w:pPr>
        <w:keepNext w:val="0"/>
        <w:keepLines w:val="0"/>
        <w:pageBreakBefore w:val="0"/>
        <w:widowControl w:val="0"/>
        <w:suppressLineNumbers w:val="0"/>
        <w:kinsoku/>
        <w:wordWrap/>
        <w:overflowPunct/>
        <w:autoSpaceDE/>
        <w:autoSpaceDN/>
        <w:bidi w:val="0"/>
        <w:snapToGrid/>
        <w:spacing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油田开发建设项目</w:t>
      </w:r>
      <w:r>
        <w:rPr>
          <w:rFonts w:hint="eastAsia" w:ascii="Times New Roman" w:hAnsi="Times New Roman" w:eastAsia="宋体" w:cs="Times New Roman"/>
          <w:color w:val="auto"/>
          <w:kern w:val="2"/>
          <w:sz w:val="24"/>
          <w:szCs w:val="24"/>
          <w:highlight w:val="none"/>
          <w:u w:val="none"/>
          <w:lang w:val="en-US" w:eastAsia="zh-CN" w:bidi="ar"/>
        </w:rPr>
        <w:t>运营期</w:t>
      </w:r>
      <w:r>
        <w:rPr>
          <w:rFonts w:hint="default" w:ascii="Times New Roman" w:hAnsi="Times New Roman" w:eastAsia="宋体" w:cs="Times New Roman"/>
          <w:color w:val="auto"/>
          <w:kern w:val="2"/>
          <w:sz w:val="24"/>
          <w:szCs w:val="24"/>
          <w:highlight w:val="none"/>
          <w:u w:val="none"/>
          <w:lang w:val="en-US" w:eastAsia="zh-CN" w:bidi="ar"/>
        </w:rPr>
        <w:t>，声环境影响主要来自于站场、油井各类机泵等设备运行时产生的机械噪声。</w:t>
      </w:r>
    </w:p>
    <w:p w14:paraId="3E7E522E">
      <w:pPr>
        <w:keepNext w:val="0"/>
        <w:keepLines w:val="0"/>
        <w:pageBreakBefore w:val="0"/>
        <w:widowControl w:val="0"/>
        <w:suppressLineNumbers w:val="0"/>
        <w:kinsoku/>
        <w:wordWrap/>
        <w:overflowPunct/>
        <w:autoSpaceDE/>
        <w:autoSpaceDN/>
        <w:bidi w:val="0"/>
        <w:snapToGrid/>
        <w:spacing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eastAsia" w:eastAsia="宋体" w:cs="Times New Roman"/>
          <w:color w:val="auto"/>
          <w:kern w:val="2"/>
          <w:sz w:val="24"/>
          <w:szCs w:val="24"/>
          <w:highlight w:val="none"/>
          <w:u w:val="none"/>
          <w:lang w:val="en-US" w:eastAsia="zh-CN" w:bidi="ar"/>
        </w:rPr>
        <w:t>区块</w:t>
      </w:r>
      <w:r>
        <w:rPr>
          <w:rFonts w:hint="default" w:ascii="Times New Roman" w:hAnsi="Times New Roman" w:eastAsia="宋体" w:cs="Times New Roman"/>
          <w:color w:val="auto"/>
          <w:kern w:val="2"/>
          <w:sz w:val="24"/>
          <w:szCs w:val="24"/>
          <w:highlight w:val="none"/>
          <w:u w:val="none"/>
          <w:lang w:val="en-US" w:eastAsia="zh-CN" w:bidi="ar"/>
        </w:rPr>
        <w:t>位于准噶尔盆地腹部古尔班通古特沙漠腹地，周边无声环境敏感点，对声环境影响较小。</w:t>
      </w:r>
    </w:p>
    <w:p w14:paraId="77FD71DD">
      <w:pPr>
        <w:keepNext w:val="0"/>
        <w:keepLines w:val="0"/>
        <w:pageBreakBefore w:val="0"/>
        <w:widowControl w:val="0"/>
        <w:suppressLineNumbers w:val="0"/>
        <w:kinsoku/>
        <w:wordWrap/>
        <w:overflowPunct/>
        <w:topLinePunct/>
        <w:autoSpaceDE/>
        <w:autoSpaceDN/>
        <w:bidi w:val="0"/>
        <w:adjustRightInd w:val="0"/>
        <w:snapToGrid/>
        <w:spacing w:beforeAutospacing="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根据</w:t>
      </w:r>
      <w:r>
        <w:rPr>
          <w:rFonts w:hint="eastAsia" w:ascii="Times New Roman" w:hAnsi="Times New Roman" w:eastAsia="宋体" w:cs="Times New Roman"/>
          <w:color w:val="auto"/>
          <w:kern w:val="2"/>
          <w:sz w:val="24"/>
          <w:szCs w:val="24"/>
          <w:highlight w:val="none"/>
          <w:u w:val="none"/>
          <w:lang w:val="en-US" w:eastAsia="zh-CN" w:bidi="ar"/>
        </w:rPr>
        <w:t>《</w:t>
      </w:r>
      <w:r>
        <w:rPr>
          <w:rFonts w:hint="default" w:ascii="Times New Roman" w:hAnsi="Times New Roman" w:eastAsia="宋体" w:cs="Times New Roman"/>
          <w:color w:val="auto"/>
          <w:kern w:val="2"/>
          <w:sz w:val="24"/>
          <w:szCs w:val="24"/>
          <w:highlight w:val="none"/>
          <w:u w:val="none"/>
          <w:lang w:val="en-US" w:eastAsia="zh-CN" w:bidi="ar"/>
        </w:rPr>
        <w:t>莫北油田莫11井区三工河组油藏开发建设工程竣工环境保护验收报告》</w:t>
      </w:r>
      <w:r>
        <w:rPr>
          <w:rFonts w:hint="eastAsia" w:ascii="Times New Roman" w:hAnsi="Times New Roman" w:eastAsia="宋体" w:cs="Times New Roman"/>
          <w:color w:val="auto"/>
          <w:kern w:val="2"/>
          <w:sz w:val="24"/>
          <w:szCs w:val="24"/>
          <w:highlight w:val="none"/>
          <w:u w:val="none"/>
          <w:lang w:val="en-US" w:eastAsia="zh-CN" w:bidi="ar"/>
        </w:rPr>
        <w:t>中</w:t>
      </w:r>
      <w:r>
        <w:rPr>
          <w:rFonts w:hint="eastAsia" w:cs="Times New Roman"/>
          <w:color w:val="auto"/>
          <w:kern w:val="2"/>
          <w:sz w:val="24"/>
          <w:szCs w:val="24"/>
          <w:highlight w:val="none"/>
          <w:u w:val="none"/>
          <w:lang w:val="en-US" w:eastAsia="zh-CN" w:bidi="ar"/>
        </w:rPr>
        <w:t>于2023年9月</w:t>
      </w:r>
      <w:r>
        <w:rPr>
          <w:rFonts w:hint="eastAsia" w:ascii="Times New Roman" w:hAnsi="Times New Roman" w:eastAsia="宋体" w:cs="Times New Roman"/>
          <w:color w:val="auto"/>
          <w:kern w:val="2"/>
          <w:sz w:val="24"/>
          <w:szCs w:val="24"/>
          <w:highlight w:val="none"/>
          <w:u w:val="none"/>
          <w:lang w:val="en-US" w:eastAsia="zh-CN" w:bidi="ar"/>
        </w:rPr>
        <w:t>对</w:t>
      </w:r>
      <w:r>
        <w:rPr>
          <w:rFonts w:hint="default" w:ascii="Times New Roman" w:hAnsi="Times New Roman" w:eastAsia="宋体" w:cs="Times New Roman"/>
          <w:color w:val="auto"/>
          <w:kern w:val="2"/>
          <w:sz w:val="24"/>
          <w:szCs w:val="24"/>
          <w:highlight w:val="none"/>
          <w:u w:val="none"/>
          <w:lang w:val="en-US" w:eastAsia="zh-CN" w:bidi="ar"/>
        </w:rPr>
        <w:t>MBHW1103井厂界</w:t>
      </w:r>
      <w:r>
        <w:rPr>
          <w:rFonts w:hint="eastAsia" w:ascii="Times New Roman" w:hAnsi="Times New Roman" w:eastAsia="宋体" w:cs="Times New Roman"/>
          <w:color w:val="auto"/>
          <w:kern w:val="2"/>
          <w:sz w:val="24"/>
          <w:szCs w:val="24"/>
          <w:highlight w:val="none"/>
          <w:u w:val="none"/>
          <w:lang w:val="en-US" w:eastAsia="zh-CN" w:bidi="ar"/>
        </w:rPr>
        <w:t>噪声</w:t>
      </w:r>
      <w:r>
        <w:rPr>
          <w:rFonts w:hint="default" w:ascii="Times New Roman" w:hAnsi="Times New Roman" w:eastAsia="宋体" w:cs="Times New Roman"/>
          <w:color w:val="auto"/>
          <w:kern w:val="2"/>
          <w:sz w:val="24"/>
          <w:szCs w:val="24"/>
          <w:highlight w:val="none"/>
          <w:u w:val="none"/>
          <w:lang w:val="en-US" w:eastAsia="zh-CN" w:bidi="ar"/>
        </w:rPr>
        <w:t>的监测数据可知</w:t>
      </w:r>
      <w:r>
        <w:rPr>
          <w:rFonts w:hint="eastAsia" w:ascii="Times New Roman" w:hAnsi="Times New Roman" w:eastAsia="宋体" w:cs="Times New Roman"/>
          <w:color w:val="auto"/>
          <w:kern w:val="2"/>
          <w:sz w:val="24"/>
          <w:szCs w:val="24"/>
          <w:highlight w:val="none"/>
          <w:u w:val="none"/>
          <w:lang w:val="en-US" w:eastAsia="zh-CN" w:bidi="ar"/>
        </w:rPr>
        <w:t>：MBHW1103 井场场界昼间、夜间的噪声监测结果均满足《工业企业厂界环境噪声排放标准》（GB12348-2008）2 类标准要求。</w:t>
      </w:r>
    </w:p>
    <w:p w14:paraId="03319AA3">
      <w:pPr>
        <w:keepNext w:val="0"/>
        <w:keepLines w:val="0"/>
        <w:pageBreakBefore w:val="0"/>
        <w:widowControl w:val="0"/>
        <w:suppressLineNumbers w:val="0"/>
        <w:kinsoku/>
        <w:wordWrap/>
        <w:overflowPunct/>
        <w:topLinePunct/>
        <w:autoSpaceDE/>
        <w:autoSpaceDN/>
        <w:bidi w:val="0"/>
        <w:adjustRightInd w:val="0"/>
        <w:snapToGrid/>
        <w:spacing w:beforeAutospacing="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eastAsia" w:ascii="Times New Roman" w:hAnsi="Times New Roman" w:eastAsia="宋体" w:cs="Times New Roman"/>
          <w:color w:val="auto"/>
          <w:kern w:val="2"/>
          <w:sz w:val="24"/>
          <w:szCs w:val="24"/>
          <w:highlight w:val="none"/>
          <w:u w:val="none"/>
          <w:lang w:val="en-US" w:eastAsia="zh-CN" w:bidi="ar"/>
        </w:rPr>
        <w:t>验收监测数据</w:t>
      </w:r>
      <w:r>
        <w:rPr>
          <w:rFonts w:hint="eastAsia" w:cs="Times New Roman"/>
          <w:color w:val="auto"/>
          <w:kern w:val="2"/>
          <w:sz w:val="24"/>
          <w:szCs w:val="24"/>
          <w:highlight w:val="none"/>
          <w:u w:val="none"/>
          <w:lang w:val="en-US" w:eastAsia="zh-CN" w:bidi="ar"/>
        </w:rPr>
        <w:t>，</w:t>
      </w:r>
      <w:r>
        <w:rPr>
          <w:rFonts w:hint="eastAsia" w:ascii="Times New Roman" w:hAnsi="Times New Roman" w:eastAsia="宋体" w:cs="Times New Roman"/>
          <w:color w:val="auto"/>
          <w:kern w:val="2"/>
          <w:sz w:val="24"/>
          <w:szCs w:val="24"/>
          <w:highlight w:val="none"/>
          <w:u w:val="none"/>
          <w:lang w:val="en-US" w:eastAsia="zh-CN" w:bidi="ar"/>
        </w:rPr>
        <w:t>见表3.2-3。</w:t>
      </w:r>
    </w:p>
    <w:p w14:paraId="3B80EA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en-US" w:bidi="ar-SA"/>
        </w:rPr>
      </w:pPr>
      <w:r>
        <w:rPr>
          <w:rFonts w:hint="eastAsia" w:ascii="黑体" w:hAnsi="黑体" w:eastAsia="黑体" w:cs="黑体"/>
          <w:b w:val="0"/>
          <w:bCs/>
          <w:color w:val="auto"/>
          <w:kern w:val="2"/>
          <w:sz w:val="24"/>
          <w:szCs w:val="24"/>
          <w:u w:val="none"/>
          <w:lang w:val="en-US" w:eastAsia="en-US" w:bidi="ar-SA"/>
        </w:rPr>
        <w:t xml:space="preserve">表 </w:t>
      </w:r>
      <w:r>
        <w:rPr>
          <w:rFonts w:hint="eastAsia" w:ascii="黑体" w:hAnsi="黑体" w:eastAsia="黑体" w:cs="黑体"/>
          <w:b w:val="0"/>
          <w:bCs/>
          <w:color w:val="auto"/>
          <w:kern w:val="2"/>
          <w:sz w:val="24"/>
          <w:szCs w:val="24"/>
          <w:u w:val="none"/>
          <w:lang w:val="en-US" w:eastAsia="zh-CN" w:bidi="ar-SA"/>
        </w:rPr>
        <w:t>3</w:t>
      </w:r>
      <w:r>
        <w:rPr>
          <w:rFonts w:hint="eastAsia" w:ascii="黑体" w:hAnsi="黑体" w:eastAsia="黑体" w:cs="黑体"/>
          <w:b w:val="0"/>
          <w:bCs/>
          <w:color w:val="auto"/>
          <w:kern w:val="2"/>
          <w:sz w:val="24"/>
          <w:szCs w:val="24"/>
          <w:u w:val="none"/>
          <w:lang w:val="en-US" w:eastAsia="en-US" w:bidi="ar-SA"/>
        </w:rPr>
        <w:t>.2-</w:t>
      </w:r>
      <w:r>
        <w:rPr>
          <w:rFonts w:hint="eastAsia" w:ascii="黑体" w:hAnsi="黑体" w:eastAsia="黑体" w:cs="黑体"/>
          <w:b w:val="0"/>
          <w:bCs/>
          <w:color w:val="auto"/>
          <w:kern w:val="2"/>
          <w:sz w:val="24"/>
          <w:szCs w:val="24"/>
          <w:u w:val="none"/>
          <w:lang w:val="en-US" w:eastAsia="zh-CN" w:bidi="ar-SA"/>
        </w:rPr>
        <w:t>3  噪声</w:t>
      </w:r>
      <w:r>
        <w:rPr>
          <w:rFonts w:hint="eastAsia" w:ascii="黑体" w:hAnsi="黑体" w:eastAsia="黑体" w:cs="黑体"/>
          <w:b w:val="0"/>
          <w:bCs/>
          <w:color w:val="auto"/>
          <w:kern w:val="2"/>
          <w:sz w:val="24"/>
          <w:szCs w:val="24"/>
          <w:u w:val="none"/>
          <w:lang w:val="en-US" w:eastAsia="en-US" w:bidi="ar-SA"/>
        </w:rPr>
        <w:t>监测结果</w:t>
      </w:r>
    </w:p>
    <w:tbl>
      <w:tblPr>
        <w:tblStyle w:val="3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167"/>
        <w:gridCol w:w="1330"/>
        <w:gridCol w:w="1553"/>
        <w:gridCol w:w="1021"/>
        <w:gridCol w:w="1553"/>
        <w:gridCol w:w="1022"/>
      </w:tblGrid>
      <w:tr w14:paraId="74ED0E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vMerge w:val="restart"/>
            <w:tcBorders>
              <w:tl2br w:val="nil"/>
              <w:tr2bl w:val="nil"/>
            </w:tcBorders>
            <w:vAlign w:val="center"/>
          </w:tcPr>
          <w:p w14:paraId="584015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测点位置</w:t>
            </w:r>
          </w:p>
        </w:tc>
        <w:tc>
          <w:tcPr>
            <w:tcW w:w="769" w:type="pct"/>
            <w:vMerge w:val="restart"/>
            <w:tcBorders>
              <w:tl2br w:val="nil"/>
              <w:tr2bl w:val="nil"/>
            </w:tcBorders>
            <w:vAlign w:val="center"/>
          </w:tcPr>
          <w:p w14:paraId="26A3D5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监测日期</w:t>
            </w:r>
          </w:p>
        </w:tc>
        <w:tc>
          <w:tcPr>
            <w:tcW w:w="1488" w:type="pct"/>
            <w:gridSpan w:val="2"/>
            <w:tcBorders>
              <w:tl2br w:val="nil"/>
              <w:tr2bl w:val="nil"/>
            </w:tcBorders>
            <w:vAlign w:val="center"/>
          </w:tcPr>
          <w:p w14:paraId="0BBA6A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昼间</w:t>
            </w:r>
          </w:p>
        </w:tc>
        <w:tc>
          <w:tcPr>
            <w:tcW w:w="1488" w:type="pct"/>
            <w:gridSpan w:val="2"/>
            <w:tcBorders>
              <w:tl2br w:val="nil"/>
              <w:tr2bl w:val="nil"/>
            </w:tcBorders>
            <w:vAlign w:val="center"/>
          </w:tcPr>
          <w:p w14:paraId="5A6116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夜间</w:t>
            </w:r>
          </w:p>
        </w:tc>
      </w:tr>
      <w:tr w14:paraId="66C13A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vMerge w:val="continue"/>
            <w:tcBorders>
              <w:tl2br w:val="nil"/>
              <w:tr2bl w:val="nil"/>
            </w:tcBorders>
            <w:vAlign w:val="center"/>
          </w:tcPr>
          <w:p w14:paraId="0E05A0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769" w:type="pct"/>
            <w:vMerge w:val="continue"/>
            <w:tcBorders>
              <w:tl2br w:val="nil"/>
              <w:tr2bl w:val="nil"/>
            </w:tcBorders>
            <w:vAlign w:val="center"/>
          </w:tcPr>
          <w:p w14:paraId="1D0850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98" w:type="pct"/>
            <w:tcBorders>
              <w:tl2br w:val="nil"/>
              <w:tr2bl w:val="nil"/>
            </w:tcBorders>
            <w:vAlign w:val="center"/>
          </w:tcPr>
          <w:p w14:paraId="438AF6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测量时段</w:t>
            </w:r>
          </w:p>
        </w:tc>
        <w:tc>
          <w:tcPr>
            <w:tcW w:w="589" w:type="pct"/>
            <w:tcBorders>
              <w:tl2br w:val="nil"/>
              <w:tr2bl w:val="nil"/>
            </w:tcBorders>
            <w:vAlign w:val="center"/>
          </w:tcPr>
          <w:p w14:paraId="0FC410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测量值</w:t>
            </w:r>
          </w:p>
        </w:tc>
        <w:tc>
          <w:tcPr>
            <w:tcW w:w="898" w:type="pct"/>
            <w:tcBorders>
              <w:tl2br w:val="nil"/>
              <w:tr2bl w:val="nil"/>
            </w:tcBorders>
            <w:vAlign w:val="center"/>
          </w:tcPr>
          <w:p w14:paraId="6B2ED0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测量时段</w:t>
            </w:r>
          </w:p>
        </w:tc>
        <w:tc>
          <w:tcPr>
            <w:tcW w:w="590" w:type="pct"/>
            <w:tcBorders>
              <w:tl2br w:val="nil"/>
              <w:tr2bl w:val="nil"/>
            </w:tcBorders>
            <w:vAlign w:val="center"/>
          </w:tcPr>
          <w:p w14:paraId="2C0981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测量值</w:t>
            </w:r>
          </w:p>
        </w:tc>
      </w:tr>
      <w:tr w14:paraId="46DC4D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tcBorders>
              <w:tl2br w:val="nil"/>
              <w:tr2bl w:val="nil"/>
            </w:tcBorders>
            <w:vAlign w:val="center"/>
          </w:tcPr>
          <w:p w14:paraId="316018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项目区东侧外 1m</w:t>
            </w:r>
          </w:p>
        </w:tc>
        <w:tc>
          <w:tcPr>
            <w:tcW w:w="769" w:type="pct"/>
            <w:vMerge w:val="restart"/>
            <w:tcBorders>
              <w:tl2br w:val="nil"/>
              <w:tr2bl w:val="nil"/>
            </w:tcBorders>
            <w:vAlign w:val="center"/>
          </w:tcPr>
          <w:p w14:paraId="69A94D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val="en-US" w:eastAsia="zh-CN"/>
              </w:rPr>
              <w:t>2023年</w:t>
            </w:r>
            <w:r>
              <w:rPr>
                <w:rFonts w:hint="eastAsia" w:ascii="宋体" w:hAnsi="宋体" w:eastAsia="宋体" w:cs="宋体"/>
                <w:color w:val="auto"/>
                <w:sz w:val="21"/>
                <w:szCs w:val="21"/>
                <w:u w:val="none"/>
              </w:rPr>
              <w:t>9 月 16 日</w:t>
            </w:r>
          </w:p>
        </w:tc>
        <w:tc>
          <w:tcPr>
            <w:tcW w:w="898" w:type="pct"/>
            <w:tcBorders>
              <w:tl2br w:val="nil"/>
              <w:tr2bl w:val="nil"/>
            </w:tcBorders>
            <w:vAlign w:val="center"/>
          </w:tcPr>
          <w:p w14:paraId="1B637A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15:07</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15:10</w:t>
            </w:r>
          </w:p>
        </w:tc>
        <w:tc>
          <w:tcPr>
            <w:tcW w:w="589" w:type="pct"/>
            <w:tcBorders>
              <w:tl2br w:val="nil"/>
              <w:tr2bl w:val="nil"/>
            </w:tcBorders>
            <w:vAlign w:val="center"/>
          </w:tcPr>
          <w:p w14:paraId="5FAA0A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55</w:t>
            </w:r>
          </w:p>
        </w:tc>
        <w:tc>
          <w:tcPr>
            <w:tcW w:w="898" w:type="pct"/>
            <w:tcBorders>
              <w:tl2br w:val="nil"/>
              <w:tr2bl w:val="nil"/>
            </w:tcBorders>
            <w:vAlign w:val="center"/>
          </w:tcPr>
          <w:p w14:paraId="142429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03:02</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03:05</w:t>
            </w:r>
          </w:p>
        </w:tc>
        <w:tc>
          <w:tcPr>
            <w:tcW w:w="590" w:type="pct"/>
            <w:tcBorders>
              <w:tl2br w:val="nil"/>
              <w:tr2bl w:val="nil"/>
            </w:tcBorders>
            <w:vAlign w:val="center"/>
          </w:tcPr>
          <w:p w14:paraId="40565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45</w:t>
            </w:r>
          </w:p>
        </w:tc>
      </w:tr>
      <w:tr w14:paraId="02272F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tcBorders>
              <w:tl2br w:val="nil"/>
              <w:tr2bl w:val="nil"/>
            </w:tcBorders>
            <w:vAlign w:val="center"/>
          </w:tcPr>
          <w:p w14:paraId="453BEC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项目区南侧外 1m</w:t>
            </w:r>
          </w:p>
        </w:tc>
        <w:tc>
          <w:tcPr>
            <w:tcW w:w="769" w:type="pct"/>
            <w:vMerge w:val="continue"/>
            <w:tcBorders>
              <w:tl2br w:val="nil"/>
              <w:tr2bl w:val="nil"/>
            </w:tcBorders>
            <w:vAlign w:val="center"/>
          </w:tcPr>
          <w:p w14:paraId="5C880B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98" w:type="pct"/>
            <w:tcBorders>
              <w:tl2br w:val="nil"/>
              <w:tr2bl w:val="nil"/>
            </w:tcBorders>
            <w:vAlign w:val="center"/>
          </w:tcPr>
          <w:p w14:paraId="7CE7A1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15:14</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15:17</w:t>
            </w:r>
          </w:p>
        </w:tc>
        <w:tc>
          <w:tcPr>
            <w:tcW w:w="589" w:type="pct"/>
            <w:tcBorders>
              <w:tl2br w:val="nil"/>
              <w:tr2bl w:val="nil"/>
            </w:tcBorders>
            <w:vAlign w:val="center"/>
          </w:tcPr>
          <w:p w14:paraId="6ED715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53</w:t>
            </w:r>
          </w:p>
        </w:tc>
        <w:tc>
          <w:tcPr>
            <w:tcW w:w="898" w:type="pct"/>
            <w:tcBorders>
              <w:tl2br w:val="nil"/>
              <w:tr2bl w:val="nil"/>
            </w:tcBorders>
            <w:vAlign w:val="center"/>
          </w:tcPr>
          <w:p w14:paraId="6FB5F6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03:09</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03:12</w:t>
            </w:r>
          </w:p>
        </w:tc>
        <w:tc>
          <w:tcPr>
            <w:tcW w:w="590" w:type="pct"/>
            <w:tcBorders>
              <w:tl2br w:val="nil"/>
              <w:tr2bl w:val="nil"/>
            </w:tcBorders>
            <w:vAlign w:val="center"/>
          </w:tcPr>
          <w:p w14:paraId="73084D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46</w:t>
            </w:r>
          </w:p>
        </w:tc>
      </w:tr>
      <w:tr w14:paraId="0EF602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tcBorders>
              <w:tl2br w:val="nil"/>
              <w:tr2bl w:val="nil"/>
            </w:tcBorders>
            <w:vAlign w:val="center"/>
          </w:tcPr>
          <w:p w14:paraId="7C28B9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项目区西侧外 1m</w:t>
            </w:r>
          </w:p>
        </w:tc>
        <w:tc>
          <w:tcPr>
            <w:tcW w:w="769" w:type="pct"/>
            <w:vMerge w:val="continue"/>
            <w:tcBorders>
              <w:tl2br w:val="nil"/>
              <w:tr2bl w:val="nil"/>
            </w:tcBorders>
            <w:vAlign w:val="center"/>
          </w:tcPr>
          <w:p w14:paraId="50EF42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98" w:type="pct"/>
            <w:tcBorders>
              <w:tl2br w:val="nil"/>
              <w:tr2bl w:val="nil"/>
            </w:tcBorders>
            <w:vAlign w:val="center"/>
          </w:tcPr>
          <w:p w14:paraId="28FE9A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15:21</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15:24</w:t>
            </w:r>
          </w:p>
        </w:tc>
        <w:tc>
          <w:tcPr>
            <w:tcW w:w="589" w:type="pct"/>
            <w:tcBorders>
              <w:tl2br w:val="nil"/>
              <w:tr2bl w:val="nil"/>
            </w:tcBorders>
            <w:vAlign w:val="center"/>
          </w:tcPr>
          <w:p w14:paraId="45A20F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52</w:t>
            </w:r>
          </w:p>
        </w:tc>
        <w:tc>
          <w:tcPr>
            <w:tcW w:w="898" w:type="pct"/>
            <w:tcBorders>
              <w:tl2br w:val="nil"/>
              <w:tr2bl w:val="nil"/>
            </w:tcBorders>
            <w:vAlign w:val="center"/>
          </w:tcPr>
          <w:p w14:paraId="3B5FBB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03:16</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03:19</w:t>
            </w:r>
          </w:p>
        </w:tc>
        <w:tc>
          <w:tcPr>
            <w:tcW w:w="590" w:type="pct"/>
            <w:tcBorders>
              <w:tl2br w:val="nil"/>
              <w:tr2bl w:val="nil"/>
            </w:tcBorders>
            <w:vAlign w:val="center"/>
          </w:tcPr>
          <w:p w14:paraId="45C742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45</w:t>
            </w:r>
          </w:p>
        </w:tc>
      </w:tr>
      <w:tr w14:paraId="508437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tcBorders>
              <w:tl2br w:val="nil"/>
              <w:tr2bl w:val="nil"/>
            </w:tcBorders>
            <w:vAlign w:val="center"/>
          </w:tcPr>
          <w:p w14:paraId="31C5A4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项目区北侧外 1m</w:t>
            </w:r>
          </w:p>
        </w:tc>
        <w:tc>
          <w:tcPr>
            <w:tcW w:w="769" w:type="pct"/>
            <w:vMerge w:val="continue"/>
            <w:tcBorders>
              <w:tl2br w:val="nil"/>
              <w:tr2bl w:val="nil"/>
            </w:tcBorders>
            <w:vAlign w:val="center"/>
          </w:tcPr>
          <w:p w14:paraId="10DC6E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98" w:type="pct"/>
            <w:tcBorders>
              <w:tl2br w:val="nil"/>
              <w:tr2bl w:val="nil"/>
            </w:tcBorders>
            <w:vAlign w:val="center"/>
          </w:tcPr>
          <w:p w14:paraId="649273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15:28</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15:31</w:t>
            </w:r>
          </w:p>
        </w:tc>
        <w:tc>
          <w:tcPr>
            <w:tcW w:w="589" w:type="pct"/>
            <w:tcBorders>
              <w:tl2br w:val="nil"/>
              <w:tr2bl w:val="nil"/>
            </w:tcBorders>
            <w:vAlign w:val="center"/>
          </w:tcPr>
          <w:p w14:paraId="4FBFC9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54</w:t>
            </w:r>
          </w:p>
        </w:tc>
        <w:tc>
          <w:tcPr>
            <w:tcW w:w="898" w:type="pct"/>
            <w:tcBorders>
              <w:tl2br w:val="nil"/>
              <w:tr2bl w:val="nil"/>
            </w:tcBorders>
            <w:vAlign w:val="center"/>
          </w:tcPr>
          <w:p w14:paraId="2625DA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03:23</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03:26</w:t>
            </w:r>
          </w:p>
        </w:tc>
        <w:tc>
          <w:tcPr>
            <w:tcW w:w="590" w:type="pct"/>
            <w:tcBorders>
              <w:tl2br w:val="nil"/>
              <w:tr2bl w:val="nil"/>
            </w:tcBorders>
            <w:vAlign w:val="center"/>
          </w:tcPr>
          <w:p w14:paraId="403497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44</w:t>
            </w:r>
          </w:p>
        </w:tc>
      </w:tr>
      <w:tr w14:paraId="04548B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tcBorders>
              <w:tl2br w:val="nil"/>
              <w:tr2bl w:val="nil"/>
            </w:tcBorders>
            <w:vAlign w:val="center"/>
          </w:tcPr>
          <w:p w14:paraId="26463B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项目区东侧外 1m</w:t>
            </w:r>
          </w:p>
        </w:tc>
        <w:tc>
          <w:tcPr>
            <w:tcW w:w="769" w:type="pct"/>
            <w:vMerge w:val="restart"/>
            <w:tcBorders>
              <w:tl2br w:val="nil"/>
              <w:tr2bl w:val="nil"/>
            </w:tcBorders>
            <w:vAlign w:val="center"/>
          </w:tcPr>
          <w:p w14:paraId="426382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val="en-US" w:eastAsia="zh-CN"/>
              </w:rPr>
              <w:t>2023年</w:t>
            </w:r>
            <w:r>
              <w:rPr>
                <w:rFonts w:hint="eastAsia" w:ascii="宋体" w:hAnsi="宋体" w:eastAsia="宋体" w:cs="宋体"/>
                <w:color w:val="auto"/>
                <w:sz w:val="21"/>
                <w:szCs w:val="21"/>
                <w:u w:val="none"/>
              </w:rPr>
              <w:t>9 月 17 日</w:t>
            </w:r>
          </w:p>
        </w:tc>
        <w:tc>
          <w:tcPr>
            <w:tcW w:w="898" w:type="pct"/>
            <w:tcBorders>
              <w:tl2br w:val="nil"/>
              <w:tr2bl w:val="nil"/>
            </w:tcBorders>
            <w:vAlign w:val="center"/>
          </w:tcPr>
          <w:p w14:paraId="767A7B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15:12</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15:15</w:t>
            </w:r>
          </w:p>
        </w:tc>
        <w:tc>
          <w:tcPr>
            <w:tcW w:w="589" w:type="pct"/>
            <w:tcBorders>
              <w:tl2br w:val="nil"/>
              <w:tr2bl w:val="nil"/>
            </w:tcBorders>
            <w:vAlign w:val="center"/>
          </w:tcPr>
          <w:p w14:paraId="546E21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54</w:t>
            </w:r>
          </w:p>
        </w:tc>
        <w:tc>
          <w:tcPr>
            <w:tcW w:w="898" w:type="pct"/>
            <w:tcBorders>
              <w:tl2br w:val="nil"/>
              <w:tr2bl w:val="nil"/>
            </w:tcBorders>
            <w:vAlign w:val="center"/>
          </w:tcPr>
          <w:p w14:paraId="22F7C8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03:09</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03:12</w:t>
            </w:r>
          </w:p>
        </w:tc>
        <w:tc>
          <w:tcPr>
            <w:tcW w:w="590" w:type="pct"/>
            <w:tcBorders>
              <w:tl2br w:val="nil"/>
              <w:tr2bl w:val="nil"/>
            </w:tcBorders>
            <w:vAlign w:val="center"/>
          </w:tcPr>
          <w:p w14:paraId="767115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46</w:t>
            </w:r>
          </w:p>
        </w:tc>
      </w:tr>
      <w:tr w14:paraId="1F5464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tcBorders>
              <w:tl2br w:val="nil"/>
              <w:tr2bl w:val="nil"/>
            </w:tcBorders>
            <w:vAlign w:val="center"/>
          </w:tcPr>
          <w:p w14:paraId="243212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项目区南侧外 1m</w:t>
            </w:r>
          </w:p>
        </w:tc>
        <w:tc>
          <w:tcPr>
            <w:tcW w:w="769" w:type="pct"/>
            <w:vMerge w:val="continue"/>
            <w:tcBorders>
              <w:tl2br w:val="nil"/>
              <w:tr2bl w:val="nil"/>
            </w:tcBorders>
            <w:vAlign w:val="center"/>
          </w:tcPr>
          <w:p w14:paraId="59FE28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98" w:type="pct"/>
            <w:tcBorders>
              <w:tl2br w:val="nil"/>
              <w:tr2bl w:val="nil"/>
            </w:tcBorders>
            <w:vAlign w:val="center"/>
          </w:tcPr>
          <w:p w14:paraId="4F9523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15:19</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15:22</w:t>
            </w:r>
          </w:p>
        </w:tc>
        <w:tc>
          <w:tcPr>
            <w:tcW w:w="589" w:type="pct"/>
            <w:tcBorders>
              <w:tl2br w:val="nil"/>
              <w:tr2bl w:val="nil"/>
            </w:tcBorders>
            <w:vAlign w:val="center"/>
          </w:tcPr>
          <w:p w14:paraId="725044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53</w:t>
            </w:r>
          </w:p>
        </w:tc>
        <w:tc>
          <w:tcPr>
            <w:tcW w:w="898" w:type="pct"/>
            <w:tcBorders>
              <w:tl2br w:val="nil"/>
              <w:tr2bl w:val="nil"/>
            </w:tcBorders>
            <w:vAlign w:val="center"/>
          </w:tcPr>
          <w:p w14:paraId="1AA338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03:16</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03:19</w:t>
            </w:r>
          </w:p>
        </w:tc>
        <w:tc>
          <w:tcPr>
            <w:tcW w:w="590" w:type="pct"/>
            <w:tcBorders>
              <w:tl2br w:val="nil"/>
              <w:tr2bl w:val="nil"/>
            </w:tcBorders>
            <w:vAlign w:val="center"/>
          </w:tcPr>
          <w:p w14:paraId="14E1AB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45</w:t>
            </w:r>
          </w:p>
        </w:tc>
      </w:tr>
      <w:tr w14:paraId="70B9A7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tcBorders>
              <w:tl2br w:val="nil"/>
              <w:tr2bl w:val="nil"/>
            </w:tcBorders>
            <w:vAlign w:val="center"/>
          </w:tcPr>
          <w:p w14:paraId="0E0C0F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项目区西侧外 1m</w:t>
            </w:r>
          </w:p>
        </w:tc>
        <w:tc>
          <w:tcPr>
            <w:tcW w:w="769" w:type="pct"/>
            <w:vMerge w:val="continue"/>
            <w:tcBorders>
              <w:tl2br w:val="nil"/>
              <w:tr2bl w:val="nil"/>
            </w:tcBorders>
            <w:vAlign w:val="center"/>
          </w:tcPr>
          <w:p w14:paraId="6CEEA4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98" w:type="pct"/>
            <w:tcBorders>
              <w:tl2br w:val="nil"/>
              <w:tr2bl w:val="nil"/>
            </w:tcBorders>
            <w:vAlign w:val="center"/>
          </w:tcPr>
          <w:p w14:paraId="7C9461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15:26</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15:29</w:t>
            </w:r>
          </w:p>
        </w:tc>
        <w:tc>
          <w:tcPr>
            <w:tcW w:w="589" w:type="pct"/>
            <w:tcBorders>
              <w:tl2br w:val="nil"/>
              <w:tr2bl w:val="nil"/>
            </w:tcBorders>
            <w:vAlign w:val="center"/>
          </w:tcPr>
          <w:p w14:paraId="36A029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53</w:t>
            </w:r>
          </w:p>
        </w:tc>
        <w:tc>
          <w:tcPr>
            <w:tcW w:w="898" w:type="pct"/>
            <w:tcBorders>
              <w:tl2br w:val="nil"/>
              <w:tr2bl w:val="nil"/>
            </w:tcBorders>
            <w:vAlign w:val="center"/>
          </w:tcPr>
          <w:p w14:paraId="5D1D91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03:23</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03:26</w:t>
            </w:r>
          </w:p>
        </w:tc>
        <w:tc>
          <w:tcPr>
            <w:tcW w:w="590" w:type="pct"/>
            <w:tcBorders>
              <w:tl2br w:val="nil"/>
              <w:tr2bl w:val="nil"/>
            </w:tcBorders>
            <w:vAlign w:val="center"/>
          </w:tcPr>
          <w:p w14:paraId="188FCD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44</w:t>
            </w:r>
          </w:p>
        </w:tc>
      </w:tr>
      <w:tr w14:paraId="2F6F8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53" w:type="pct"/>
            <w:tcBorders>
              <w:tl2br w:val="nil"/>
              <w:tr2bl w:val="nil"/>
            </w:tcBorders>
            <w:vAlign w:val="center"/>
          </w:tcPr>
          <w:p w14:paraId="4C773D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项目区北侧外 1m</w:t>
            </w:r>
          </w:p>
        </w:tc>
        <w:tc>
          <w:tcPr>
            <w:tcW w:w="769" w:type="pct"/>
            <w:vMerge w:val="continue"/>
            <w:tcBorders>
              <w:tl2br w:val="nil"/>
              <w:tr2bl w:val="nil"/>
            </w:tcBorders>
            <w:vAlign w:val="center"/>
          </w:tcPr>
          <w:p w14:paraId="4754C9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98" w:type="pct"/>
            <w:tcBorders>
              <w:tl2br w:val="nil"/>
              <w:tr2bl w:val="nil"/>
            </w:tcBorders>
            <w:vAlign w:val="center"/>
          </w:tcPr>
          <w:p w14:paraId="2CDB1D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15:33</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15:36</w:t>
            </w:r>
          </w:p>
        </w:tc>
        <w:tc>
          <w:tcPr>
            <w:tcW w:w="589" w:type="pct"/>
            <w:tcBorders>
              <w:tl2br w:val="nil"/>
              <w:tr2bl w:val="nil"/>
            </w:tcBorders>
            <w:vAlign w:val="center"/>
          </w:tcPr>
          <w:p w14:paraId="4E9A76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55</w:t>
            </w:r>
          </w:p>
        </w:tc>
        <w:tc>
          <w:tcPr>
            <w:tcW w:w="898" w:type="pct"/>
            <w:tcBorders>
              <w:tl2br w:val="nil"/>
              <w:tr2bl w:val="nil"/>
            </w:tcBorders>
            <w:vAlign w:val="center"/>
          </w:tcPr>
          <w:p w14:paraId="482F39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03:30</w:t>
            </w:r>
            <w:r>
              <w:rPr>
                <w:rFonts w:hint="eastAsia" w:ascii="宋体" w:hAnsi="宋体" w:cs="宋体"/>
                <w:color w:val="auto"/>
                <w:sz w:val="21"/>
                <w:szCs w:val="21"/>
                <w:u w:val="none"/>
                <w:lang w:val="en-US" w:eastAsia="zh-CN"/>
              </w:rPr>
              <w:t>～</w:t>
            </w:r>
            <w:r>
              <w:rPr>
                <w:rFonts w:hint="eastAsia" w:ascii="宋体" w:hAnsi="宋体" w:eastAsia="宋体" w:cs="宋体"/>
                <w:color w:val="auto"/>
                <w:sz w:val="21"/>
                <w:szCs w:val="21"/>
                <w:u w:val="none"/>
              </w:rPr>
              <w:t>03:33</w:t>
            </w:r>
          </w:p>
        </w:tc>
        <w:tc>
          <w:tcPr>
            <w:tcW w:w="590" w:type="pct"/>
            <w:tcBorders>
              <w:tl2br w:val="nil"/>
              <w:tr2bl w:val="nil"/>
            </w:tcBorders>
            <w:vAlign w:val="center"/>
          </w:tcPr>
          <w:p w14:paraId="21E13F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45</w:t>
            </w:r>
          </w:p>
        </w:tc>
      </w:tr>
    </w:tbl>
    <w:p w14:paraId="0841B862">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default" w:ascii="宋体" w:hAnsi="宋体" w:eastAsia="宋体" w:cs="宋体"/>
          <w:color w:val="auto"/>
          <w:kern w:val="0"/>
          <w:sz w:val="24"/>
          <w:szCs w:val="24"/>
          <w:highlight w:val="none"/>
          <w:u w:val="none"/>
          <w:lang w:eastAsia="zh-CN"/>
        </w:rPr>
      </w:pPr>
      <w:r>
        <w:rPr>
          <w:rFonts w:hint="default" w:ascii="宋体" w:hAnsi="宋体" w:eastAsia="宋体" w:cs="宋体"/>
          <w:color w:val="auto"/>
          <w:kern w:val="0"/>
          <w:sz w:val="24"/>
          <w:szCs w:val="24"/>
          <w:highlight w:val="none"/>
          <w:u w:val="none"/>
          <w:lang w:eastAsia="zh-CN"/>
        </w:rPr>
        <w:t>（5）固体废物环境影响回顾评价</w:t>
      </w:r>
    </w:p>
    <w:p w14:paraId="01BD0AE2">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lang w:val="en-US" w:eastAsia="zh-CN"/>
        </w:rPr>
      </w:pPr>
      <w:r>
        <w:rPr>
          <w:rFonts w:hint="default" w:ascii="宋体" w:hAnsi="宋体" w:eastAsia="宋体" w:cs="宋体"/>
          <w:color w:val="auto"/>
          <w:kern w:val="0"/>
          <w:sz w:val="24"/>
          <w:szCs w:val="24"/>
          <w:highlight w:val="none"/>
          <w:u w:val="none"/>
          <w:lang w:val="en-US" w:eastAsia="zh-CN"/>
        </w:rPr>
        <w:t>油田开发建设项目</w:t>
      </w:r>
      <w:r>
        <w:rPr>
          <w:rFonts w:hint="eastAsia" w:ascii="宋体" w:hAnsi="宋体" w:eastAsia="宋体" w:cs="宋体"/>
          <w:color w:val="auto"/>
          <w:kern w:val="0"/>
          <w:sz w:val="24"/>
          <w:szCs w:val="24"/>
          <w:highlight w:val="none"/>
          <w:u w:val="none"/>
          <w:lang w:val="en-US" w:eastAsia="zh-CN"/>
        </w:rPr>
        <w:t>施工期</w:t>
      </w:r>
      <w:r>
        <w:rPr>
          <w:rFonts w:hint="default" w:ascii="宋体" w:hAnsi="宋体" w:eastAsia="宋体" w:cs="宋体"/>
          <w:color w:val="auto"/>
          <w:kern w:val="0"/>
          <w:sz w:val="24"/>
          <w:szCs w:val="24"/>
          <w:highlight w:val="none"/>
          <w:u w:val="none"/>
          <w:lang w:val="en-US" w:eastAsia="zh-CN"/>
        </w:rPr>
        <w:t>，产生的固体废弃物主要来自钻井产生的泥浆、岩屑，以及生活垃圾。钻井期生活垃圾收集后运送至乌尔禾区生活垃圾填埋场。2016年11月之前，废弃钻井液和岩屑等排入钻屑储集防渗池固化后，覆土填埋处理</w:t>
      </w:r>
      <w:r>
        <w:rPr>
          <w:rFonts w:hint="eastAsia" w:ascii="宋体" w:hAnsi="宋体" w:eastAsia="宋体" w:cs="宋体"/>
          <w:color w:val="auto"/>
          <w:kern w:val="0"/>
          <w:sz w:val="24"/>
          <w:szCs w:val="24"/>
          <w:highlight w:val="none"/>
          <w:u w:val="none"/>
          <w:lang w:val="en-US" w:eastAsia="zh-CN"/>
        </w:rPr>
        <w:t>，</w:t>
      </w:r>
      <w:r>
        <w:rPr>
          <w:rFonts w:hint="default" w:ascii="宋体" w:hAnsi="宋体" w:eastAsia="宋体" w:cs="宋体"/>
          <w:color w:val="auto"/>
          <w:kern w:val="0"/>
          <w:sz w:val="24"/>
          <w:szCs w:val="24"/>
          <w:highlight w:val="none"/>
          <w:u w:val="none"/>
          <w:lang w:val="en-US" w:eastAsia="zh-CN"/>
        </w:rPr>
        <w:t>2016年11月以后，钻井采用泥浆不落地工艺，泥浆循环利用，完井后剩余泥浆由西部钻探钻井液分公司回收，岩屑暂存于井场岩屑储罐，完井后拉运至新疆宇洲能源科技有限责任公司合规处置；钻井产生的废油基泥浆及含油岩屑、油基钻井液不落地系统的防渗膜属于危险废物，由克拉玛依博达生态环保科技有限责任公司处置</w:t>
      </w:r>
      <w:r>
        <w:rPr>
          <w:rFonts w:hint="eastAsia" w:ascii="宋体" w:hAnsi="宋体" w:eastAsia="宋体" w:cs="宋体"/>
          <w:color w:val="auto"/>
          <w:kern w:val="0"/>
          <w:sz w:val="24"/>
          <w:szCs w:val="24"/>
          <w:highlight w:val="none"/>
          <w:u w:val="none"/>
          <w:lang w:val="en-US" w:eastAsia="zh-CN"/>
        </w:rPr>
        <w:t>。</w:t>
      </w:r>
    </w:p>
    <w:p w14:paraId="195AF6CE">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lang w:val="en-US" w:eastAsia="zh-CN"/>
        </w:rPr>
      </w:pPr>
      <w:r>
        <w:rPr>
          <w:rFonts w:hint="default" w:ascii="宋体" w:hAnsi="宋体" w:eastAsia="宋体" w:cs="宋体"/>
          <w:color w:val="auto"/>
          <w:kern w:val="0"/>
          <w:sz w:val="24"/>
          <w:szCs w:val="24"/>
          <w:highlight w:val="none"/>
          <w:u w:val="none"/>
          <w:lang w:val="en-US" w:eastAsia="zh-CN"/>
        </w:rPr>
        <w:t>油田开发建设项目</w:t>
      </w:r>
      <w:r>
        <w:rPr>
          <w:rFonts w:hint="eastAsia" w:ascii="宋体" w:hAnsi="宋体" w:eastAsia="宋体" w:cs="宋体"/>
          <w:color w:val="auto"/>
          <w:kern w:val="0"/>
          <w:sz w:val="24"/>
          <w:szCs w:val="24"/>
          <w:highlight w:val="none"/>
          <w:u w:val="none"/>
          <w:lang w:val="en-US" w:eastAsia="zh-CN"/>
        </w:rPr>
        <w:t>运营期</w:t>
      </w:r>
      <w:r>
        <w:rPr>
          <w:rFonts w:hint="default" w:ascii="宋体" w:hAnsi="宋体" w:eastAsia="宋体" w:cs="宋体"/>
          <w:color w:val="auto"/>
          <w:kern w:val="0"/>
          <w:sz w:val="24"/>
          <w:szCs w:val="24"/>
          <w:highlight w:val="none"/>
          <w:u w:val="none"/>
          <w:lang w:val="en-US" w:eastAsia="zh-CN"/>
        </w:rPr>
        <w:t>，产生的固体废弃物主要有落地原油、井下作业废酸化压裂液、含油污泥。</w:t>
      </w:r>
    </w:p>
    <w:p w14:paraId="760662E7">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default" w:ascii="宋体" w:hAnsi="宋体" w:eastAsia="宋体" w:cs="宋体"/>
          <w:color w:val="auto"/>
          <w:kern w:val="0"/>
          <w:sz w:val="24"/>
          <w:szCs w:val="24"/>
          <w:highlight w:val="none"/>
          <w:u w:val="none"/>
          <w:lang w:val="en-US" w:eastAsia="zh-CN"/>
        </w:rPr>
      </w:pPr>
      <w:r>
        <w:rPr>
          <w:rFonts w:hint="default" w:ascii="宋体" w:hAnsi="宋体" w:eastAsia="宋体" w:cs="宋体"/>
          <w:color w:val="auto"/>
          <w:kern w:val="0"/>
          <w:sz w:val="24"/>
          <w:szCs w:val="24"/>
          <w:highlight w:val="none"/>
          <w:u w:val="none"/>
          <w:lang w:val="en-US" w:eastAsia="zh-CN"/>
        </w:rPr>
        <w:t>运营期产生的清罐底泥、油泥（砂）由石西油田作业区委托克拉玛依博达生态环保科技有限责任公司进行回收处理。井下作业采用带罐（车）作业，作业范围地表铺设工程塑料，做到原油不落地。</w:t>
      </w:r>
    </w:p>
    <w:p w14:paraId="0418FDF0">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default" w:ascii="宋体" w:hAnsi="宋体" w:eastAsia="宋体" w:cs="宋体"/>
          <w:color w:val="auto"/>
          <w:kern w:val="0"/>
          <w:sz w:val="24"/>
          <w:szCs w:val="24"/>
          <w:highlight w:val="none"/>
          <w:u w:val="none"/>
          <w:lang w:eastAsia="zh-CN"/>
        </w:rPr>
      </w:pPr>
      <w:r>
        <w:rPr>
          <w:rFonts w:hint="default" w:ascii="宋体" w:hAnsi="宋体" w:eastAsia="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lang w:val="en-US" w:eastAsia="zh-CN"/>
        </w:rPr>
        <w:t>6</w:t>
      </w:r>
      <w:r>
        <w:rPr>
          <w:rFonts w:hint="default" w:ascii="宋体" w:hAnsi="宋体" w:eastAsia="宋体" w:cs="宋体"/>
          <w:color w:val="auto"/>
          <w:kern w:val="0"/>
          <w:sz w:val="24"/>
          <w:szCs w:val="24"/>
          <w:highlight w:val="none"/>
          <w:u w:val="none"/>
          <w:lang w:eastAsia="zh-CN"/>
        </w:rPr>
        <w:t>）土壤环境影响回顾评价</w:t>
      </w:r>
    </w:p>
    <w:p w14:paraId="0D2EEFA3">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lang w:val="en-US" w:eastAsia="zh-CN"/>
        </w:rPr>
        <w:t>根据油气田开发建设的特点分析，区块开发建设对土壤环境的影响主要是地面建设施工如井场、道路、管线等占用土地和造成地表破坏。工程占地改变了原有土壤结构和性质，使表层土内有机质含量降低，并且使土壤的富集过程受阻，土壤生产力下降。在进行地面构筑物施工时，将对施工范围内的土壤表层进行干扰和破坏，土壤表层结构、肥力将受到影响，尤其是在敷设管线时，对地表的开挖将对开挖范围内土壤剖面造成破坏，填埋时不能完全保证恢复原状，土壤正常发育将受到影响，土壤易沙化风蚀。</w:t>
      </w:r>
    </w:p>
    <w:p w14:paraId="49AC6067">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lang w:val="en-US" w:eastAsia="zh-CN"/>
        </w:rPr>
        <w:t>此外，运营期过程中，来自井场、站场产生的污染物对土壤环境产生一定的影响，如废水和固废进入土壤造成土壤的污染，但这些影响主要是发生在事故条件下，如单井管线爆管泄漏致使污油进入土壤。另外各类机械设备出现跑、冒、漏油故障，对外环境造成油污染。这些污染主要呈点片状分布，在横向上以发生源为中心向四周扩散，距漏油点越远，土壤中含油量越少，从土壤环境污染现状调查可知，在纵向上石油的渗透力随土质有很大的差别，质地越粗，下渗力越强。进入土壤的油污一般富集在土层表面40cm以内，积存于表层会影响表层土壤通透性，影响土壤养分的释放，降低土壤动物及微生物的活性，使土壤的综合肥力下降，最终影响植物根系的呼吸作业和吸收作用。</w:t>
      </w:r>
    </w:p>
    <w:p w14:paraId="5DECB09B">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default" w:ascii="宋体" w:hAnsi="宋体" w:eastAsia="宋体" w:cs="宋体"/>
          <w:color w:val="auto"/>
          <w:kern w:val="0"/>
          <w:sz w:val="24"/>
          <w:szCs w:val="24"/>
          <w:highlight w:val="none"/>
          <w:u w:val="none"/>
          <w:lang w:val="en-US" w:eastAsia="zh-CN"/>
        </w:rPr>
      </w:pPr>
      <w:r>
        <w:rPr>
          <w:rFonts w:hint="default" w:ascii="宋体" w:hAnsi="宋体" w:eastAsia="宋体" w:cs="宋体"/>
          <w:color w:val="auto"/>
          <w:kern w:val="0"/>
          <w:sz w:val="24"/>
          <w:szCs w:val="24"/>
          <w:highlight w:val="none"/>
          <w:u w:val="none"/>
          <w:lang w:val="en-US" w:eastAsia="zh-CN"/>
        </w:rPr>
        <w:t>根据</w:t>
      </w:r>
      <w:r>
        <w:rPr>
          <w:rFonts w:hint="eastAsia" w:ascii="宋体" w:hAnsi="宋体" w:eastAsia="宋体" w:cs="宋体"/>
          <w:color w:val="auto"/>
          <w:kern w:val="0"/>
          <w:sz w:val="24"/>
          <w:szCs w:val="24"/>
          <w:highlight w:val="none"/>
          <w:u w:val="none"/>
          <w:lang w:val="en-US" w:eastAsia="zh-CN"/>
        </w:rPr>
        <w:t>《</w:t>
      </w:r>
      <w:r>
        <w:rPr>
          <w:rFonts w:hint="default" w:ascii="宋体" w:hAnsi="宋体" w:eastAsia="宋体" w:cs="宋体"/>
          <w:color w:val="auto"/>
          <w:kern w:val="0"/>
          <w:sz w:val="24"/>
          <w:szCs w:val="24"/>
          <w:highlight w:val="none"/>
          <w:u w:val="none"/>
          <w:lang w:val="en-US" w:eastAsia="zh-CN"/>
        </w:rPr>
        <w:t>莫北油田莫11井区三工河组油藏开发建设工程竣工环境保护验收报告》</w:t>
      </w:r>
      <w:r>
        <w:rPr>
          <w:rFonts w:hint="eastAsia" w:ascii="宋体" w:hAnsi="宋体" w:eastAsia="宋体" w:cs="宋体"/>
          <w:color w:val="auto"/>
          <w:kern w:val="0"/>
          <w:sz w:val="24"/>
          <w:szCs w:val="24"/>
          <w:highlight w:val="none"/>
          <w:u w:val="none"/>
          <w:lang w:val="en-US" w:eastAsia="zh-CN"/>
        </w:rPr>
        <w:t>中于2023年9月对</w:t>
      </w:r>
      <w:r>
        <w:rPr>
          <w:rFonts w:hint="default" w:ascii="宋体" w:hAnsi="宋体" w:eastAsia="宋体" w:cs="宋体"/>
          <w:color w:val="auto"/>
          <w:kern w:val="0"/>
          <w:sz w:val="24"/>
          <w:szCs w:val="24"/>
          <w:highlight w:val="none"/>
          <w:u w:val="none"/>
          <w:lang w:val="en-US" w:eastAsia="zh-CN"/>
        </w:rPr>
        <w:t>MBHW1103</w:t>
      </w:r>
      <w:r>
        <w:rPr>
          <w:rFonts w:hint="eastAsia" w:ascii="宋体" w:hAnsi="宋体" w:eastAsia="宋体" w:cs="宋体"/>
          <w:color w:val="auto"/>
          <w:kern w:val="0"/>
          <w:sz w:val="24"/>
          <w:szCs w:val="24"/>
          <w:highlight w:val="none"/>
          <w:u w:val="none"/>
          <w:lang w:val="en-US" w:eastAsia="zh-CN"/>
        </w:rPr>
        <w:t>井场占地范围内土壤</w:t>
      </w:r>
      <w:r>
        <w:rPr>
          <w:rFonts w:hint="default" w:ascii="宋体" w:hAnsi="宋体" w:eastAsia="宋体" w:cs="宋体"/>
          <w:color w:val="auto"/>
          <w:kern w:val="0"/>
          <w:sz w:val="24"/>
          <w:szCs w:val="24"/>
          <w:highlight w:val="none"/>
          <w:u w:val="none"/>
          <w:lang w:val="en-US" w:eastAsia="zh-CN"/>
        </w:rPr>
        <w:t>的监测数据可知</w:t>
      </w:r>
      <w:r>
        <w:rPr>
          <w:rFonts w:hint="eastAsia" w:ascii="宋体" w:hAnsi="宋体" w:eastAsia="宋体" w:cs="宋体"/>
          <w:color w:val="auto"/>
          <w:kern w:val="0"/>
          <w:sz w:val="24"/>
          <w:szCs w:val="24"/>
          <w:highlight w:val="none"/>
          <w:u w:val="none"/>
          <w:lang w:val="en-US" w:eastAsia="zh-CN"/>
        </w:rPr>
        <w:t>：MBHW1103井场土壤pH为8.36，说明土壤呈碱性；土壤中重金属元素和石油烃含量相对较低，远小于《土壤环境质量建设用地土壤污染风险管控标准（试行）》（GB36600-2018）第二类用地筛选值要求。</w:t>
      </w:r>
    </w:p>
    <w:p w14:paraId="6DBCCA5B">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eastAsia" w:ascii="宋体" w:hAnsi="宋体" w:eastAsia="宋体" w:cs="宋体"/>
          <w:color w:val="auto"/>
          <w:kern w:val="0"/>
          <w:sz w:val="24"/>
          <w:szCs w:val="24"/>
          <w:highlight w:val="none"/>
          <w:u w:val="none"/>
          <w:lang w:val="en-US" w:eastAsia="zh-CN"/>
        </w:rPr>
        <w:t>验收监测数据，见表3.2-4。</w:t>
      </w:r>
    </w:p>
    <w:p w14:paraId="5A5368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en-US" w:bidi="ar-SA"/>
        </w:rPr>
      </w:pPr>
    </w:p>
    <w:p w14:paraId="4F6E5E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en-US" w:bidi="ar-SA"/>
        </w:rPr>
      </w:pPr>
    </w:p>
    <w:p w14:paraId="5586F0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en-US" w:bidi="ar-SA"/>
        </w:rPr>
      </w:pPr>
    </w:p>
    <w:p w14:paraId="3C36DC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en-US" w:bidi="ar-SA"/>
        </w:rPr>
      </w:pPr>
      <w:r>
        <w:rPr>
          <w:rFonts w:hint="eastAsia" w:ascii="黑体" w:hAnsi="黑体" w:eastAsia="黑体" w:cs="黑体"/>
          <w:b w:val="0"/>
          <w:bCs/>
          <w:color w:val="auto"/>
          <w:kern w:val="2"/>
          <w:sz w:val="24"/>
          <w:szCs w:val="24"/>
          <w:u w:val="none"/>
          <w:lang w:val="en-US" w:eastAsia="en-US" w:bidi="ar-SA"/>
        </w:rPr>
        <w:t xml:space="preserve">表 </w:t>
      </w:r>
      <w:r>
        <w:rPr>
          <w:rFonts w:hint="eastAsia" w:ascii="黑体" w:hAnsi="黑体" w:eastAsia="黑体" w:cs="黑体"/>
          <w:b w:val="0"/>
          <w:bCs/>
          <w:color w:val="auto"/>
          <w:kern w:val="2"/>
          <w:sz w:val="24"/>
          <w:szCs w:val="24"/>
          <w:u w:val="none"/>
          <w:lang w:val="en-US" w:eastAsia="zh-CN" w:bidi="ar-SA"/>
        </w:rPr>
        <w:t>3</w:t>
      </w:r>
      <w:r>
        <w:rPr>
          <w:rFonts w:hint="eastAsia" w:ascii="黑体" w:hAnsi="黑体" w:eastAsia="黑体" w:cs="黑体"/>
          <w:b w:val="0"/>
          <w:bCs/>
          <w:color w:val="auto"/>
          <w:kern w:val="2"/>
          <w:sz w:val="24"/>
          <w:szCs w:val="24"/>
          <w:u w:val="none"/>
          <w:lang w:val="en-US" w:eastAsia="en-US" w:bidi="ar-SA"/>
        </w:rPr>
        <w:t>.2-</w:t>
      </w:r>
      <w:r>
        <w:rPr>
          <w:rFonts w:hint="eastAsia" w:ascii="黑体" w:hAnsi="黑体" w:eastAsia="黑体" w:cs="黑体"/>
          <w:b w:val="0"/>
          <w:bCs/>
          <w:color w:val="auto"/>
          <w:kern w:val="2"/>
          <w:sz w:val="24"/>
          <w:szCs w:val="24"/>
          <w:u w:val="none"/>
          <w:lang w:val="en-US" w:eastAsia="zh-CN" w:bidi="ar-SA"/>
        </w:rPr>
        <w:t>4  土壤</w:t>
      </w:r>
      <w:r>
        <w:rPr>
          <w:rFonts w:hint="eastAsia" w:ascii="黑体" w:hAnsi="黑体" w:eastAsia="黑体" w:cs="黑体"/>
          <w:b w:val="0"/>
          <w:bCs/>
          <w:color w:val="auto"/>
          <w:kern w:val="2"/>
          <w:sz w:val="24"/>
          <w:szCs w:val="24"/>
          <w:u w:val="none"/>
          <w:lang w:val="en-US" w:eastAsia="en-US" w:bidi="ar-SA"/>
        </w:rPr>
        <w:t>监测结果</w:t>
      </w:r>
    </w:p>
    <w:tbl>
      <w:tblPr>
        <w:tblStyle w:val="37"/>
        <w:tblW w:w="505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50"/>
        <w:gridCol w:w="1442"/>
        <w:gridCol w:w="2215"/>
        <w:gridCol w:w="1967"/>
        <w:gridCol w:w="1764"/>
      </w:tblGrid>
      <w:tr w14:paraId="540E81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tcBorders>
              <w:tl2br w:val="nil"/>
              <w:tr2bl w:val="nil"/>
            </w:tcBorders>
            <w:vAlign w:val="center"/>
          </w:tcPr>
          <w:p w14:paraId="10036C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监测点位</w:t>
            </w:r>
          </w:p>
        </w:tc>
        <w:tc>
          <w:tcPr>
            <w:tcW w:w="825" w:type="pct"/>
            <w:tcBorders>
              <w:tl2br w:val="nil"/>
              <w:tr2bl w:val="nil"/>
            </w:tcBorders>
            <w:vAlign w:val="center"/>
          </w:tcPr>
          <w:p w14:paraId="2D25AC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监测项目</w:t>
            </w:r>
          </w:p>
        </w:tc>
        <w:tc>
          <w:tcPr>
            <w:tcW w:w="1267" w:type="pct"/>
            <w:tcBorders>
              <w:tl2br w:val="nil"/>
              <w:tr2bl w:val="nil"/>
            </w:tcBorders>
            <w:vAlign w:val="center"/>
          </w:tcPr>
          <w:p w14:paraId="74E562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监测结果（mg/kg）</w:t>
            </w:r>
          </w:p>
        </w:tc>
        <w:tc>
          <w:tcPr>
            <w:tcW w:w="1125" w:type="pct"/>
            <w:tcBorders>
              <w:tl2br w:val="nil"/>
              <w:tr2bl w:val="nil"/>
            </w:tcBorders>
            <w:vAlign w:val="center"/>
          </w:tcPr>
          <w:p w14:paraId="6E4282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标准值</w:t>
            </w:r>
          </w:p>
        </w:tc>
        <w:tc>
          <w:tcPr>
            <w:tcW w:w="1007" w:type="pct"/>
            <w:tcBorders>
              <w:tl2br w:val="nil"/>
              <w:tr2bl w:val="nil"/>
            </w:tcBorders>
            <w:vAlign w:val="center"/>
          </w:tcPr>
          <w:p w14:paraId="5DCFF9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达标情况</w:t>
            </w:r>
          </w:p>
        </w:tc>
      </w:tr>
      <w:tr w14:paraId="0F91E3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tcBorders>
              <w:tl2br w:val="nil"/>
              <w:tr2bl w:val="nil"/>
            </w:tcBorders>
            <w:vAlign w:val="center"/>
          </w:tcPr>
          <w:p w14:paraId="103163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采样时间</w:t>
            </w:r>
          </w:p>
        </w:tc>
        <w:tc>
          <w:tcPr>
            <w:tcW w:w="4226" w:type="pct"/>
            <w:gridSpan w:val="4"/>
            <w:tcBorders>
              <w:tl2br w:val="nil"/>
              <w:tr2bl w:val="nil"/>
            </w:tcBorders>
            <w:vAlign w:val="center"/>
          </w:tcPr>
          <w:p w14:paraId="102904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2023年9月16日</w:t>
            </w:r>
          </w:p>
        </w:tc>
      </w:tr>
      <w:tr w14:paraId="338768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vMerge w:val="restart"/>
            <w:tcBorders>
              <w:tl2br w:val="nil"/>
              <w:tr2bl w:val="nil"/>
            </w:tcBorders>
            <w:vAlign w:val="center"/>
          </w:tcPr>
          <w:p w14:paraId="2FA95E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MBHW1103</w:t>
            </w:r>
          </w:p>
          <w:p w14:paraId="2B2BC8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井场</w:t>
            </w:r>
          </w:p>
        </w:tc>
        <w:tc>
          <w:tcPr>
            <w:tcW w:w="825" w:type="pct"/>
            <w:tcBorders>
              <w:tl2br w:val="nil"/>
              <w:tr2bl w:val="nil"/>
            </w:tcBorders>
            <w:vAlign w:val="center"/>
          </w:tcPr>
          <w:p w14:paraId="2F2A98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砷</w:t>
            </w:r>
          </w:p>
        </w:tc>
        <w:tc>
          <w:tcPr>
            <w:tcW w:w="1267" w:type="pct"/>
            <w:tcBorders>
              <w:tl2br w:val="nil"/>
              <w:tr2bl w:val="nil"/>
            </w:tcBorders>
            <w:vAlign w:val="center"/>
          </w:tcPr>
          <w:p w14:paraId="2AFF47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25.8</w:t>
            </w:r>
          </w:p>
        </w:tc>
        <w:tc>
          <w:tcPr>
            <w:tcW w:w="1125" w:type="pct"/>
            <w:tcBorders>
              <w:tl2br w:val="nil"/>
              <w:tr2bl w:val="nil"/>
            </w:tcBorders>
            <w:vAlign w:val="center"/>
          </w:tcPr>
          <w:p w14:paraId="1A4E16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60</w:t>
            </w:r>
          </w:p>
        </w:tc>
        <w:tc>
          <w:tcPr>
            <w:tcW w:w="1007" w:type="pct"/>
            <w:tcBorders>
              <w:tl2br w:val="nil"/>
              <w:tr2bl w:val="nil"/>
            </w:tcBorders>
            <w:vAlign w:val="center"/>
          </w:tcPr>
          <w:p w14:paraId="378933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7084F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vMerge w:val="continue"/>
            <w:tcBorders>
              <w:tl2br w:val="nil"/>
              <w:tr2bl w:val="nil"/>
            </w:tcBorders>
            <w:vAlign w:val="center"/>
          </w:tcPr>
          <w:p w14:paraId="124194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25" w:type="pct"/>
            <w:tcBorders>
              <w:tl2br w:val="nil"/>
              <w:tr2bl w:val="nil"/>
            </w:tcBorders>
            <w:vAlign w:val="center"/>
          </w:tcPr>
          <w:p w14:paraId="4EB6C7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汞</w:t>
            </w:r>
          </w:p>
        </w:tc>
        <w:tc>
          <w:tcPr>
            <w:tcW w:w="1267" w:type="pct"/>
            <w:tcBorders>
              <w:tl2br w:val="nil"/>
              <w:tr2bl w:val="nil"/>
            </w:tcBorders>
            <w:vAlign w:val="center"/>
          </w:tcPr>
          <w:p w14:paraId="3F8FC0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0.057</w:t>
            </w:r>
          </w:p>
        </w:tc>
        <w:tc>
          <w:tcPr>
            <w:tcW w:w="1125" w:type="pct"/>
            <w:tcBorders>
              <w:tl2br w:val="nil"/>
              <w:tr2bl w:val="nil"/>
            </w:tcBorders>
            <w:vAlign w:val="center"/>
          </w:tcPr>
          <w:p w14:paraId="58F503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38</w:t>
            </w:r>
          </w:p>
        </w:tc>
        <w:tc>
          <w:tcPr>
            <w:tcW w:w="1007" w:type="pct"/>
            <w:tcBorders>
              <w:tl2br w:val="nil"/>
              <w:tr2bl w:val="nil"/>
            </w:tcBorders>
            <w:vAlign w:val="center"/>
          </w:tcPr>
          <w:p w14:paraId="189E5B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3AEFD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vMerge w:val="continue"/>
            <w:tcBorders>
              <w:tl2br w:val="nil"/>
              <w:tr2bl w:val="nil"/>
            </w:tcBorders>
            <w:vAlign w:val="center"/>
          </w:tcPr>
          <w:p w14:paraId="21B28A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25" w:type="pct"/>
            <w:tcBorders>
              <w:tl2br w:val="nil"/>
              <w:tr2bl w:val="nil"/>
            </w:tcBorders>
            <w:vAlign w:val="center"/>
          </w:tcPr>
          <w:p w14:paraId="5BCF1A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铅</w:t>
            </w:r>
          </w:p>
        </w:tc>
        <w:tc>
          <w:tcPr>
            <w:tcW w:w="1267" w:type="pct"/>
            <w:tcBorders>
              <w:tl2br w:val="nil"/>
              <w:tr2bl w:val="nil"/>
            </w:tcBorders>
            <w:vAlign w:val="center"/>
          </w:tcPr>
          <w:p w14:paraId="0921A1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20.5</w:t>
            </w:r>
          </w:p>
        </w:tc>
        <w:tc>
          <w:tcPr>
            <w:tcW w:w="1125" w:type="pct"/>
            <w:tcBorders>
              <w:tl2br w:val="nil"/>
              <w:tr2bl w:val="nil"/>
            </w:tcBorders>
            <w:vAlign w:val="center"/>
          </w:tcPr>
          <w:p w14:paraId="0EB0E3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800</w:t>
            </w:r>
          </w:p>
        </w:tc>
        <w:tc>
          <w:tcPr>
            <w:tcW w:w="1007" w:type="pct"/>
            <w:tcBorders>
              <w:tl2br w:val="nil"/>
              <w:tr2bl w:val="nil"/>
            </w:tcBorders>
            <w:vAlign w:val="center"/>
          </w:tcPr>
          <w:p w14:paraId="6FA13A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793BF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vMerge w:val="continue"/>
            <w:tcBorders>
              <w:tl2br w:val="nil"/>
              <w:tr2bl w:val="nil"/>
            </w:tcBorders>
            <w:vAlign w:val="center"/>
          </w:tcPr>
          <w:p w14:paraId="748B1C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25" w:type="pct"/>
            <w:tcBorders>
              <w:tl2br w:val="nil"/>
              <w:tr2bl w:val="nil"/>
            </w:tcBorders>
            <w:vAlign w:val="center"/>
          </w:tcPr>
          <w:p w14:paraId="4EDD6A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镉</w:t>
            </w:r>
          </w:p>
        </w:tc>
        <w:tc>
          <w:tcPr>
            <w:tcW w:w="1267" w:type="pct"/>
            <w:tcBorders>
              <w:tl2br w:val="nil"/>
              <w:tr2bl w:val="nil"/>
            </w:tcBorders>
            <w:vAlign w:val="center"/>
          </w:tcPr>
          <w:p w14:paraId="03E86E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0.22</w:t>
            </w:r>
          </w:p>
        </w:tc>
        <w:tc>
          <w:tcPr>
            <w:tcW w:w="1125" w:type="pct"/>
            <w:tcBorders>
              <w:tl2br w:val="nil"/>
              <w:tr2bl w:val="nil"/>
            </w:tcBorders>
            <w:vAlign w:val="center"/>
          </w:tcPr>
          <w:p w14:paraId="60287D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65</w:t>
            </w:r>
          </w:p>
        </w:tc>
        <w:tc>
          <w:tcPr>
            <w:tcW w:w="1007" w:type="pct"/>
            <w:tcBorders>
              <w:tl2br w:val="nil"/>
              <w:tr2bl w:val="nil"/>
            </w:tcBorders>
            <w:vAlign w:val="center"/>
          </w:tcPr>
          <w:p w14:paraId="667EB5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1A1FDE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vMerge w:val="continue"/>
            <w:tcBorders>
              <w:tl2br w:val="nil"/>
              <w:tr2bl w:val="nil"/>
            </w:tcBorders>
            <w:vAlign w:val="center"/>
          </w:tcPr>
          <w:p w14:paraId="337386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25" w:type="pct"/>
            <w:tcBorders>
              <w:tl2br w:val="nil"/>
              <w:tr2bl w:val="nil"/>
            </w:tcBorders>
            <w:vAlign w:val="center"/>
          </w:tcPr>
          <w:p w14:paraId="18998F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六价铬</w:t>
            </w:r>
          </w:p>
        </w:tc>
        <w:tc>
          <w:tcPr>
            <w:tcW w:w="1267" w:type="pct"/>
            <w:tcBorders>
              <w:tl2br w:val="nil"/>
              <w:tr2bl w:val="nil"/>
            </w:tcBorders>
            <w:vAlign w:val="center"/>
          </w:tcPr>
          <w:p w14:paraId="57A594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0.5L</w:t>
            </w:r>
          </w:p>
        </w:tc>
        <w:tc>
          <w:tcPr>
            <w:tcW w:w="1125" w:type="pct"/>
            <w:tcBorders>
              <w:tl2br w:val="nil"/>
              <w:tr2bl w:val="nil"/>
            </w:tcBorders>
            <w:vAlign w:val="center"/>
          </w:tcPr>
          <w:p w14:paraId="035919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5.7</w:t>
            </w:r>
          </w:p>
        </w:tc>
        <w:tc>
          <w:tcPr>
            <w:tcW w:w="1007" w:type="pct"/>
            <w:tcBorders>
              <w:tl2br w:val="nil"/>
              <w:tr2bl w:val="nil"/>
            </w:tcBorders>
            <w:vAlign w:val="center"/>
          </w:tcPr>
          <w:p w14:paraId="1C010E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491455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vMerge w:val="continue"/>
            <w:tcBorders>
              <w:tl2br w:val="nil"/>
              <w:tr2bl w:val="nil"/>
            </w:tcBorders>
            <w:vAlign w:val="center"/>
          </w:tcPr>
          <w:p w14:paraId="029294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25" w:type="pct"/>
            <w:tcBorders>
              <w:tl2br w:val="nil"/>
              <w:tr2bl w:val="nil"/>
            </w:tcBorders>
            <w:vAlign w:val="center"/>
          </w:tcPr>
          <w:p w14:paraId="3C07B8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铜</w:t>
            </w:r>
          </w:p>
        </w:tc>
        <w:tc>
          <w:tcPr>
            <w:tcW w:w="1267" w:type="pct"/>
            <w:tcBorders>
              <w:tl2br w:val="nil"/>
              <w:tr2bl w:val="nil"/>
            </w:tcBorders>
            <w:vAlign w:val="center"/>
          </w:tcPr>
          <w:p w14:paraId="4EC356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32</w:t>
            </w:r>
          </w:p>
        </w:tc>
        <w:tc>
          <w:tcPr>
            <w:tcW w:w="1125" w:type="pct"/>
            <w:tcBorders>
              <w:tl2br w:val="nil"/>
              <w:tr2bl w:val="nil"/>
            </w:tcBorders>
            <w:vAlign w:val="center"/>
          </w:tcPr>
          <w:p w14:paraId="57F946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18000</w:t>
            </w:r>
          </w:p>
        </w:tc>
        <w:tc>
          <w:tcPr>
            <w:tcW w:w="1007" w:type="pct"/>
            <w:tcBorders>
              <w:tl2br w:val="nil"/>
              <w:tr2bl w:val="nil"/>
            </w:tcBorders>
            <w:vAlign w:val="center"/>
          </w:tcPr>
          <w:p w14:paraId="27E2D1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6E00D1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vMerge w:val="continue"/>
            <w:tcBorders>
              <w:tl2br w:val="nil"/>
              <w:tr2bl w:val="nil"/>
            </w:tcBorders>
            <w:vAlign w:val="center"/>
          </w:tcPr>
          <w:p w14:paraId="1E9CB2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25" w:type="pct"/>
            <w:tcBorders>
              <w:tl2br w:val="nil"/>
              <w:tr2bl w:val="nil"/>
            </w:tcBorders>
            <w:vAlign w:val="center"/>
          </w:tcPr>
          <w:p w14:paraId="4F2E28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镍</w:t>
            </w:r>
          </w:p>
        </w:tc>
        <w:tc>
          <w:tcPr>
            <w:tcW w:w="1267" w:type="pct"/>
            <w:tcBorders>
              <w:tl2br w:val="nil"/>
              <w:tr2bl w:val="nil"/>
            </w:tcBorders>
            <w:vAlign w:val="center"/>
          </w:tcPr>
          <w:p w14:paraId="69BD1B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13</w:t>
            </w:r>
          </w:p>
        </w:tc>
        <w:tc>
          <w:tcPr>
            <w:tcW w:w="1125" w:type="pct"/>
            <w:tcBorders>
              <w:tl2br w:val="nil"/>
              <w:tr2bl w:val="nil"/>
            </w:tcBorders>
            <w:vAlign w:val="center"/>
          </w:tcPr>
          <w:p w14:paraId="1F4EDD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900</w:t>
            </w:r>
          </w:p>
        </w:tc>
        <w:tc>
          <w:tcPr>
            <w:tcW w:w="1007" w:type="pct"/>
            <w:tcBorders>
              <w:tl2br w:val="nil"/>
              <w:tr2bl w:val="nil"/>
            </w:tcBorders>
            <w:vAlign w:val="center"/>
          </w:tcPr>
          <w:p w14:paraId="277529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5AB7C0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vMerge w:val="continue"/>
            <w:tcBorders>
              <w:tl2br w:val="nil"/>
              <w:tr2bl w:val="nil"/>
            </w:tcBorders>
            <w:vAlign w:val="center"/>
          </w:tcPr>
          <w:p w14:paraId="371AA9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25" w:type="pct"/>
            <w:tcBorders>
              <w:tl2br w:val="nil"/>
              <w:tr2bl w:val="nil"/>
            </w:tcBorders>
            <w:vAlign w:val="center"/>
          </w:tcPr>
          <w:p w14:paraId="15B300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pH</w:t>
            </w:r>
          </w:p>
        </w:tc>
        <w:tc>
          <w:tcPr>
            <w:tcW w:w="1267" w:type="pct"/>
            <w:tcBorders>
              <w:tl2br w:val="nil"/>
              <w:tr2bl w:val="nil"/>
            </w:tcBorders>
            <w:vAlign w:val="center"/>
          </w:tcPr>
          <w:p w14:paraId="241414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8.36</w:t>
            </w:r>
          </w:p>
        </w:tc>
        <w:tc>
          <w:tcPr>
            <w:tcW w:w="1125" w:type="pct"/>
            <w:tcBorders>
              <w:tl2br w:val="nil"/>
              <w:tr2bl w:val="nil"/>
            </w:tcBorders>
            <w:vAlign w:val="center"/>
          </w:tcPr>
          <w:p w14:paraId="2C0939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007" w:type="pct"/>
            <w:tcBorders>
              <w:tl2br w:val="nil"/>
              <w:tr2bl w:val="nil"/>
            </w:tcBorders>
            <w:vAlign w:val="center"/>
          </w:tcPr>
          <w:p w14:paraId="4FF37B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79A3D7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3" w:type="pct"/>
            <w:vMerge w:val="continue"/>
            <w:tcBorders>
              <w:tl2br w:val="nil"/>
              <w:tr2bl w:val="nil"/>
            </w:tcBorders>
            <w:vAlign w:val="center"/>
          </w:tcPr>
          <w:p w14:paraId="0EA854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25" w:type="pct"/>
            <w:tcBorders>
              <w:tl2br w:val="nil"/>
              <w:tr2bl w:val="nil"/>
            </w:tcBorders>
            <w:vAlign w:val="center"/>
          </w:tcPr>
          <w:p w14:paraId="14DD31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石油类</w:t>
            </w:r>
          </w:p>
        </w:tc>
        <w:tc>
          <w:tcPr>
            <w:tcW w:w="1267" w:type="pct"/>
            <w:tcBorders>
              <w:tl2br w:val="nil"/>
              <w:tr2bl w:val="nil"/>
            </w:tcBorders>
            <w:vAlign w:val="center"/>
          </w:tcPr>
          <w:p w14:paraId="5625BA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24</w:t>
            </w:r>
          </w:p>
        </w:tc>
        <w:tc>
          <w:tcPr>
            <w:tcW w:w="1125" w:type="pct"/>
            <w:tcBorders>
              <w:tl2br w:val="nil"/>
              <w:tr2bl w:val="nil"/>
            </w:tcBorders>
            <w:vAlign w:val="center"/>
          </w:tcPr>
          <w:p w14:paraId="018818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4500</w:t>
            </w:r>
          </w:p>
        </w:tc>
        <w:tc>
          <w:tcPr>
            <w:tcW w:w="1007" w:type="pct"/>
            <w:tcBorders>
              <w:tl2br w:val="nil"/>
              <w:tr2bl w:val="nil"/>
            </w:tcBorders>
            <w:vAlign w:val="center"/>
          </w:tcPr>
          <w:p w14:paraId="61CFBB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bookmarkEnd w:id="168"/>
    </w:tbl>
    <w:p w14:paraId="0BD84C4A">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169" w:name="_Hlk69406362"/>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2.3 </w:t>
      </w:r>
      <w:r>
        <w:rPr>
          <w:rFonts w:hint="default" w:ascii="黑体" w:hAnsi="黑体" w:eastAsia="黑体" w:cs="黑体"/>
          <w:b/>
          <w:color w:val="auto"/>
          <w:kern w:val="0"/>
          <w:sz w:val="24"/>
          <w:szCs w:val="24"/>
          <w:highlight w:val="none"/>
          <w:u w:val="none"/>
          <w:lang w:val="en-US" w:eastAsia="zh-CN"/>
        </w:rPr>
        <w:t>现有环境问题</w:t>
      </w:r>
    </w:p>
    <w:bookmarkEnd w:id="169"/>
    <w:p w14:paraId="582ADDAA">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根据</w:t>
      </w:r>
      <w:r>
        <w:rPr>
          <w:rFonts w:hint="eastAsia" w:ascii="宋体" w:hAnsi="宋体" w:eastAsia="宋体" w:cs="宋体"/>
          <w:color w:val="auto"/>
          <w:kern w:val="0"/>
          <w:sz w:val="24"/>
          <w:szCs w:val="24"/>
          <w:highlight w:val="none"/>
          <w:u w:val="none"/>
          <w:lang w:val="en-US" w:eastAsia="zh-CN"/>
        </w:rPr>
        <w:t>本次</w:t>
      </w:r>
      <w:r>
        <w:rPr>
          <w:rFonts w:hint="eastAsia" w:ascii="宋体" w:hAnsi="宋体" w:eastAsia="宋体" w:cs="宋体"/>
          <w:color w:val="auto"/>
          <w:kern w:val="0"/>
          <w:sz w:val="24"/>
          <w:szCs w:val="24"/>
          <w:highlight w:val="none"/>
          <w:u w:val="none"/>
        </w:rPr>
        <w:t>现场调查情况，结合区块环境影响报告中评价结论，油田目前存在以下环境问题：</w:t>
      </w:r>
    </w:p>
    <w:p w14:paraId="015EDCC7">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（1）环境问题</w:t>
      </w:r>
    </w:p>
    <w:p w14:paraId="7107207E">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①油区部分道路属于简易便道，无路基，仅在表面覆盖戈壁砾石，路况很差，车辆碾压和行驶扬尘对地表植被影响较大。</w:t>
      </w:r>
    </w:p>
    <w:p w14:paraId="6A77B4C0">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②</w:t>
      </w:r>
      <w:r>
        <w:rPr>
          <w:rFonts w:hint="eastAsia" w:ascii="宋体" w:hAnsi="宋体" w:eastAsia="宋体" w:cs="宋体"/>
          <w:color w:val="auto"/>
          <w:kern w:val="0"/>
          <w:sz w:val="24"/>
          <w:szCs w:val="24"/>
          <w:highlight w:val="none"/>
          <w:u w:val="none"/>
          <w:lang w:val="en-US" w:eastAsia="zh-CN"/>
        </w:rPr>
        <w:t>莫116井</w:t>
      </w:r>
      <w:r>
        <w:rPr>
          <w:rFonts w:hint="eastAsia" w:ascii="宋体" w:hAnsi="宋体" w:eastAsia="宋体" w:cs="宋体"/>
          <w:color w:val="auto"/>
          <w:kern w:val="0"/>
          <w:sz w:val="24"/>
          <w:szCs w:val="24"/>
          <w:highlight w:val="none"/>
          <w:u w:val="none"/>
        </w:rPr>
        <w:t>区部分单井、管线和道路临时占地处于自然恢复状态，由于工程所在区域气候干旱，水土条件较差，植被恢复情况较差；防沙治沙、水土保持措施存在破损现象。</w:t>
      </w:r>
    </w:p>
    <w:tbl>
      <w:tblPr>
        <w:tblStyle w:val="37"/>
        <w:tblW w:w="5000" w:type="pct"/>
        <w:jc w:val="center"/>
        <w:tblLayout w:type="fixed"/>
        <w:tblCellMar>
          <w:top w:w="0" w:type="dxa"/>
          <w:left w:w="108" w:type="dxa"/>
          <w:bottom w:w="0" w:type="dxa"/>
          <w:right w:w="108" w:type="dxa"/>
        </w:tblCellMar>
      </w:tblPr>
      <w:tblGrid>
        <w:gridCol w:w="4417"/>
        <w:gridCol w:w="4417"/>
      </w:tblGrid>
      <w:tr w14:paraId="7FA230D1">
        <w:tblPrEx>
          <w:tblCellMar>
            <w:top w:w="0" w:type="dxa"/>
            <w:left w:w="108" w:type="dxa"/>
            <w:bottom w:w="0" w:type="dxa"/>
            <w:right w:w="108" w:type="dxa"/>
          </w:tblCellMar>
        </w:tblPrEx>
        <w:trPr>
          <w:trHeight w:val="23" w:hRule="atLeast"/>
          <w:jc w:val="center"/>
        </w:trPr>
        <w:tc>
          <w:tcPr>
            <w:tcW w:w="2500" w:type="pct"/>
            <w:noWrap w:val="0"/>
            <w:vAlign w:val="center"/>
          </w:tcPr>
          <w:p w14:paraId="31269405">
            <w:pPr>
              <w:keepNext w:val="0"/>
              <w:keepLines w:val="0"/>
              <w:pageBreakBefore w:val="0"/>
              <w:widowControl w:val="0"/>
              <w:kinsoku/>
              <w:wordWrap/>
              <w:overflowPunct/>
              <w:topLinePunct w:val="0"/>
              <w:autoSpaceDE/>
              <w:autoSpaceDN/>
              <w:bidi w:val="0"/>
              <w:adjustRightInd/>
              <w:snapToGrid/>
              <w:spacing w:line="384" w:lineRule="auto"/>
              <w:jc w:val="center"/>
              <w:textAlignment w:val="auto"/>
              <w:rPr>
                <w:rFonts w:hint="eastAsia" w:ascii="宋体" w:hAnsi="宋体" w:eastAsia="宋体" w:cs="宋体"/>
                <w:b/>
                <w:bCs/>
                <w:color w:val="auto"/>
                <w:sz w:val="21"/>
                <w:szCs w:val="21"/>
                <w:u w:val="none"/>
                <w:lang w:eastAsia="zh-CN"/>
              </w:rPr>
            </w:pPr>
            <w:r>
              <w:rPr>
                <w:rFonts w:hint="eastAsia" w:ascii="宋体" w:hAnsi="宋体" w:eastAsia="宋体" w:cs="宋体"/>
                <w:b/>
                <w:bCs/>
                <w:color w:val="auto"/>
                <w:sz w:val="21"/>
                <w:szCs w:val="21"/>
                <w:u w:val="none"/>
                <w:lang w:eastAsia="zh-CN"/>
              </w:rPr>
              <w:drawing>
                <wp:inline distT="0" distB="0" distL="114300" distR="114300">
                  <wp:extent cx="2700020" cy="2025650"/>
                  <wp:effectExtent l="0" t="0" r="5080" b="12700"/>
                  <wp:docPr id="50" name="图片 50" descr="IMG_20241029_16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241029_164012"/>
                          <pic:cNvPicPr>
                            <a:picLocks noChangeAspect="1"/>
                          </pic:cNvPicPr>
                        </pic:nvPicPr>
                        <pic:blipFill>
                          <a:blip r:embed="rId31"/>
                          <a:stretch>
                            <a:fillRect/>
                          </a:stretch>
                        </pic:blipFill>
                        <pic:spPr>
                          <a:xfrm>
                            <a:off x="0" y="0"/>
                            <a:ext cx="2700020" cy="2025650"/>
                          </a:xfrm>
                          <a:prstGeom prst="rect">
                            <a:avLst/>
                          </a:prstGeom>
                        </pic:spPr>
                      </pic:pic>
                    </a:graphicData>
                  </a:graphic>
                </wp:inline>
              </w:drawing>
            </w:r>
          </w:p>
        </w:tc>
        <w:tc>
          <w:tcPr>
            <w:tcW w:w="2500" w:type="pct"/>
            <w:noWrap w:val="0"/>
            <w:vAlign w:val="center"/>
          </w:tcPr>
          <w:p w14:paraId="1B1EA036">
            <w:pPr>
              <w:keepNext w:val="0"/>
              <w:keepLines w:val="0"/>
              <w:pageBreakBefore w:val="0"/>
              <w:widowControl w:val="0"/>
              <w:kinsoku/>
              <w:wordWrap/>
              <w:overflowPunct/>
              <w:topLinePunct w:val="0"/>
              <w:autoSpaceDE/>
              <w:autoSpaceDN/>
              <w:bidi w:val="0"/>
              <w:adjustRightInd/>
              <w:snapToGrid/>
              <w:spacing w:line="384" w:lineRule="auto"/>
              <w:jc w:val="center"/>
              <w:textAlignment w:val="auto"/>
              <w:rPr>
                <w:rFonts w:hint="eastAsia" w:ascii="宋体" w:hAnsi="宋体" w:eastAsia="宋体" w:cs="宋体"/>
                <w:b/>
                <w:bCs/>
                <w:color w:val="auto"/>
                <w:sz w:val="21"/>
                <w:szCs w:val="21"/>
                <w:u w:val="none"/>
                <w:lang w:eastAsia="zh-CN"/>
              </w:rPr>
            </w:pPr>
            <w:r>
              <w:rPr>
                <w:rFonts w:hint="eastAsia" w:ascii="宋体" w:hAnsi="宋体" w:eastAsia="宋体" w:cs="宋体"/>
                <w:b/>
                <w:bCs/>
                <w:color w:val="auto"/>
                <w:sz w:val="21"/>
                <w:szCs w:val="21"/>
                <w:u w:val="none"/>
                <w:lang w:eastAsia="zh-CN"/>
              </w:rPr>
              <w:drawing>
                <wp:inline distT="0" distB="0" distL="114300" distR="114300">
                  <wp:extent cx="2700020" cy="2025015"/>
                  <wp:effectExtent l="0" t="0" r="5080" b="13335"/>
                  <wp:docPr id="92" name="图片 92" descr="IMG_20241029_16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41029_165442"/>
                          <pic:cNvPicPr>
                            <a:picLocks noChangeAspect="1"/>
                          </pic:cNvPicPr>
                        </pic:nvPicPr>
                        <pic:blipFill>
                          <a:blip r:embed="rId32"/>
                          <a:stretch>
                            <a:fillRect/>
                          </a:stretch>
                        </pic:blipFill>
                        <pic:spPr>
                          <a:xfrm>
                            <a:off x="0" y="0"/>
                            <a:ext cx="2700020" cy="2025015"/>
                          </a:xfrm>
                          <a:prstGeom prst="rect">
                            <a:avLst/>
                          </a:prstGeom>
                        </pic:spPr>
                      </pic:pic>
                    </a:graphicData>
                  </a:graphic>
                </wp:inline>
              </w:drawing>
            </w:r>
          </w:p>
        </w:tc>
      </w:tr>
      <w:tr w14:paraId="1E0961D8">
        <w:tblPrEx>
          <w:tblCellMar>
            <w:top w:w="0" w:type="dxa"/>
            <w:left w:w="108" w:type="dxa"/>
            <w:bottom w:w="0" w:type="dxa"/>
            <w:right w:w="108" w:type="dxa"/>
          </w:tblCellMar>
        </w:tblPrEx>
        <w:trPr>
          <w:trHeight w:val="23" w:hRule="atLeast"/>
          <w:jc w:val="center"/>
        </w:trPr>
        <w:tc>
          <w:tcPr>
            <w:tcW w:w="2500" w:type="pct"/>
            <w:noWrap w:val="0"/>
            <w:vAlign w:val="center"/>
          </w:tcPr>
          <w:p w14:paraId="53B15162">
            <w:pPr>
              <w:keepNext w:val="0"/>
              <w:keepLines w:val="0"/>
              <w:pageBreakBefore w:val="0"/>
              <w:widowControl w:val="0"/>
              <w:kinsoku/>
              <w:wordWrap/>
              <w:overflowPunct/>
              <w:topLinePunct w:val="0"/>
              <w:autoSpaceDE/>
              <w:autoSpaceDN/>
              <w:bidi w:val="0"/>
              <w:adjustRightInd/>
              <w:snapToGrid/>
              <w:spacing w:line="384" w:lineRule="auto"/>
              <w:jc w:val="center"/>
              <w:textAlignment w:val="auto"/>
              <w:rPr>
                <w:rFonts w:hint="default" w:ascii="宋体" w:hAnsi="宋体" w:eastAsia="宋体" w:cs="宋体"/>
                <w:b/>
                <w:bCs/>
                <w:color w:val="auto"/>
                <w:sz w:val="21"/>
                <w:szCs w:val="21"/>
                <w:u w:val="none"/>
                <w:lang w:val="en-US" w:eastAsia="zh-CN"/>
              </w:rPr>
            </w:pPr>
            <w:r>
              <w:rPr>
                <w:rFonts w:hint="eastAsia" w:ascii="宋体" w:hAnsi="宋体" w:eastAsia="宋体" w:cs="宋体"/>
                <w:b/>
                <w:bCs/>
                <w:color w:val="auto"/>
                <w:sz w:val="21"/>
                <w:szCs w:val="21"/>
                <w:u w:val="none"/>
                <w:lang w:val="en-US" w:eastAsia="zh-CN"/>
              </w:rPr>
              <w:t>井区道路</w:t>
            </w:r>
          </w:p>
        </w:tc>
        <w:tc>
          <w:tcPr>
            <w:tcW w:w="2500" w:type="pct"/>
            <w:noWrap w:val="0"/>
            <w:vAlign w:val="center"/>
          </w:tcPr>
          <w:p w14:paraId="280352B5">
            <w:pPr>
              <w:keepNext w:val="0"/>
              <w:keepLines w:val="0"/>
              <w:pageBreakBefore w:val="0"/>
              <w:widowControl w:val="0"/>
              <w:kinsoku/>
              <w:wordWrap/>
              <w:overflowPunct/>
              <w:topLinePunct w:val="0"/>
              <w:autoSpaceDE/>
              <w:autoSpaceDN/>
              <w:bidi w:val="0"/>
              <w:adjustRightInd/>
              <w:snapToGrid/>
              <w:spacing w:line="384" w:lineRule="auto"/>
              <w:jc w:val="center"/>
              <w:textAlignment w:val="auto"/>
              <w:rPr>
                <w:rFonts w:hint="default" w:ascii="宋体" w:hAnsi="宋体" w:eastAsia="宋体" w:cs="宋体"/>
                <w:b/>
                <w:bCs/>
                <w:color w:val="auto"/>
                <w:sz w:val="21"/>
                <w:szCs w:val="21"/>
                <w:u w:val="none"/>
                <w:lang w:val="en-US" w:eastAsia="zh-CN"/>
              </w:rPr>
            </w:pPr>
            <w:r>
              <w:rPr>
                <w:rFonts w:hint="eastAsia" w:ascii="宋体" w:hAnsi="宋体" w:cs="宋体"/>
                <w:b/>
                <w:bCs/>
                <w:color w:val="auto"/>
                <w:sz w:val="21"/>
                <w:szCs w:val="21"/>
                <w:u w:val="none"/>
                <w:lang w:val="en-US" w:eastAsia="zh-CN"/>
              </w:rPr>
              <w:t>草方格</w:t>
            </w:r>
          </w:p>
        </w:tc>
      </w:tr>
    </w:tbl>
    <w:p w14:paraId="2DDE0612">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（2）“以新带老”措施</w:t>
      </w:r>
    </w:p>
    <w:p w14:paraId="3222786F">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针对以上问题，已纳入中国石油新疆油田分公司制定了整改计划，对油田目前存在的问题加以有效解决，且落实到具体的责任部门，在后续滚动开发建设过程中将采取必要的措施进行整改，整改要求如下：</w:t>
      </w:r>
    </w:p>
    <w:p w14:paraId="2FCDB787">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①施工过程中对探临道路定期洒水，减少车辆碾压和行驶扬尘。</w:t>
      </w:r>
    </w:p>
    <w:p w14:paraId="540A2012">
      <w:pPr>
        <w:keepNext w:val="0"/>
        <w:keepLines w:val="0"/>
        <w:pageBreakBefore w:val="0"/>
        <w:widowControl/>
        <w:kinsoku/>
        <w:wordWrap/>
        <w:overflowPunct/>
        <w:topLinePunct/>
        <w:autoSpaceDE/>
        <w:autoSpaceDN/>
        <w:bidi w:val="0"/>
        <w:adjustRightInd w:val="0"/>
        <w:snapToGrid/>
        <w:spacing w:line="480" w:lineRule="exact"/>
        <w:ind w:firstLine="480" w:firstLineChars="200"/>
        <w:jc w:val="left"/>
        <w:textAlignment w:val="auto"/>
        <w:rPr>
          <w:rFonts w:hint="eastAsia" w:ascii="宋体" w:hAnsi="宋体" w:eastAsia="宋体" w:cs="宋体"/>
          <w:color w:val="auto"/>
          <w:spacing w:val="0"/>
          <w:kern w:val="0"/>
          <w:sz w:val="24"/>
          <w:szCs w:val="22"/>
          <w:highlight w:val="none"/>
          <w:u w:val="none"/>
          <w:lang w:val="en-US" w:eastAsia="zh-CN" w:bidi="ar"/>
        </w:rPr>
      </w:pPr>
      <w:r>
        <w:rPr>
          <w:rFonts w:hint="eastAsia" w:ascii="宋体" w:hAnsi="宋体" w:eastAsia="宋体" w:cs="宋体"/>
          <w:color w:val="auto"/>
          <w:kern w:val="0"/>
          <w:sz w:val="24"/>
          <w:szCs w:val="24"/>
          <w:highlight w:val="none"/>
          <w:u w:val="none"/>
        </w:rPr>
        <w:t>②进一步加强</w:t>
      </w:r>
      <w:r>
        <w:rPr>
          <w:rFonts w:hint="eastAsia" w:ascii="宋体" w:hAnsi="宋体" w:eastAsia="宋体" w:cs="宋体"/>
          <w:color w:val="auto"/>
          <w:kern w:val="0"/>
          <w:sz w:val="24"/>
          <w:szCs w:val="24"/>
          <w:highlight w:val="none"/>
          <w:u w:val="none"/>
          <w:lang w:val="en-US" w:eastAsia="zh-CN"/>
        </w:rPr>
        <w:t>莫116</w:t>
      </w:r>
      <w:r>
        <w:rPr>
          <w:rFonts w:hint="eastAsia" w:ascii="宋体" w:hAnsi="宋体" w:eastAsia="宋体" w:cs="宋体"/>
          <w:color w:val="auto"/>
          <w:kern w:val="0"/>
          <w:sz w:val="24"/>
          <w:szCs w:val="24"/>
          <w:highlight w:val="none"/>
          <w:u w:val="none"/>
        </w:rPr>
        <w:t>区块生态恢复工作。督促施工单位，对井场临时占地进行恢复，平整施工迹地，回填土与周围地表坡向保持一致。针对防沙治沙、水土保持措施，尤其是固沙草方格加强巡查，发现破损缺失，及时修补。及时落实各项目环评、批复提出的生态环境保护措施。减少对区域环境的影响。</w:t>
      </w:r>
    </w:p>
    <w:bookmarkEnd w:id="160"/>
    <w:bookmarkEnd w:id="161"/>
    <w:bookmarkEnd w:id="162"/>
    <w:p w14:paraId="30222CA9">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170" w:name="_Toc17519"/>
      <w:bookmarkStart w:id="171" w:name="_Toc109382918"/>
      <w:bookmarkStart w:id="172" w:name="_Toc25358"/>
      <w:r>
        <w:rPr>
          <w:rFonts w:hint="default" w:ascii="黑体" w:hAnsi="黑体" w:eastAsia="黑体" w:cs="黑体"/>
          <w:color w:val="auto"/>
          <w:sz w:val="28"/>
          <w:szCs w:val="28"/>
          <w:u w:val="none"/>
          <w:lang w:val="en-US" w:eastAsia="zh-CN"/>
        </w:rPr>
        <w:t>3.</w:t>
      </w:r>
      <w:r>
        <w:rPr>
          <w:rFonts w:hint="eastAsia" w:ascii="黑体" w:hAnsi="黑体" w:eastAsia="黑体" w:cs="黑体"/>
          <w:color w:val="auto"/>
          <w:sz w:val="28"/>
          <w:szCs w:val="28"/>
          <w:u w:val="none"/>
          <w:lang w:val="en-US" w:eastAsia="zh-CN"/>
        </w:rPr>
        <w:t xml:space="preserve">3 </w:t>
      </w:r>
      <w:bookmarkEnd w:id="163"/>
      <w:bookmarkEnd w:id="164"/>
      <w:bookmarkEnd w:id="170"/>
      <w:bookmarkEnd w:id="171"/>
      <w:r>
        <w:rPr>
          <w:rFonts w:hint="eastAsia" w:ascii="黑体" w:hAnsi="黑体" w:eastAsia="黑体" w:cs="黑体"/>
          <w:color w:val="auto"/>
          <w:sz w:val="28"/>
          <w:szCs w:val="28"/>
          <w:u w:val="none"/>
          <w:lang w:val="en-US" w:eastAsia="zh-CN"/>
        </w:rPr>
        <w:t>拟建工程</w:t>
      </w:r>
      <w:bookmarkEnd w:id="172"/>
    </w:p>
    <w:p w14:paraId="79505C75">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工程基本情况</w:t>
      </w:r>
    </w:p>
    <w:p w14:paraId="0BA09D5E">
      <w:pPr>
        <w:pStyle w:val="5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val="0"/>
          <w:color w:val="auto"/>
          <w:kern w:val="0"/>
          <w:sz w:val="24"/>
          <w:szCs w:val="24"/>
          <w:highlight w:val="none"/>
          <w:u w:val="none"/>
          <w:lang w:val="en-US" w:eastAsia="zh-CN" w:bidi="ar-SA"/>
        </w:rPr>
      </w:pPr>
      <w:r>
        <w:rPr>
          <w:rFonts w:hint="eastAsia" w:ascii="宋体" w:hAnsi="宋体" w:eastAsia="宋体" w:cs="宋体"/>
          <w:bCs w:val="0"/>
          <w:color w:val="auto"/>
          <w:kern w:val="0"/>
          <w:sz w:val="24"/>
          <w:szCs w:val="24"/>
          <w:highlight w:val="none"/>
          <w:u w:val="none"/>
          <w:lang w:val="en-US" w:eastAsia="zh-CN" w:bidi="ar-SA"/>
        </w:rPr>
        <w:t>（1）项目名称：莫北油田莫116井区侏罗系三工河组气藏产能建设项目</w:t>
      </w:r>
    </w:p>
    <w:p w14:paraId="24E003FE">
      <w:pPr>
        <w:pStyle w:val="5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val="0"/>
          <w:color w:val="auto"/>
          <w:kern w:val="0"/>
          <w:sz w:val="24"/>
          <w:szCs w:val="24"/>
          <w:highlight w:val="none"/>
          <w:u w:val="none"/>
          <w:lang w:val="en-US" w:eastAsia="zh-CN" w:bidi="ar-SA"/>
        </w:rPr>
      </w:pPr>
      <w:r>
        <w:rPr>
          <w:rFonts w:hint="eastAsia" w:ascii="宋体" w:hAnsi="宋体" w:eastAsia="宋体" w:cs="宋体"/>
          <w:bCs w:val="0"/>
          <w:color w:val="auto"/>
          <w:kern w:val="0"/>
          <w:sz w:val="24"/>
          <w:szCs w:val="24"/>
          <w:highlight w:val="none"/>
          <w:u w:val="none"/>
          <w:lang w:val="en-US" w:eastAsia="zh-CN" w:bidi="ar-SA"/>
        </w:rPr>
        <w:t>（2）建设性质：改扩建</w:t>
      </w:r>
    </w:p>
    <w:p w14:paraId="1F46240F">
      <w:pPr>
        <w:pStyle w:val="5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val="0"/>
          <w:color w:val="auto"/>
          <w:kern w:val="0"/>
          <w:sz w:val="24"/>
          <w:szCs w:val="24"/>
          <w:highlight w:val="none"/>
          <w:u w:val="none"/>
          <w:lang w:val="en-US" w:eastAsia="zh-CN" w:bidi="ar-SA"/>
        </w:rPr>
      </w:pPr>
      <w:r>
        <w:rPr>
          <w:rFonts w:hint="eastAsia" w:ascii="宋体" w:hAnsi="宋体" w:eastAsia="宋体" w:cs="宋体"/>
          <w:bCs w:val="0"/>
          <w:color w:val="auto"/>
          <w:kern w:val="0"/>
          <w:sz w:val="24"/>
          <w:szCs w:val="24"/>
          <w:highlight w:val="none"/>
          <w:u w:val="none"/>
          <w:lang w:val="en-US" w:eastAsia="zh-CN" w:bidi="ar-SA"/>
        </w:rPr>
        <w:t>（3）建设单位：中国石油新疆油田公司开发公司</w:t>
      </w:r>
    </w:p>
    <w:p w14:paraId="4DC21C16">
      <w:pPr>
        <w:pStyle w:val="5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val="0"/>
          <w:color w:val="auto"/>
          <w:kern w:val="0"/>
          <w:sz w:val="24"/>
          <w:szCs w:val="24"/>
          <w:highlight w:val="none"/>
          <w:u w:val="none"/>
          <w:lang w:val="en-US" w:eastAsia="zh-CN" w:bidi="ar-SA"/>
        </w:rPr>
      </w:pPr>
      <w:r>
        <w:rPr>
          <w:rFonts w:hint="eastAsia" w:ascii="宋体" w:hAnsi="宋体" w:eastAsia="宋体" w:cs="宋体"/>
          <w:bCs w:val="0"/>
          <w:color w:val="auto"/>
          <w:kern w:val="0"/>
          <w:sz w:val="24"/>
          <w:szCs w:val="24"/>
          <w:highlight w:val="none"/>
          <w:u w:val="none"/>
          <w:lang w:val="en-US" w:eastAsia="zh-CN" w:bidi="ar-SA"/>
        </w:rPr>
        <w:t>（4）项目投资：5600万元</w:t>
      </w:r>
    </w:p>
    <w:p w14:paraId="2D25C089">
      <w:pPr>
        <w:pStyle w:val="5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val="0"/>
          <w:color w:val="auto"/>
          <w:kern w:val="0"/>
          <w:sz w:val="24"/>
          <w:szCs w:val="24"/>
          <w:highlight w:val="none"/>
          <w:u w:val="none"/>
          <w:lang w:val="en-US" w:eastAsia="zh-CN" w:bidi="ar-SA"/>
        </w:rPr>
      </w:pPr>
      <w:r>
        <w:rPr>
          <w:rFonts w:hint="eastAsia" w:ascii="宋体" w:hAnsi="宋体" w:eastAsia="宋体" w:cs="宋体"/>
          <w:bCs w:val="0"/>
          <w:color w:val="auto"/>
          <w:kern w:val="0"/>
          <w:sz w:val="24"/>
          <w:szCs w:val="24"/>
          <w:highlight w:val="none"/>
          <w:u w:val="none"/>
          <w:lang w:val="en-US" w:eastAsia="zh-CN" w:bidi="ar-SA"/>
        </w:rPr>
        <w:t>（5）建设地点：本工程位于新疆维吾尔自治区昌吉回族自治州呼图壁县境内，南侧距离呼图壁县城中心约</w:t>
      </w:r>
      <w:r>
        <w:rPr>
          <w:rFonts w:hint="default" w:ascii="宋体" w:hAnsi="宋体" w:eastAsia="宋体" w:cs="宋体"/>
          <w:bCs w:val="0"/>
          <w:color w:val="auto"/>
          <w:kern w:val="0"/>
          <w:sz w:val="24"/>
          <w:szCs w:val="24"/>
          <w:highlight w:val="none"/>
          <w:u w:val="none"/>
          <w:lang w:val="en-US" w:eastAsia="zh-CN" w:bidi="ar-SA"/>
        </w:rPr>
        <w:t>104</w:t>
      </w:r>
      <w:r>
        <w:rPr>
          <w:rFonts w:hint="eastAsia" w:ascii="宋体" w:hAnsi="宋体" w:eastAsia="宋体" w:cs="宋体"/>
          <w:bCs w:val="0"/>
          <w:color w:val="auto"/>
          <w:kern w:val="0"/>
          <w:sz w:val="24"/>
          <w:szCs w:val="24"/>
          <w:highlight w:val="none"/>
          <w:u w:val="none"/>
          <w:lang w:val="en-US" w:eastAsia="zh-CN" w:bidi="ar-SA"/>
        </w:rPr>
        <w:t>km，东北侧距离莫北转油站约</w:t>
      </w:r>
      <w:r>
        <w:rPr>
          <w:rFonts w:hint="default" w:ascii="宋体" w:hAnsi="宋体" w:eastAsia="宋体" w:cs="宋体"/>
          <w:bCs w:val="0"/>
          <w:color w:val="auto"/>
          <w:kern w:val="0"/>
          <w:sz w:val="24"/>
          <w:szCs w:val="24"/>
          <w:highlight w:val="none"/>
          <w:u w:val="none"/>
          <w:lang w:val="en-US" w:eastAsia="zh-CN" w:bidi="ar-SA"/>
        </w:rPr>
        <w:t>16</w:t>
      </w:r>
      <w:r>
        <w:rPr>
          <w:rFonts w:hint="eastAsia" w:ascii="宋体" w:hAnsi="宋体" w:eastAsia="宋体" w:cs="宋体"/>
          <w:bCs w:val="0"/>
          <w:color w:val="auto"/>
          <w:kern w:val="0"/>
          <w:sz w:val="24"/>
          <w:szCs w:val="24"/>
          <w:highlight w:val="none"/>
          <w:u w:val="none"/>
          <w:lang w:val="en-US" w:eastAsia="zh-CN" w:bidi="ar-SA"/>
        </w:rPr>
        <w:t>km，中心地理坐标为：东经</w:t>
      </w:r>
      <w:r>
        <w:rPr>
          <w:rFonts w:hint="default" w:ascii="宋体" w:hAnsi="宋体" w:eastAsia="宋体" w:cs="宋体"/>
          <w:bCs w:val="0"/>
          <w:color w:val="auto"/>
          <w:kern w:val="0"/>
          <w:sz w:val="24"/>
          <w:szCs w:val="24"/>
          <w:highlight w:val="none"/>
          <w:u w:val="none"/>
          <w:lang w:val="en-US" w:eastAsia="zh-CN" w:bidi="ar-SA"/>
        </w:rPr>
        <w:t>86°37'22.756"</w:t>
      </w:r>
      <w:r>
        <w:rPr>
          <w:rFonts w:hint="eastAsia" w:ascii="宋体" w:hAnsi="宋体" w:eastAsia="宋体" w:cs="宋体"/>
          <w:bCs w:val="0"/>
          <w:color w:val="auto"/>
          <w:kern w:val="0"/>
          <w:sz w:val="24"/>
          <w:szCs w:val="24"/>
          <w:highlight w:val="none"/>
          <w:u w:val="none"/>
          <w:lang w:val="en-US" w:eastAsia="zh-CN" w:bidi="ar-SA"/>
        </w:rPr>
        <w:t>，北纬</w:t>
      </w:r>
      <w:r>
        <w:rPr>
          <w:rFonts w:hint="default" w:ascii="宋体" w:hAnsi="宋体" w:eastAsia="宋体" w:cs="宋体"/>
          <w:bCs w:val="0"/>
          <w:color w:val="auto"/>
          <w:kern w:val="0"/>
          <w:sz w:val="24"/>
          <w:szCs w:val="24"/>
          <w:highlight w:val="none"/>
          <w:u w:val="none"/>
          <w:lang w:val="en-US" w:eastAsia="zh-CN" w:bidi="ar-SA"/>
        </w:rPr>
        <w:t>45°6'53.918"</w:t>
      </w:r>
      <w:r>
        <w:rPr>
          <w:rFonts w:hint="eastAsia" w:ascii="宋体" w:hAnsi="宋体" w:eastAsia="宋体" w:cs="宋体"/>
          <w:bCs w:val="0"/>
          <w:color w:val="auto"/>
          <w:kern w:val="0"/>
          <w:sz w:val="24"/>
          <w:szCs w:val="24"/>
          <w:highlight w:val="none"/>
          <w:u w:val="none"/>
          <w:lang w:val="en-US" w:eastAsia="zh-CN" w:bidi="ar-SA"/>
        </w:rPr>
        <w:t>（</w:t>
      </w:r>
      <w:r>
        <w:rPr>
          <w:rFonts w:hint="default" w:ascii="宋体" w:hAnsi="宋体" w:eastAsia="宋体" w:cs="宋体"/>
          <w:bCs w:val="0"/>
          <w:color w:val="auto"/>
          <w:kern w:val="0"/>
          <w:sz w:val="24"/>
          <w:szCs w:val="24"/>
          <w:highlight w:val="none"/>
          <w:u w:val="none"/>
          <w:lang w:val="en-US" w:eastAsia="zh-CN" w:bidi="ar-SA"/>
        </w:rPr>
        <w:t>MBHW6009</w:t>
      </w:r>
      <w:r>
        <w:rPr>
          <w:rFonts w:hint="eastAsia" w:ascii="宋体" w:hAnsi="宋体" w:eastAsia="宋体" w:cs="宋体"/>
          <w:bCs w:val="0"/>
          <w:color w:val="auto"/>
          <w:kern w:val="0"/>
          <w:sz w:val="24"/>
          <w:szCs w:val="24"/>
          <w:highlight w:val="none"/>
          <w:u w:val="none"/>
          <w:lang w:val="en-US" w:eastAsia="zh-CN" w:bidi="ar-SA"/>
        </w:rPr>
        <w:t>井）。</w:t>
      </w:r>
      <w:r>
        <w:rPr>
          <w:rFonts w:hint="eastAsia" w:ascii="宋体" w:hAnsi="宋体" w:cs="宋体"/>
          <w:bCs w:val="0"/>
          <w:color w:val="auto"/>
          <w:kern w:val="0"/>
          <w:sz w:val="24"/>
          <w:szCs w:val="24"/>
          <w:highlight w:val="none"/>
          <w:u w:val="none"/>
          <w:lang w:val="en-US" w:eastAsia="zh-CN" w:bidi="ar-SA"/>
        </w:rPr>
        <w:t>项目</w:t>
      </w:r>
      <w:r>
        <w:rPr>
          <w:rFonts w:hint="eastAsia" w:ascii="宋体" w:hAnsi="宋体" w:eastAsia="宋体" w:cs="宋体"/>
          <w:bCs w:val="0"/>
          <w:color w:val="auto"/>
          <w:kern w:val="0"/>
          <w:sz w:val="24"/>
          <w:szCs w:val="24"/>
          <w:highlight w:val="none"/>
          <w:u w:val="none"/>
          <w:lang w:val="en-US" w:eastAsia="zh-CN" w:bidi="ar-SA"/>
        </w:rPr>
        <w:t>位于《</w:t>
      </w:r>
      <w:r>
        <w:rPr>
          <w:rFonts w:hint="eastAsia" w:ascii="宋体" w:hAnsi="宋体" w:cs="宋体"/>
          <w:bCs w:val="0"/>
          <w:color w:val="auto"/>
          <w:kern w:val="0"/>
          <w:sz w:val="24"/>
          <w:szCs w:val="24"/>
          <w:highlight w:val="none"/>
          <w:u w:val="none"/>
          <w:lang w:val="en-US" w:eastAsia="zh-CN" w:bidi="ar-SA"/>
        </w:rPr>
        <w:t>新疆油田公司莫109井区开发建设项目</w:t>
      </w:r>
      <w:r>
        <w:rPr>
          <w:rFonts w:hint="eastAsia" w:ascii="宋体" w:hAnsi="宋体" w:eastAsia="宋体" w:cs="宋体"/>
          <w:bCs w:val="0"/>
          <w:color w:val="auto"/>
          <w:kern w:val="0"/>
          <w:sz w:val="24"/>
          <w:szCs w:val="24"/>
          <w:highlight w:val="none"/>
          <w:u w:val="none"/>
          <w:lang w:val="en-US" w:eastAsia="zh-CN" w:bidi="ar-SA"/>
        </w:rPr>
        <w:t>环境影响报告</w:t>
      </w:r>
      <w:r>
        <w:rPr>
          <w:rFonts w:hint="eastAsia" w:ascii="宋体" w:hAnsi="宋体" w:cs="宋体"/>
          <w:bCs w:val="0"/>
          <w:color w:val="auto"/>
          <w:kern w:val="0"/>
          <w:sz w:val="24"/>
          <w:szCs w:val="24"/>
          <w:highlight w:val="none"/>
          <w:u w:val="none"/>
          <w:lang w:val="en-US" w:eastAsia="zh-CN" w:bidi="ar-SA"/>
        </w:rPr>
        <w:t>表</w:t>
      </w:r>
      <w:r>
        <w:rPr>
          <w:rFonts w:hint="eastAsia" w:ascii="宋体" w:hAnsi="宋体" w:eastAsia="宋体" w:cs="宋体"/>
          <w:bCs w:val="0"/>
          <w:color w:val="auto"/>
          <w:kern w:val="0"/>
          <w:sz w:val="24"/>
          <w:szCs w:val="24"/>
          <w:highlight w:val="none"/>
          <w:u w:val="none"/>
          <w:lang w:val="en-US" w:eastAsia="zh-CN" w:bidi="ar-SA"/>
        </w:rPr>
        <w:t>》（新环监</w:t>
      </w:r>
      <w:r>
        <w:rPr>
          <w:rFonts w:hint="eastAsia" w:ascii="宋体" w:hAnsi="宋体" w:cs="宋体"/>
          <w:bCs w:val="0"/>
          <w:color w:val="auto"/>
          <w:kern w:val="0"/>
          <w:sz w:val="24"/>
          <w:szCs w:val="24"/>
          <w:highlight w:val="none"/>
          <w:u w:val="none"/>
          <w:lang w:val="en-US" w:eastAsia="zh-CN" w:bidi="ar-SA"/>
        </w:rPr>
        <w:t>建</w:t>
      </w:r>
      <w:r>
        <w:rPr>
          <w:rFonts w:hint="eastAsia" w:ascii="宋体" w:hAnsi="宋体" w:eastAsia="宋体" w:cs="宋体"/>
          <w:bCs w:val="0"/>
          <w:color w:val="auto"/>
          <w:kern w:val="0"/>
          <w:sz w:val="24"/>
          <w:szCs w:val="24"/>
          <w:highlight w:val="none"/>
          <w:u w:val="none"/>
          <w:lang w:val="en-US" w:eastAsia="zh-CN" w:bidi="ar-SA"/>
        </w:rPr>
        <w:t>函〔200</w:t>
      </w:r>
      <w:r>
        <w:rPr>
          <w:rFonts w:hint="eastAsia" w:ascii="宋体" w:hAnsi="宋体" w:cs="宋体"/>
          <w:bCs w:val="0"/>
          <w:color w:val="auto"/>
          <w:kern w:val="0"/>
          <w:sz w:val="24"/>
          <w:szCs w:val="24"/>
          <w:highlight w:val="none"/>
          <w:u w:val="none"/>
          <w:lang w:val="en-US" w:eastAsia="zh-CN" w:bidi="ar-SA"/>
        </w:rPr>
        <w:t>8</w:t>
      </w:r>
      <w:r>
        <w:rPr>
          <w:rFonts w:hint="eastAsia" w:ascii="宋体" w:hAnsi="宋体" w:eastAsia="宋体" w:cs="宋体"/>
          <w:bCs w:val="0"/>
          <w:color w:val="auto"/>
          <w:kern w:val="0"/>
          <w:sz w:val="24"/>
          <w:szCs w:val="24"/>
          <w:highlight w:val="none"/>
          <w:u w:val="none"/>
          <w:lang w:val="en-US" w:eastAsia="zh-CN" w:bidi="ar-SA"/>
        </w:rPr>
        <w:t>〕</w:t>
      </w:r>
      <w:r>
        <w:rPr>
          <w:rFonts w:hint="eastAsia" w:ascii="宋体" w:hAnsi="宋体" w:cs="宋体"/>
          <w:bCs w:val="0"/>
          <w:color w:val="auto"/>
          <w:kern w:val="0"/>
          <w:sz w:val="24"/>
          <w:szCs w:val="24"/>
          <w:highlight w:val="none"/>
          <w:u w:val="none"/>
          <w:lang w:val="en-US" w:eastAsia="zh-CN" w:bidi="ar-SA"/>
        </w:rPr>
        <w:t>146</w:t>
      </w:r>
      <w:r>
        <w:rPr>
          <w:rFonts w:hint="eastAsia" w:ascii="宋体" w:hAnsi="宋体" w:eastAsia="宋体" w:cs="宋体"/>
          <w:bCs w:val="0"/>
          <w:color w:val="auto"/>
          <w:kern w:val="0"/>
          <w:sz w:val="24"/>
          <w:szCs w:val="24"/>
          <w:highlight w:val="none"/>
          <w:u w:val="none"/>
          <w:lang w:val="en-US" w:eastAsia="zh-CN" w:bidi="ar-SA"/>
        </w:rPr>
        <w:t>号）范围内，属于老区块开发</w:t>
      </w:r>
      <w:r>
        <w:rPr>
          <w:rFonts w:hint="eastAsia" w:ascii="宋体" w:hAnsi="宋体" w:cs="宋体"/>
          <w:bCs w:val="0"/>
          <w:color w:val="auto"/>
          <w:kern w:val="0"/>
          <w:sz w:val="24"/>
          <w:szCs w:val="24"/>
          <w:highlight w:val="none"/>
          <w:u w:val="none"/>
          <w:lang w:val="en-US" w:eastAsia="zh-CN" w:bidi="ar-SA"/>
        </w:rPr>
        <w:t>建设项目</w:t>
      </w:r>
      <w:r>
        <w:rPr>
          <w:rFonts w:hint="eastAsia" w:ascii="宋体" w:hAnsi="宋体" w:eastAsia="宋体" w:cs="宋体"/>
          <w:bCs w:val="0"/>
          <w:color w:val="auto"/>
          <w:kern w:val="0"/>
          <w:sz w:val="24"/>
          <w:szCs w:val="24"/>
          <w:highlight w:val="none"/>
          <w:u w:val="none"/>
          <w:lang w:val="en-US" w:eastAsia="zh-CN" w:bidi="ar-SA"/>
        </w:rPr>
        <w:t>。</w:t>
      </w:r>
    </w:p>
    <w:p w14:paraId="6BCB2295">
      <w:pPr>
        <w:pStyle w:val="5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bCs w:val="0"/>
          <w:color w:val="auto"/>
          <w:kern w:val="0"/>
          <w:sz w:val="24"/>
          <w:szCs w:val="24"/>
          <w:highlight w:val="none"/>
          <w:u w:val="none"/>
          <w:lang w:val="en-US" w:eastAsia="zh-CN" w:bidi="ar-SA"/>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ascii="宋体" w:hAnsi="宋体" w:eastAsia="宋体" w:cs="宋体"/>
          <w:bCs w:val="0"/>
          <w:color w:val="auto"/>
          <w:kern w:val="0"/>
          <w:sz w:val="24"/>
          <w:szCs w:val="24"/>
          <w:highlight w:val="none"/>
          <w:u w:val="none"/>
          <w:lang w:val="en-US" w:eastAsia="zh-CN" w:bidi="ar-SA"/>
        </w:rPr>
        <w:t>工程地理位置图，见图</w:t>
      </w:r>
      <w:r>
        <w:rPr>
          <w:rFonts w:hint="default" w:ascii="宋体" w:hAnsi="宋体" w:eastAsia="宋体" w:cs="宋体"/>
          <w:bCs w:val="0"/>
          <w:color w:val="auto"/>
          <w:kern w:val="0"/>
          <w:sz w:val="24"/>
          <w:szCs w:val="24"/>
          <w:highlight w:val="none"/>
          <w:u w:val="none"/>
          <w:lang w:val="en-US" w:eastAsia="zh-CN" w:bidi="ar-SA"/>
        </w:rPr>
        <w:t>3.3-1</w:t>
      </w:r>
      <w:r>
        <w:rPr>
          <w:rFonts w:hint="eastAsia" w:ascii="宋体" w:hAnsi="宋体" w:eastAsia="宋体" w:cs="宋体"/>
          <w:bCs w:val="0"/>
          <w:color w:val="auto"/>
          <w:kern w:val="0"/>
          <w:sz w:val="24"/>
          <w:szCs w:val="24"/>
          <w:highlight w:val="none"/>
          <w:u w:val="none"/>
          <w:lang w:val="en-US" w:eastAsia="zh-CN" w:bidi="ar-SA"/>
        </w:rPr>
        <w:t>。工程整体布局图，见图</w:t>
      </w:r>
      <w:r>
        <w:rPr>
          <w:rFonts w:hint="default" w:ascii="宋体" w:hAnsi="宋体" w:eastAsia="宋体" w:cs="宋体"/>
          <w:bCs w:val="0"/>
          <w:color w:val="auto"/>
          <w:kern w:val="0"/>
          <w:sz w:val="24"/>
          <w:szCs w:val="24"/>
          <w:highlight w:val="none"/>
          <w:u w:val="none"/>
          <w:lang w:val="en-US" w:eastAsia="zh-CN" w:bidi="ar-SA"/>
        </w:rPr>
        <w:t>3.3-2</w:t>
      </w:r>
      <w:r>
        <w:rPr>
          <w:rFonts w:hint="eastAsia" w:ascii="宋体" w:hAnsi="宋体" w:eastAsia="宋体" w:cs="宋体"/>
          <w:bCs w:val="0"/>
          <w:color w:val="auto"/>
          <w:kern w:val="0"/>
          <w:sz w:val="24"/>
          <w:szCs w:val="24"/>
          <w:highlight w:val="none"/>
          <w:u w:val="none"/>
          <w:lang w:val="en-US" w:eastAsia="zh-CN" w:bidi="ar-SA"/>
        </w:rPr>
        <w:t>。本工程与新疆油田“一张图”的相对位置关系见附图</w:t>
      </w:r>
      <w:r>
        <w:rPr>
          <w:rFonts w:hint="eastAsia" w:ascii="宋体" w:hAnsi="宋体" w:cs="宋体"/>
          <w:bCs w:val="0"/>
          <w:color w:val="auto"/>
          <w:kern w:val="0"/>
          <w:sz w:val="24"/>
          <w:szCs w:val="24"/>
          <w:highlight w:val="none"/>
          <w:u w:val="none"/>
          <w:lang w:val="en-US" w:eastAsia="zh-CN" w:bidi="ar-SA"/>
        </w:rPr>
        <w:t>3.3-3</w:t>
      </w:r>
      <w:r>
        <w:rPr>
          <w:rFonts w:hint="eastAsia" w:ascii="宋体" w:hAnsi="宋体" w:eastAsia="宋体" w:cs="宋体"/>
          <w:bCs w:val="0"/>
          <w:color w:val="auto"/>
          <w:kern w:val="0"/>
          <w:sz w:val="24"/>
          <w:szCs w:val="24"/>
          <w:highlight w:val="none"/>
          <w:u w:val="none"/>
          <w:lang w:val="en-US" w:eastAsia="zh-CN" w:bidi="ar-SA"/>
        </w:rPr>
        <w:t>。</w:t>
      </w:r>
    </w:p>
    <w:p w14:paraId="3468C8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sectPr>
          <w:pgSz w:w="11906" w:h="16838"/>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AndChars" w:linePitch="312" w:charSpace="0"/>
        </w:sectPr>
      </w:pPr>
      <w:r>
        <w:rPr>
          <w:rFonts w:hint="eastAsia" w:ascii="黑体" w:hAnsi="黑体" w:eastAsia="黑体" w:cs="黑体"/>
          <w:b w:val="0"/>
          <w:bCs/>
          <w:color w:val="auto"/>
          <w:kern w:val="2"/>
          <w:sz w:val="24"/>
          <w:szCs w:val="24"/>
          <w:u w:val="none"/>
          <w:lang w:val="en-US" w:eastAsia="zh-CN" w:bidi="ar-SA"/>
        </w:rPr>
        <w:drawing>
          <wp:anchor distT="0" distB="0" distL="114300" distR="114300" simplePos="0" relativeHeight="251703296" behindDoc="0" locked="0" layoutInCell="1" allowOverlap="1">
            <wp:simplePos x="0" y="0"/>
            <wp:positionH relativeFrom="column">
              <wp:posOffset>94615</wp:posOffset>
            </wp:positionH>
            <wp:positionV relativeFrom="paragraph">
              <wp:posOffset>88900</wp:posOffset>
            </wp:positionV>
            <wp:extent cx="6427470" cy="9156065"/>
            <wp:effectExtent l="0" t="0" r="11430" b="6985"/>
            <wp:wrapTopAndBottom/>
            <wp:docPr id="44" name="图片 44" descr="5-65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652323"/>
                    <pic:cNvPicPr>
                      <a:picLocks noChangeAspect="1"/>
                    </pic:cNvPicPr>
                  </pic:nvPicPr>
                  <pic:blipFill>
                    <a:blip r:embed="rId33"/>
                    <a:stretch>
                      <a:fillRect/>
                    </a:stretch>
                  </pic:blipFill>
                  <pic:spPr>
                    <a:xfrm>
                      <a:off x="0" y="0"/>
                      <a:ext cx="6427470" cy="9156065"/>
                    </a:xfrm>
                    <a:prstGeom prst="rect">
                      <a:avLst/>
                    </a:prstGeom>
                  </pic:spPr>
                </pic:pic>
              </a:graphicData>
            </a:graphic>
          </wp:anchor>
        </w:drawing>
      </w:r>
      <w:r>
        <w:rPr>
          <w:rFonts w:hint="eastAsia" w:ascii="黑体" w:hAnsi="黑体" w:eastAsia="黑体" w:cs="黑体"/>
          <w:b w:val="0"/>
          <w:bCs/>
          <w:color w:val="auto"/>
          <w:kern w:val="2"/>
          <w:sz w:val="24"/>
          <w:szCs w:val="24"/>
          <w:u w:val="none"/>
          <w:lang w:val="en-US" w:eastAsia="zh-CN" w:bidi="ar-SA"/>
        </w:rPr>
        <w:t>图3.3-1  工程地理位置图</w:t>
      </w:r>
    </w:p>
    <w:p w14:paraId="532FAC05">
      <w:pPr>
        <w:jc w:val="center"/>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drawing>
          <wp:anchor distT="0" distB="0" distL="114300" distR="114300" simplePos="0" relativeHeight="251704320" behindDoc="0" locked="0" layoutInCell="1" allowOverlap="1">
            <wp:simplePos x="0" y="0"/>
            <wp:positionH relativeFrom="column">
              <wp:posOffset>534035</wp:posOffset>
            </wp:positionH>
            <wp:positionV relativeFrom="paragraph">
              <wp:posOffset>69215</wp:posOffset>
            </wp:positionV>
            <wp:extent cx="8681085" cy="6136005"/>
            <wp:effectExtent l="0" t="0" r="5715" b="17145"/>
            <wp:wrapTopAndBottom/>
            <wp:docPr id="45" name="图片 45" descr="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布局图"/>
                    <pic:cNvPicPr>
                      <a:picLocks noChangeAspect="1"/>
                    </pic:cNvPicPr>
                  </pic:nvPicPr>
                  <pic:blipFill>
                    <a:blip r:embed="rId34"/>
                    <a:stretch>
                      <a:fillRect/>
                    </a:stretch>
                  </pic:blipFill>
                  <pic:spPr>
                    <a:xfrm>
                      <a:off x="0" y="0"/>
                      <a:ext cx="8681085" cy="6136005"/>
                    </a:xfrm>
                    <a:prstGeom prst="rect">
                      <a:avLst/>
                    </a:prstGeom>
                  </pic:spPr>
                </pic:pic>
              </a:graphicData>
            </a:graphic>
          </wp:anchor>
        </w:drawing>
      </w:r>
      <w:r>
        <w:rPr>
          <w:rFonts w:hint="eastAsia" w:ascii="黑体" w:hAnsi="黑体" w:eastAsia="黑体" w:cs="黑体"/>
          <w:b w:val="0"/>
          <w:bCs/>
          <w:color w:val="auto"/>
          <w:kern w:val="2"/>
          <w:sz w:val="24"/>
          <w:szCs w:val="24"/>
          <w:u w:val="none"/>
          <w:lang w:val="en-US" w:eastAsia="zh-CN" w:bidi="ar-SA"/>
        </w:rPr>
        <w:t>图3.3-2  工程整体布局图</w:t>
      </w:r>
    </w:p>
    <w:p w14:paraId="17780E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sectPr>
          <w:pgSz w:w="16838" w:h="11906" w:orient="landscape"/>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AndChars" w:linePitch="312" w:charSpace="0"/>
        </w:sectPr>
      </w:pPr>
      <w:r>
        <w:rPr>
          <w:rFonts w:hint="eastAsia" w:ascii="黑体" w:hAnsi="黑体" w:eastAsia="黑体" w:cs="黑体"/>
          <w:b w:val="0"/>
          <w:bCs/>
          <w:color w:val="auto"/>
          <w:kern w:val="2"/>
          <w:sz w:val="24"/>
          <w:szCs w:val="24"/>
          <w:u w:val="none"/>
          <w:lang w:val="en-US" w:eastAsia="zh-CN" w:bidi="ar-SA"/>
        </w:rPr>
        <w:drawing>
          <wp:anchor distT="0" distB="0" distL="114300" distR="114300" simplePos="0" relativeHeight="251711488" behindDoc="0" locked="0" layoutInCell="1" allowOverlap="1">
            <wp:simplePos x="0" y="0"/>
            <wp:positionH relativeFrom="column">
              <wp:posOffset>680085</wp:posOffset>
            </wp:positionH>
            <wp:positionV relativeFrom="paragraph">
              <wp:posOffset>80010</wp:posOffset>
            </wp:positionV>
            <wp:extent cx="8529955" cy="6029960"/>
            <wp:effectExtent l="0" t="0" r="4445" b="8890"/>
            <wp:wrapTopAndBottom/>
            <wp:docPr id="12" name="图片 12" descr="一张图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一张图位置关系图"/>
                    <pic:cNvPicPr>
                      <a:picLocks noChangeAspect="1"/>
                    </pic:cNvPicPr>
                  </pic:nvPicPr>
                  <pic:blipFill>
                    <a:blip r:embed="rId35"/>
                    <a:stretch>
                      <a:fillRect/>
                    </a:stretch>
                  </pic:blipFill>
                  <pic:spPr>
                    <a:xfrm>
                      <a:off x="0" y="0"/>
                      <a:ext cx="8529955" cy="6029960"/>
                    </a:xfrm>
                    <a:prstGeom prst="rect">
                      <a:avLst/>
                    </a:prstGeom>
                  </pic:spPr>
                </pic:pic>
              </a:graphicData>
            </a:graphic>
          </wp:anchor>
        </w:drawing>
      </w:r>
      <w:r>
        <w:rPr>
          <w:rFonts w:hint="eastAsia" w:ascii="黑体" w:hAnsi="黑体" w:eastAsia="黑体" w:cs="黑体"/>
          <w:b w:val="0"/>
          <w:bCs/>
          <w:color w:val="auto"/>
          <w:kern w:val="2"/>
          <w:sz w:val="24"/>
          <w:szCs w:val="24"/>
          <w:u w:val="none"/>
          <w:lang w:val="en-US" w:eastAsia="zh-CN" w:bidi="ar-SA"/>
        </w:rPr>
        <w:t>图3.3-3  本工程与新疆油田“一张图”的相对位置关系图</w:t>
      </w:r>
    </w:p>
    <w:p w14:paraId="340F3AAF">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Times New Roman" w:hAnsi="Times New Roman" w:cs="Times New Roman"/>
          <w:color w:val="auto"/>
          <w:highlight w:val="none"/>
          <w:u w:val="none"/>
        </w:rPr>
      </w:pPr>
      <w:bookmarkStart w:id="173" w:name="_Hlk48603948"/>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2 </w:t>
      </w:r>
      <w:r>
        <w:rPr>
          <w:rFonts w:hint="default" w:ascii="黑体" w:hAnsi="黑体" w:eastAsia="黑体" w:cs="黑体"/>
          <w:b/>
          <w:color w:val="auto"/>
          <w:kern w:val="0"/>
          <w:sz w:val="24"/>
          <w:szCs w:val="24"/>
          <w:highlight w:val="none"/>
          <w:u w:val="none"/>
          <w:lang w:val="en-US" w:eastAsia="zh-CN"/>
        </w:rPr>
        <w:t>建设内容及规模</w:t>
      </w:r>
    </w:p>
    <w:bookmarkEnd w:id="173"/>
    <w:p w14:paraId="42702B4E">
      <w:pPr>
        <w:pStyle w:val="5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val="0"/>
          <w:color w:val="auto"/>
          <w:kern w:val="0"/>
          <w:sz w:val="24"/>
          <w:szCs w:val="24"/>
          <w:highlight w:val="none"/>
          <w:u w:val="none"/>
          <w:lang w:val="en-US" w:eastAsia="zh-CN" w:bidi="ar-SA"/>
        </w:rPr>
      </w:pPr>
      <w:r>
        <w:rPr>
          <w:rFonts w:hint="eastAsia" w:ascii="宋体" w:hAnsi="宋体" w:eastAsia="宋体" w:cs="宋体"/>
          <w:bCs w:val="0"/>
          <w:color w:val="auto"/>
          <w:kern w:val="0"/>
          <w:sz w:val="24"/>
          <w:szCs w:val="24"/>
          <w:highlight w:val="none"/>
          <w:u w:val="none"/>
          <w:lang w:val="en-US" w:eastAsia="zh-CN" w:bidi="ar-SA"/>
        </w:rPr>
        <w:t>本工程新钻采气井3口（MBHW6006井、MBHW6008井、MBHW6009井），钻井进尺16830m，新建单井采气管线7.4km，对莫109转油站进行改造，配套建设电气、自控、通信、防腐、消防等工程。</w:t>
      </w:r>
    </w:p>
    <w:p w14:paraId="116502B0">
      <w:pPr>
        <w:pStyle w:val="5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2"/>
          <w:u w:val="none"/>
        </w:rPr>
      </w:pPr>
      <w:r>
        <w:rPr>
          <w:rFonts w:hint="default" w:ascii="宋体" w:hAnsi="宋体" w:eastAsia="宋体" w:cs="宋体"/>
          <w:bCs w:val="0"/>
          <w:color w:val="auto"/>
          <w:kern w:val="0"/>
          <w:sz w:val="24"/>
          <w:szCs w:val="24"/>
          <w:highlight w:val="none"/>
          <w:u w:val="none"/>
          <w:lang w:val="en-US" w:eastAsia="zh-CN" w:bidi="ar-SA"/>
        </w:rPr>
        <w:t>工程组成</w:t>
      </w:r>
      <w:r>
        <w:rPr>
          <w:rFonts w:hint="eastAsia" w:ascii="宋体" w:hAnsi="宋体" w:eastAsia="宋体" w:cs="宋体"/>
          <w:bCs w:val="0"/>
          <w:color w:val="auto"/>
          <w:kern w:val="0"/>
          <w:sz w:val="24"/>
          <w:szCs w:val="24"/>
          <w:highlight w:val="none"/>
          <w:u w:val="none"/>
          <w:lang w:val="en-US" w:eastAsia="zh-CN" w:bidi="ar-SA"/>
        </w:rPr>
        <w:t>，</w:t>
      </w:r>
      <w:r>
        <w:rPr>
          <w:rFonts w:hint="default" w:ascii="宋体" w:hAnsi="宋体" w:eastAsia="宋体" w:cs="宋体"/>
          <w:bCs w:val="0"/>
          <w:color w:val="auto"/>
          <w:kern w:val="0"/>
          <w:sz w:val="24"/>
          <w:szCs w:val="24"/>
          <w:highlight w:val="none"/>
          <w:u w:val="none"/>
          <w:lang w:val="en-US" w:eastAsia="zh-CN" w:bidi="ar-SA"/>
        </w:rPr>
        <w:t>见表3.</w:t>
      </w:r>
      <w:r>
        <w:rPr>
          <w:rFonts w:hint="eastAsia" w:ascii="宋体" w:hAnsi="宋体" w:eastAsia="宋体" w:cs="宋体"/>
          <w:bCs w:val="0"/>
          <w:color w:val="auto"/>
          <w:kern w:val="0"/>
          <w:sz w:val="24"/>
          <w:szCs w:val="24"/>
          <w:highlight w:val="none"/>
          <w:u w:val="none"/>
          <w:lang w:val="en-US" w:eastAsia="zh-CN" w:bidi="ar-SA"/>
        </w:rPr>
        <w:t>3</w:t>
      </w:r>
      <w:r>
        <w:rPr>
          <w:rFonts w:hint="default" w:ascii="宋体" w:hAnsi="宋体" w:eastAsia="宋体" w:cs="宋体"/>
          <w:bCs w:val="0"/>
          <w:color w:val="auto"/>
          <w:kern w:val="0"/>
          <w:sz w:val="24"/>
          <w:szCs w:val="24"/>
          <w:highlight w:val="none"/>
          <w:u w:val="none"/>
          <w:lang w:val="en-US" w:eastAsia="zh-CN" w:bidi="ar-SA"/>
        </w:rPr>
        <w:t>-1。</w:t>
      </w:r>
    </w:p>
    <w:p w14:paraId="3D1345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bCs w:val="0"/>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表3.3-1  工程组成一览表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601"/>
        <w:gridCol w:w="1159"/>
        <w:gridCol w:w="6542"/>
      </w:tblGrid>
      <w:tr w14:paraId="6125A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95" w:type="pct"/>
            <w:gridSpan w:val="3"/>
            <w:tcBorders>
              <w:tl2br w:val="nil"/>
              <w:tr2bl w:val="nil"/>
            </w:tcBorders>
            <w:vAlign w:val="center"/>
          </w:tcPr>
          <w:p w14:paraId="3123C4B0">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i w:val="0"/>
                <w:iCs w:val="0"/>
                <w:color w:val="auto"/>
                <w:sz w:val="21"/>
                <w:szCs w:val="21"/>
                <w:u w:val="none"/>
              </w:rPr>
            </w:pPr>
            <w:r>
              <w:rPr>
                <w:rFonts w:hint="eastAsia" w:ascii="宋体" w:hAnsi="宋体" w:eastAsia="宋体" w:cs="宋体"/>
                <w:b w:val="0"/>
                <w:bCs/>
                <w:i w:val="0"/>
                <w:iCs w:val="0"/>
                <w:color w:val="auto"/>
                <w:sz w:val="21"/>
                <w:szCs w:val="21"/>
                <w:u w:val="none"/>
              </w:rPr>
              <w:t>工程名称</w:t>
            </w:r>
          </w:p>
        </w:tc>
        <w:tc>
          <w:tcPr>
            <w:tcW w:w="3704" w:type="pct"/>
            <w:tcBorders>
              <w:tl2br w:val="nil"/>
              <w:tr2bl w:val="nil"/>
            </w:tcBorders>
            <w:vAlign w:val="center"/>
          </w:tcPr>
          <w:p w14:paraId="5E515950">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i w:val="0"/>
                <w:iCs w:val="0"/>
                <w:color w:val="auto"/>
                <w:sz w:val="21"/>
                <w:szCs w:val="21"/>
                <w:u w:val="none"/>
              </w:rPr>
            </w:pPr>
            <w:r>
              <w:rPr>
                <w:rFonts w:hint="eastAsia" w:ascii="宋体" w:hAnsi="宋体" w:eastAsia="宋体" w:cs="宋体"/>
                <w:b w:val="0"/>
                <w:bCs/>
                <w:i w:val="0"/>
                <w:iCs w:val="0"/>
                <w:color w:val="auto"/>
                <w:sz w:val="21"/>
                <w:szCs w:val="21"/>
                <w:u w:val="none"/>
              </w:rPr>
              <w:t>工程内容及规模</w:t>
            </w:r>
          </w:p>
        </w:tc>
      </w:tr>
      <w:tr w14:paraId="61F8A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restart"/>
            <w:tcBorders>
              <w:tl2br w:val="nil"/>
              <w:tr2bl w:val="nil"/>
            </w:tcBorders>
            <w:vAlign w:val="center"/>
          </w:tcPr>
          <w:p w14:paraId="5AD39450">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lang w:val="en-US" w:eastAsia="zh-CN"/>
              </w:rPr>
              <w:t>主体工程</w:t>
            </w:r>
          </w:p>
        </w:tc>
        <w:tc>
          <w:tcPr>
            <w:tcW w:w="995" w:type="pct"/>
            <w:gridSpan w:val="2"/>
            <w:tcBorders>
              <w:tl2br w:val="nil"/>
              <w:tr2bl w:val="nil"/>
            </w:tcBorders>
            <w:vAlign w:val="center"/>
          </w:tcPr>
          <w:p w14:paraId="7080005A">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lang w:val="en-US" w:eastAsia="zh-CN"/>
              </w:rPr>
              <w:t>钻井工程</w:t>
            </w:r>
          </w:p>
        </w:tc>
        <w:tc>
          <w:tcPr>
            <w:tcW w:w="3704" w:type="pct"/>
            <w:tcBorders>
              <w:tl2br w:val="nil"/>
              <w:tr2bl w:val="nil"/>
            </w:tcBorders>
            <w:vAlign w:val="center"/>
          </w:tcPr>
          <w:p w14:paraId="06FA93A5">
            <w:pPr>
              <w:keepNext w:val="0"/>
              <w:keepLines w:val="0"/>
              <w:pageBreakBefore w:val="0"/>
              <w:widowControl w:val="0"/>
              <w:kinsoku/>
              <w:wordWrap/>
              <w:overflowPunct/>
              <w:topLinePunct w:val="0"/>
              <w:autoSpaceDE w:val="0"/>
              <w:autoSpaceDN w:val="0"/>
              <w:bidi w:val="0"/>
              <w:spacing w:line="400" w:lineRule="exact"/>
              <w:ind w:left="-86" w:leftChars="-41" w:right="-96" w:rightChars="-46"/>
              <w:jc w:val="left"/>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新钻采气井</w:t>
            </w:r>
            <w:r>
              <w:rPr>
                <w:rFonts w:hint="eastAsia" w:ascii="宋体" w:hAnsi="宋体" w:cs="宋体"/>
                <w:b w:val="0"/>
                <w:bCs/>
                <w:color w:val="auto"/>
                <w:sz w:val="21"/>
                <w:szCs w:val="21"/>
                <w:u w:val="none"/>
                <w:lang w:val="en-US" w:eastAsia="zh-CN"/>
              </w:rPr>
              <w:t>3</w:t>
            </w:r>
            <w:r>
              <w:rPr>
                <w:rFonts w:hint="eastAsia" w:ascii="宋体" w:hAnsi="宋体" w:eastAsia="宋体" w:cs="宋体"/>
                <w:b w:val="0"/>
                <w:bCs/>
                <w:color w:val="auto"/>
                <w:sz w:val="21"/>
                <w:szCs w:val="21"/>
                <w:u w:val="none"/>
              </w:rPr>
              <w:t>口（MBHW6006井、MBHW6008井、MBHW6009井），钻井进尺</w:t>
            </w:r>
            <w:r>
              <w:rPr>
                <w:rFonts w:hint="eastAsia" w:ascii="宋体" w:hAnsi="宋体" w:cs="宋体"/>
                <w:b w:val="0"/>
                <w:bCs/>
                <w:color w:val="auto"/>
                <w:sz w:val="21"/>
                <w:szCs w:val="21"/>
                <w:u w:val="none"/>
                <w:lang w:val="en-US" w:eastAsia="zh-CN"/>
              </w:rPr>
              <w:t>16830</w:t>
            </w:r>
            <w:r>
              <w:rPr>
                <w:rFonts w:hint="eastAsia" w:ascii="宋体" w:hAnsi="宋体" w:eastAsia="宋体" w:cs="宋体"/>
                <w:b w:val="0"/>
                <w:bCs/>
                <w:color w:val="auto"/>
                <w:sz w:val="21"/>
                <w:szCs w:val="21"/>
                <w:u w:val="none"/>
              </w:rPr>
              <w:t>m</w:t>
            </w:r>
          </w:p>
        </w:tc>
      </w:tr>
      <w:tr w14:paraId="09D25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2A21C651">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p>
        </w:tc>
        <w:tc>
          <w:tcPr>
            <w:tcW w:w="995" w:type="pct"/>
            <w:gridSpan w:val="2"/>
            <w:tcBorders>
              <w:tl2br w:val="nil"/>
              <w:tr2bl w:val="nil"/>
            </w:tcBorders>
            <w:vAlign w:val="center"/>
          </w:tcPr>
          <w:p w14:paraId="01A1DD47">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采气工程</w:t>
            </w:r>
          </w:p>
        </w:tc>
        <w:tc>
          <w:tcPr>
            <w:tcW w:w="3704" w:type="pct"/>
            <w:tcBorders>
              <w:tl2br w:val="nil"/>
              <w:tr2bl w:val="nil"/>
            </w:tcBorders>
            <w:vAlign w:val="center"/>
          </w:tcPr>
          <w:p w14:paraId="67CF0FCC">
            <w:pPr>
              <w:keepNext w:val="0"/>
              <w:keepLines w:val="0"/>
              <w:pageBreakBefore w:val="0"/>
              <w:widowControl w:val="0"/>
              <w:kinsoku/>
              <w:wordWrap/>
              <w:overflowPunct/>
              <w:topLinePunct w:val="0"/>
              <w:autoSpaceDE w:val="0"/>
              <w:autoSpaceDN w:val="0"/>
              <w:bidi w:val="0"/>
              <w:spacing w:line="400" w:lineRule="exact"/>
              <w:ind w:left="-86" w:leftChars="-41" w:right="-96" w:rightChars="-46"/>
              <w:jc w:val="left"/>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新建采</w:t>
            </w:r>
            <w:r>
              <w:rPr>
                <w:rFonts w:hint="eastAsia" w:ascii="宋体" w:hAnsi="宋体" w:eastAsia="宋体" w:cs="宋体"/>
                <w:b w:val="0"/>
                <w:bCs/>
                <w:color w:val="auto"/>
                <w:sz w:val="21"/>
                <w:szCs w:val="21"/>
                <w:u w:val="none"/>
                <w:lang w:val="en-US" w:eastAsia="zh-CN"/>
              </w:rPr>
              <w:t>气</w:t>
            </w:r>
            <w:r>
              <w:rPr>
                <w:rFonts w:hint="eastAsia" w:ascii="宋体" w:hAnsi="宋体" w:eastAsia="宋体" w:cs="宋体"/>
                <w:b w:val="0"/>
                <w:bCs/>
                <w:color w:val="auto"/>
                <w:sz w:val="21"/>
                <w:szCs w:val="21"/>
                <w:u w:val="none"/>
              </w:rPr>
              <w:t>井口</w:t>
            </w:r>
            <w:r>
              <w:rPr>
                <w:rFonts w:hint="eastAsia" w:ascii="宋体" w:hAnsi="宋体" w:cs="宋体"/>
                <w:b w:val="0"/>
                <w:bCs/>
                <w:color w:val="auto"/>
                <w:sz w:val="21"/>
                <w:szCs w:val="21"/>
                <w:u w:val="none"/>
                <w:lang w:val="en-US" w:eastAsia="zh-CN"/>
              </w:rPr>
              <w:t>3</w:t>
            </w:r>
            <w:r>
              <w:rPr>
                <w:rFonts w:hint="eastAsia" w:ascii="宋体" w:hAnsi="宋体" w:eastAsia="宋体" w:cs="宋体"/>
                <w:b w:val="0"/>
                <w:bCs/>
                <w:color w:val="auto"/>
                <w:sz w:val="21"/>
                <w:szCs w:val="21"/>
                <w:u w:val="none"/>
              </w:rPr>
              <w:t>座</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rPr>
              <w:t>井口采用KQ78-65/105井口，选择Φ73×5.51mm P110外加厚完井管柱和180mm大通径闸阀。</w:t>
            </w:r>
          </w:p>
        </w:tc>
      </w:tr>
      <w:tr w14:paraId="3E42A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0EF87D51">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340" w:type="pct"/>
            <w:vMerge w:val="restart"/>
            <w:tcBorders>
              <w:tl2br w:val="nil"/>
              <w:tr2bl w:val="nil"/>
            </w:tcBorders>
            <w:vAlign w:val="center"/>
          </w:tcPr>
          <w:p w14:paraId="58BACBA0">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地面工程</w:t>
            </w:r>
          </w:p>
        </w:tc>
        <w:tc>
          <w:tcPr>
            <w:tcW w:w="655" w:type="pct"/>
            <w:tcBorders>
              <w:tl2br w:val="nil"/>
              <w:tr2bl w:val="nil"/>
            </w:tcBorders>
            <w:vAlign w:val="center"/>
          </w:tcPr>
          <w:p w14:paraId="32DC7DB6">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pacing w:val="-1"/>
                <w:sz w:val="21"/>
                <w:szCs w:val="21"/>
                <w:u w:val="none"/>
                <w:lang w:eastAsia="zh-CN"/>
              </w:rPr>
            </w:pPr>
            <w:r>
              <w:rPr>
                <w:rFonts w:hint="eastAsia" w:ascii="宋体" w:hAnsi="宋体" w:eastAsia="宋体" w:cs="宋体"/>
                <w:b w:val="0"/>
                <w:bCs/>
                <w:color w:val="auto"/>
                <w:spacing w:val="-1"/>
                <w:sz w:val="21"/>
                <w:szCs w:val="21"/>
                <w:u w:val="none"/>
              </w:rPr>
              <w:t>单井</w:t>
            </w:r>
            <w:r>
              <w:rPr>
                <w:rFonts w:hint="eastAsia" w:ascii="宋体" w:hAnsi="宋体" w:eastAsia="宋体" w:cs="宋体"/>
                <w:b w:val="0"/>
                <w:bCs/>
                <w:color w:val="auto"/>
                <w:spacing w:val="-1"/>
                <w:sz w:val="21"/>
                <w:szCs w:val="21"/>
                <w:u w:val="none"/>
                <w:lang w:val="en-US" w:eastAsia="zh-CN"/>
              </w:rPr>
              <w:t>管线</w:t>
            </w:r>
          </w:p>
        </w:tc>
        <w:tc>
          <w:tcPr>
            <w:tcW w:w="3704" w:type="pct"/>
            <w:tcBorders>
              <w:tl2br w:val="nil"/>
              <w:tr2bl w:val="nil"/>
            </w:tcBorders>
            <w:vAlign w:val="center"/>
          </w:tcPr>
          <w:p w14:paraId="0DC37F5D">
            <w:pPr>
              <w:keepNext w:val="0"/>
              <w:keepLines w:val="0"/>
              <w:pageBreakBefore w:val="0"/>
              <w:widowControl w:val="0"/>
              <w:kinsoku/>
              <w:wordWrap/>
              <w:overflowPunct/>
              <w:topLinePunct w:val="0"/>
              <w:autoSpaceDE w:val="0"/>
              <w:autoSpaceDN w:val="0"/>
              <w:bidi w:val="0"/>
              <w:spacing w:line="400" w:lineRule="exact"/>
              <w:ind w:left="-86" w:leftChars="-41" w:right="-96" w:rightChars="-46"/>
              <w:jc w:val="left"/>
              <w:rPr>
                <w:rFonts w:hint="eastAsia" w:ascii="宋体" w:hAnsi="宋体" w:eastAsia="宋体" w:cs="宋体"/>
                <w:b w:val="0"/>
                <w:bCs/>
                <w:color w:val="auto"/>
                <w:spacing w:val="-1"/>
                <w:sz w:val="21"/>
                <w:szCs w:val="21"/>
                <w:highlight w:val="none"/>
                <w:u w:val="none"/>
                <w:lang w:val="en-US" w:eastAsia="zh-CN"/>
              </w:rPr>
            </w:pPr>
            <w:r>
              <w:rPr>
                <w:rFonts w:hint="eastAsia"/>
                <w:color w:val="auto"/>
                <w:u w:val="none"/>
              </w:rPr>
              <w:t>新建单井</w:t>
            </w:r>
            <w:r>
              <w:rPr>
                <w:rFonts w:hint="eastAsia"/>
                <w:color w:val="auto"/>
                <w:u w:val="none"/>
                <w:lang w:val="en-US" w:eastAsia="zh-CN"/>
              </w:rPr>
              <w:t>采气</w:t>
            </w:r>
            <w:r>
              <w:rPr>
                <w:rFonts w:hint="eastAsia"/>
                <w:color w:val="auto"/>
                <w:u w:val="none"/>
              </w:rPr>
              <w:t>管线</w:t>
            </w:r>
            <w:r>
              <w:rPr>
                <w:rFonts w:hint="eastAsia"/>
                <w:color w:val="auto"/>
                <w:u w:val="none"/>
                <w:lang w:val="en-US" w:eastAsia="zh-CN"/>
              </w:rPr>
              <w:t>7.4km，</w:t>
            </w:r>
            <w:r>
              <w:rPr>
                <w:rFonts w:hint="eastAsia"/>
                <w:color w:val="auto"/>
                <w:u w:val="none"/>
              </w:rPr>
              <w:t>采用D60×5 20G号无缝钢管</w:t>
            </w:r>
          </w:p>
        </w:tc>
      </w:tr>
      <w:tr w14:paraId="25507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47A58D89">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340" w:type="pct"/>
            <w:vMerge w:val="continue"/>
            <w:tcBorders>
              <w:tl2br w:val="nil"/>
              <w:tr2bl w:val="nil"/>
            </w:tcBorders>
            <w:vAlign w:val="center"/>
          </w:tcPr>
          <w:p w14:paraId="2D50D3A2">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p>
        </w:tc>
        <w:tc>
          <w:tcPr>
            <w:tcW w:w="655" w:type="pct"/>
            <w:tcBorders>
              <w:tl2br w:val="nil"/>
              <w:tr2bl w:val="nil"/>
            </w:tcBorders>
            <w:vAlign w:val="center"/>
          </w:tcPr>
          <w:p w14:paraId="19763510">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pacing w:val="-1"/>
                <w:sz w:val="21"/>
                <w:szCs w:val="21"/>
                <w:u w:val="none"/>
              </w:rPr>
            </w:pPr>
            <w:r>
              <w:rPr>
                <w:rFonts w:hint="eastAsia" w:ascii="宋体" w:hAnsi="宋体" w:eastAsia="宋体" w:cs="宋体"/>
                <w:b w:val="0"/>
                <w:bCs/>
                <w:color w:val="auto"/>
                <w:sz w:val="21"/>
                <w:szCs w:val="21"/>
                <w:u w:val="none"/>
                <w:lang w:val="en-US" w:eastAsia="zh-CN"/>
              </w:rPr>
              <w:t>莫109转油站改造</w:t>
            </w:r>
          </w:p>
        </w:tc>
        <w:tc>
          <w:tcPr>
            <w:tcW w:w="3704" w:type="pct"/>
            <w:tcBorders>
              <w:tl2br w:val="nil"/>
              <w:tr2bl w:val="nil"/>
            </w:tcBorders>
            <w:vAlign w:val="center"/>
          </w:tcPr>
          <w:p w14:paraId="3FBED11C">
            <w:pPr>
              <w:keepNext w:val="0"/>
              <w:keepLines w:val="0"/>
              <w:pageBreakBefore w:val="0"/>
              <w:widowControl w:val="0"/>
              <w:kinsoku/>
              <w:wordWrap/>
              <w:overflowPunct/>
              <w:topLinePunct w:val="0"/>
              <w:autoSpaceDE w:val="0"/>
              <w:autoSpaceDN w:val="0"/>
              <w:bidi w:val="0"/>
              <w:spacing w:line="400" w:lineRule="exact"/>
              <w:ind w:left="-86" w:leftChars="-41" w:right="-96" w:rightChars="-46"/>
              <w:rPr>
                <w:rFonts w:hint="eastAsia" w:ascii="宋体" w:hAnsi="宋体" w:eastAsia="宋体" w:cs="宋体"/>
                <w:b w:val="0"/>
                <w:bCs/>
                <w:color w:val="auto"/>
                <w:spacing w:val="-1"/>
                <w:sz w:val="21"/>
                <w:szCs w:val="21"/>
                <w:highlight w:val="none"/>
                <w:u w:val="none"/>
              </w:rPr>
            </w:pPr>
            <w:r>
              <w:rPr>
                <w:rFonts w:hint="eastAsia" w:ascii="宋体" w:hAnsi="宋体" w:eastAsia="宋体" w:cs="宋体"/>
                <w:b w:val="0"/>
                <w:bCs/>
                <w:color w:val="auto"/>
                <w:sz w:val="21"/>
                <w:szCs w:val="21"/>
                <w:u w:val="none"/>
                <w:lang w:val="en-US" w:eastAsia="zh-CN"/>
              </w:rPr>
              <w:t>更换站内部分设备；将采出水接入莫109转油站-莫北转油站外输油线</w:t>
            </w:r>
            <w:r>
              <w:rPr>
                <w:rFonts w:hint="eastAsia" w:ascii="宋体" w:hAnsi="宋体" w:cs="宋体"/>
                <w:b w:val="0"/>
                <w:bCs/>
                <w:color w:val="auto"/>
                <w:sz w:val="21"/>
                <w:szCs w:val="21"/>
                <w:highlight w:val="none"/>
                <w:u w:val="none"/>
                <w:lang w:val="en-US" w:eastAsia="zh-CN"/>
              </w:rPr>
              <w:t>（400m采出水管线）</w:t>
            </w:r>
            <w:r>
              <w:rPr>
                <w:rFonts w:hint="eastAsia" w:ascii="宋体" w:hAnsi="宋体" w:eastAsia="宋体" w:cs="宋体"/>
                <w:b w:val="0"/>
                <w:bCs/>
                <w:color w:val="auto"/>
                <w:sz w:val="21"/>
                <w:szCs w:val="21"/>
                <w:highlight w:val="none"/>
                <w:u w:val="none"/>
                <w:lang w:val="en-US" w:eastAsia="zh-CN"/>
              </w:rPr>
              <w:t>。</w:t>
            </w:r>
          </w:p>
        </w:tc>
      </w:tr>
      <w:tr w14:paraId="7411B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1A1A148B">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590EF405">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储层改造工程</w:t>
            </w:r>
          </w:p>
        </w:tc>
        <w:tc>
          <w:tcPr>
            <w:tcW w:w="3704" w:type="pct"/>
            <w:tcBorders>
              <w:tl2br w:val="nil"/>
              <w:tr2bl w:val="nil"/>
            </w:tcBorders>
            <w:vAlign w:val="center"/>
          </w:tcPr>
          <w:p w14:paraId="49EDB976">
            <w:pPr>
              <w:keepNext w:val="0"/>
              <w:keepLines w:val="0"/>
              <w:pageBreakBefore w:val="0"/>
              <w:widowControl w:val="0"/>
              <w:kinsoku/>
              <w:wordWrap/>
              <w:overflowPunct/>
              <w:topLinePunct w:val="0"/>
              <w:autoSpaceDE w:val="0"/>
              <w:autoSpaceDN w:val="0"/>
              <w:bidi w:val="0"/>
              <w:spacing w:line="400" w:lineRule="exact"/>
              <w:ind w:left="-86" w:leftChars="-41" w:right="-96" w:rightChars="-46"/>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主要包括射孔、压裂以及后续的测试放喷等。</w:t>
            </w:r>
          </w:p>
        </w:tc>
      </w:tr>
      <w:tr w14:paraId="70A0F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restart"/>
            <w:tcBorders>
              <w:tl2br w:val="nil"/>
              <w:tr2bl w:val="nil"/>
            </w:tcBorders>
            <w:vAlign w:val="center"/>
          </w:tcPr>
          <w:p w14:paraId="09ECE36D">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公辅工程</w:t>
            </w:r>
          </w:p>
        </w:tc>
        <w:tc>
          <w:tcPr>
            <w:tcW w:w="995" w:type="pct"/>
            <w:gridSpan w:val="2"/>
            <w:tcBorders>
              <w:tl2br w:val="nil"/>
              <w:tr2bl w:val="nil"/>
            </w:tcBorders>
            <w:vAlign w:val="center"/>
          </w:tcPr>
          <w:p w14:paraId="306023B5">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消防工程</w:t>
            </w:r>
          </w:p>
        </w:tc>
        <w:tc>
          <w:tcPr>
            <w:tcW w:w="3704" w:type="pct"/>
            <w:tcBorders>
              <w:tl2br w:val="nil"/>
              <w:tr2bl w:val="nil"/>
            </w:tcBorders>
            <w:vAlign w:val="center"/>
          </w:tcPr>
          <w:p w14:paraId="381B29C5">
            <w:pPr>
              <w:keepNext w:val="0"/>
              <w:keepLines w:val="0"/>
              <w:pageBreakBefore w:val="0"/>
              <w:widowControl w:val="0"/>
              <w:kinsoku/>
              <w:wordWrap/>
              <w:overflowPunct/>
              <w:topLinePunct w:val="0"/>
              <w:autoSpaceDE w:val="0"/>
              <w:autoSpaceDN w:val="0"/>
              <w:bidi w:val="0"/>
              <w:spacing w:line="400" w:lineRule="exact"/>
              <w:ind w:left="-86" w:leftChars="-41" w:right="-96" w:rightChars="-46"/>
              <w:jc w:val="left"/>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单座井场设置5具手提式磷酸铵盐干粉火器</w:t>
            </w:r>
            <w:r>
              <w:rPr>
                <w:rFonts w:hint="eastAsia" w:ascii="宋体" w:hAnsi="宋体" w:cs="宋体"/>
                <w:b w:val="0"/>
                <w:bCs/>
                <w:color w:val="auto"/>
                <w:sz w:val="21"/>
                <w:szCs w:val="21"/>
                <w:u w:val="none"/>
                <w:lang w:val="en-US" w:eastAsia="zh-CN"/>
              </w:rPr>
              <w:t>。</w:t>
            </w:r>
          </w:p>
          <w:p w14:paraId="3DAE0157">
            <w:pPr>
              <w:keepNext w:val="0"/>
              <w:keepLines w:val="0"/>
              <w:pageBreakBefore w:val="0"/>
              <w:widowControl w:val="0"/>
              <w:kinsoku/>
              <w:wordWrap/>
              <w:overflowPunct/>
              <w:topLinePunct w:val="0"/>
              <w:autoSpaceDE w:val="0"/>
              <w:autoSpaceDN w:val="0"/>
              <w:bidi w:val="0"/>
              <w:spacing w:line="400" w:lineRule="exact"/>
              <w:ind w:left="-86" w:leftChars="-41" w:right="-96" w:rightChars="-46"/>
              <w:jc w:val="left"/>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应急抢险救援中心消防四大队位于古尔班通古特沙漠腹地，有干部员工73人，有消防车12辆，其中泡沫消防车8辆，载泡沫液59吨，清水90吨，抢险救援器材335件套。满足接警到达时间要求。</w:t>
            </w:r>
          </w:p>
        </w:tc>
      </w:tr>
      <w:tr w14:paraId="1E337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75BA5FAD">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p>
        </w:tc>
        <w:tc>
          <w:tcPr>
            <w:tcW w:w="995" w:type="pct"/>
            <w:gridSpan w:val="2"/>
            <w:tcBorders>
              <w:tl2br w:val="nil"/>
              <w:tr2bl w:val="nil"/>
            </w:tcBorders>
            <w:vAlign w:val="center"/>
          </w:tcPr>
          <w:p w14:paraId="245E68EE">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供水工程</w:t>
            </w:r>
          </w:p>
        </w:tc>
        <w:tc>
          <w:tcPr>
            <w:tcW w:w="3704" w:type="pct"/>
            <w:tcBorders>
              <w:tl2br w:val="nil"/>
              <w:tr2bl w:val="nil"/>
            </w:tcBorders>
            <w:vAlign w:val="center"/>
          </w:tcPr>
          <w:p w14:paraId="5445B381">
            <w:pPr>
              <w:keepNext w:val="0"/>
              <w:keepLines w:val="0"/>
              <w:pageBreakBefore w:val="0"/>
              <w:widowControl w:val="0"/>
              <w:kinsoku/>
              <w:wordWrap/>
              <w:overflowPunct/>
              <w:topLinePunct w:val="0"/>
              <w:autoSpaceDE w:val="0"/>
              <w:autoSpaceDN w:val="0"/>
              <w:bidi w:val="0"/>
              <w:spacing w:line="400" w:lineRule="exact"/>
              <w:ind w:left="-86" w:leftChars="-41" w:right="-96" w:rightChars="-46"/>
              <w:jc w:val="left"/>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施工过程用水由罐车拉运，运营期不消耗新鲜水。</w:t>
            </w:r>
          </w:p>
        </w:tc>
      </w:tr>
      <w:tr w14:paraId="35668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0E424202">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7EBEFE9B">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供电工程</w:t>
            </w:r>
          </w:p>
        </w:tc>
        <w:tc>
          <w:tcPr>
            <w:tcW w:w="3704" w:type="pct"/>
            <w:tcBorders>
              <w:tl2br w:val="nil"/>
              <w:tr2bl w:val="nil"/>
            </w:tcBorders>
            <w:vAlign w:val="center"/>
          </w:tcPr>
          <w:p w14:paraId="0ED71C51">
            <w:pPr>
              <w:keepNext w:val="0"/>
              <w:keepLines w:val="0"/>
              <w:pageBreakBefore w:val="0"/>
              <w:widowControl w:val="0"/>
              <w:kinsoku/>
              <w:wordWrap/>
              <w:overflowPunct/>
              <w:topLinePunct w:val="0"/>
              <w:autoSpaceDE w:val="0"/>
              <w:autoSpaceDN w:val="0"/>
              <w:bidi w:val="0"/>
              <w:spacing w:line="400" w:lineRule="exact"/>
              <w:ind w:left="-86" w:leftChars="-41" w:right="-96" w:rightChars="-46"/>
              <w:jc w:val="left"/>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在每座单井架设1座160kVA杆架式变电站，变压器负载率53%，杆架式变电站高压侧设跌落式熔断器及避雷器组保护。变电站下设1只动力配电箱给采气井场用电设备供电。</w:t>
            </w:r>
          </w:p>
        </w:tc>
      </w:tr>
      <w:tr w14:paraId="47616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7F4916AC">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36CAF3CC">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通信工程</w:t>
            </w:r>
          </w:p>
        </w:tc>
        <w:tc>
          <w:tcPr>
            <w:tcW w:w="3704" w:type="pct"/>
            <w:tcBorders>
              <w:tl2br w:val="nil"/>
              <w:tr2bl w:val="nil"/>
            </w:tcBorders>
            <w:vAlign w:val="center"/>
          </w:tcPr>
          <w:p w14:paraId="1A385A16">
            <w:pPr>
              <w:keepNext w:val="0"/>
              <w:keepLines w:val="0"/>
              <w:pageBreakBefore w:val="0"/>
              <w:widowControl w:val="0"/>
              <w:kinsoku/>
              <w:wordWrap/>
              <w:overflowPunct/>
              <w:topLinePunct w:val="0"/>
              <w:autoSpaceDE w:val="0"/>
              <w:autoSpaceDN w:val="0"/>
              <w:bidi w:val="0"/>
              <w:spacing w:line="400" w:lineRule="exact"/>
              <w:ind w:left="-86" w:leftChars="-41" w:right="-96" w:rightChars="-46"/>
              <w:jc w:val="left"/>
              <w:rPr>
                <w:rFonts w:hint="eastAsia" w:ascii="宋体" w:hAnsi="宋体" w:eastAsia="宋体" w:cs="宋体"/>
                <w:b w:val="0"/>
                <w:bCs/>
                <w:color w:val="auto"/>
                <w:sz w:val="21"/>
                <w:szCs w:val="21"/>
                <w:u w:val="none"/>
                <w:lang w:eastAsia="zh-CN"/>
              </w:rPr>
            </w:pPr>
            <w:r>
              <w:rPr>
                <w:rFonts w:hint="eastAsia" w:ascii="宋体" w:hAnsi="宋体" w:eastAsia="宋体" w:cs="宋体"/>
                <w:color w:val="auto"/>
                <w:sz w:val="21"/>
                <w:szCs w:val="21"/>
                <w:u w:val="none"/>
              </w:rPr>
              <w:t>井口采用“无人值守、定期巡检、远程控制”的模式。新建各单井均通过新建光缆和光纤以太网传输设备，将各井场自控数据及视频数据上传至莫7-莫11处理站（与莫109转油站合建）后，在通过已建光缆链路上传至石西油田作业区调控中心。</w:t>
            </w:r>
          </w:p>
        </w:tc>
      </w:tr>
      <w:tr w14:paraId="28862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76728486">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1AED67DB">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仪表自动化</w:t>
            </w:r>
          </w:p>
        </w:tc>
        <w:tc>
          <w:tcPr>
            <w:tcW w:w="3704" w:type="pct"/>
            <w:tcBorders>
              <w:tl2br w:val="nil"/>
              <w:tr2bl w:val="nil"/>
            </w:tcBorders>
            <w:vAlign w:val="center"/>
          </w:tcPr>
          <w:p w14:paraId="4499E9BB">
            <w:pPr>
              <w:keepNext w:val="0"/>
              <w:keepLines w:val="0"/>
              <w:pageBreakBefore w:val="0"/>
              <w:widowControl w:val="0"/>
              <w:kinsoku/>
              <w:wordWrap/>
              <w:overflowPunct/>
              <w:topLinePunct w:val="0"/>
              <w:autoSpaceDE w:val="0"/>
              <w:autoSpaceDN w:val="0"/>
              <w:bidi w:val="0"/>
              <w:adjustRightInd w:val="0"/>
              <w:spacing w:line="400" w:lineRule="exact"/>
              <w:jc w:val="left"/>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新建采气井场实现“无人值守、远程监控、故障巡检”的自控水平。</w:t>
            </w:r>
          </w:p>
        </w:tc>
      </w:tr>
      <w:tr w14:paraId="33AE1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14AD1108">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10E51B1C">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防腐与保温</w:t>
            </w:r>
          </w:p>
        </w:tc>
        <w:tc>
          <w:tcPr>
            <w:tcW w:w="3704" w:type="pct"/>
            <w:tcBorders>
              <w:tl2br w:val="nil"/>
              <w:tr2bl w:val="nil"/>
            </w:tcBorders>
            <w:vAlign w:val="center"/>
          </w:tcPr>
          <w:p w14:paraId="1E582827">
            <w:pPr>
              <w:keepNext w:val="0"/>
              <w:keepLines w:val="0"/>
              <w:pageBreakBefore w:val="0"/>
              <w:widowControl w:val="0"/>
              <w:kinsoku/>
              <w:wordWrap/>
              <w:overflowPunct/>
              <w:topLinePunct w:val="0"/>
              <w:autoSpaceDE w:val="0"/>
              <w:autoSpaceDN w:val="0"/>
              <w:bidi w:val="0"/>
              <w:adjustRightInd w:val="0"/>
              <w:spacing w:line="400" w:lineRule="exact"/>
              <w:jc w:val="left"/>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防腐层采用熔结环氧粉末一次成膜结构，防腐层厚度≥300μm；保温层采用聚氨酯泡沫塑料，厚度≥50mm，保温管轴向偏心量±3mm；管防护层采用聚乙烯专用料，厚度≥1.4mm。采用“一步法”成型工艺。</w:t>
            </w:r>
          </w:p>
        </w:tc>
      </w:tr>
      <w:tr w14:paraId="4AA2A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restart"/>
            <w:tcBorders>
              <w:tl2br w:val="nil"/>
              <w:tr2bl w:val="nil"/>
            </w:tcBorders>
            <w:vAlign w:val="center"/>
          </w:tcPr>
          <w:p w14:paraId="20E9F84E">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环保工程</w:t>
            </w:r>
          </w:p>
        </w:tc>
        <w:tc>
          <w:tcPr>
            <w:tcW w:w="995" w:type="pct"/>
            <w:gridSpan w:val="2"/>
            <w:tcBorders>
              <w:tl2br w:val="nil"/>
              <w:tr2bl w:val="nil"/>
            </w:tcBorders>
            <w:vAlign w:val="center"/>
          </w:tcPr>
          <w:p w14:paraId="7EAF6868">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废</w:t>
            </w:r>
            <w:r>
              <w:rPr>
                <w:rFonts w:hint="eastAsia" w:ascii="宋体" w:hAnsi="宋体" w:eastAsia="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rPr>
              <w:t>气</w:t>
            </w:r>
          </w:p>
        </w:tc>
        <w:tc>
          <w:tcPr>
            <w:tcW w:w="3704" w:type="pct"/>
            <w:tcBorders>
              <w:tl2br w:val="nil"/>
              <w:tr2bl w:val="nil"/>
            </w:tcBorders>
            <w:vAlign w:val="center"/>
          </w:tcPr>
          <w:p w14:paraId="106DB5AE">
            <w:pPr>
              <w:keepNext w:val="0"/>
              <w:keepLines w:val="0"/>
              <w:pageBreakBefore w:val="0"/>
              <w:widowControl w:val="0"/>
              <w:kinsoku/>
              <w:wordWrap/>
              <w:overflowPunct/>
              <w:topLinePunct w:val="0"/>
              <w:autoSpaceDE w:val="0"/>
              <w:autoSpaceDN w:val="0"/>
              <w:bidi w:val="0"/>
              <w:adjustRightInd/>
              <w:snapToGrid w:val="0"/>
              <w:spacing w:line="400" w:lineRule="exact"/>
              <w:ind w:left="0" w:leftChars="0" w:right="0" w:rightChars="0"/>
              <w:jc w:val="left"/>
              <w:textAlignment w:val="auto"/>
              <w:rPr>
                <w:rFonts w:hint="eastAsia" w:ascii="宋体" w:hAnsi="宋体" w:eastAsia="宋体" w:cs="宋体"/>
                <w:b w:val="0"/>
                <w:bCs/>
                <w:color w:val="auto"/>
                <w:spacing w:val="0"/>
                <w:sz w:val="21"/>
                <w:szCs w:val="21"/>
                <w:highlight w:val="none"/>
                <w:u w:val="none"/>
              </w:rPr>
            </w:pPr>
            <w:r>
              <w:rPr>
                <w:rFonts w:hint="eastAsia" w:ascii="宋体" w:hAnsi="宋体" w:eastAsia="宋体" w:cs="宋体"/>
                <w:b w:val="0"/>
                <w:bCs/>
                <w:color w:val="auto"/>
                <w:spacing w:val="0"/>
                <w:sz w:val="21"/>
                <w:szCs w:val="21"/>
                <w:highlight w:val="none"/>
                <w:u w:val="none"/>
              </w:rPr>
              <w:t>施工期：废气包括施工扬尘、车辆尾气等；施工扬尘采取进出车辆采取减速慢行、物料苫盖、使用国家合格燃料等措施。</w:t>
            </w:r>
          </w:p>
          <w:p w14:paraId="4FB5DFC6">
            <w:pPr>
              <w:keepNext w:val="0"/>
              <w:keepLines w:val="0"/>
              <w:pageBreakBefore w:val="0"/>
              <w:widowControl w:val="0"/>
              <w:kinsoku/>
              <w:wordWrap/>
              <w:overflowPunct/>
              <w:topLinePunct w:val="0"/>
              <w:autoSpaceDE w:val="0"/>
              <w:autoSpaceDN w:val="0"/>
              <w:bidi w:val="0"/>
              <w:adjustRightInd/>
              <w:snapToGrid w:val="0"/>
              <w:spacing w:line="400" w:lineRule="exact"/>
              <w:ind w:left="0" w:leftChars="0" w:right="0" w:rightChars="0"/>
              <w:jc w:val="left"/>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pacing w:val="0"/>
                <w:sz w:val="21"/>
                <w:szCs w:val="21"/>
                <w:highlight w:val="none"/>
                <w:u w:val="none"/>
              </w:rPr>
              <w:t>运营期：本工程</w:t>
            </w:r>
            <w:r>
              <w:rPr>
                <w:rFonts w:hint="eastAsia" w:ascii="宋体" w:hAnsi="宋体" w:eastAsia="宋体" w:cs="宋体"/>
                <w:b w:val="0"/>
                <w:bCs/>
                <w:color w:val="auto"/>
                <w:spacing w:val="0"/>
                <w:sz w:val="21"/>
                <w:szCs w:val="21"/>
                <w:highlight w:val="none"/>
                <w:u w:val="none"/>
                <w:lang w:val="en-US" w:eastAsia="zh-CN"/>
              </w:rPr>
              <w:t>均</w:t>
            </w:r>
            <w:r>
              <w:rPr>
                <w:rFonts w:hint="eastAsia" w:ascii="宋体" w:hAnsi="宋体" w:eastAsia="宋体" w:cs="宋体"/>
                <w:b w:val="0"/>
                <w:bCs/>
                <w:color w:val="auto"/>
                <w:spacing w:val="0"/>
                <w:sz w:val="21"/>
                <w:szCs w:val="21"/>
                <w:highlight w:val="none"/>
                <w:u w:val="none"/>
              </w:rPr>
              <w:t>采用密闭集输工艺，</w:t>
            </w:r>
            <w:r>
              <w:rPr>
                <w:rFonts w:hint="eastAsia" w:ascii="宋体" w:hAnsi="宋体" w:eastAsia="宋体" w:cs="宋体"/>
                <w:b w:val="0"/>
                <w:bCs/>
                <w:color w:val="auto"/>
                <w:spacing w:val="0"/>
                <w:sz w:val="21"/>
                <w:szCs w:val="21"/>
                <w:highlight w:val="none"/>
                <w:u w:val="none"/>
                <w:lang w:val="en-US" w:eastAsia="zh-CN"/>
              </w:rPr>
              <w:t>最大限度的减少了油气的无组织挥发。</w:t>
            </w:r>
          </w:p>
        </w:tc>
      </w:tr>
      <w:tr w14:paraId="62ADA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1C86F54C">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65477D31">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废</w:t>
            </w:r>
            <w:r>
              <w:rPr>
                <w:rFonts w:hint="eastAsia" w:ascii="宋体" w:hAnsi="宋体" w:eastAsia="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rPr>
              <w:t>水</w:t>
            </w:r>
          </w:p>
        </w:tc>
        <w:tc>
          <w:tcPr>
            <w:tcW w:w="3704" w:type="pct"/>
            <w:tcBorders>
              <w:tl2br w:val="nil"/>
              <w:tr2bl w:val="nil"/>
            </w:tcBorders>
            <w:vAlign w:val="center"/>
          </w:tcPr>
          <w:p w14:paraId="777BCF1B">
            <w:pPr>
              <w:keepNext w:val="0"/>
              <w:keepLines w:val="0"/>
              <w:pageBreakBefore w:val="0"/>
              <w:widowControl w:val="0"/>
              <w:kinsoku/>
              <w:wordWrap/>
              <w:overflowPunct/>
              <w:topLinePunct w:val="0"/>
              <w:autoSpaceDE w:val="0"/>
              <w:autoSpaceDN w:val="0"/>
              <w:bidi w:val="0"/>
              <w:adjustRightInd/>
              <w:snapToGrid w:val="0"/>
              <w:spacing w:line="400" w:lineRule="exact"/>
              <w:ind w:left="0" w:leftChars="0" w:right="0" w:rightChars="0"/>
              <w:jc w:val="left"/>
              <w:textAlignment w:val="auto"/>
              <w:rPr>
                <w:rFonts w:hint="eastAsia" w:ascii="宋体" w:hAnsi="宋体" w:eastAsia="宋体" w:cs="宋体"/>
                <w:b w:val="0"/>
                <w:bCs/>
                <w:color w:val="auto"/>
                <w:spacing w:val="0"/>
                <w:sz w:val="21"/>
                <w:szCs w:val="21"/>
                <w:highlight w:val="none"/>
                <w:u w:val="none"/>
              </w:rPr>
            </w:pPr>
            <w:r>
              <w:rPr>
                <w:rFonts w:hint="eastAsia" w:ascii="宋体" w:hAnsi="宋体" w:eastAsia="宋体" w:cs="宋体"/>
                <w:b w:val="0"/>
                <w:bCs/>
                <w:color w:val="auto"/>
                <w:spacing w:val="0"/>
                <w:sz w:val="21"/>
                <w:szCs w:val="21"/>
                <w:highlight w:val="none"/>
                <w:u w:val="none"/>
              </w:rPr>
              <w:t>施工期：施工期废水包括钻井废水、管线试压废水及生活污水。钻井废水循环携带出井口，在地面经振动筛分离出来，进入不落地系统，分离后的钻井液循环使用；管线试压废水属于清净废水，试压完成后用于降尘；生活污水排入生活营地内防渗收集池</w:t>
            </w:r>
            <w:r>
              <w:rPr>
                <w:rFonts w:hint="eastAsia" w:ascii="宋体" w:hAnsi="宋体" w:cs="宋体"/>
                <w:b w:val="0"/>
                <w:bCs/>
                <w:color w:val="auto"/>
                <w:spacing w:val="0"/>
                <w:sz w:val="21"/>
                <w:szCs w:val="21"/>
                <w:highlight w:val="none"/>
                <w:u w:val="none"/>
                <w:lang w:eastAsia="zh-CN"/>
              </w:rPr>
              <w:t>（3m×3m×2m）</w:t>
            </w:r>
            <w:r>
              <w:rPr>
                <w:rFonts w:hint="eastAsia" w:ascii="宋体" w:hAnsi="宋体" w:eastAsia="宋体" w:cs="宋体"/>
                <w:b w:val="0"/>
                <w:bCs/>
                <w:color w:val="auto"/>
                <w:spacing w:val="0"/>
                <w:sz w:val="21"/>
                <w:szCs w:val="21"/>
                <w:highlight w:val="none"/>
                <w:u w:val="none"/>
              </w:rPr>
              <w:t>，定期清运至乌尔禾区生活污水处理厂处理。</w:t>
            </w:r>
          </w:p>
          <w:p w14:paraId="432A377D">
            <w:pPr>
              <w:keepNext w:val="0"/>
              <w:keepLines w:val="0"/>
              <w:pageBreakBefore w:val="0"/>
              <w:widowControl w:val="0"/>
              <w:kinsoku/>
              <w:wordWrap/>
              <w:overflowPunct/>
              <w:topLinePunct w:val="0"/>
              <w:autoSpaceDE w:val="0"/>
              <w:autoSpaceDN w:val="0"/>
              <w:bidi w:val="0"/>
              <w:adjustRightInd/>
              <w:snapToGrid w:val="0"/>
              <w:spacing w:line="400" w:lineRule="exact"/>
              <w:ind w:left="0" w:leftChars="0" w:right="0" w:rightChars="0"/>
              <w:jc w:val="left"/>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pacing w:val="0"/>
                <w:sz w:val="21"/>
                <w:szCs w:val="21"/>
                <w:highlight w:val="none"/>
                <w:u w:val="none"/>
              </w:rPr>
              <w:t>运营期废水包括采出水、井下作业废水。采出水依托莫北转油站采出水处理系统处理，经处理后满足《碎屑岩油藏注水水质指标技术要求及分析方法》（SY/T5329-2022）标准中指标后回注油层，不外排。井下作业产生的洗井废水和废酸化压裂液用专用罐车拉运至石西集中处理站采出水处理系统进行处置。</w:t>
            </w:r>
          </w:p>
        </w:tc>
      </w:tr>
      <w:tr w14:paraId="77CCF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533F3DFC">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0A291531">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r>
              <w:rPr>
                <w:rFonts w:hint="eastAsia" w:ascii="宋体" w:hAnsi="宋体" w:eastAsia="宋体" w:cs="宋体"/>
                <w:b w:val="0"/>
                <w:bCs/>
                <w:color w:val="auto"/>
                <w:spacing w:val="0"/>
                <w:sz w:val="21"/>
                <w:szCs w:val="21"/>
                <w:highlight w:val="none"/>
                <w:u w:val="none"/>
                <w:lang w:val="en-US" w:eastAsia="zh-CN"/>
              </w:rPr>
              <w:t>噪   声</w:t>
            </w:r>
          </w:p>
        </w:tc>
        <w:tc>
          <w:tcPr>
            <w:tcW w:w="3704" w:type="pct"/>
            <w:tcBorders>
              <w:tl2br w:val="nil"/>
              <w:tr2bl w:val="nil"/>
            </w:tcBorders>
            <w:vAlign w:val="center"/>
          </w:tcPr>
          <w:p w14:paraId="7ED47BA8">
            <w:pPr>
              <w:keepNext w:val="0"/>
              <w:keepLines w:val="0"/>
              <w:pageBreakBefore w:val="0"/>
              <w:widowControl w:val="0"/>
              <w:kinsoku/>
              <w:wordWrap/>
              <w:overflowPunct/>
              <w:topLinePunct w:val="0"/>
              <w:autoSpaceDE w:val="0"/>
              <w:autoSpaceDN w:val="0"/>
              <w:bidi w:val="0"/>
              <w:adjustRightInd/>
              <w:snapToGrid w:val="0"/>
              <w:spacing w:line="400" w:lineRule="exact"/>
              <w:ind w:left="0" w:leftChars="0" w:right="0" w:rightChars="0"/>
              <w:jc w:val="left"/>
              <w:textAlignment w:val="auto"/>
              <w:rPr>
                <w:rFonts w:hint="eastAsia" w:ascii="宋体" w:hAnsi="宋体" w:eastAsia="宋体" w:cs="宋体"/>
                <w:b w:val="0"/>
                <w:bCs/>
                <w:color w:val="auto"/>
                <w:spacing w:val="0"/>
                <w:sz w:val="21"/>
                <w:szCs w:val="21"/>
                <w:highlight w:val="none"/>
                <w:u w:val="none"/>
              </w:rPr>
            </w:pPr>
            <w:r>
              <w:rPr>
                <w:rFonts w:hint="eastAsia" w:ascii="宋体" w:hAnsi="宋体" w:eastAsia="宋体" w:cs="宋体"/>
                <w:b w:val="0"/>
                <w:bCs/>
                <w:color w:val="auto"/>
                <w:spacing w:val="0"/>
                <w:sz w:val="21"/>
                <w:szCs w:val="21"/>
                <w:highlight w:val="none"/>
                <w:u w:val="none"/>
                <w:lang w:val="en-US" w:eastAsia="zh-CN" w:bidi="ar-SA"/>
              </w:rPr>
              <w:t>施工期：选用低噪声设备，安装基础减振垫，场区四周设围挡，合理安排作业时间。</w:t>
            </w:r>
          </w:p>
          <w:p w14:paraId="31B83DE8">
            <w:pPr>
              <w:keepNext w:val="0"/>
              <w:keepLines w:val="0"/>
              <w:pageBreakBefore w:val="0"/>
              <w:widowControl w:val="0"/>
              <w:kinsoku/>
              <w:wordWrap/>
              <w:overflowPunct/>
              <w:topLinePunct w:val="0"/>
              <w:autoSpaceDE w:val="0"/>
              <w:autoSpaceDN w:val="0"/>
              <w:bidi w:val="0"/>
              <w:adjustRightInd/>
              <w:snapToGrid w:val="0"/>
              <w:spacing w:line="400" w:lineRule="exact"/>
              <w:ind w:left="0" w:leftChars="0" w:right="0" w:rightChars="0"/>
              <w:jc w:val="left"/>
              <w:textAlignment w:val="auto"/>
              <w:rPr>
                <w:rFonts w:hint="eastAsia" w:ascii="宋体" w:hAnsi="宋体" w:eastAsia="宋体" w:cs="宋体"/>
                <w:b w:val="0"/>
                <w:bCs/>
                <w:color w:val="auto"/>
                <w:spacing w:val="0"/>
                <w:sz w:val="21"/>
                <w:szCs w:val="21"/>
                <w:highlight w:val="none"/>
                <w:u w:val="none"/>
                <w:lang w:val="en-US" w:eastAsia="zh-CN"/>
              </w:rPr>
            </w:pPr>
            <w:r>
              <w:rPr>
                <w:rFonts w:hint="eastAsia" w:ascii="宋体" w:hAnsi="宋体" w:eastAsia="宋体" w:cs="宋体"/>
                <w:b w:val="0"/>
                <w:bCs/>
                <w:color w:val="auto"/>
                <w:spacing w:val="0"/>
                <w:kern w:val="2"/>
                <w:sz w:val="21"/>
                <w:szCs w:val="21"/>
                <w:highlight w:val="none"/>
                <w:u w:val="none"/>
                <w:lang w:val="en-US" w:eastAsia="zh-CN" w:bidi="ar-SA"/>
              </w:rPr>
              <w:t>运营期：</w:t>
            </w:r>
            <w:r>
              <w:rPr>
                <w:rFonts w:hint="eastAsia" w:ascii="宋体" w:hAnsi="宋体" w:eastAsia="宋体" w:cs="宋体"/>
                <w:b w:val="0"/>
                <w:bCs/>
                <w:color w:val="auto"/>
                <w:spacing w:val="0"/>
                <w:sz w:val="21"/>
                <w:szCs w:val="21"/>
                <w:highlight w:val="none"/>
                <w:u w:val="none"/>
                <w:lang w:val="en-US" w:eastAsia="zh-CN" w:bidi="ar-SA"/>
              </w:rPr>
              <w:t>选用低噪声设备，切合实际地提高工艺过程自动化水平，合理安排作业时间。</w:t>
            </w:r>
          </w:p>
        </w:tc>
      </w:tr>
      <w:tr w14:paraId="2D598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44D4865D">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76A23125">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固</w:t>
            </w:r>
            <w:r>
              <w:rPr>
                <w:rFonts w:hint="eastAsia" w:ascii="宋体" w:hAnsi="宋体" w:eastAsia="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rPr>
              <w:t>废</w:t>
            </w:r>
          </w:p>
        </w:tc>
        <w:tc>
          <w:tcPr>
            <w:tcW w:w="3704" w:type="pct"/>
            <w:tcBorders>
              <w:tl2br w:val="nil"/>
              <w:tr2bl w:val="nil"/>
            </w:tcBorders>
            <w:vAlign w:val="center"/>
          </w:tcPr>
          <w:p w14:paraId="4461268A">
            <w:pPr>
              <w:pStyle w:val="26"/>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auto"/>
                <w:spacing w:val="0"/>
                <w:sz w:val="21"/>
                <w:szCs w:val="21"/>
                <w:highlight w:val="none"/>
                <w:u w:val="none"/>
              </w:rPr>
            </w:pPr>
            <w:r>
              <w:rPr>
                <w:rFonts w:hint="eastAsia" w:ascii="宋体" w:hAnsi="宋体" w:eastAsia="宋体" w:cs="宋体"/>
                <w:b w:val="0"/>
                <w:bCs/>
                <w:color w:val="auto"/>
                <w:spacing w:val="0"/>
                <w:sz w:val="21"/>
                <w:szCs w:val="21"/>
                <w:highlight w:val="none"/>
                <w:u w:val="none"/>
              </w:rPr>
              <w:t>施工期：施工期固废主要包括钻井泥浆、岩屑、施工废料、生活垃圾、施工机械废油、废烧碱包装袋等。钻井过程中一开、二开采用水基非磺化钻井液体系，三开采用油基钻井液体系，采用经不落地系统进行处理，在井场进行固液分离，分离后的液相回用于钻井液配备，分离后的水基钻井液产生的岩屑满足《油气田钻井固体废物综合利用污染控制要求》（DB65/T3997-2017）后</w:t>
            </w:r>
            <w:r>
              <w:rPr>
                <w:rFonts w:hint="eastAsia" w:ascii="宋体" w:hAnsi="宋体" w:cs="宋体"/>
                <w:b w:val="0"/>
                <w:bCs/>
                <w:color w:val="auto"/>
                <w:spacing w:val="0"/>
                <w:sz w:val="21"/>
                <w:szCs w:val="21"/>
                <w:highlight w:val="none"/>
                <w:u w:val="none"/>
                <w:lang w:val="en-US" w:eastAsia="zh-CN"/>
              </w:rPr>
              <w:t>综合利用</w:t>
            </w:r>
            <w:r>
              <w:rPr>
                <w:rFonts w:hint="eastAsia" w:ascii="宋体" w:hAnsi="宋体" w:eastAsia="宋体" w:cs="宋体"/>
                <w:b w:val="0"/>
                <w:bCs/>
                <w:color w:val="auto"/>
                <w:spacing w:val="0"/>
                <w:sz w:val="21"/>
                <w:szCs w:val="21"/>
                <w:highlight w:val="none"/>
                <w:u w:val="none"/>
              </w:rPr>
              <w:t>；油基钻井液产生的岩屑为HW08含油危废（废物代码：07</w:t>
            </w:r>
            <w:r>
              <w:rPr>
                <w:rFonts w:hint="eastAsia" w:ascii="宋体" w:hAnsi="宋体" w:cs="宋体"/>
                <w:b w:val="0"/>
                <w:bCs/>
                <w:color w:val="auto"/>
                <w:spacing w:val="0"/>
                <w:sz w:val="21"/>
                <w:szCs w:val="21"/>
                <w:highlight w:val="none"/>
                <w:u w:val="none"/>
                <w:lang w:val="en-US" w:eastAsia="zh-CN"/>
              </w:rPr>
              <w:t>2</w:t>
            </w:r>
            <w:r>
              <w:rPr>
                <w:rFonts w:hint="eastAsia" w:ascii="宋体" w:hAnsi="宋体" w:eastAsia="宋体" w:cs="宋体"/>
                <w:b w:val="0"/>
                <w:bCs/>
                <w:color w:val="auto"/>
                <w:spacing w:val="0"/>
                <w:sz w:val="21"/>
                <w:szCs w:val="21"/>
                <w:highlight w:val="none"/>
                <w:u w:val="none"/>
              </w:rPr>
              <w:t>-00</w:t>
            </w:r>
            <w:r>
              <w:rPr>
                <w:rFonts w:hint="eastAsia" w:ascii="宋体" w:hAnsi="宋体" w:cs="宋体"/>
                <w:b w:val="0"/>
                <w:bCs/>
                <w:color w:val="auto"/>
                <w:spacing w:val="0"/>
                <w:sz w:val="21"/>
                <w:szCs w:val="21"/>
                <w:highlight w:val="none"/>
                <w:u w:val="none"/>
                <w:lang w:val="en-US" w:eastAsia="zh-CN"/>
              </w:rPr>
              <w:t>1</w:t>
            </w:r>
            <w:r>
              <w:rPr>
                <w:rFonts w:hint="eastAsia" w:ascii="宋体" w:hAnsi="宋体" w:eastAsia="宋体" w:cs="宋体"/>
                <w:b w:val="0"/>
                <w:bCs/>
                <w:color w:val="auto"/>
                <w:spacing w:val="0"/>
                <w:sz w:val="21"/>
                <w:szCs w:val="21"/>
                <w:highlight w:val="none"/>
                <w:u w:val="none"/>
              </w:rPr>
              <w:t>-08），在井场方罐暂存，定期委托具有相应危废处置资质的单位处置</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施工废料首先考虑回收利用，不可回收利用部分拉运至当地建筑垃圾填埋场填埋处置</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施工人员生活垃圾集中收集至垃圾箱中，定期拉运至乌尔禾区生活垃圾填埋场</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钻井施工过程中配制钻井泥浆时会产生少量烧碱废包装袋，暂存于危废</w:t>
            </w:r>
            <w:r>
              <w:rPr>
                <w:rFonts w:hint="eastAsia" w:ascii="宋体" w:hAnsi="宋体" w:cs="宋体"/>
                <w:b w:val="0"/>
                <w:bCs/>
                <w:color w:val="auto"/>
                <w:spacing w:val="0"/>
                <w:sz w:val="21"/>
                <w:szCs w:val="21"/>
                <w:highlight w:val="none"/>
                <w:u w:val="none"/>
                <w:lang w:val="en-US" w:eastAsia="zh-CN"/>
              </w:rPr>
              <w:t>贮存点</w:t>
            </w:r>
            <w:r>
              <w:rPr>
                <w:rFonts w:hint="eastAsia" w:ascii="宋体" w:hAnsi="宋体" w:cs="宋体"/>
                <w:b w:val="0"/>
                <w:bCs/>
                <w:color w:val="auto"/>
                <w:spacing w:val="0"/>
                <w:sz w:val="21"/>
                <w:szCs w:val="21"/>
                <w:highlight w:val="none"/>
                <w:u w:val="none"/>
                <w:lang w:eastAsia="zh-CN"/>
              </w:rPr>
              <w:t>（</w:t>
            </w:r>
            <w:r>
              <w:rPr>
                <w:rFonts w:hint="eastAsia" w:ascii="宋体" w:hAnsi="宋体" w:cs="宋体"/>
                <w:b w:val="0"/>
                <w:bCs/>
                <w:color w:val="auto"/>
                <w:spacing w:val="0"/>
                <w:sz w:val="21"/>
                <w:szCs w:val="21"/>
                <w:highlight w:val="none"/>
                <w:u w:val="none"/>
                <w:lang w:val="en-US" w:eastAsia="zh-CN"/>
              </w:rPr>
              <w:t>3m×5m</w:t>
            </w:r>
            <w:r>
              <w:rPr>
                <w:rFonts w:hint="eastAsia" w:ascii="宋体" w:hAnsi="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，委托具有相关危废处置资质的公司接收处置</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机械设备废油和含油废弃物采用专用罐集中收集后暂存于危废贮存点，委托具有相关危废处置资质的公司接收处置。</w:t>
            </w:r>
          </w:p>
          <w:p w14:paraId="69902D02">
            <w:pPr>
              <w:pStyle w:val="26"/>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rPr>
                <w:rFonts w:hint="eastAsia" w:ascii="宋体" w:hAnsi="宋体" w:eastAsia="宋体" w:cs="宋体"/>
                <w:b w:val="0"/>
                <w:bCs/>
                <w:color w:val="auto"/>
                <w:sz w:val="21"/>
                <w:szCs w:val="21"/>
                <w:u w:val="none"/>
                <w:lang w:eastAsia="zh-CN"/>
              </w:rPr>
            </w:pPr>
            <w:r>
              <w:rPr>
                <w:rFonts w:hint="eastAsia" w:ascii="宋体" w:hAnsi="宋体" w:eastAsia="宋体" w:cs="宋体"/>
                <w:b w:val="0"/>
                <w:bCs/>
                <w:color w:val="auto"/>
                <w:spacing w:val="0"/>
                <w:sz w:val="21"/>
                <w:szCs w:val="21"/>
                <w:highlight w:val="none"/>
                <w:u w:val="none"/>
              </w:rPr>
              <w:t>运营期：运营期产生的固体废物主要为油泥（砂）、清管废渣、落地原油、废弃含油抹布、劳保用品、废防渗材料</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油泥（砂）</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清管废渣</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含油废防渗材料</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废弃的含油抹布、劳保用品，委托具有相关危废处置资质的单位接收处置</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落地油100%回收，回收后的落地油运至石西集中处理站原油处理系统进行处理。</w:t>
            </w:r>
          </w:p>
        </w:tc>
      </w:tr>
      <w:tr w14:paraId="2FD33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34C2DF97">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1A4E2B60">
            <w:pPr>
              <w:pStyle w:val="26"/>
              <w:keepNext w:val="0"/>
              <w:keepLines w:val="0"/>
              <w:pageBreakBefore w:val="0"/>
              <w:widowControl w:val="0"/>
              <w:kinsoku/>
              <w:wordWrap/>
              <w:overflowPunct/>
              <w:topLinePunct w:val="0"/>
              <w:bidi w:val="0"/>
              <w:adjustRightInd/>
              <w:snapToGrid w:val="0"/>
              <w:spacing w:line="400" w:lineRule="exact"/>
              <w:ind w:right="-96" w:rightChars="-46"/>
              <w:jc w:val="center"/>
              <w:rPr>
                <w:rFonts w:hint="eastAsia" w:ascii="宋体" w:hAnsi="宋体" w:eastAsia="宋体" w:cs="宋体"/>
                <w:b w:val="0"/>
                <w:bCs/>
                <w:color w:val="auto"/>
                <w:spacing w:val="0"/>
                <w:sz w:val="21"/>
                <w:szCs w:val="21"/>
                <w:highlight w:val="none"/>
                <w:u w:val="none"/>
                <w:lang w:val="en-US" w:eastAsia="zh-CN"/>
              </w:rPr>
            </w:pPr>
            <w:r>
              <w:rPr>
                <w:rFonts w:hint="eastAsia" w:ascii="宋体" w:hAnsi="宋体" w:eastAsia="宋体" w:cs="宋体"/>
                <w:b w:val="0"/>
                <w:bCs/>
                <w:color w:val="auto"/>
                <w:spacing w:val="0"/>
                <w:sz w:val="21"/>
                <w:szCs w:val="21"/>
                <w:highlight w:val="none"/>
                <w:u w:val="none"/>
                <w:lang w:val="en-US" w:eastAsia="zh-CN"/>
              </w:rPr>
              <w:t>生态保护</w:t>
            </w:r>
          </w:p>
        </w:tc>
        <w:tc>
          <w:tcPr>
            <w:tcW w:w="3704" w:type="pct"/>
            <w:tcBorders>
              <w:tl2br w:val="nil"/>
              <w:tr2bl w:val="nil"/>
            </w:tcBorders>
            <w:vAlign w:val="center"/>
          </w:tcPr>
          <w:p w14:paraId="0840CA78">
            <w:pPr>
              <w:pStyle w:val="26"/>
              <w:keepNext w:val="0"/>
              <w:keepLines w:val="0"/>
              <w:pageBreakBefore w:val="0"/>
              <w:widowControl w:val="0"/>
              <w:kinsoku/>
              <w:wordWrap/>
              <w:overflowPunct/>
              <w:topLinePunct w:val="0"/>
              <w:bidi w:val="0"/>
              <w:adjustRightInd/>
              <w:snapToGrid w:val="0"/>
              <w:spacing w:line="400" w:lineRule="exact"/>
              <w:ind w:left="0" w:leftChars="0" w:right="0" w:rightChars="0"/>
              <w:jc w:val="left"/>
              <w:textAlignment w:val="auto"/>
              <w:rPr>
                <w:rFonts w:hint="eastAsia" w:ascii="宋体" w:hAnsi="宋体" w:eastAsia="宋体" w:cs="宋体"/>
                <w:b w:val="0"/>
                <w:bCs/>
                <w:color w:val="auto"/>
                <w:spacing w:val="0"/>
                <w:sz w:val="21"/>
                <w:szCs w:val="21"/>
                <w:highlight w:val="none"/>
                <w:u w:val="none"/>
              </w:rPr>
            </w:pPr>
            <w:r>
              <w:rPr>
                <w:rFonts w:hint="eastAsia" w:ascii="宋体" w:hAnsi="宋体" w:eastAsia="宋体" w:cs="宋体"/>
                <w:b w:val="0"/>
                <w:bCs/>
                <w:color w:val="auto"/>
                <w:spacing w:val="0"/>
                <w:sz w:val="21"/>
                <w:szCs w:val="21"/>
                <w:highlight w:val="none"/>
                <w:u w:val="none"/>
                <w:lang w:val="en-US" w:eastAsia="zh-CN" w:bidi="ar-SA"/>
              </w:rPr>
              <w:t>施工期：</w:t>
            </w:r>
            <w:r>
              <w:rPr>
                <w:rFonts w:hint="eastAsia" w:ascii="宋体" w:hAnsi="宋体" w:eastAsia="宋体" w:cs="宋体"/>
                <w:b w:val="0"/>
                <w:bCs/>
                <w:color w:val="auto"/>
                <w:spacing w:val="0"/>
                <w:sz w:val="21"/>
                <w:szCs w:val="21"/>
                <w:highlight w:val="none"/>
                <w:u w:val="none"/>
              </w:rPr>
              <w:t>严格控制施工作业带宽度；填埋所需土方充分利用挖方，做到土方平衡，减少弃土；临时堆土防尘网苫盖；设置限行彩条旗；洒水降尘</w:t>
            </w:r>
            <w:r>
              <w:rPr>
                <w:rFonts w:hint="eastAsia" w:ascii="宋体" w:hAnsi="宋体" w:eastAsia="宋体" w:cs="宋体"/>
                <w:b w:val="0"/>
                <w:bCs/>
                <w:color w:val="auto"/>
                <w:spacing w:val="0"/>
                <w:sz w:val="21"/>
                <w:szCs w:val="21"/>
                <w:highlight w:val="none"/>
                <w:u w:val="none"/>
                <w:lang w:eastAsia="zh-CN"/>
              </w:rPr>
              <w:t>；</w:t>
            </w:r>
            <w:r>
              <w:rPr>
                <w:rFonts w:hint="eastAsia" w:ascii="宋体" w:hAnsi="宋体" w:eastAsia="宋体" w:cs="宋体"/>
                <w:b w:val="0"/>
                <w:bCs/>
                <w:color w:val="auto"/>
                <w:spacing w:val="0"/>
                <w:sz w:val="21"/>
                <w:szCs w:val="21"/>
                <w:highlight w:val="none"/>
                <w:u w:val="none"/>
              </w:rPr>
              <w:t>井场周边以及管线两侧设置草方格防风固沙。</w:t>
            </w:r>
          </w:p>
          <w:p w14:paraId="5D1999F0">
            <w:pPr>
              <w:pStyle w:val="26"/>
              <w:keepNext w:val="0"/>
              <w:keepLines w:val="0"/>
              <w:pageBreakBefore w:val="0"/>
              <w:widowControl w:val="0"/>
              <w:kinsoku/>
              <w:wordWrap/>
              <w:overflowPunct/>
              <w:topLinePunct w:val="0"/>
              <w:bidi w:val="0"/>
              <w:adjustRightInd/>
              <w:snapToGrid w:val="0"/>
              <w:spacing w:line="400" w:lineRule="exact"/>
              <w:ind w:left="0" w:leftChars="0" w:right="0" w:rightChars="0"/>
              <w:jc w:val="left"/>
              <w:textAlignment w:val="auto"/>
              <w:rPr>
                <w:rFonts w:hint="eastAsia" w:ascii="宋体" w:hAnsi="宋体" w:eastAsia="宋体" w:cs="宋体"/>
                <w:b w:val="0"/>
                <w:bCs/>
                <w:color w:val="auto"/>
                <w:spacing w:val="0"/>
                <w:sz w:val="21"/>
                <w:szCs w:val="21"/>
                <w:highlight w:val="none"/>
                <w:u w:val="none"/>
              </w:rPr>
            </w:pPr>
            <w:r>
              <w:rPr>
                <w:rFonts w:hint="eastAsia" w:ascii="宋体" w:hAnsi="宋体" w:eastAsia="宋体" w:cs="宋体"/>
                <w:b w:val="0"/>
                <w:bCs/>
                <w:color w:val="auto"/>
                <w:spacing w:val="0"/>
                <w:sz w:val="21"/>
                <w:szCs w:val="21"/>
                <w:highlight w:val="none"/>
                <w:u w:val="none"/>
                <w:lang w:val="en-US" w:eastAsia="zh-CN" w:bidi="ar-SA"/>
              </w:rPr>
              <w:t>运营期：</w:t>
            </w:r>
            <w:r>
              <w:rPr>
                <w:rFonts w:hint="eastAsia" w:ascii="宋体" w:hAnsi="宋体" w:eastAsia="宋体" w:cs="宋体"/>
                <w:b w:val="0"/>
                <w:bCs/>
                <w:color w:val="auto"/>
                <w:spacing w:val="0"/>
                <w:sz w:val="21"/>
                <w:szCs w:val="21"/>
                <w:highlight w:val="none"/>
                <w:u w:val="none"/>
              </w:rPr>
              <w:t>管线上方设置标志，定时巡查井场、管线。</w:t>
            </w:r>
          </w:p>
          <w:p w14:paraId="05A164DB">
            <w:pPr>
              <w:pStyle w:val="26"/>
              <w:keepNext w:val="0"/>
              <w:keepLines w:val="0"/>
              <w:pageBreakBefore w:val="0"/>
              <w:widowControl w:val="0"/>
              <w:kinsoku/>
              <w:wordWrap/>
              <w:overflowPunct/>
              <w:topLinePunct w:val="0"/>
              <w:bidi w:val="0"/>
              <w:adjustRightInd/>
              <w:snapToGrid w:val="0"/>
              <w:spacing w:line="400" w:lineRule="exact"/>
              <w:ind w:left="0" w:leftChars="0" w:right="0" w:rightChars="0"/>
              <w:jc w:val="left"/>
              <w:textAlignment w:val="auto"/>
              <w:rPr>
                <w:rFonts w:hint="eastAsia" w:ascii="宋体" w:hAnsi="宋体" w:eastAsia="宋体" w:cs="宋体"/>
                <w:b w:val="0"/>
                <w:bCs/>
                <w:color w:val="auto"/>
                <w:spacing w:val="0"/>
                <w:kern w:val="2"/>
                <w:sz w:val="21"/>
                <w:szCs w:val="21"/>
                <w:highlight w:val="none"/>
                <w:u w:val="none"/>
                <w:lang w:val="en-US" w:eastAsia="zh-CN" w:bidi="ar-SA"/>
              </w:rPr>
            </w:pPr>
            <w:r>
              <w:rPr>
                <w:rFonts w:hint="eastAsia" w:ascii="宋体" w:hAnsi="宋体" w:eastAsia="宋体" w:cs="宋体"/>
                <w:b w:val="0"/>
                <w:bCs/>
                <w:color w:val="auto"/>
                <w:spacing w:val="0"/>
                <w:sz w:val="21"/>
                <w:szCs w:val="21"/>
                <w:highlight w:val="none"/>
                <w:u w:val="none"/>
                <w:lang w:val="en-US" w:eastAsia="zh-CN" w:bidi="ar-SA"/>
              </w:rPr>
              <w:t>退役期：</w:t>
            </w:r>
            <w:r>
              <w:rPr>
                <w:rFonts w:hint="eastAsia" w:ascii="宋体" w:hAnsi="宋体" w:eastAsia="宋体" w:cs="宋体"/>
                <w:b w:val="0"/>
                <w:bCs/>
                <w:color w:val="auto"/>
                <w:spacing w:val="0"/>
                <w:sz w:val="21"/>
                <w:szCs w:val="21"/>
                <w:highlight w:val="none"/>
                <w:u w:val="none"/>
                <w:lang w:bidi="ar"/>
              </w:rPr>
              <w:t>地面设施拆除、封井和井场清理等工作。</w:t>
            </w:r>
          </w:p>
        </w:tc>
      </w:tr>
      <w:tr w14:paraId="30AF0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5D7DC83A">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0AC7DC95">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环境风险</w:t>
            </w:r>
          </w:p>
        </w:tc>
        <w:tc>
          <w:tcPr>
            <w:tcW w:w="3704" w:type="pct"/>
            <w:tcBorders>
              <w:tl2br w:val="nil"/>
              <w:tr2bl w:val="nil"/>
            </w:tcBorders>
            <w:vAlign w:val="center"/>
          </w:tcPr>
          <w:p w14:paraId="75B640B8">
            <w:pPr>
              <w:keepNext w:val="0"/>
              <w:keepLines w:val="0"/>
              <w:pageBreakBefore w:val="0"/>
              <w:widowControl w:val="0"/>
              <w:kinsoku/>
              <w:wordWrap/>
              <w:overflowPunct/>
              <w:topLinePunct w:val="0"/>
              <w:autoSpaceDE w:val="0"/>
              <w:autoSpaceDN w:val="0"/>
              <w:bidi w:val="0"/>
              <w:adjustRightInd w:val="0"/>
              <w:snapToGrid w:val="0"/>
              <w:spacing w:line="400" w:lineRule="exact"/>
              <w:jc w:val="left"/>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管线上方设置标识，定期对管线壁厚进行</w:t>
            </w:r>
            <w:r>
              <w:rPr>
                <w:rFonts w:hint="eastAsia" w:ascii="宋体" w:hAnsi="宋体" w:eastAsia="宋体" w:cs="宋体"/>
                <w:b w:val="0"/>
                <w:bCs/>
                <w:color w:val="auto"/>
                <w:sz w:val="21"/>
                <w:szCs w:val="21"/>
                <w:u w:val="none"/>
                <w:lang w:val="en-US" w:eastAsia="zh-CN"/>
              </w:rPr>
              <w:t>检测</w:t>
            </w:r>
            <w:r>
              <w:rPr>
                <w:rFonts w:hint="eastAsia" w:ascii="宋体" w:hAnsi="宋体" w:eastAsia="宋体" w:cs="宋体"/>
                <w:b w:val="0"/>
                <w:bCs/>
                <w:color w:val="auto"/>
                <w:sz w:val="21"/>
                <w:szCs w:val="21"/>
                <w:u w:val="none"/>
              </w:rPr>
              <w:t>，站场设置可燃气体报警仪和硫化氢检测仪。</w:t>
            </w:r>
          </w:p>
        </w:tc>
      </w:tr>
      <w:tr w14:paraId="401C4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restart"/>
            <w:tcBorders>
              <w:tl2br w:val="nil"/>
              <w:tr2bl w:val="nil"/>
            </w:tcBorders>
            <w:vAlign w:val="center"/>
          </w:tcPr>
          <w:p w14:paraId="27D61EE8">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依托工程</w:t>
            </w:r>
          </w:p>
        </w:tc>
        <w:tc>
          <w:tcPr>
            <w:tcW w:w="995" w:type="pct"/>
            <w:gridSpan w:val="2"/>
            <w:tcBorders>
              <w:tl2br w:val="nil"/>
              <w:tr2bl w:val="nil"/>
            </w:tcBorders>
            <w:vAlign w:val="center"/>
          </w:tcPr>
          <w:p w14:paraId="329B2CA9">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莫109转油站</w:t>
            </w:r>
          </w:p>
        </w:tc>
        <w:tc>
          <w:tcPr>
            <w:tcW w:w="3704" w:type="pct"/>
            <w:tcBorders>
              <w:tl2br w:val="nil"/>
              <w:tr2bl w:val="nil"/>
            </w:tcBorders>
            <w:vAlign w:val="center"/>
          </w:tcPr>
          <w:p w14:paraId="4EAD2EAF">
            <w:pPr>
              <w:keepNext w:val="0"/>
              <w:keepLines w:val="0"/>
              <w:pageBreakBefore w:val="0"/>
              <w:widowControl w:val="0"/>
              <w:kinsoku/>
              <w:wordWrap/>
              <w:overflowPunct/>
              <w:topLinePunct w:val="0"/>
              <w:autoSpaceDE w:val="0"/>
              <w:autoSpaceDN w:val="0"/>
              <w:bidi w:val="0"/>
              <w:adjustRightInd w:val="0"/>
              <w:snapToGrid w:val="0"/>
              <w:spacing w:line="400" w:lineRule="exact"/>
              <w:jc w:val="left"/>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本工程采出物通过新建采气管道输送至莫109转油站，天然气经处理装置处理后，外输至彩-石-克管网；液相进入油水分离器，分离后的轻烃稳定后进入轻烃罐，装车外运；采出水接入莫109转油站—莫北转油站外输油管线。</w:t>
            </w:r>
          </w:p>
        </w:tc>
      </w:tr>
      <w:tr w14:paraId="0CF57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07C343BC">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6E263619">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莫北转油站</w:t>
            </w:r>
          </w:p>
        </w:tc>
        <w:tc>
          <w:tcPr>
            <w:tcW w:w="3704" w:type="pct"/>
            <w:tcBorders>
              <w:tl2br w:val="nil"/>
              <w:tr2bl w:val="nil"/>
            </w:tcBorders>
            <w:vAlign w:val="center"/>
          </w:tcPr>
          <w:p w14:paraId="7BEBB0D4">
            <w:pPr>
              <w:keepNext w:val="0"/>
              <w:keepLines w:val="0"/>
              <w:pageBreakBefore w:val="0"/>
              <w:widowControl w:val="0"/>
              <w:kinsoku/>
              <w:wordWrap/>
              <w:overflowPunct/>
              <w:topLinePunct w:val="0"/>
              <w:autoSpaceDE w:val="0"/>
              <w:autoSpaceDN w:val="0"/>
              <w:bidi w:val="0"/>
              <w:adjustRightInd w:val="0"/>
              <w:snapToGrid w:val="0"/>
              <w:spacing w:line="400" w:lineRule="exact"/>
              <w:jc w:val="left"/>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采出水</w:t>
            </w:r>
            <w:r>
              <w:rPr>
                <w:rFonts w:hint="eastAsia" w:ascii="宋体" w:hAnsi="宋体" w:eastAsia="宋体" w:cs="宋体"/>
                <w:b w:val="0"/>
                <w:bCs/>
                <w:color w:val="auto"/>
                <w:sz w:val="21"/>
                <w:szCs w:val="21"/>
                <w:u w:val="none"/>
                <w:lang w:val="en-US" w:eastAsia="zh-CN"/>
              </w:rPr>
              <w:t>最终</w:t>
            </w:r>
            <w:r>
              <w:rPr>
                <w:rFonts w:hint="eastAsia" w:ascii="宋体" w:hAnsi="宋体" w:eastAsia="宋体" w:cs="宋体"/>
                <w:b w:val="0"/>
                <w:bCs/>
                <w:color w:val="auto"/>
                <w:sz w:val="21"/>
                <w:szCs w:val="21"/>
                <w:u w:val="none"/>
              </w:rPr>
              <w:t>依托莫北转油站采出水处理系统处理</w:t>
            </w:r>
          </w:p>
        </w:tc>
      </w:tr>
      <w:tr w14:paraId="784F8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l2br w:val="nil"/>
              <w:tr2bl w:val="nil"/>
            </w:tcBorders>
            <w:vAlign w:val="center"/>
          </w:tcPr>
          <w:p w14:paraId="4AA69DC9">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rPr>
            </w:pPr>
          </w:p>
        </w:tc>
        <w:tc>
          <w:tcPr>
            <w:tcW w:w="995" w:type="pct"/>
            <w:gridSpan w:val="2"/>
            <w:tcBorders>
              <w:tl2br w:val="nil"/>
              <w:tr2bl w:val="nil"/>
            </w:tcBorders>
            <w:vAlign w:val="center"/>
          </w:tcPr>
          <w:p w14:paraId="6FE6B91C">
            <w:pPr>
              <w:keepNext w:val="0"/>
              <w:keepLines w:val="0"/>
              <w:pageBreakBefore w:val="0"/>
              <w:widowControl w:val="0"/>
              <w:kinsoku/>
              <w:wordWrap/>
              <w:overflowPunct/>
              <w:topLinePunct w:val="0"/>
              <w:autoSpaceDE w:val="0"/>
              <w:autoSpaceDN w:val="0"/>
              <w:bidi w:val="0"/>
              <w:spacing w:line="400" w:lineRule="exact"/>
              <w:ind w:left="-86" w:leftChars="-41" w:right="-96" w:rightChars="-46"/>
              <w:jc w:val="center"/>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highlight w:val="none"/>
                <w:u w:val="none"/>
              </w:rPr>
              <w:t>石西集中处理站</w:t>
            </w:r>
          </w:p>
        </w:tc>
        <w:tc>
          <w:tcPr>
            <w:tcW w:w="3704" w:type="pct"/>
            <w:tcBorders>
              <w:tl2br w:val="nil"/>
              <w:tr2bl w:val="nil"/>
            </w:tcBorders>
            <w:vAlign w:val="center"/>
          </w:tcPr>
          <w:p w14:paraId="2E80518E">
            <w:pPr>
              <w:keepNext w:val="0"/>
              <w:keepLines w:val="0"/>
              <w:pageBreakBefore w:val="0"/>
              <w:widowControl w:val="0"/>
              <w:kinsoku/>
              <w:wordWrap/>
              <w:overflowPunct/>
              <w:topLinePunct w:val="0"/>
              <w:autoSpaceDE w:val="0"/>
              <w:autoSpaceDN w:val="0"/>
              <w:bidi w:val="0"/>
              <w:adjustRightInd w:val="0"/>
              <w:snapToGrid w:val="0"/>
              <w:spacing w:line="400" w:lineRule="exact"/>
              <w:jc w:val="left"/>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highlight w:val="none"/>
                <w:u w:val="none"/>
              </w:rPr>
              <w:t>井下作业产生的洗井废水和废酸化压裂液</w:t>
            </w:r>
            <w:r>
              <w:rPr>
                <w:rFonts w:hint="eastAsia" w:ascii="宋体" w:hAnsi="宋体" w:eastAsia="宋体" w:cs="宋体"/>
                <w:b w:val="0"/>
                <w:bCs/>
                <w:color w:val="auto"/>
                <w:sz w:val="21"/>
                <w:szCs w:val="21"/>
                <w:highlight w:val="none"/>
                <w:u w:val="none"/>
                <w:lang w:val="en-US" w:eastAsia="zh-CN"/>
              </w:rPr>
              <w:t>依托</w:t>
            </w:r>
            <w:r>
              <w:rPr>
                <w:rFonts w:hint="eastAsia" w:ascii="宋体" w:hAnsi="宋体" w:eastAsia="宋体" w:cs="宋体"/>
                <w:b w:val="0"/>
                <w:bCs/>
                <w:color w:val="auto"/>
                <w:sz w:val="21"/>
                <w:szCs w:val="21"/>
                <w:highlight w:val="none"/>
                <w:u w:val="none"/>
              </w:rPr>
              <w:t>石西集中处理站采出水处理系统处理。</w:t>
            </w:r>
          </w:p>
        </w:tc>
      </w:tr>
    </w:tbl>
    <w:p w14:paraId="56C4674C">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3 </w:t>
      </w:r>
      <w:r>
        <w:rPr>
          <w:rFonts w:hint="default" w:ascii="黑体" w:hAnsi="黑体" w:eastAsia="黑体" w:cs="黑体"/>
          <w:b/>
          <w:color w:val="auto"/>
          <w:kern w:val="0"/>
          <w:sz w:val="24"/>
          <w:szCs w:val="24"/>
          <w:highlight w:val="none"/>
          <w:u w:val="none"/>
          <w:lang w:val="en-US" w:eastAsia="zh-CN"/>
        </w:rPr>
        <w:t>油气资源概况</w:t>
      </w:r>
    </w:p>
    <w:p w14:paraId="73FC817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eastAsia="zh-CN"/>
        </w:rPr>
      </w:pPr>
      <w:r>
        <w:rPr>
          <w:rFonts w:hint="eastAsia" w:ascii="宋体" w:hAnsi="宋体" w:eastAsia="宋体" w:cs="宋体"/>
          <w:color w:val="auto"/>
          <w:sz w:val="24"/>
          <w:szCs w:val="24"/>
          <w:u w:val="none"/>
        </w:rPr>
        <w:t>（1）</w:t>
      </w:r>
      <w:r>
        <w:rPr>
          <w:rFonts w:hint="eastAsia" w:ascii="宋体" w:hAnsi="宋体" w:cs="宋体"/>
          <w:color w:val="auto"/>
          <w:sz w:val="24"/>
          <w:szCs w:val="24"/>
          <w:u w:val="none"/>
          <w:lang w:val="en-US" w:eastAsia="zh-CN"/>
        </w:rPr>
        <w:t>天然气</w:t>
      </w:r>
      <w:r>
        <w:rPr>
          <w:rFonts w:hint="eastAsia" w:ascii="宋体" w:hAnsi="宋体" w:eastAsia="宋体" w:cs="宋体"/>
          <w:color w:val="auto"/>
          <w:sz w:val="24"/>
          <w:szCs w:val="24"/>
          <w:u w:val="none"/>
          <w:lang w:val="en-US" w:eastAsia="zh-CN"/>
        </w:rPr>
        <w:t>物性</w:t>
      </w:r>
    </w:p>
    <w:p w14:paraId="44BBA72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rPr>
        <w:t>由于本工程产能井目前尚未开钻，天然气组分参考莫109物性参数、凝析油参考石西石炭系统。物性参数</w:t>
      </w:r>
      <w:r>
        <w:rPr>
          <w:rFonts w:hint="eastAsia" w:ascii="宋体" w:hAnsi="宋体" w:cs="宋体"/>
          <w:color w:val="auto"/>
          <w:sz w:val="24"/>
          <w:szCs w:val="24"/>
          <w:u w:val="none"/>
          <w:lang w:eastAsia="zh-CN"/>
        </w:rPr>
        <w:t>，</w:t>
      </w:r>
      <w:r>
        <w:rPr>
          <w:rFonts w:hint="eastAsia" w:ascii="宋体" w:hAnsi="宋体" w:eastAsia="宋体" w:cs="宋体"/>
          <w:color w:val="auto"/>
          <w:sz w:val="24"/>
          <w:szCs w:val="24"/>
          <w:u w:val="none"/>
        </w:rPr>
        <w:t>见表</w:t>
      </w:r>
      <w:r>
        <w:rPr>
          <w:rFonts w:hint="eastAsia" w:ascii="宋体" w:hAnsi="宋体" w:cs="宋体"/>
          <w:color w:val="auto"/>
          <w:sz w:val="24"/>
          <w:szCs w:val="24"/>
          <w:u w:val="none"/>
          <w:lang w:val="en-US" w:eastAsia="zh-CN"/>
        </w:rPr>
        <w:t>3.3-2</w:t>
      </w:r>
      <w:r>
        <w:rPr>
          <w:rFonts w:hint="eastAsia" w:ascii="宋体" w:hAnsi="宋体" w:eastAsia="宋体" w:cs="宋体"/>
          <w:color w:val="auto"/>
          <w:sz w:val="24"/>
          <w:szCs w:val="24"/>
          <w:u w:val="none"/>
        </w:rPr>
        <w:t>。</w:t>
      </w:r>
      <w:r>
        <w:rPr>
          <w:rFonts w:hint="eastAsia" w:ascii="宋体" w:hAnsi="宋体" w:cs="宋体"/>
          <w:color w:val="auto"/>
          <w:sz w:val="24"/>
          <w:szCs w:val="24"/>
          <w:highlight w:val="none"/>
          <w:u w:val="none"/>
          <w:lang w:val="en-US" w:eastAsia="zh-CN"/>
        </w:rPr>
        <w:t>天然气监测报告见附件12。</w:t>
      </w:r>
    </w:p>
    <w:p w14:paraId="4F5894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bCs w:val="0"/>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3.3-2</w:t>
      </w:r>
      <w:r>
        <w:rPr>
          <w:rFonts w:hint="default" w:ascii="黑体" w:hAnsi="黑体" w:eastAsia="黑体" w:cs="黑体"/>
          <w:b w:val="0"/>
          <w:bCs/>
          <w:color w:val="auto"/>
          <w:kern w:val="2"/>
          <w:sz w:val="24"/>
          <w:szCs w:val="24"/>
          <w:u w:val="none"/>
          <w:lang w:val="en-US" w:eastAsia="zh-CN" w:bidi="ar-SA"/>
        </w:rPr>
        <w:t xml:space="preserve">  天然气组分分析表</w:t>
      </w:r>
    </w:p>
    <w:tbl>
      <w:tblPr>
        <w:tblStyle w:val="3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322"/>
        <w:gridCol w:w="4324"/>
      </w:tblGrid>
      <w:tr w14:paraId="5DC24F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7E94275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分析项目</w:t>
            </w:r>
          </w:p>
        </w:tc>
        <w:tc>
          <w:tcPr>
            <w:tcW w:w="2500" w:type="pct"/>
            <w:tcBorders>
              <w:tl2br w:val="nil"/>
              <w:tr2bl w:val="nil"/>
            </w:tcBorders>
            <w:vAlign w:val="center"/>
          </w:tcPr>
          <w:p w14:paraId="501C0F8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百分含量mol%</w:t>
            </w:r>
          </w:p>
        </w:tc>
      </w:tr>
      <w:tr w14:paraId="4BB369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70104CA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甲烷</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CH</w:t>
            </w:r>
            <w:r>
              <w:rPr>
                <w:rFonts w:hint="eastAsia" w:ascii="宋体" w:hAnsi="宋体" w:eastAsia="宋体" w:cs="宋体"/>
                <w:color w:val="auto"/>
                <w:sz w:val="21"/>
                <w:szCs w:val="21"/>
                <w:u w:val="none"/>
                <w:vertAlign w:val="subscript"/>
              </w:rPr>
              <w:t>4</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514724E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86.62</w:t>
            </w:r>
          </w:p>
        </w:tc>
      </w:tr>
      <w:tr w14:paraId="78D326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13D86CC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乙烷</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C</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rPr>
              <w:t>H</w:t>
            </w:r>
            <w:r>
              <w:rPr>
                <w:rFonts w:hint="eastAsia" w:ascii="宋体" w:hAnsi="宋体" w:eastAsia="宋体" w:cs="宋体"/>
                <w:color w:val="auto"/>
                <w:sz w:val="21"/>
                <w:szCs w:val="21"/>
                <w:u w:val="none"/>
                <w:vertAlign w:val="subscript"/>
              </w:rPr>
              <w:t>6</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3DBBA55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4.45</w:t>
            </w:r>
          </w:p>
        </w:tc>
      </w:tr>
      <w:tr w14:paraId="4BD564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5FFF475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丙烷</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C</w:t>
            </w:r>
            <w:r>
              <w:rPr>
                <w:rFonts w:hint="eastAsia" w:ascii="宋体" w:hAnsi="宋体" w:eastAsia="宋体" w:cs="宋体"/>
                <w:color w:val="auto"/>
                <w:sz w:val="21"/>
                <w:szCs w:val="21"/>
                <w:u w:val="none"/>
                <w:vertAlign w:val="subscript"/>
              </w:rPr>
              <w:t>3</w:t>
            </w:r>
            <w:r>
              <w:rPr>
                <w:rFonts w:hint="eastAsia" w:ascii="宋体" w:hAnsi="宋体" w:eastAsia="宋体" w:cs="宋体"/>
                <w:color w:val="auto"/>
                <w:sz w:val="21"/>
                <w:szCs w:val="21"/>
                <w:u w:val="none"/>
              </w:rPr>
              <w:t>H</w:t>
            </w:r>
            <w:r>
              <w:rPr>
                <w:rFonts w:hint="eastAsia" w:ascii="宋体" w:hAnsi="宋体" w:eastAsia="宋体" w:cs="宋体"/>
                <w:color w:val="auto"/>
                <w:sz w:val="21"/>
                <w:szCs w:val="21"/>
                <w:u w:val="none"/>
                <w:vertAlign w:val="subscript"/>
              </w:rPr>
              <w:t>8</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5C7A3A1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1.68</w:t>
            </w:r>
          </w:p>
        </w:tc>
      </w:tr>
      <w:tr w14:paraId="75DD5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131ACAF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异丁烷</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i-C</w:t>
            </w:r>
            <w:r>
              <w:rPr>
                <w:rFonts w:hint="eastAsia" w:ascii="宋体" w:hAnsi="宋体" w:eastAsia="宋体" w:cs="宋体"/>
                <w:color w:val="auto"/>
                <w:sz w:val="21"/>
                <w:szCs w:val="21"/>
                <w:u w:val="none"/>
                <w:vertAlign w:val="subscript"/>
              </w:rPr>
              <w:t>4</w:t>
            </w:r>
            <w:r>
              <w:rPr>
                <w:rFonts w:hint="eastAsia" w:ascii="宋体" w:hAnsi="宋体" w:eastAsia="宋体" w:cs="宋体"/>
                <w:color w:val="auto"/>
                <w:sz w:val="21"/>
                <w:szCs w:val="21"/>
                <w:u w:val="none"/>
              </w:rPr>
              <w:t>H</w:t>
            </w:r>
            <w:r>
              <w:rPr>
                <w:rFonts w:hint="eastAsia" w:ascii="宋体" w:hAnsi="宋体" w:eastAsia="宋体" w:cs="宋体"/>
                <w:color w:val="auto"/>
                <w:sz w:val="21"/>
                <w:szCs w:val="21"/>
                <w:u w:val="none"/>
                <w:vertAlign w:val="subscript"/>
              </w:rPr>
              <w:t>10</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461F34F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0.5</w:t>
            </w:r>
          </w:p>
        </w:tc>
      </w:tr>
      <w:tr w14:paraId="6CDD2F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4AF228F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正丁烷</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n-C</w:t>
            </w:r>
            <w:r>
              <w:rPr>
                <w:rFonts w:hint="eastAsia" w:ascii="宋体" w:hAnsi="宋体" w:eastAsia="宋体" w:cs="宋体"/>
                <w:color w:val="auto"/>
                <w:sz w:val="21"/>
                <w:szCs w:val="21"/>
                <w:u w:val="none"/>
                <w:vertAlign w:val="subscript"/>
              </w:rPr>
              <w:t>4</w:t>
            </w:r>
            <w:r>
              <w:rPr>
                <w:rFonts w:hint="eastAsia" w:ascii="宋体" w:hAnsi="宋体" w:eastAsia="宋体" w:cs="宋体"/>
                <w:color w:val="auto"/>
                <w:sz w:val="21"/>
                <w:szCs w:val="21"/>
                <w:u w:val="none"/>
              </w:rPr>
              <w:t>H</w:t>
            </w:r>
            <w:r>
              <w:rPr>
                <w:rFonts w:hint="eastAsia" w:ascii="宋体" w:hAnsi="宋体" w:eastAsia="宋体" w:cs="宋体"/>
                <w:color w:val="auto"/>
                <w:sz w:val="21"/>
                <w:szCs w:val="21"/>
                <w:u w:val="none"/>
                <w:vertAlign w:val="subscript"/>
              </w:rPr>
              <w:t>10</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0762346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0.65</w:t>
            </w:r>
          </w:p>
        </w:tc>
      </w:tr>
      <w:tr w14:paraId="48351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56A73AA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异戊烷</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i-C</w:t>
            </w:r>
            <w:r>
              <w:rPr>
                <w:rFonts w:hint="eastAsia" w:ascii="宋体" w:hAnsi="宋体" w:eastAsia="宋体" w:cs="宋体"/>
                <w:color w:val="auto"/>
                <w:sz w:val="21"/>
                <w:szCs w:val="21"/>
                <w:u w:val="none"/>
                <w:vertAlign w:val="subscript"/>
              </w:rPr>
              <w:t>5</w:t>
            </w:r>
            <w:r>
              <w:rPr>
                <w:rFonts w:hint="eastAsia" w:ascii="宋体" w:hAnsi="宋体" w:eastAsia="宋体" w:cs="宋体"/>
                <w:color w:val="auto"/>
                <w:sz w:val="21"/>
                <w:szCs w:val="21"/>
                <w:u w:val="none"/>
              </w:rPr>
              <w:t>H</w:t>
            </w:r>
            <w:r>
              <w:rPr>
                <w:rFonts w:hint="eastAsia" w:ascii="宋体" w:hAnsi="宋体" w:eastAsia="宋体" w:cs="宋体"/>
                <w:color w:val="auto"/>
                <w:sz w:val="21"/>
                <w:szCs w:val="21"/>
                <w:u w:val="none"/>
                <w:vertAlign w:val="subscript"/>
              </w:rPr>
              <w:t>12</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1CB1F9C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0.21</w:t>
            </w:r>
          </w:p>
        </w:tc>
      </w:tr>
      <w:tr w14:paraId="2577A9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505A91A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正戊烷</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n-C</w:t>
            </w:r>
            <w:r>
              <w:rPr>
                <w:rFonts w:hint="eastAsia" w:ascii="宋体" w:hAnsi="宋体" w:eastAsia="宋体" w:cs="宋体"/>
                <w:color w:val="auto"/>
                <w:sz w:val="21"/>
                <w:szCs w:val="21"/>
                <w:u w:val="none"/>
                <w:vertAlign w:val="subscript"/>
              </w:rPr>
              <w:t>5</w:t>
            </w:r>
            <w:r>
              <w:rPr>
                <w:rFonts w:hint="eastAsia" w:ascii="宋体" w:hAnsi="宋体" w:eastAsia="宋体" w:cs="宋体"/>
                <w:color w:val="auto"/>
                <w:sz w:val="21"/>
                <w:szCs w:val="21"/>
                <w:u w:val="none"/>
              </w:rPr>
              <w:t>H</w:t>
            </w:r>
            <w:r>
              <w:rPr>
                <w:rFonts w:hint="eastAsia" w:ascii="宋体" w:hAnsi="宋体" w:eastAsia="宋体" w:cs="宋体"/>
                <w:color w:val="auto"/>
                <w:sz w:val="21"/>
                <w:szCs w:val="21"/>
                <w:u w:val="none"/>
                <w:vertAlign w:val="subscript"/>
              </w:rPr>
              <w:t>12</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26E185E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0.24</w:t>
            </w:r>
          </w:p>
        </w:tc>
      </w:tr>
      <w:tr w14:paraId="725183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3172FE8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正己烷</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n-C</w:t>
            </w:r>
            <w:r>
              <w:rPr>
                <w:rFonts w:hint="eastAsia" w:ascii="宋体" w:hAnsi="宋体" w:eastAsia="宋体" w:cs="宋体"/>
                <w:color w:val="auto"/>
                <w:sz w:val="21"/>
                <w:szCs w:val="21"/>
                <w:u w:val="none"/>
                <w:vertAlign w:val="subscript"/>
              </w:rPr>
              <w:t>6</w:t>
            </w:r>
            <w:r>
              <w:rPr>
                <w:rFonts w:hint="eastAsia" w:ascii="宋体" w:hAnsi="宋体" w:eastAsia="宋体" w:cs="宋体"/>
                <w:color w:val="auto"/>
                <w:sz w:val="21"/>
                <w:szCs w:val="21"/>
                <w:u w:val="none"/>
              </w:rPr>
              <w:t>H</w:t>
            </w:r>
            <w:r>
              <w:rPr>
                <w:rFonts w:hint="eastAsia" w:ascii="宋体" w:hAnsi="宋体" w:eastAsia="宋体" w:cs="宋体"/>
                <w:color w:val="auto"/>
                <w:sz w:val="21"/>
                <w:szCs w:val="21"/>
                <w:u w:val="none"/>
                <w:vertAlign w:val="subscript"/>
              </w:rPr>
              <w:t>14</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6AB5CE1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0.11</w:t>
            </w:r>
          </w:p>
        </w:tc>
      </w:tr>
      <w:tr w14:paraId="00E3A6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0F6EF4A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二氧化碳</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CO</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2F940D6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3.97</w:t>
            </w:r>
          </w:p>
        </w:tc>
      </w:tr>
      <w:tr w14:paraId="5AEC29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3FB6D7F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氧</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O</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4AEF1F6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r>
      <w:tr w14:paraId="2E9A99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48DC028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氮</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N</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lang w:eastAsia="zh-CN"/>
              </w:rPr>
              <w:t>）</w:t>
            </w:r>
          </w:p>
        </w:tc>
        <w:tc>
          <w:tcPr>
            <w:tcW w:w="2500" w:type="pct"/>
            <w:tcBorders>
              <w:tl2br w:val="nil"/>
              <w:tr2bl w:val="nil"/>
            </w:tcBorders>
            <w:vAlign w:val="center"/>
          </w:tcPr>
          <w:p w14:paraId="74DB8E5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1.56</w:t>
            </w:r>
          </w:p>
        </w:tc>
      </w:tr>
      <w:tr w14:paraId="26794E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5D0B5B67">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rPr>
            </w:pPr>
            <w:r>
              <w:rPr>
                <w:rFonts w:hint="eastAsia" w:ascii="宋体" w:hAnsi="宋体" w:eastAsia="宋体" w:cs="宋体"/>
                <w:color w:val="auto"/>
                <w:sz w:val="21"/>
                <w:szCs w:val="21"/>
                <w:u w:val="none"/>
              </w:rPr>
              <w:t>硫化氢</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H</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rPr>
              <w:t>S</w:t>
            </w:r>
            <w:r>
              <w:rPr>
                <w:rFonts w:hint="eastAsia" w:ascii="宋体" w:hAnsi="宋体" w:eastAsia="宋体" w:cs="宋体"/>
                <w:color w:val="auto"/>
                <w:sz w:val="21"/>
                <w:szCs w:val="21"/>
                <w:u w:val="none"/>
                <w:lang w:eastAsia="zh-CN"/>
              </w:rPr>
              <w:t>）</w:t>
            </w: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mg/m</w:t>
            </w:r>
            <w:r>
              <w:rPr>
                <w:rFonts w:hint="eastAsia" w:ascii="宋体" w:hAnsi="宋体" w:cs="宋体"/>
                <w:color w:val="auto"/>
                <w:sz w:val="21"/>
                <w:szCs w:val="21"/>
                <w:u w:val="none"/>
                <w:vertAlign w:val="superscript"/>
                <w:lang w:val="en-US" w:eastAsia="zh-CN"/>
              </w:rPr>
              <w:t>3</w:t>
            </w:r>
          </w:p>
        </w:tc>
        <w:tc>
          <w:tcPr>
            <w:tcW w:w="2500" w:type="pct"/>
            <w:tcBorders>
              <w:tl2br w:val="nil"/>
              <w:tr2bl w:val="nil"/>
            </w:tcBorders>
            <w:vAlign w:val="center"/>
          </w:tcPr>
          <w:p w14:paraId="2BFCAADF">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24.1</w:t>
            </w:r>
          </w:p>
        </w:tc>
      </w:tr>
      <w:tr w14:paraId="5B37E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499" w:type="pct"/>
            <w:tcBorders>
              <w:tl2br w:val="nil"/>
              <w:tr2bl w:val="nil"/>
            </w:tcBorders>
            <w:vAlign w:val="center"/>
          </w:tcPr>
          <w:p w14:paraId="21225BB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相对密度</w:t>
            </w:r>
          </w:p>
        </w:tc>
        <w:tc>
          <w:tcPr>
            <w:tcW w:w="2500" w:type="pct"/>
            <w:tcBorders>
              <w:tl2br w:val="nil"/>
              <w:tr2bl w:val="nil"/>
            </w:tcBorders>
            <w:vAlign w:val="center"/>
          </w:tcPr>
          <w:p w14:paraId="65E7C57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0.67</w:t>
            </w:r>
          </w:p>
        </w:tc>
      </w:tr>
    </w:tbl>
    <w:p w14:paraId="5FD18E41">
      <w:pPr>
        <w:keepNext w:val="0"/>
        <w:keepLines w:val="0"/>
        <w:pageBreakBefore w:val="0"/>
        <w:widowControl w:val="0"/>
        <w:kinsoku/>
        <w:wordWrap/>
        <w:overflowPunct/>
        <w:topLinePunct w:val="0"/>
        <w:autoSpaceDE/>
        <w:autoSpaceDN/>
        <w:bidi w:val="0"/>
        <w:adjustRightInd/>
        <w:snapToGrid/>
        <w:spacing w:before="313" w:beforeLines="100"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（2）</w:t>
      </w:r>
      <w:r>
        <w:rPr>
          <w:rFonts w:hint="eastAsia" w:ascii="宋体" w:hAnsi="宋体" w:cs="宋体"/>
          <w:color w:val="auto"/>
          <w:sz w:val="24"/>
          <w:szCs w:val="24"/>
          <w:u w:val="none"/>
          <w:lang w:val="en-US" w:eastAsia="zh-CN"/>
        </w:rPr>
        <w:t>凝析油</w:t>
      </w:r>
      <w:r>
        <w:rPr>
          <w:rFonts w:hint="eastAsia" w:ascii="宋体" w:hAnsi="宋体" w:eastAsia="宋体" w:cs="宋体"/>
          <w:color w:val="auto"/>
          <w:sz w:val="24"/>
          <w:szCs w:val="24"/>
          <w:u w:val="none"/>
          <w:lang w:val="en-US" w:eastAsia="zh-CN"/>
        </w:rPr>
        <w:t>物性</w:t>
      </w:r>
    </w:p>
    <w:p w14:paraId="542173B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u w:val="none"/>
        </w:rPr>
      </w:pPr>
      <w:r>
        <w:rPr>
          <w:rFonts w:hint="eastAsia" w:ascii="宋体" w:hAnsi="宋体" w:eastAsia="宋体" w:cs="宋体"/>
          <w:color w:val="auto"/>
          <w:sz w:val="24"/>
          <w:szCs w:val="24"/>
          <w:u w:val="none"/>
        </w:rPr>
        <w:t>凝析油物性参数</w:t>
      </w:r>
      <w:r>
        <w:rPr>
          <w:rFonts w:hint="eastAsia" w:ascii="宋体" w:hAnsi="宋体" w:cs="宋体"/>
          <w:color w:val="auto"/>
          <w:sz w:val="24"/>
          <w:szCs w:val="24"/>
          <w:u w:val="none"/>
          <w:lang w:eastAsia="zh-CN"/>
        </w:rPr>
        <w:t>，</w:t>
      </w:r>
      <w:r>
        <w:rPr>
          <w:rFonts w:hint="eastAsia" w:ascii="宋体" w:hAnsi="宋体" w:eastAsia="宋体" w:cs="宋体"/>
          <w:color w:val="auto"/>
          <w:sz w:val="24"/>
          <w:szCs w:val="24"/>
          <w:u w:val="none"/>
        </w:rPr>
        <w:t>见表3.3-</w:t>
      </w:r>
      <w:r>
        <w:rPr>
          <w:rFonts w:hint="eastAsia" w:ascii="宋体" w:hAnsi="宋体" w:cs="宋体"/>
          <w:color w:val="auto"/>
          <w:sz w:val="24"/>
          <w:szCs w:val="24"/>
          <w:u w:val="none"/>
          <w:lang w:val="en-US" w:eastAsia="zh-CN"/>
        </w:rPr>
        <w:t>3</w:t>
      </w:r>
      <w:r>
        <w:rPr>
          <w:rFonts w:hint="eastAsia" w:ascii="宋体" w:hAnsi="宋体" w:eastAsia="宋体" w:cs="宋体"/>
          <w:color w:val="auto"/>
          <w:sz w:val="24"/>
          <w:szCs w:val="24"/>
          <w:u w:val="none"/>
        </w:rPr>
        <w:t>。</w:t>
      </w:r>
    </w:p>
    <w:p w14:paraId="5E62F3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 xml:space="preserve">3.3-3 </w:t>
      </w:r>
      <w:r>
        <w:rPr>
          <w:rFonts w:hint="default" w:ascii="黑体" w:hAnsi="黑体" w:eastAsia="黑体" w:cs="黑体"/>
          <w:b w:val="0"/>
          <w:bCs/>
          <w:color w:val="auto"/>
          <w:kern w:val="2"/>
          <w:sz w:val="24"/>
          <w:szCs w:val="24"/>
          <w:u w:val="none"/>
          <w:lang w:val="en-US" w:eastAsia="zh-CN" w:bidi="ar-SA"/>
        </w:rPr>
        <w:t xml:space="preserve"> 凝析油物性分析表</w:t>
      </w:r>
    </w:p>
    <w:tbl>
      <w:tblPr>
        <w:tblStyle w:val="3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02"/>
        <w:gridCol w:w="834"/>
        <w:gridCol w:w="1776"/>
        <w:gridCol w:w="1681"/>
        <w:gridCol w:w="3152"/>
      </w:tblGrid>
      <w:tr w14:paraId="08329A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470E48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序号</w:t>
            </w:r>
          </w:p>
        </w:tc>
        <w:tc>
          <w:tcPr>
            <w:tcW w:w="1509" w:type="pct"/>
            <w:gridSpan w:val="2"/>
            <w:tcBorders>
              <w:tl2br w:val="nil"/>
              <w:tr2bl w:val="nil"/>
            </w:tcBorders>
            <w:vAlign w:val="center"/>
          </w:tcPr>
          <w:p w14:paraId="0965D7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w:t>
            </w:r>
          </w:p>
        </w:tc>
        <w:tc>
          <w:tcPr>
            <w:tcW w:w="972" w:type="pct"/>
            <w:tcBorders>
              <w:tl2br w:val="nil"/>
              <w:tr2bl w:val="nil"/>
            </w:tcBorders>
            <w:vAlign w:val="center"/>
          </w:tcPr>
          <w:p w14:paraId="72AD48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单位</w:t>
            </w:r>
          </w:p>
        </w:tc>
        <w:tc>
          <w:tcPr>
            <w:tcW w:w="1822" w:type="pct"/>
            <w:tcBorders>
              <w:tl2br w:val="nil"/>
              <w:tr2bl w:val="nil"/>
            </w:tcBorders>
            <w:vAlign w:val="center"/>
          </w:tcPr>
          <w:p w14:paraId="2D7E2B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石西石炭系统</w:t>
            </w:r>
          </w:p>
        </w:tc>
      </w:tr>
      <w:tr w14:paraId="6EC17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29E9C4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509" w:type="pct"/>
            <w:gridSpan w:val="2"/>
            <w:tcBorders>
              <w:tl2br w:val="nil"/>
              <w:tr2bl w:val="nil"/>
            </w:tcBorders>
            <w:vAlign w:val="center"/>
          </w:tcPr>
          <w:p w14:paraId="23A841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密度（20℃）</w:t>
            </w:r>
          </w:p>
        </w:tc>
        <w:tc>
          <w:tcPr>
            <w:tcW w:w="972" w:type="pct"/>
            <w:tcBorders>
              <w:tl2br w:val="nil"/>
              <w:tr2bl w:val="nil"/>
            </w:tcBorders>
            <w:vAlign w:val="center"/>
          </w:tcPr>
          <w:p w14:paraId="16BF34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g/cm</w:t>
            </w:r>
            <w:r>
              <w:rPr>
                <w:rFonts w:hint="eastAsia" w:ascii="宋体" w:hAnsi="宋体" w:eastAsia="宋体" w:cs="宋体"/>
                <w:color w:val="auto"/>
                <w:sz w:val="21"/>
                <w:szCs w:val="21"/>
                <w:u w:val="none"/>
                <w:vertAlign w:val="superscript"/>
              </w:rPr>
              <w:t>3</w:t>
            </w:r>
          </w:p>
        </w:tc>
        <w:tc>
          <w:tcPr>
            <w:tcW w:w="1822" w:type="pct"/>
            <w:tcBorders>
              <w:tl2br w:val="nil"/>
              <w:tr2bl w:val="nil"/>
            </w:tcBorders>
            <w:vAlign w:val="center"/>
          </w:tcPr>
          <w:p w14:paraId="2A3415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0.81</w:t>
            </w:r>
          </w:p>
        </w:tc>
      </w:tr>
      <w:tr w14:paraId="4A44EB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vMerge w:val="restart"/>
            <w:tcBorders>
              <w:tl2br w:val="nil"/>
              <w:tr2bl w:val="nil"/>
            </w:tcBorders>
            <w:vAlign w:val="center"/>
          </w:tcPr>
          <w:p w14:paraId="2C27D1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482" w:type="pct"/>
            <w:vMerge w:val="restart"/>
            <w:tcBorders>
              <w:tl2br w:val="nil"/>
              <w:tr2bl w:val="nil"/>
            </w:tcBorders>
            <w:vAlign w:val="center"/>
          </w:tcPr>
          <w:p w14:paraId="555C07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p w14:paraId="617266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粘度</w:t>
            </w:r>
          </w:p>
        </w:tc>
        <w:tc>
          <w:tcPr>
            <w:tcW w:w="1027" w:type="pct"/>
            <w:tcBorders>
              <w:tl2br w:val="nil"/>
              <w:tr2bl w:val="nil"/>
            </w:tcBorders>
            <w:vAlign w:val="center"/>
          </w:tcPr>
          <w:p w14:paraId="6CC2F6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20/30℃</w:t>
            </w:r>
          </w:p>
        </w:tc>
        <w:tc>
          <w:tcPr>
            <w:tcW w:w="972" w:type="pct"/>
            <w:tcBorders>
              <w:tl2br w:val="nil"/>
              <w:tr2bl w:val="nil"/>
            </w:tcBorders>
            <w:vAlign w:val="center"/>
          </w:tcPr>
          <w:p w14:paraId="33AC07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mPa·s</w:t>
            </w:r>
          </w:p>
        </w:tc>
        <w:tc>
          <w:tcPr>
            <w:tcW w:w="1822" w:type="pct"/>
            <w:tcBorders>
              <w:tl2br w:val="nil"/>
              <w:tr2bl w:val="nil"/>
            </w:tcBorders>
            <w:vAlign w:val="center"/>
          </w:tcPr>
          <w:p w14:paraId="114B03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r>
      <w:tr w14:paraId="1689EC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vMerge w:val="continue"/>
            <w:tcBorders>
              <w:tl2br w:val="nil"/>
              <w:tr2bl w:val="nil"/>
            </w:tcBorders>
            <w:vAlign w:val="center"/>
          </w:tcPr>
          <w:p w14:paraId="0E5354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482" w:type="pct"/>
            <w:vMerge w:val="continue"/>
            <w:tcBorders>
              <w:tl2br w:val="nil"/>
              <w:tr2bl w:val="nil"/>
            </w:tcBorders>
            <w:vAlign w:val="center"/>
          </w:tcPr>
          <w:p w14:paraId="4AB83A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1027" w:type="pct"/>
            <w:tcBorders>
              <w:tl2br w:val="nil"/>
              <w:tr2bl w:val="nil"/>
            </w:tcBorders>
            <w:vAlign w:val="center"/>
          </w:tcPr>
          <w:p w14:paraId="7AA607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40℃</w:t>
            </w:r>
          </w:p>
        </w:tc>
        <w:tc>
          <w:tcPr>
            <w:tcW w:w="972" w:type="pct"/>
            <w:tcBorders>
              <w:tl2br w:val="nil"/>
              <w:tr2bl w:val="nil"/>
            </w:tcBorders>
            <w:vAlign w:val="center"/>
          </w:tcPr>
          <w:p w14:paraId="6F3E26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mPa·s</w:t>
            </w:r>
          </w:p>
        </w:tc>
        <w:tc>
          <w:tcPr>
            <w:tcW w:w="1822" w:type="pct"/>
            <w:tcBorders>
              <w:tl2br w:val="nil"/>
              <w:tr2bl w:val="nil"/>
            </w:tcBorders>
            <w:vAlign w:val="center"/>
          </w:tcPr>
          <w:p w14:paraId="669001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r>
      <w:tr w14:paraId="2E3798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vMerge w:val="continue"/>
            <w:tcBorders>
              <w:tl2br w:val="nil"/>
              <w:tr2bl w:val="nil"/>
            </w:tcBorders>
            <w:vAlign w:val="center"/>
          </w:tcPr>
          <w:p w14:paraId="4890DA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482" w:type="pct"/>
            <w:vMerge w:val="continue"/>
            <w:tcBorders>
              <w:tl2br w:val="nil"/>
              <w:tr2bl w:val="nil"/>
            </w:tcBorders>
            <w:vAlign w:val="center"/>
          </w:tcPr>
          <w:p w14:paraId="1BB412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1027" w:type="pct"/>
            <w:tcBorders>
              <w:tl2br w:val="nil"/>
              <w:tr2bl w:val="nil"/>
            </w:tcBorders>
            <w:vAlign w:val="center"/>
          </w:tcPr>
          <w:p w14:paraId="0D19DE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50℃</w:t>
            </w:r>
          </w:p>
        </w:tc>
        <w:tc>
          <w:tcPr>
            <w:tcW w:w="972" w:type="pct"/>
            <w:tcBorders>
              <w:tl2br w:val="nil"/>
              <w:tr2bl w:val="nil"/>
            </w:tcBorders>
            <w:vAlign w:val="center"/>
          </w:tcPr>
          <w:p w14:paraId="4EC82A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mPa·s</w:t>
            </w:r>
          </w:p>
        </w:tc>
        <w:tc>
          <w:tcPr>
            <w:tcW w:w="1822" w:type="pct"/>
            <w:tcBorders>
              <w:tl2br w:val="nil"/>
              <w:tr2bl w:val="nil"/>
            </w:tcBorders>
            <w:vAlign w:val="center"/>
          </w:tcPr>
          <w:p w14:paraId="20DEF7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6.11</w:t>
            </w:r>
          </w:p>
        </w:tc>
      </w:tr>
      <w:tr w14:paraId="421380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7C2F09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w:t>
            </w:r>
          </w:p>
        </w:tc>
        <w:tc>
          <w:tcPr>
            <w:tcW w:w="1509" w:type="pct"/>
            <w:gridSpan w:val="2"/>
            <w:tcBorders>
              <w:tl2br w:val="nil"/>
              <w:tr2bl w:val="nil"/>
            </w:tcBorders>
            <w:vAlign w:val="center"/>
          </w:tcPr>
          <w:p w14:paraId="4E3026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凝固点</w:t>
            </w:r>
          </w:p>
        </w:tc>
        <w:tc>
          <w:tcPr>
            <w:tcW w:w="972" w:type="pct"/>
            <w:tcBorders>
              <w:tl2br w:val="nil"/>
              <w:tr2bl w:val="nil"/>
            </w:tcBorders>
            <w:vAlign w:val="center"/>
          </w:tcPr>
          <w:p w14:paraId="0411E6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211C80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12.00</w:t>
            </w:r>
          </w:p>
        </w:tc>
      </w:tr>
      <w:tr w14:paraId="56BD63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65012D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w:t>
            </w:r>
          </w:p>
        </w:tc>
        <w:tc>
          <w:tcPr>
            <w:tcW w:w="1509" w:type="pct"/>
            <w:gridSpan w:val="2"/>
            <w:tcBorders>
              <w:tl2br w:val="nil"/>
              <w:tr2bl w:val="nil"/>
            </w:tcBorders>
            <w:vAlign w:val="center"/>
          </w:tcPr>
          <w:p w14:paraId="55AD54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闪点</w:t>
            </w:r>
          </w:p>
        </w:tc>
        <w:tc>
          <w:tcPr>
            <w:tcW w:w="972" w:type="pct"/>
            <w:tcBorders>
              <w:tl2br w:val="nil"/>
              <w:tr2bl w:val="nil"/>
            </w:tcBorders>
            <w:vAlign w:val="center"/>
          </w:tcPr>
          <w:p w14:paraId="5F89A8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32006B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11.00</w:t>
            </w:r>
          </w:p>
        </w:tc>
      </w:tr>
      <w:tr w14:paraId="4B3938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4DEC08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w:t>
            </w:r>
          </w:p>
        </w:tc>
        <w:tc>
          <w:tcPr>
            <w:tcW w:w="1509" w:type="pct"/>
            <w:gridSpan w:val="2"/>
            <w:tcBorders>
              <w:tl2br w:val="nil"/>
              <w:tr2bl w:val="nil"/>
            </w:tcBorders>
            <w:vAlign w:val="center"/>
          </w:tcPr>
          <w:p w14:paraId="58FAB5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初馏点</w:t>
            </w:r>
          </w:p>
        </w:tc>
        <w:tc>
          <w:tcPr>
            <w:tcW w:w="972" w:type="pct"/>
            <w:tcBorders>
              <w:tl2br w:val="nil"/>
              <w:tr2bl w:val="nil"/>
            </w:tcBorders>
            <w:vAlign w:val="center"/>
          </w:tcPr>
          <w:p w14:paraId="4B011C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62A18A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75.00</w:t>
            </w:r>
          </w:p>
        </w:tc>
      </w:tr>
      <w:tr w14:paraId="384CEC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77BB48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w:t>
            </w:r>
          </w:p>
        </w:tc>
        <w:tc>
          <w:tcPr>
            <w:tcW w:w="1509" w:type="pct"/>
            <w:gridSpan w:val="2"/>
            <w:tcBorders>
              <w:tl2br w:val="nil"/>
              <w:tr2bl w:val="nil"/>
            </w:tcBorders>
            <w:vAlign w:val="center"/>
          </w:tcPr>
          <w:p w14:paraId="249A23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含蜡量</w:t>
            </w:r>
          </w:p>
        </w:tc>
        <w:tc>
          <w:tcPr>
            <w:tcW w:w="972" w:type="pct"/>
            <w:tcBorders>
              <w:tl2br w:val="nil"/>
              <w:tr2bl w:val="nil"/>
            </w:tcBorders>
            <w:vAlign w:val="center"/>
          </w:tcPr>
          <w:p w14:paraId="56F889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1C47D8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13.30</w:t>
            </w:r>
          </w:p>
        </w:tc>
      </w:tr>
      <w:tr w14:paraId="2ADF89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65FBC1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w:t>
            </w:r>
          </w:p>
        </w:tc>
        <w:tc>
          <w:tcPr>
            <w:tcW w:w="1509" w:type="pct"/>
            <w:gridSpan w:val="2"/>
            <w:tcBorders>
              <w:tl2br w:val="nil"/>
              <w:tr2bl w:val="nil"/>
            </w:tcBorders>
            <w:vAlign w:val="center"/>
          </w:tcPr>
          <w:p w14:paraId="127035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析蜡点</w:t>
            </w:r>
          </w:p>
        </w:tc>
        <w:tc>
          <w:tcPr>
            <w:tcW w:w="972" w:type="pct"/>
            <w:tcBorders>
              <w:tl2br w:val="nil"/>
              <w:tr2bl w:val="nil"/>
            </w:tcBorders>
            <w:vAlign w:val="center"/>
          </w:tcPr>
          <w:p w14:paraId="523B2F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705A18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r>
      <w:tr w14:paraId="7B69D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729B5A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w:t>
            </w:r>
          </w:p>
        </w:tc>
        <w:tc>
          <w:tcPr>
            <w:tcW w:w="1509" w:type="pct"/>
            <w:gridSpan w:val="2"/>
            <w:tcBorders>
              <w:tl2br w:val="nil"/>
              <w:tr2bl w:val="nil"/>
            </w:tcBorders>
            <w:vAlign w:val="center"/>
          </w:tcPr>
          <w:p w14:paraId="3EBC61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含胶量</w:t>
            </w:r>
          </w:p>
        </w:tc>
        <w:tc>
          <w:tcPr>
            <w:tcW w:w="972" w:type="pct"/>
            <w:tcBorders>
              <w:tl2br w:val="nil"/>
              <w:tr2bl w:val="nil"/>
            </w:tcBorders>
            <w:vAlign w:val="center"/>
          </w:tcPr>
          <w:p w14:paraId="4B96D6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0312B6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0.29</w:t>
            </w:r>
          </w:p>
        </w:tc>
      </w:tr>
      <w:tr w14:paraId="2D5D84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1C0ED7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w:t>
            </w:r>
          </w:p>
        </w:tc>
        <w:tc>
          <w:tcPr>
            <w:tcW w:w="1509" w:type="pct"/>
            <w:gridSpan w:val="2"/>
            <w:tcBorders>
              <w:tl2br w:val="nil"/>
              <w:tr2bl w:val="nil"/>
            </w:tcBorders>
            <w:vAlign w:val="center"/>
          </w:tcPr>
          <w:p w14:paraId="473874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含沥青质</w:t>
            </w:r>
          </w:p>
        </w:tc>
        <w:tc>
          <w:tcPr>
            <w:tcW w:w="972" w:type="pct"/>
            <w:tcBorders>
              <w:tl2br w:val="nil"/>
              <w:tr2bl w:val="nil"/>
            </w:tcBorders>
            <w:vAlign w:val="center"/>
          </w:tcPr>
          <w:p w14:paraId="034E76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75B668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1.09</w:t>
            </w:r>
          </w:p>
        </w:tc>
      </w:tr>
      <w:tr w14:paraId="135F53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7124F4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w:t>
            </w:r>
          </w:p>
        </w:tc>
        <w:tc>
          <w:tcPr>
            <w:tcW w:w="1509" w:type="pct"/>
            <w:gridSpan w:val="2"/>
            <w:tcBorders>
              <w:tl2br w:val="nil"/>
              <w:tr2bl w:val="nil"/>
            </w:tcBorders>
            <w:vAlign w:val="center"/>
          </w:tcPr>
          <w:p w14:paraId="635D78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含硫量</w:t>
            </w:r>
          </w:p>
        </w:tc>
        <w:tc>
          <w:tcPr>
            <w:tcW w:w="972" w:type="pct"/>
            <w:tcBorders>
              <w:tl2br w:val="nil"/>
              <w:tr2bl w:val="nil"/>
            </w:tcBorders>
            <w:vAlign w:val="center"/>
          </w:tcPr>
          <w:p w14:paraId="62A1F9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ppm</w:t>
            </w:r>
          </w:p>
        </w:tc>
        <w:tc>
          <w:tcPr>
            <w:tcW w:w="1822" w:type="pct"/>
            <w:tcBorders>
              <w:tl2br w:val="nil"/>
              <w:tr2bl w:val="nil"/>
            </w:tcBorders>
            <w:vAlign w:val="center"/>
          </w:tcPr>
          <w:p w14:paraId="785581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100.00</w:t>
            </w:r>
          </w:p>
        </w:tc>
      </w:tr>
      <w:tr w14:paraId="36D1DF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7A9F68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w:t>
            </w:r>
          </w:p>
        </w:tc>
        <w:tc>
          <w:tcPr>
            <w:tcW w:w="1509" w:type="pct"/>
            <w:gridSpan w:val="2"/>
            <w:tcBorders>
              <w:tl2br w:val="nil"/>
              <w:tr2bl w:val="nil"/>
            </w:tcBorders>
            <w:vAlign w:val="center"/>
          </w:tcPr>
          <w:p w14:paraId="4B86DC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含氮量</w:t>
            </w:r>
          </w:p>
        </w:tc>
        <w:tc>
          <w:tcPr>
            <w:tcW w:w="972" w:type="pct"/>
            <w:tcBorders>
              <w:tl2br w:val="nil"/>
              <w:tr2bl w:val="nil"/>
            </w:tcBorders>
            <w:vAlign w:val="center"/>
          </w:tcPr>
          <w:p w14:paraId="54893C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ppm</w:t>
            </w:r>
          </w:p>
        </w:tc>
        <w:tc>
          <w:tcPr>
            <w:tcW w:w="1822" w:type="pct"/>
            <w:tcBorders>
              <w:tl2br w:val="nil"/>
              <w:tr2bl w:val="nil"/>
            </w:tcBorders>
            <w:vAlign w:val="center"/>
          </w:tcPr>
          <w:p w14:paraId="03928F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114.00</w:t>
            </w:r>
          </w:p>
        </w:tc>
      </w:tr>
      <w:tr w14:paraId="6B4E44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0341F8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1509" w:type="pct"/>
            <w:gridSpan w:val="2"/>
            <w:tcBorders>
              <w:tl2br w:val="nil"/>
              <w:tr2bl w:val="nil"/>
            </w:tcBorders>
            <w:vAlign w:val="center"/>
          </w:tcPr>
          <w:p w14:paraId="6E7F06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酸值</w:t>
            </w:r>
          </w:p>
        </w:tc>
        <w:tc>
          <w:tcPr>
            <w:tcW w:w="972" w:type="pct"/>
            <w:tcBorders>
              <w:tl2br w:val="nil"/>
              <w:tr2bl w:val="nil"/>
            </w:tcBorders>
            <w:vAlign w:val="center"/>
          </w:tcPr>
          <w:p w14:paraId="6FAD74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mg KOH/g</w:t>
            </w:r>
          </w:p>
        </w:tc>
        <w:tc>
          <w:tcPr>
            <w:tcW w:w="1822" w:type="pct"/>
            <w:tcBorders>
              <w:tl2br w:val="nil"/>
              <w:tr2bl w:val="nil"/>
            </w:tcBorders>
            <w:vAlign w:val="center"/>
          </w:tcPr>
          <w:p w14:paraId="409505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0.06</w:t>
            </w:r>
          </w:p>
        </w:tc>
      </w:tr>
      <w:tr w14:paraId="4C1864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tcBorders>
              <w:tl2br w:val="nil"/>
              <w:tr2bl w:val="nil"/>
            </w:tcBorders>
            <w:vAlign w:val="center"/>
          </w:tcPr>
          <w:p w14:paraId="2446C1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13</w:t>
            </w:r>
          </w:p>
        </w:tc>
        <w:tc>
          <w:tcPr>
            <w:tcW w:w="1509" w:type="pct"/>
            <w:gridSpan w:val="2"/>
            <w:tcBorders>
              <w:tl2br w:val="nil"/>
              <w:tr2bl w:val="nil"/>
            </w:tcBorders>
            <w:vAlign w:val="center"/>
          </w:tcPr>
          <w:p w14:paraId="50DFD7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氯盐含量</w:t>
            </w:r>
          </w:p>
        </w:tc>
        <w:tc>
          <w:tcPr>
            <w:tcW w:w="972" w:type="pct"/>
            <w:tcBorders>
              <w:tl2br w:val="nil"/>
              <w:tr2bl w:val="nil"/>
            </w:tcBorders>
            <w:vAlign w:val="center"/>
          </w:tcPr>
          <w:p w14:paraId="11AB69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mg NaCl/L</w:t>
            </w:r>
          </w:p>
        </w:tc>
        <w:tc>
          <w:tcPr>
            <w:tcW w:w="1822" w:type="pct"/>
            <w:tcBorders>
              <w:tl2br w:val="nil"/>
              <w:tr2bl w:val="nil"/>
            </w:tcBorders>
            <w:vAlign w:val="center"/>
          </w:tcPr>
          <w:p w14:paraId="674019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73.70</w:t>
            </w:r>
          </w:p>
        </w:tc>
      </w:tr>
      <w:tr w14:paraId="00BCF1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vMerge w:val="restart"/>
            <w:tcBorders>
              <w:tl2br w:val="nil"/>
              <w:tr2bl w:val="nil"/>
            </w:tcBorders>
            <w:vAlign w:val="center"/>
          </w:tcPr>
          <w:p w14:paraId="5A6198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14</w:t>
            </w:r>
          </w:p>
        </w:tc>
        <w:tc>
          <w:tcPr>
            <w:tcW w:w="482" w:type="pct"/>
            <w:vMerge w:val="restart"/>
            <w:tcBorders>
              <w:tl2br w:val="nil"/>
              <w:tr2bl w:val="nil"/>
            </w:tcBorders>
            <w:vAlign w:val="center"/>
          </w:tcPr>
          <w:p w14:paraId="609285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馏程</w:t>
            </w:r>
          </w:p>
        </w:tc>
        <w:tc>
          <w:tcPr>
            <w:tcW w:w="1027" w:type="pct"/>
            <w:tcBorders>
              <w:tl2br w:val="nil"/>
              <w:tr2bl w:val="nil"/>
            </w:tcBorders>
            <w:vAlign w:val="center"/>
          </w:tcPr>
          <w:p w14:paraId="30C3D8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100℃</w:t>
            </w:r>
          </w:p>
        </w:tc>
        <w:tc>
          <w:tcPr>
            <w:tcW w:w="972" w:type="pct"/>
            <w:tcBorders>
              <w:tl2br w:val="nil"/>
              <w:tr2bl w:val="nil"/>
            </w:tcBorders>
            <w:vAlign w:val="center"/>
          </w:tcPr>
          <w:p w14:paraId="2D8F37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7A2FEB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1.80</w:t>
            </w:r>
          </w:p>
        </w:tc>
      </w:tr>
      <w:tr w14:paraId="59B88D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vMerge w:val="continue"/>
            <w:tcBorders>
              <w:tl2br w:val="nil"/>
              <w:tr2bl w:val="nil"/>
            </w:tcBorders>
            <w:vAlign w:val="center"/>
          </w:tcPr>
          <w:p w14:paraId="74286A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482" w:type="pct"/>
            <w:vMerge w:val="continue"/>
            <w:tcBorders>
              <w:tl2br w:val="nil"/>
              <w:tr2bl w:val="nil"/>
            </w:tcBorders>
            <w:vAlign w:val="center"/>
          </w:tcPr>
          <w:p w14:paraId="73BF9B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1027" w:type="pct"/>
            <w:tcBorders>
              <w:tl2br w:val="nil"/>
              <w:tr2bl w:val="nil"/>
            </w:tcBorders>
            <w:vAlign w:val="center"/>
          </w:tcPr>
          <w:p w14:paraId="0E1D61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150℃</w:t>
            </w:r>
          </w:p>
        </w:tc>
        <w:tc>
          <w:tcPr>
            <w:tcW w:w="972" w:type="pct"/>
            <w:tcBorders>
              <w:tl2br w:val="nil"/>
              <w:tr2bl w:val="nil"/>
            </w:tcBorders>
            <w:vAlign w:val="center"/>
          </w:tcPr>
          <w:p w14:paraId="4B12B2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5536C4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16.10</w:t>
            </w:r>
          </w:p>
        </w:tc>
      </w:tr>
      <w:tr w14:paraId="230DD4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vMerge w:val="continue"/>
            <w:tcBorders>
              <w:tl2br w:val="nil"/>
              <w:tr2bl w:val="nil"/>
            </w:tcBorders>
            <w:vAlign w:val="center"/>
          </w:tcPr>
          <w:p w14:paraId="69157F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482" w:type="pct"/>
            <w:vMerge w:val="continue"/>
            <w:tcBorders>
              <w:tl2br w:val="nil"/>
              <w:tr2bl w:val="nil"/>
            </w:tcBorders>
            <w:vAlign w:val="center"/>
          </w:tcPr>
          <w:p w14:paraId="18420A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1027" w:type="pct"/>
            <w:tcBorders>
              <w:tl2br w:val="nil"/>
              <w:tr2bl w:val="nil"/>
            </w:tcBorders>
            <w:vAlign w:val="center"/>
          </w:tcPr>
          <w:p w14:paraId="493317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200℃</w:t>
            </w:r>
          </w:p>
        </w:tc>
        <w:tc>
          <w:tcPr>
            <w:tcW w:w="972" w:type="pct"/>
            <w:tcBorders>
              <w:tl2br w:val="nil"/>
              <w:tr2bl w:val="nil"/>
            </w:tcBorders>
            <w:vAlign w:val="center"/>
          </w:tcPr>
          <w:p w14:paraId="2374E6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1050E3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30.00</w:t>
            </w:r>
          </w:p>
        </w:tc>
      </w:tr>
      <w:tr w14:paraId="36B2B9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vMerge w:val="continue"/>
            <w:tcBorders>
              <w:tl2br w:val="nil"/>
              <w:tr2bl w:val="nil"/>
            </w:tcBorders>
            <w:vAlign w:val="center"/>
          </w:tcPr>
          <w:p w14:paraId="69893D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482" w:type="pct"/>
            <w:vMerge w:val="continue"/>
            <w:tcBorders>
              <w:tl2br w:val="nil"/>
              <w:tr2bl w:val="nil"/>
            </w:tcBorders>
            <w:vAlign w:val="center"/>
          </w:tcPr>
          <w:p w14:paraId="7C2A77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1027" w:type="pct"/>
            <w:tcBorders>
              <w:tl2br w:val="nil"/>
              <w:tr2bl w:val="nil"/>
            </w:tcBorders>
            <w:vAlign w:val="center"/>
          </w:tcPr>
          <w:p w14:paraId="2A4F2C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250℃</w:t>
            </w:r>
          </w:p>
        </w:tc>
        <w:tc>
          <w:tcPr>
            <w:tcW w:w="972" w:type="pct"/>
            <w:tcBorders>
              <w:tl2br w:val="nil"/>
              <w:tr2bl w:val="nil"/>
            </w:tcBorders>
            <w:vAlign w:val="center"/>
          </w:tcPr>
          <w:p w14:paraId="4673E6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1A1075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42.40</w:t>
            </w:r>
          </w:p>
        </w:tc>
      </w:tr>
      <w:tr w14:paraId="5347BA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695" w:type="pct"/>
            <w:vMerge w:val="continue"/>
            <w:tcBorders>
              <w:tl2br w:val="nil"/>
              <w:tr2bl w:val="nil"/>
            </w:tcBorders>
            <w:vAlign w:val="center"/>
          </w:tcPr>
          <w:p w14:paraId="68ADED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482" w:type="pct"/>
            <w:vMerge w:val="continue"/>
            <w:tcBorders>
              <w:tl2br w:val="nil"/>
              <w:tr2bl w:val="nil"/>
            </w:tcBorders>
            <w:vAlign w:val="center"/>
          </w:tcPr>
          <w:p w14:paraId="568FE6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1027" w:type="pct"/>
            <w:tcBorders>
              <w:tl2br w:val="nil"/>
              <w:tr2bl w:val="nil"/>
            </w:tcBorders>
            <w:vAlign w:val="center"/>
          </w:tcPr>
          <w:p w14:paraId="68852A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300℃</w:t>
            </w:r>
          </w:p>
        </w:tc>
        <w:tc>
          <w:tcPr>
            <w:tcW w:w="972" w:type="pct"/>
            <w:tcBorders>
              <w:tl2br w:val="nil"/>
              <w:tr2bl w:val="nil"/>
            </w:tcBorders>
            <w:vAlign w:val="center"/>
          </w:tcPr>
          <w:p w14:paraId="345E9E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1822" w:type="pct"/>
            <w:tcBorders>
              <w:tl2br w:val="nil"/>
              <w:tr2bl w:val="nil"/>
            </w:tcBorders>
            <w:vAlign w:val="center"/>
          </w:tcPr>
          <w:p w14:paraId="6778A9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56.50</w:t>
            </w:r>
          </w:p>
        </w:tc>
      </w:tr>
    </w:tbl>
    <w:p w14:paraId="1322EEF8">
      <w:pPr>
        <w:keepNext w:val="0"/>
        <w:keepLines w:val="0"/>
        <w:pageBreakBefore w:val="0"/>
        <w:widowControl w:val="0"/>
        <w:kinsoku/>
        <w:wordWrap/>
        <w:overflowPunct/>
        <w:topLinePunct w:val="0"/>
        <w:autoSpaceDE/>
        <w:autoSpaceDN/>
        <w:bidi w:val="0"/>
        <w:adjustRightInd/>
        <w:snapToGrid/>
        <w:spacing w:before="313" w:beforeLines="100" w:line="480" w:lineRule="exact"/>
        <w:ind w:firstLine="480" w:firstLineChars="200"/>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（3）地层水物性</w:t>
      </w:r>
    </w:p>
    <w:p w14:paraId="617D15A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莫116井区J</w:t>
      </w:r>
      <w:r>
        <w:rPr>
          <w:rFonts w:hint="eastAsia" w:ascii="宋体" w:hAnsi="宋体" w:eastAsia="宋体" w:cs="宋体"/>
          <w:color w:val="auto"/>
          <w:sz w:val="24"/>
          <w:szCs w:val="24"/>
          <w:u w:val="none"/>
          <w:vertAlign w:val="subscript"/>
        </w:rPr>
        <w:t>1</w:t>
      </w:r>
      <w:r>
        <w:rPr>
          <w:rFonts w:hint="eastAsia" w:ascii="宋体" w:hAnsi="宋体" w:eastAsia="宋体" w:cs="宋体"/>
          <w:color w:val="auto"/>
          <w:sz w:val="24"/>
          <w:szCs w:val="24"/>
          <w:u w:val="none"/>
        </w:rPr>
        <w:t>s</w:t>
      </w:r>
      <w:r>
        <w:rPr>
          <w:rFonts w:hint="eastAsia" w:ascii="宋体" w:hAnsi="宋体" w:eastAsia="宋体" w:cs="宋体"/>
          <w:color w:val="auto"/>
          <w:sz w:val="24"/>
          <w:szCs w:val="24"/>
          <w:u w:val="none"/>
          <w:vertAlign w:val="subscript"/>
        </w:rPr>
        <w:t>2</w:t>
      </w:r>
      <w:r>
        <w:rPr>
          <w:rFonts w:hint="eastAsia" w:ascii="宋体" w:hAnsi="宋体" w:eastAsia="宋体" w:cs="宋体"/>
          <w:color w:val="auto"/>
          <w:sz w:val="24"/>
          <w:szCs w:val="24"/>
          <w:u w:val="none"/>
          <w:vertAlign w:val="superscript"/>
        </w:rPr>
        <w:t>1-2</w:t>
      </w:r>
      <w:r>
        <w:rPr>
          <w:rFonts w:hint="eastAsia" w:ascii="宋体" w:hAnsi="宋体" w:eastAsia="宋体" w:cs="宋体"/>
          <w:color w:val="auto"/>
          <w:sz w:val="24"/>
          <w:szCs w:val="24"/>
          <w:u w:val="none"/>
        </w:rPr>
        <w:t>气藏地层水矿化度为18280.91mg/L～28856.03mg/L，氯离子含量为10329.00mg/L～16803.30mg/L，水型为CaCL</w:t>
      </w:r>
      <w:r>
        <w:rPr>
          <w:rFonts w:hint="eastAsia" w:ascii="宋体" w:hAnsi="宋体" w:eastAsia="宋体" w:cs="宋体"/>
          <w:color w:val="auto"/>
          <w:sz w:val="24"/>
          <w:szCs w:val="24"/>
          <w:u w:val="none"/>
          <w:vertAlign w:val="subscript"/>
        </w:rPr>
        <w:t>2</w:t>
      </w:r>
      <w:r>
        <w:rPr>
          <w:rFonts w:hint="eastAsia" w:ascii="宋体" w:hAnsi="宋体" w:eastAsia="宋体" w:cs="宋体"/>
          <w:color w:val="auto"/>
          <w:sz w:val="24"/>
          <w:szCs w:val="24"/>
          <w:u w:val="none"/>
        </w:rPr>
        <w:t>型</w:t>
      </w:r>
      <w:r>
        <w:rPr>
          <w:rFonts w:hint="eastAsia" w:ascii="宋体" w:hAnsi="宋体" w:cs="宋体"/>
          <w:color w:val="auto"/>
          <w:sz w:val="24"/>
          <w:szCs w:val="24"/>
          <w:u w:val="none"/>
          <w:lang w:eastAsia="zh-CN"/>
        </w:rPr>
        <w:t>，</w:t>
      </w:r>
      <w:r>
        <w:rPr>
          <w:rFonts w:hint="eastAsia" w:ascii="宋体" w:hAnsi="宋体" w:eastAsia="宋体" w:cs="宋体"/>
          <w:color w:val="auto"/>
          <w:sz w:val="24"/>
          <w:szCs w:val="24"/>
          <w:u w:val="none"/>
        </w:rPr>
        <w:t>采出水性质</w:t>
      </w:r>
      <w:r>
        <w:rPr>
          <w:rFonts w:hint="eastAsia" w:ascii="宋体" w:hAnsi="宋体" w:cs="宋体"/>
          <w:color w:val="auto"/>
          <w:sz w:val="24"/>
          <w:szCs w:val="24"/>
          <w:u w:val="none"/>
          <w:lang w:eastAsia="zh-CN"/>
        </w:rPr>
        <w:t>，</w:t>
      </w:r>
      <w:r>
        <w:rPr>
          <w:rFonts w:hint="eastAsia" w:ascii="宋体" w:hAnsi="宋体" w:eastAsia="宋体" w:cs="宋体"/>
          <w:color w:val="auto"/>
          <w:sz w:val="24"/>
          <w:szCs w:val="24"/>
          <w:u w:val="none"/>
        </w:rPr>
        <w:t>见表</w:t>
      </w:r>
      <w:r>
        <w:rPr>
          <w:rFonts w:hint="eastAsia" w:ascii="宋体" w:hAnsi="宋体" w:cs="宋体"/>
          <w:color w:val="auto"/>
          <w:sz w:val="24"/>
          <w:szCs w:val="24"/>
          <w:u w:val="none"/>
          <w:lang w:val="en-US" w:eastAsia="zh-CN"/>
        </w:rPr>
        <w:t>3.3-4</w:t>
      </w:r>
      <w:r>
        <w:rPr>
          <w:rFonts w:hint="eastAsia" w:ascii="宋体" w:hAnsi="宋体" w:eastAsia="宋体" w:cs="宋体"/>
          <w:color w:val="auto"/>
          <w:sz w:val="24"/>
          <w:szCs w:val="24"/>
          <w:u w:val="none"/>
        </w:rPr>
        <w:t>。</w:t>
      </w:r>
    </w:p>
    <w:p w14:paraId="5EA945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3.3-4</w:t>
      </w:r>
      <w:r>
        <w:rPr>
          <w:rFonts w:hint="default" w:ascii="黑体" w:hAnsi="黑体" w:eastAsia="黑体" w:cs="黑体"/>
          <w:b w:val="0"/>
          <w:bCs/>
          <w:color w:val="auto"/>
          <w:kern w:val="2"/>
          <w:sz w:val="24"/>
          <w:szCs w:val="24"/>
          <w:u w:val="none"/>
          <w:lang w:val="en-US" w:eastAsia="zh-CN" w:bidi="ar-SA"/>
        </w:rPr>
        <w:t xml:space="preserve">  地层水性质表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15"/>
        <w:gridCol w:w="981"/>
        <w:gridCol w:w="1043"/>
        <w:gridCol w:w="1123"/>
        <w:gridCol w:w="1043"/>
        <w:gridCol w:w="1052"/>
        <w:gridCol w:w="1152"/>
        <w:gridCol w:w="1036"/>
      </w:tblGrid>
      <w:tr w14:paraId="79C8B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703" w:type="pct"/>
            <w:vMerge w:val="restart"/>
            <w:tcBorders>
              <w:tl2br w:val="nil"/>
              <w:tr2bl w:val="nil"/>
            </w:tcBorders>
            <w:shd w:val="clear" w:color="auto" w:fill="auto"/>
            <w:tcMar>
              <w:top w:w="15" w:type="dxa"/>
              <w:left w:w="15" w:type="dxa"/>
              <w:bottom w:w="0" w:type="dxa"/>
              <w:right w:w="15" w:type="dxa"/>
            </w:tcMar>
            <w:vAlign w:val="center"/>
          </w:tcPr>
          <w:p w14:paraId="6DB07C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断块</w:t>
            </w:r>
          </w:p>
        </w:tc>
        <w:tc>
          <w:tcPr>
            <w:tcW w:w="567" w:type="pct"/>
            <w:vMerge w:val="restart"/>
            <w:tcBorders>
              <w:tl2br w:val="nil"/>
              <w:tr2bl w:val="nil"/>
            </w:tcBorders>
            <w:shd w:val="clear" w:color="auto" w:fill="auto"/>
            <w:tcMar>
              <w:top w:w="15" w:type="dxa"/>
              <w:left w:w="15" w:type="dxa"/>
              <w:bottom w:w="0" w:type="dxa"/>
              <w:right w:w="15" w:type="dxa"/>
            </w:tcMar>
            <w:vAlign w:val="center"/>
          </w:tcPr>
          <w:p w14:paraId="2693E5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层位</w:t>
            </w:r>
          </w:p>
        </w:tc>
        <w:tc>
          <w:tcPr>
            <w:tcW w:w="2463" w:type="pct"/>
            <w:gridSpan w:val="4"/>
            <w:tcBorders>
              <w:tl2br w:val="nil"/>
              <w:tr2bl w:val="nil"/>
            </w:tcBorders>
            <w:shd w:val="clear" w:color="auto" w:fill="auto"/>
            <w:tcMar>
              <w:top w:w="15" w:type="dxa"/>
              <w:left w:w="15" w:type="dxa"/>
              <w:bottom w:w="0" w:type="dxa"/>
              <w:right w:w="15" w:type="dxa"/>
            </w:tcMar>
            <w:vAlign w:val="center"/>
          </w:tcPr>
          <w:p w14:paraId="12DC07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主要离子mg/L</w:t>
            </w:r>
          </w:p>
        </w:tc>
        <w:tc>
          <w:tcPr>
            <w:tcW w:w="666" w:type="pct"/>
            <w:vMerge w:val="restart"/>
            <w:tcBorders>
              <w:tl2br w:val="nil"/>
              <w:tr2bl w:val="nil"/>
            </w:tcBorders>
            <w:shd w:val="clear" w:color="auto" w:fill="auto"/>
            <w:tcMar>
              <w:top w:w="15" w:type="dxa"/>
              <w:left w:w="15" w:type="dxa"/>
              <w:bottom w:w="0" w:type="dxa"/>
              <w:right w:w="15" w:type="dxa"/>
            </w:tcMar>
            <w:vAlign w:val="center"/>
          </w:tcPr>
          <w:p w14:paraId="1E1ABE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矿化度</w:t>
            </w:r>
            <w:r>
              <w:rPr>
                <w:rFonts w:hint="eastAsia" w:ascii="宋体" w:hAnsi="宋体" w:eastAsia="宋体" w:cs="宋体"/>
                <w:color w:val="auto"/>
                <w:sz w:val="21"/>
                <w:szCs w:val="21"/>
                <w:u w:val="none"/>
              </w:rPr>
              <w:br w:type="textWrapping"/>
            </w:r>
            <w:r>
              <w:rPr>
                <w:rFonts w:hint="eastAsia" w:ascii="宋体" w:hAnsi="宋体" w:eastAsia="宋体" w:cs="宋体"/>
                <w:color w:val="auto"/>
                <w:sz w:val="21"/>
                <w:szCs w:val="21"/>
                <w:u w:val="none"/>
              </w:rPr>
              <w:t>mg/L</w:t>
            </w:r>
          </w:p>
        </w:tc>
        <w:tc>
          <w:tcPr>
            <w:tcW w:w="599" w:type="pct"/>
            <w:vMerge w:val="restart"/>
            <w:tcBorders>
              <w:tl2br w:val="nil"/>
              <w:tr2bl w:val="nil"/>
            </w:tcBorders>
            <w:shd w:val="clear" w:color="auto" w:fill="auto"/>
            <w:tcMar>
              <w:top w:w="15" w:type="dxa"/>
              <w:left w:w="15" w:type="dxa"/>
              <w:bottom w:w="0" w:type="dxa"/>
              <w:right w:w="15" w:type="dxa"/>
            </w:tcMar>
            <w:vAlign w:val="center"/>
          </w:tcPr>
          <w:p w14:paraId="0315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水型</w:t>
            </w:r>
          </w:p>
        </w:tc>
      </w:tr>
      <w:tr w14:paraId="659E4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703" w:type="pct"/>
            <w:vMerge w:val="continue"/>
            <w:tcBorders>
              <w:tl2br w:val="nil"/>
              <w:tr2bl w:val="nil"/>
            </w:tcBorders>
            <w:vAlign w:val="center"/>
          </w:tcPr>
          <w:p w14:paraId="254783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567" w:type="pct"/>
            <w:vMerge w:val="continue"/>
            <w:tcBorders>
              <w:tl2br w:val="nil"/>
              <w:tr2bl w:val="nil"/>
            </w:tcBorders>
            <w:vAlign w:val="center"/>
          </w:tcPr>
          <w:p w14:paraId="438923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603" w:type="pct"/>
            <w:tcBorders>
              <w:tl2br w:val="nil"/>
              <w:tr2bl w:val="nil"/>
            </w:tcBorders>
            <w:shd w:val="clear" w:color="auto" w:fill="auto"/>
            <w:tcMar>
              <w:top w:w="15" w:type="dxa"/>
              <w:left w:w="15" w:type="dxa"/>
              <w:bottom w:w="0" w:type="dxa"/>
              <w:right w:w="15" w:type="dxa"/>
            </w:tcMar>
            <w:vAlign w:val="center"/>
          </w:tcPr>
          <w:p w14:paraId="7F1422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HCO</w:t>
            </w:r>
            <w:r>
              <w:rPr>
                <w:rFonts w:hint="eastAsia" w:ascii="宋体" w:hAnsi="宋体" w:eastAsia="宋体" w:cs="宋体"/>
                <w:color w:val="auto"/>
                <w:sz w:val="21"/>
                <w:szCs w:val="21"/>
                <w:u w:val="none"/>
                <w:vertAlign w:val="superscript"/>
              </w:rPr>
              <w:t>3-</w:t>
            </w:r>
          </w:p>
        </w:tc>
        <w:tc>
          <w:tcPr>
            <w:tcW w:w="649" w:type="pct"/>
            <w:tcBorders>
              <w:tl2br w:val="nil"/>
              <w:tr2bl w:val="nil"/>
            </w:tcBorders>
            <w:shd w:val="clear" w:color="auto" w:fill="auto"/>
            <w:tcMar>
              <w:top w:w="15" w:type="dxa"/>
              <w:left w:w="15" w:type="dxa"/>
              <w:bottom w:w="0" w:type="dxa"/>
              <w:right w:w="15" w:type="dxa"/>
            </w:tcMar>
            <w:vAlign w:val="center"/>
          </w:tcPr>
          <w:p w14:paraId="427451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Cl</w:t>
            </w:r>
            <w:r>
              <w:rPr>
                <w:rFonts w:hint="eastAsia" w:ascii="宋体" w:hAnsi="宋体" w:eastAsia="宋体" w:cs="宋体"/>
                <w:color w:val="auto"/>
                <w:sz w:val="21"/>
                <w:szCs w:val="21"/>
                <w:u w:val="none"/>
                <w:vertAlign w:val="superscript"/>
              </w:rPr>
              <w:t>-</w:t>
            </w:r>
          </w:p>
        </w:tc>
        <w:tc>
          <w:tcPr>
            <w:tcW w:w="603" w:type="pct"/>
            <w:tcBorders>
              <w:tl2br w:val="nil"/>
              <w:tr2bl w:val="nil"/>
            </w:tcBorders>
            <w:shd w:val="clear" w:color="auto" w:fill="auto"/>
            <w:tcMar>
              <w:top w:w="15" w:type="dxa"/>
              <w:left w:w="15" w:type="dxa"/>
              <w:bottom w:w="0" w:type="dxa"/>
              <w:right w:w="15" w:type="dxa"/>
            </w:tcMar>
            <w:vAlign w:val="center"/>
          </w:tcPr>
          <w:p w14:paraId="035AA1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SO</w:t>
            </w:r>
            <w:r>
              <w:rPr>
                <w:rFonts w:hint="eastAsia" w:ascii="宋体" w:hAnsi="宋体" w:eastAsia="宋体" w:cs="宋体"/>
                <w:color w:val="auto"/>
                <w:sz w:val="21"/>
                <w:szCs w:val="21"/>
                <w:u w:val="none"/>
                <w:vertAlign w:val="subscript"/>
              </w:rPr>
              <w:t>4</w:t>
            </w:r>
            <w:r>
              <w:rPr>
                <w:rFonts w:hint="eastAsia" w:ascii="宋体" w:hAnsi="宋体" w:eastAsia="宋体" w:cs="宋体"/>
                <w:color w:val="auto"/>
                <w:sz w:val="21"/>
                <w:szCs w:val="21"/>
                <w:u w:val="none"/>
                <w:vertAlign w:val="superscript"/>
              </w:rPr>
              <w:t>2-</w:t>
            </w:r>
          </w:p>
        </w:tc>
        <w:tc>
          <w:tcPr>
            <w:tcW w:w="607" w:type="pct"/>
            <w:tcBorders>
              <w:tl2br w:val="nil"/>
              <w:tr2bl w:val="nil"/>
            </w:tcBorders>
            <w:shd w:val="clear" w:color="auto" w:fill="auto"/>
            <w:tcMar>
              <w:top w:w="15" w:type="dxa"/>
              <w:left w:w="15" w:type="dxa"/>
              <w:bottom w:w="0" w:type="dxa"/>
              <w:right w:w="15" w:type="dxa"/>
            </w:tcMar>
            <w:vAlign w:val="center"/>
          </w:tcPr>
          <w:p w14:paraId="46FF3F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Ca</w:t>
            </w:r>
            <w:r>
              <w:rPr>
                <w:rFonts w:hint="eastAsia" w:ascii="宋体" w:hAnsi="宋体" w:eastAsia="宋体" w:cs="宋体"/>
                <w:color w:val="auto"/>
                <w:sz w:val="21"/>
                <w:szCs w:val="21"/>
                <w:u w:val="none"/>
                <w:vertAlign w:val="superscript"/>
              </w:rPr>
              <w:t>2+</w:t>
            </w:r>
          </w:p>
        </w:tc>
        <w:tc>
          <w:tcPr>
            <w:tcW w:w="666" w:type="pct"/>
            <w:vMerge w:val="continue"/>
            <w:tcBorders>
              <w:tl2br w:val="nil"/>
              <w:tr2bl w:val="nil"/>
            </w:tcBorders>
            <w:vAlign w:val="center"/>
          </w:tcPr>
          <w:p w14:paraId="493794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599" w:type="pct"/>
            <w:vMerge w:val="continue"/>
            <w:tcBorders>
              <w:tl2br w:val="nil"/>
              <w:tr2bl w:val="nil"/>
            </w:tcBorders>
            <w:vAlign w:val="center"/>
          </w:tcPr>
          <w:p w14:paraId="744A68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r>
      <w:tr w14:paraId="6E40D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703" w:type="pct"/>
            <w:tcBorders>
              <w:tl2br w:val="nil"/>
              <w:tr2bl w:val="nil"/>
            </w:tcBorders>
            <w:shd w:val="clear" w:color="auto" w:fill="auto"/>
            <w:tcMar>
              <w:top w:w="15" w:type="dxa"/>
              <w:left w:w="15" w:type="dxa"/>
              <w:bottom w:w="0" w:type="dxa"/>
              <w:right w:w="15" w:type="dxa"/>
            </w:tcMar>
            <w:vAlign w:val="center"/>
          </w:tcPr>
          <w:p w14:paraId="056074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莫7</w:t>
            </w:r>
          </w:p>
        </w:tc>
        <w:tc>
          <w:tcPr>
            <w:tcW w:w="567" w:type="pct"/>
            <w:tcBorders>
              <w:tl2br w:val="nil"/>
              <w:tr2bl w:val="nil"/>
            </w:tcBorders>
            <w:shd w:val="clear" w:color="auto" w:fill="auto"/>
            <w:tcMar>
              <w:top w:w="15" w:type="dxa"/>
              <w:left w:w="15" w:type="dxa"/>
              <w:bottom w:w="0" w:type="dxa"/>
              <w:right w:w="15" w:type="dxa"/>
            </w:tcMar>
            <w:vAlign w:val="center"/>
          </w:tcPr>
          <w:p w14:paraId="60651C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J</w:t>
            </w:r>
            <w:r>
              <w:rPr>
                <w:rFonts w:hint="eastAsia" w:ascii="宋体" w:hAnsi="宋体" w:eastAsia="宋体" w:cs="宋体"/>
                <w:color w:val="auto"/>
                <w:sz w:val="21"/>
                <w:szCs w:val="21"/>
                <w:u w:val="none"/>
                <w:vertAlign w:val="subscript"/>
              </w:rPr>
              <w:t>1</w:t>
            </w:r>
            <w:r>
              <w:rPr>
                <w:rFonts w:hint="eastAsia" w:ascii="宋体" w:hAnsi="宋体" w:eastAsia="宋体" w:cs="宋体"/>
                <w:color w:val="auto"/>
                <w:sz w:val="21"/>
                <w:szCs w:val="21"/>
                <w:u w:val="none"/>
              </w:rPr>
              <w:t>s</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vertAlign w:val="superscript"/>
              </w:rPr>
              <w:t>1-2</w:t>
            </w:r>
          </w:p>
        </w:tc>
        <w:tc>
          <w:tcPr>
            <w:tcW w:w="603" w:type="pct"/>
            <w:tcBorders>
              <w:tl2br w:val="nil"/>
              <w:tr2bl w:val="nil"/>
            </w:tcBorders>
            <w:shd w:val="clear" w:color="auto" w:fill="auto"/>
            <w:tcMar>
              <w:top w:w="15" w:type="dxa"/>
              <w:left w:w="15" w:type="dxa"/>
              <w:bottom w:w="0" w:type="dxa"/>
              <w:right w:w="15" w:type="dxa"/>
            </w:tcMar>
            <w:vAlign w:val="center"/>
          </w:tcPr>
          <w:p w14:paraId="221624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738.83</w:t>
            </w:r>
          </w:p>
        </w:tc>
        <w:tc>
          <w:tcPr>
            <w:tcW w:w="649" w:type="pct"/>
            <w:tcBorders>
              <w:tl2br w:val="nil"/>
              <w:tr2bl w:val="nil"/>
            </w:tcBorders>
            <w:shd w:val="clear" w:color="auto" w:fill="auto"/>
            <w:tcMar>
              <w:top w:w="15" w:type="dxa"/>
              <w:left w:w="15" w:type="dxa"/>
              <w:bottom w:w="0" w:type="dxa"/>
              <w:right w:w="15" w:type="dxa"/>
            </w:tcMar>
            <w:vAlign w:val="center"/>
          </w:tcPr>
          <w:p w14:paraId="46778F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16803.30</w:t>
            </w:r>
          </w:p>
        </w:tc>
        <w:tc>
          <w:tcPr>
            <w:tcW w:w="603" w:type="pct"/>
            <w:tcBorders>
              <w:tl2br w:val="nil"/>
              <w:tr2bl w:val="nil"/>
            </w:tcBorders>
            <w:shd w:val="clear" w:color="auto" w:fill="auto"/>
            <w:tcMar>
              <w:top w:w="15" w:type="dxa"/>
              <w:left w:w="15" w:type="dxa"/>
              <w:bottom w:w="0" w:type="dxa"/>
              <w:right w:w="15" w:type="dxa"/>
            </w:tcMar>
            <w:vAlign w:val="center"/>
          </w:tcPr>
          <w:p w14:paraId="73D816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407.45</w:t>
            </w:r>
          </w:p>
        </w:tc>
        <w:tc>
          <w:tcPr>
            <w:tcW w:w="607" w:type="pct"/>
            <w:tcBorders>
              <w:tl2br w:val="nil"/>
              <w:tr2bl w:val="nil"/>
            </w:tcBorders>
            <w:shd w:val="clear" w:color="auto" w:fill="auto"/>
            <w:tcMar>
              <w:top w:w="15" w:type="dxa"/>
              <w:left w:w="15" w:type="dxa"/>
              <w:bottom w:w="0" w:type="dxa"/>
              <w:right w:w="15" w:type="dxa"/>
            </w:tcMar>
            <w:vAlign w:val="center"/>
          </w:tcPr>
          <w:p w14:paraId="43D438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493.22</w:t>
            </w:r>
          </w:p>
        </w:tc>
        <w:tc>
          <w:tcPr>
            <w:tcW w:w="666" w:type="pct"/>
            <w:tcBorders>
              <w:tl2br w:val="nil"/>
              <w:tr2bl w:val="nil"/>
            </w:tcBorders>
            <w:shd w:val="clear" w:color="auto" w:fill="auto"/>
            <w:tcMar>
              <w:top w:w="15" w:type="dxa"/>
              <w:left w:w="15" w:type="dxa"/>
              <w:bottom w:w="0" w:type="dxa"/>
              <w:right w:w="15" w:type="dxa"/>
            </w:tcMar>
            <w:vAlign w:val="center"/>
          </w:tcPr>
          <w:p w14:paraId="3F8030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28856.03</w:t>
            </w:r>
          </w:p>
        </w:tc>
        <w:tc>
          <w:tcPr>
            <w:tcW w:w="599" w:type="pct"/>
            <w:tcBorders>
              <w:tl2br w:val="nil"/>
              <w:tr2bl w:val="nil"/>
            </w:tcBorders>
            <w:shd w:val="clear" w:color="auto" w:fill="auto"/>
            <w:tcMar>
              <w:top w:w="15" w:type="dxa"/>
              <w:left w:w="15" w:type="dxa"/>
              <w:bottom w:w="0" w:type="dxa"/>
              <w:right w:w="15" w:type="dxa"/>
            </w:tcMar>
            <w:vAlign w:val="center"/>
          </w:tcPr>
          <w:p w14:paraId="33DADC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CaCL</w:t>
            </w:r>
            <w:r>
              <w:rPr>
                <w:rFonts w:hint="eastAsia" w:ascii="宋体" w:hAnsi="宋体" w:eastAsia="宋体" w:cs="宋体"/>
                <w:color w:val="auto"/>
                <w:sz w:val="21"/>
                <w:szCs w:val="21"/>
                <w:u w:val="none"/>
                <w:vertAlign w:val="subscript"/>
              </w:rPr>
              <w:t>2</w:t>
            </w:r>
          </w:p>
        </w:tc>
      </w:tr>
      <w:tr w14:paraId="5F8BD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703" w:type="pct"/>
            <w:tcBorders>
              <w:tl2br w:val="nil"/>
              <w:tr2bl w:val="nil"/>
            </w:tcBorders>
            <w:shd w:val="clear" w:color="auto" w:fill="auto"/>
            <w:tcMar>
              <w:top w:w="15" w:type="dxa"/>
              <w:left w:w="15" w:type="dxa"/>
              <w:bottom w:w="0" w:type="dxa"/>
              <w:right w:w="15" w:type="dxa"/>
            </w:tcMar>
            <w:vAlign w:val="center"/>
          </w:tcPr>
          <w:p w14:paraId="4995EE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莫117</w:t>
            </w:r>
          </w:p>
        </w:tc>
        <w:tc>
          <w:tcPr>
            <w:tcW w:w="567" w:type="pct"/>
            <w:tcBorders>
              <w:tl2br w:val="nil"/>
              <w:tr2bl w:val="nil"/>
            </w:tcBorders>
            <w:shd w:val="clear" w:color="auto" w:fill="auto"/>
            <w:tcMar>
              <w:top w:w="15" w:type="dxa"/>
              <w:left w:w="15" w:type="dxa"/>
              <w:bottom w:w="0" w:type="dxa"/>
              <w:right w:w="15" w:type="dxa"/>
            </w:tcMar>
            <w:vAlign w:val="center"/>
          </w:tcPr>
          <w:p w14:paraId="17E4E6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J</w:t>
            </w:r>
            <w:r>
              <w:rPr>
                <w:rFonts w:hint="eastAsia" w:ascii="宋体" w:hAnsi="宋体" w:eastAsia="宋体" w:cs="宋体"/>
                <w:color w:val="auto"/>
                <w:sz w:val="21"/>
                <w:szCs w:val="21"/>
                <w:u w:val="none"/>
                <w:vertAlign w:val="subscript"/>
              </w:rPr>
              <w:t>1</w:t>
            </w:r>
            <w:r>
              <w:rPr>
                <w:rFonts w:hint="eastAsia" w:ascii="宋体" w:hAnsi="宋体" w:eastAsia="宋体" w:cs="宋体"/>
                <w:color w:val="auto"/>
                <w:sz w:val="21"/>
                <w:szCs w:val="21"/>
                <w:u w:val="none"/>
              </w:rPr>
              <w:t>s</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vertAlign w:val="superscript"/>
              </w:rPr>
              <w:t>1-2</w:t>
            </w:r>
          </w:p>
        </w:tc>
        <w:tc>
          <w:tcPr>
            <w:tcW w:w="603" w:type="pct"/>
            <w:tcBorders>
              <w:tl2br w:val="nil"/>
              <w:tr2bl w:val="nil"/>
            </w:tcBorders>
            <w:shd w:val="clear" w:color="auto" w:fill="auto"/>
            <w:tcMar>
              <w:top w:w="15" w:type="dxa"/>
              <w:left w:w="15" w:type="dxa"/>
              <w:bottom w:w="0" w:type="dxa"/>
              <w:right w:w="15" w:type="dxa"/>
            </w:tcMar>
            <w:vAlign w:val="center"/>
          </w:tcPr>
          <w:p w14:paraId="437182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950.39</w:t>
            </w:r>
          </w:p>
        </w:tc>
        <w:tc>
          <w:tcPr>
            <w:tcW w:w="649" w:type="pct"/>
            <w:tcBorders>
              <w:tl2br w:val="nil"/>
              <w:tr2bl w:val="nil"/>
            </w:tcBorders>
            <w:shd w:val="clear" w:color="auto" w:fill="auto"/>
            <w:tcMar>
              <w:top w:w="15" w:type="dxa"/>
              <w:left w:w="15" w:type="dxa"/>
              <w:bottom w:w="0" w:type="dxa"/>
              <w:right w:w="15" w:type="dxa"/>
            </w:tcMar>
            <w:vAlign w:val="center"/>
          </w:tcPr>
          <w:p w14:paraId="749D40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10329.00</w:t>
            </w:r>
          </w:p>
        </w:tc>
        <w:tc>
          <w:tcPr>
            <w:tcW w:w="603" w:type="pct"/>
            <w:tcBorders>
              <w:tl2br w:val="nil"/>
              <w:tr2bl w:val="nil"/>
            </w:tcBorders>
            <w:shd w:val="clear" w:color="auto" w:fill="auto"/>
            <w:tcMar>
              <w:top w:w="15" w:type="dxa"/>
              <w:left w:w="15" w:type="dxa"/>
              <w:bottom w:w="0" w:type="dxa"/>
              <w:right w:w="15" w:type="dxa"/>
            </w:tcMar>
            <w:vAlign w:val="center"/>
          </w:tcPr>
          <w:p w14:paraId="4FCF14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83.96</w:t>
            </w:r>
          </w:p>
        </w:tc>
        <w:tc>
          <w:tcPr>
            <w:tcW w:w="607" w:type="pct"/>
            <w:tcBorders>
              <w:tl2br w:val="nil"/>
              <w:tr2bl w:val="nil"/>
            </w:tcBorders>
            <w:shd w:val="clear" w:color="auto" w:fill="auto"/>
            <w:tcMar>
              <w:top w:w="15" w:type="dxa"/>
              <w:left w:w="15" w:type="dxa"/>
              <w:bottom w:w="0" w:type="dxa"/>
              <w:right w:w="15" w:type="dxa"/>
            </w:tcMar>
            <w:vAlign w:val="center"/>
          </w:tcPr>
          <w:p w14:paraId="564659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847.77</w:t>
            </w:r>
          </w:p>
        </w:tc>
        <w:tc>
          <w:tcPr>
            <w:tcW w:w="666" w:type="pct"/>
            <w:tcBorders>
              <w:tl2br w:val="nil"/>
              <w:tr2bl w:val="nil"/>
            </w:tcBorders>
            <w:shd w:val="clear" w:color="auto" w:fill="auto"/>
            <w:tcMar>
              <w:top w:w="15" w:type="dxa"/>
              <w:left w:w="15" w:type="dxa"/>
              <w:bottom w:w="0" w:type="dxa"/>
              <w:right w:w="15" w:type="dxa"/>
            </w:tcMar>
            <w:vAlign w:val="center"/>
          </w:tcPr>
          <w:p w14:paraId="63E316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18280.91</w:t>
            </w:r>
          </w:p>
        </w:tc>
        <w:tc>
          <w:tcPr>
            <w:tcW w:w="599" w:type="pct"/>
            <w:tcBorders>
              <w:tl2br w:val="nil"/>
              <w:tr2bl w:val="nil"/>
            </w:tcBorders>
            <w:shd w:val="clear" w:color="auto" w:fill="auto"/>
            <w:tcMar>
              <w:top w:w="15" w:type="dxa"/>
              <w:left w:w="15" w:type="dxa"/>
              <w:bottom w:w="0" w:type="dxa"/>
              <w:right w:w="15" w:type="dxa"/>
            </w:tcMar>
            <w:vAlign w:val="center"/>
          </w:tcPr>
          <w:p w14:paraId="19F177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CaCL</w:t>
            </w:r>
            <w:r>
              <w:rPr>
                <w:rFonts w:hint="eastAsia" w:ascii="宋体" w:hAnsi="宋体" w:eastAsia="宋体" w:cs="宋体"/>
                <w:color w:val="auto"/>
                <w:sz w:val="21"/>
                <w:szCs w:val="21"/>
                <w:u w:val="none"/>
                <w:vertAlign w:val="subscript"/>
              </w:rPr>
              <w:t>2</w:t>
            </w:r>
          </w:p>
        </w:tc>
      </w:tr>
    </w:tbl>
    <w:p w14:paraId="0D29A9CC">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4 工艺方案及指标预测</w:t>
      </w:r>
    </w:p>
    <w:p w14:paraId="34E182C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1</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工艺方案</w:t>
      </w:r>
    </w:p>
    <w:p w14:paraId="456E4DE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井口采用</w:t>
      </w:r>
      <w:r>
        <w:rPr>
          <w:rFonts w:hint="eastAsia" w:ascii="宋体" w:hAnsi="宋体" w:eastAsia="宋体" w:cs="宋体"/>
          <w:color w:val="auto"/>
          <w:sz w:val="24"/>
          <w:szCs w:val="24"/>
          <w:u w:val="none"/>
          <w:lang w:val="en-US" w:eastAsia="zh-CN"/>
        </w:rPr>
        <w:t>电加热节流</w:t>
      </w:r>
      <w:r>
        <w:rPr>
          <w:rFonts w:hint="eastAsia" w:ascii="宋体" w:hAnsi="宋体" w:cs="宋体"/>
          <w:color w:val="auto"/>
          <w:sz w:val="24"/>
          <w:szCs w:val="24"/>
          <w:u w:val="none"/>
          <w:lang w:val="en-US" w:eastAsia="zh-CN"/>
        </w:rPr>
        <w:t>，采出物</w:t>
      </w:r>
      <w:r>
        <w:rPr>
          <w:rFonts w:hint="eastAsia" w:ascii="宋体" w:hAnsi="宋体" w:eastAsia="宋体" w:cs="宋体"/>
          <w:color w:val="auto"/>
          <w:sz w:val="24"/>
          <w:szCs w:val="24"/>
          <w:u w:val="none"/>
          <w:lang w:val="en-US" w:eastAsia="zh-CN"/>
        </w:rPr>
        <w:t>通过新建采气管道输送至莫109转油站</w:t>
      </w:r>
      <w:r>
        <w:rPr>
          <w:rFonts w:hint="eastAsia" w:ascii="宋体" w:hAnsi="宋体" w:cs="宋体"/>
          <w:color w:val="auto"/>
          <w:sz w:val="24"/>
          <w:szCs w:val="24"/>
          <w:u w:val="none"/>
          <w:lang w:val="en-US" w:eastAsia="zh-CN"/>
        </w:rPr>
        <w:t>，经计量后进入生产分离器，分离出的天然气经处理装置处理后，外输至彩-石-克管网；采出水接入莫109转油站—莫北转油站外输油管线，依托莫北转油站采出水处理系统处理；液相进入油水分离器，分离后的轻烃稳定后进入轻烃罐，装车外运；</w:t>
      </w:r>
    </w:p>
    <w:p w14:paraId="034948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井场工艺流程图见图3.3-</w:t>
      </w:r>
      <w:r>
        <w:rPr>
          <w:rFonts w:hint="eastAsia" w:ascii="宋体" w:hAnsi="宋体" w:cs="宋体"/>
          <w:color w:val="auto"/>
          <w:sz w:val="24"/>
          <w:szCs w:val="24"/>
          <w:u w:val="none"/>
          <w:lang w:val="en-US" w:eastAsia="zh-CN"/>
        </w:rPr>
        <w:t>4</w:t>
      </w:r>
      <w:r>
        <w:rPr>
          <w:rFonts w:hint="eastAsia" w:ascii="宋体" w:hAnsi="宋体" w:eastAsia="宋体" w:cs="宋体"/>
          <w:color w:val="auto"/>
          <w:sz w:val="24"/>
          <w:szCs w:val="24"/>
          <w:u w:val="none"/>
          <w:lang w:val="en-US" w:eastAsia="zh-CN"/>
        </w:rPr>
        <w:t>。</w:t>
      </w:r>
    </w:p>
    <w:p w14:paraId="664D6F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u w:val="none"/>
          <w:lang w:val="en-US" w:eastAsia="zh-CN"/>
        </w:rPr>
      </w:pPr>
      <w:r>
        <w:rPr>
          <w:rFonts w:hint="default" w:ascii="宋体" w:hAnsi="宋体" w:eastAsia="宋体" w:cs="宋体"/>
          <w:color w:val="auto"/>
          <w:sz w:val="20"/>
          <w:szCs w:val="20"/>
          <w:u w:val="none"/>
        </w:rPr>
        <w:drawing>
          <wp:inline distT="0" distB="0" distL="0" distR="0">
            <wp:extent cx="5382260" cy="2834005"/>
            <wp:effectExtent l="0" t="0" r="8890" b="4445"/>
            <wp:docPr id="32"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4.jpeg"/>
                    <pic:cNvPicPr>
                      <a:picLocks noChangeAspect="1"/>
                    </pic:cNvPicPr>
                  </pic:nvPicPr>
                  <pic:blipFill>
                    <a:blip r:embed="rId36" cstate="print"/>
                    <a:stretch>
                      <a:fillRect/>
                    </a:stretch>
                  </pic:blipFill>
                  <pic:spPr>
                    <a:xfrm>
                      <a:off x="0" y="0"/>
                      <a:ext cx="5382260" cy="2834005"/>
                    </a:xfrm>
                    <a:prstGeom prst="rect">
                      <a:avLst/>
                    </a:prstGeom>
                  </pic:spPr>
                </pic:pic>
              </a:graphicData>
            </a:graphic>
          </wp:inline>
        </w:drawing>
      </w:r>
      <w:r>
        <w:rPr>
          <w:rFonts w:hint="eastAsia" w:ascii="黑体" w:hAnsi="黑体" w:eastAsia="黑体" w:cs="黑体"/>
          <w:color w:val="auto"/>
          <w:sz w:val="24"/>
          <w:szCs w:val="24"/>
          <w:u w:val="none"/>
          <w:lang w:val="en-US" w:eastAsia="zh-CN"/>
        </w:rPr>
        <w:t xml:space="preserve">图3.3-4  </w:t>
      </w:r>
      <w:r>
        <w:rPr>
          <w:rFonts w:hint="eastAsia" w:ascii="宋体" w:hAnsi="宋体" w:eastAsia="宋体" w:cs="宋体"/>
          <w:color w:val="auto"/>
          <w:kern w:val="0"/>
          <w:sz w:val="24"/>
          <w:szCs w:val="24"/>
          <w:highlight w:val="none"/>
          <w:u w:val="none"/>
          <w:lang w:val="en-US" w:eastAsia="zh-CN"/>
        </w:rPr>
        <w:t>井场工艺流程图</w:t>
      </w:r>
    </w:p>
    <w:p w14:paraId="7E5225C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（2）开发指标预测</w:t>
      </w:r>
    </w:p>
    <w:p w14:paraId="5195D19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本工程新钻采气井3口（MBHW6006井、MBHW6008井、MBHW6009井）</w:t>
      </w:r>
      <w:r>
        <w:rPr>
          <w:rFonts w:hint="eastAsia" w:ascii="宋体" w:hAnsi="宋体" w:eastAsia="宋体" w:cs="宋体"/>
          <w:color w:val="auto"/>
          <w:sz w:val="24"/>
          <w:szCs w:val="24"/>
          <w:highlight w:val="none"/>
          <w:u w:val="none"/>
          <w:lang w:eastAsia="zh-CN"/>
        </w:rPr>
        <w:t>，单井生产指标预测，见表</w:t>
      </w:r>
      <w:r>
        <w:rPr>
          <w:rFonts w:hint="eastAsia" w:ascii="宋体" w:hAnsi="宋体" w:eastAsia="宋体" w:cs="宋体"/>
          <w:color w:val="auto"/>
          <w:sz w:val="24"/>
          <w:szCs w:val="24"/>
          <w:highlight w:val="none"/>
          <w:u w:val="none"/>
          <w:lang w:val="en-US" w:eastAsia="zh-CN"/>
        </w:rPr>
        <w:t>3.3-5。</w:t>
      </w:r>
    </w:p>
    <w:p w14:paraId="43F380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5433A4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715D97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表3.3-5 单井生产指标预测表</w:t>
      </w:r>
    </w:p>
    <w:tbl>
      <w:tblPr>
        <w:tblStyle w:val="37"/>
        <w:tblW w:w="4998" w:type="pct"/>
        <w:jc w:val="center"/>
        <w:tblLayout w:type="autofit"/>
        <w:tblCellMar>
          <w:top w:w="0" w:type="dxa"/>
          <w:left w:w="0" w:type="dxa"/>
          <w:bottom w:w="0" w:type="dxa"/>
          <w:right w:w="0" w:type="dxa"/>
        </w:tblCellMar>
      </w:tblPr>
      <w:tblGrid>
        <w:gridCol w:w="1225"/>
        <w:gridCol w:w="1225"/>
        <w:gridCol w:w="1225"/>
        <w:gridCol w:w="1225"/>
        <w:gridCol w:w="1226"/>
        <w:gridCol w:w="1273"/>
        <w:gridCol w:w="1226"/>
      </w:tblGrid>
      <w:tr w14:paraId="11A08C86">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0A5F133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开发时间</w:t>
            </w:r>
          </w:p>
          <w:p w14:paraId="662B95F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(年)</w:t>
            </w:r>
          </w:p>
        </w:tc>
        <w:tc>
          <w:tcPr>
            <w:tcW w:w="710" w:type="pct"/>
            <w:tcBorders>
              <w:top w:val="single" w:color="000000" w:sz="4" w:space="0"/>
              <w:left w:val="single" w:color="000000" w:sz="4" w:space="0"/>
              <w:bottom w:val="single" w:color="000000" w:sz="4" w:space="0"/>
              <w:right w:val="single" w:color="000000" w:sz="4" w:space="0"/>
            </w:tcBorders>
            <w:vAlign w:val="center"/>
          </w:tcPr>
          <w:p w14:paraId="0A0B89E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年产气</w:t>
            </w:r>
          </w:p>
          <w:p w14:paraId="685F923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(亿方)</w:t>
            </w:r>
          </w:p>
        </w:tc>
        <w:tc>
          <w:tcPr>
            <w:tcW w:w="710" w:type="pct"/>
            <w:tcBorders>
              <w:top w:val="single" w:color="000000" w:sz="4" w:space="0"/>
              <w:left w:val="single" w:color="000000" w:sz="4" w:space="0"/>
              <w:bottom w:val="single" w:color="000000" w:sz="4" w:space="0"/>
              <w:right w:val="single" w:color="000000" w:sz="4" w:space="0"/>
            </w:tcBorders>
            <w:vAlign w:val="center"/>
          </w:tcPr>
          <w:p w14:paraId="3042294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年产凝析油</w:t>
            </w:r>
          </w:p>
          <w:p w14:paraId="547C7F9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(万吨)</w:t>
            </w:r>
          </w:p>
        </w:tc>
        <w:tc>
          <w:tcPr>
            <w:tcW w:w="710" w:type="pct"/>
            <w:tcBorders>
              <w:top w:val="single" w:color="000000" w:sz="4" w:space="0"/>
              <w:left w:val="single" w:color="000000" w:sz="4" w:space="0"/>
              <w:bottom w:val="single" w:color="000000" w:sz="4" w:space="0"/>
              <w:right w:val="single" w:color="000000" w:sz="4" w:space="0"/>
            </w:tcBorders>
            <w:vAlign w:val="center"/>
          </w:tcPr>
          <w:p w14:paraId="7E9356D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年产水</w:t>
            </w:r>
          </w:p>
          <w:p w14:paraId="0B19648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(万吨)</w:t>
            </w:r>
          </w:p>
        </w:tc>
        <w:tc>
          <w:tcPr>
            <w:tcW w:w="710" w:type="pct"/>
            <w:tcBorders>
              <w:top w:val="single" w:color="000000" w:sz="4" w:space="0"/>
              <w:left w:val="single" w:color="000000" w:sz="4" w:space="0"/>
              <w:bottom w:val="single" w:color="000000" w:sz="4" w:space="0"/>
              <w:right w:val="single" w:color="000000" w:sz="4" w:space="0"/>
            </w:tcBorders>
            <w:vAlign w:val="center"/>
          </w:tcPr>
          <w:p w14:paraId="63564AD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累积产气</w:t>
            </w:r>
          </w:p>
          <w:p w14:paraId="2FA114C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(亿方)</w:t>
            </w:r>
          </w:p>
        </w:tc>
        <w:tc>
          <w:tcPr>
            <w:tcW w:w="737" w:type="pct"/>
            <w:tcBorders>
              <w:top w:val="single" w:color="000000" w:sz="4" w:space="0"/>
              <w:left w:val="single" w:color="000000" w:sz="4" w:space="0"/>
              <w:bottom w:val="single" w:color="000000" w:sz="4" w:space="0"/>
              <w:right w:val="single" w:color="000000" w:sz="4" w:space="0"/>
            </w:tcBorders>
            <w:vAlign w:val="center"/>
          </w:tcPr>
          <w:p w14:paraId="272C82B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气采出程度</w:t>
            </w:r>
          </w:p>
          <w:p w14:paraId="2408C0B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c>
          <w:tcPr>
            <w:tcW w:w="710" w:type="pct"/>
            <w:tcBorders>
              <w:top w:val="single" w:color="000000" w:sz="4" w:space="0"/>
              <w:left w:val="single" w:color="000000" w:sz="4" w:space="0"/>
              <w:bottom w:val="single" w:color="000000" w:sz="4" w:space="0"/>
              <w:right w:val="single" w:color="000000" w:sz="4" w:space="0"/>
            </w:tcBorders>
            <w:vAlign w:val="center"/>
          </w:tcPr>
          <w:p w14:paraId="2813276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地层压力</w:t>
            </w:r>
          </w:p>
          <w:p w14:paraId="000F913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(兆帕)</w:t>
            </w:r>
          </w:p>
        </w:tc>
      </w:tr>
      <w:tr w14:paraId="25B5B2CC">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21B882D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710" w:type="pct"/>
            <w:tcBorders>
              <w:top w:val="single" w:color="000000" w:sz="4" w:space="0"/>
              <w:left w:val="single" w:color="000000" w:sz="4" w:space="0"/>
              <w:bottom w:val="single" w:color="000000" w:sz="4" w:space="0"/>
              <w:right w:val="single" w:color="000000" w:sz="4" w:space="0"/>
            </w:tcBorders>
            <w:vAlign w:val="center"/>
          </w:tcPr>
          <w:p w14:paraId="25A897E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0.06</w:t>
            </w:r>
          </w:p>
        </w:tc>
        <w:tc>
          <w:tcPr>
            <w:tcW w:w="710" w:type="pct"/>
            <w:tcBorders>
              <w:top w:val="single" w:color="000000" w:sz="4" w:space="0"/>
              <w:left w:val="single" w:color="000000" w:sz="4" w:space="0"/>
              <w:bottom w:val="single" w:color="000000" w:sz="4" w:space="0"/>
              <w:right w:val="single" w:color="000000" w:sz="4" w:space="0"/>
            </w:tcBorders>
            <w:vAlign w:val="center"/>
          </w:tcPr>
          <w:p w14:paraId="322EFCC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0.07</w:t>
            </w:r>
          </w:p>
        </w:tc>
        <w:tc>
          <w:tcPr>
            <w:tcW w:w="710" w:type="pct"/>
            <w:tcBorders>
              <w:top w:val="single" w:color="000000" w:sz="4" w:space="0"/>
              <w:left w:val="single" w:color="000000" w:sz="4" w:space="0"/>
              <w:bottom w:val="single" w:color="000000" w:sz="4" w:space="0"/>
              <w:right w:val="single" w:color="000000" w:sz="4" w:space="0"/>
            </w:tcBorders>
            <w:vAlign w:val="center"/>
          </w:tcPr>
          <w:p w14:paraId="7EC4D22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w:t>
            </w:r>
          </w:p>
        </w:tc>
        <w:tc>
          <w:tcPr>
            <w:tcW w:w="710" w:type="pct"/>
            <w:tcBorders>
              <w:top w:val="single" w:color="000000" w:sz="4" w:space="0"/>
              <w:left w:val="single" w:color="000000" w:sz="4" w:space="0"/>
              <w:bottom w:val="single" w:color="000000" w:sz="4" w:space="0"/>
              <w:right w:val="single" w:color="000000" w:sz="4" w:space="0"/>
            </w:tcBorders>
            <w:vAlign w:val="center"/>
          </w:tcPr>
          <w:p w14:paraId="18B44E6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0.06</w:t>
            </w:r>
          </w:p>
        </w:tc>
        <w:tc>
          <w:tcPr>
            <w:tcW w:w="737" w:type="pct"/>
            <w:tcBorders>
              <w:top w:val="single" w:color="000000" w:sz="4" w:space="0"/>
              <w:left w:val="single" w:color="000000" w:sz="4" w:space="0"/>
              <w:bottom w:val="single" w:color="000000" w:sz="4" w:space="0"/>
              <w:right w:val="single" w:color="000000" w:sz="4" w:space="0"/>
            </w:tcBorders>
            <w:vAlign w:val="center"/>
          </w:tcPr>
          <w:p w14:paraId="503C19A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w:t>
            </w:r>
          </w:p>
        </w:tc>
        <w:tc>
          <w:tcPr>
            <w:tcW w:w="710" w:type="pct"/>
            <w:tcBorders>
              <w:top w:val="single" w:color="000000" w:sz="4" w:space="0"/>
              <w:left w:val="single" w:color="000000" w:sz="4" w:space="0"/>
              <w:bottom w:val="single" w:color="000000" w:sz="4" w:space="0"/>
              <w:right w:val="single" w:color="000000" w:sz="4" w:space="0"/>
            </w:tcBorders>
            <w:vAlign w:val="center"/>
          </w:tcPr>
          <w:p w14:paraId="7C6DD2E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39.7</w:t>
            </w:r>
          </w:p>
        </w:tc>
      </w:tr>
      <w:tr w14:paraId="7A572057">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29A215B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710" w:type="pct"/>
            <w:tcBorders>
              <w:top w:val="single" w:color="000000" w:sz="4" w:space="0"/>
              <w:left w:val="single" w:color="000000" w:sz="4" w:space="0"/>
              <w:bottom w:val="single" w:color="000000" w:sz="4" w:space="0"/>
              <w:right w:val="single" w:color="000000" w:sz="4" w:space="0"/>
            </w:tcBorders>
            <w:vAlign w:val="center"/>
          </w:tcPr>
          <w:p w14:paraId="66EC36D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0.17</w:t>
            </w:r>
          </w:p>
        </w:tc>
        <w:tc>
          <w:tcPr>
            <w:tcW w:w="710" w:type="pct"/>
            <w:tcBorders>
              <w:top w:val="single" w:color="000000" w:sz="4" w:space="0"/>
              <w:left w:val="single" w:color="000000" w:sz="4" w:space="0"/>
              <w:bottom w:val="single" w:color="000000" w:sz="4" w:space="0"/>
              <w:right w:val="single" w:color="000000" w:sz="4" w:space="0"/>
            </w:tcBorders>
            <w:vAlign w:val="center"/>
          </w:tcPr>
          <w:p w14:paraId="7FFC590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0.22</w:t>
            </w:r>
          </w:p>
        </w:tc>
        <w:tc>
          <w:tcPr>
            <w:tcW w:w="710" w:type="pct"/>
            <w:tcBorders>
              <w:top w:val="single" w:color="000000" w:sz="4" w:space="0"/>
              <w:left w:val="single" w:color="000000" w:sz="4" w:space="0"/>
              <w:bottom w:val="single" w:color="000000" w:sz="4" w:space="0"/>
              <w:right w:val="single" w:color="000000" w:sz="4" w:space="0"/>
            </w:tcBorders>
            <w:vAlign w:val="center"/>
          </w:tcPr>
          <w:p w14:paraId="41B084B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0.05</w:t>
            </w:r>
          </w:p>
        </w:tc>
        <w:tc>
          <w:tcPr>
            <w:tcW w:w="710" w:type="pct"/>
            <w:tcBorders>
              <w:top w:val="single" w:color="000000" w:sz="4" w:space="0"/>
              <w:left w:val="single" w:color="000000" w:sz="4" w:space="0"/>
              <w:bottom w:val="single" w:color="000000" w:sz="4" w:space="0"/>
              <w:right w:val="single" w:color="000000" w:sz="4" w:space="0"/>
            </w:tcBorders>
            <w:vAlign w:val="center"/>
          </w:tcPr>
          <w:p w14:paraId="1C4CDF6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0.22</w:t>
            </w:r>
          </w:p>
        </w:tc>
        <w:tc>
          <w:tcPr>
            <w:tcW w:w="737" w:type="pct"/>
            <w:tcBorders>
              <w:top w:val="single" w:color="000000" w:sz="4" w:space="0"/>
              <w:left w:val="single" w:color="000000" w:sz="4" w:space="0"/>
              <w:bottom w:val="single" w:color="000000" w:sz="4" w:space="0"/>
              <w:right w:val="single" w:color="000000" w:sz="4" w:space="0"/>
            </w:tcBorders>
            <w:vAlign w:val="center"/>
          </w:tcPr>
          <w:p w14:paraId="32FB214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7.9</w:t>
            </w:r>
          </w:p>
        </w:tc>
        <w:tc>
          <w:tcPr>
            <w:tcW w:w="710" w:type="pct"/>
            <w:tcBorders>
              <w:top w:val="single" w:color="000000" w:sz="4" w:space="0"/>
              <w:left w:val="single" w:color="000000" w:sz="4" w:space="0"/>
              <w:bottom w:val="single" w:color="000000" w:sz="4" w:space="0"/>
              <w:right w:val="single" w:color="000000" w:sz="4" w:space="0"/>
            </w:tcBorders>
            <w:vAlign w:val="center"/>
          </w:tcPr>
          <w:p w14:paraId="523D014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37.6</w:t>
            </w:r>
          </w:p>
        </w:tc>
      </w:tr>
      <w:tr w14:paraId="3841CF5B">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188A53B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w:t>
            </w:r>
          </w:p>
        </w:tc>
        <w:tc>
          <w:tcPr>
            <w:tcW w:w="710" w:type="pct"/>
            <w:tcBorders>
              <w:top w:val="single" w:color="000000" w:sz="4" w:space="0"/>
              <w:left w:val="single" w:color="000000" w:sz="4" w:space="0"/>
              <w:bottom w:val="single" w:color="000000" w:sz="4" w:space="0"/>
              <w:right w:val="single" w:color="000000" w:sz="4" w:space="0"/>
            </w:tcBorders>
            <w:vAlign w:val="center"/>
          </w:tcPr>
          <w:p w14:paraId="1B4E66D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0.17</w:t>
            </w:r>
          </w:p>
        </w:tc>
        <w:tc>
          <w:tcPr>
            <w:tcW w:w="710" w:type="pct"/>
            <w:tcBorders>
              <w:top w:val="single" w:color="000000" w:sz="4" w:space="0"/>
              <w:left w:val="single" w:color="000000" w:sz="4" w:space="0"/>
              <w:bottom w:val="single" w:color="000000" w:sz="4" w:space="0"/>
              <w:right w:val="single" w:color="000000" w:sz="4" w:space="0"/>
            </w:tcBorders>
            <w:vAlign w:val="center"/>
          </w:tcPr>
          <w:p w14:paraId="49B246E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0.22</w:t>
            </w:r>
          </w:p>
        </w:tc>
        <w:tc>
          <w:tcPr>
            <w:tcW w:w="710" w:type="pct"/>
            <w:tcBorders>
              <w:top w:val="single" w:color="000000" w:sz="4" w:space="0"/>
              <w:left w:val="single" w:color="000000" w:sz="4" w:space="0"/>
              <w:bottom w:val="single" w:color="000000" w:sz="4" w:space="0"/>
              <w:right w:val="single" w:color="000000" w:sz="4" w:space="0"/>
            </w:tcBorders>
            <w:vAlign w:val="center"/>
          </w:tcPr>
          <w:p w14:paraId="1BBB7E6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0.19</w:t>
            </w:r>
          </w:p>
        </w:tc>
        <w:tc>
          <w:tcPr>
            <w:tcW w:w="710" w:type="pct"/>
            <w:tcBorders>
              <w:top w:val="single" w:color="000000" w:sz="4" w:space="0"/>
              <w:left w:val="single" w:color="000000" w:sz="4" w:space="0"/>
              <w:bottom w:val="single" w:color="000000" w:sz="4" w:space="0"/>
              <w:right w:val="single" w:color="000000" w:sz="4" w:space="0"/>
            </w:tcBorders>
            <w:vAlign w:val="center"/>
          </w:tcPr>
          <w:p w14:paraId="7032205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0.39</w:t>
            </w:r>
          </w:p>
        </w:tc>
        <w:tc>
          <w:tcPr>
            <w:tcW w:w="737" w:type="pct"/>
            <w:tcBorders>
              <w:top w:val="single" w:color="000000" w:sz="4" w:space="0"/>
              <w:left w:val="single" w:color="000000" w:sz="4" w:space="0"/>
              <w:bottom w:val="single" w:color="000000" w:sz="4" w:space="0"/>
              <w:right w:val="single" w:color="000000" w:sz="4" w:space="0"/>
            </w:tcBorders>
            <w:vAlign w:val="center"/>
          </w:tcPr>
          <w:p w14:paraId="2EEF15F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13.9</w:t>
            </w:r>
          </w:p>
        </w:tc>
        <w:tc>
          <w:tcPr>
            <w:tcW w:w="710" w:type="pct"/>
            <w:tcBorders>
              <w:top w:val="single" w:color="000000" w:sz="4" w:space="0"/>
              <w:left w:val="single" w:color="000000" w:sz="4" w:space="0"/>
              <w:bottom w:val="single" w:color="000000" w:sz="4" w:space="0"/>
              <w:right w:val="single" w:color="000000" w:sz="4" w:space="0"/>
            </w:tcBorders>
            <w:vAlign w:val="center"/>
          </w:tcPr>
          <w:p w14:paraId="6C45D2A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35.3</w:t>
            </w:r>
          </w:p>
        </w:tc>
      </w:tr>
      <w:tr w14:paraId="086D9FFF">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5F6380D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w:t>
            </w:r>
          </w:p>
        </w:tc>
        <w:tc>
          <w:tcPr>
            <w:tcW w:w="710" w:type="pct"/>
            <w:tcBorders>
              <w:top w:val="single" w:color="000000" w:sz="4" w:space="0"/>
              <w:left w:val="single" w:color="000000" w:sz="4" w:space="0"/>
              <w:bottom w:val="single" w:color="000000" w:sz="4" w:space="0"/>
              <w:right w:val="single" w:color="000000" w:sz="4" w:space="0"/>
            </w:tcBorders>
            <w:vAlign w:val="center"/>
          </w:tcPr>
          <w:p w14:paraId="6CA7305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0.17</w:t>
            </w:r>
          </w:p>
        </w:tc>
        <w:tc>
          <w:tcPr>
            <w:tcW w:w="710" w:type="pct"/>
            <w:tcBorders>
              <w:top w:val="single" w:color="000000" w:sz="4" w:space="0"/>
              <w:left w:val="single" w:color="000000" w:sz="4" w:space="0"/>
              <w:bottom w:val="single" w:color="000000" w:sz="4" w:space="0"/>
              <w:right w:val="single" w:color="000000" w:sz="4" w:space="0"/>
            </w:tcBorders>
            <w:vAlign w:val="center"/>
          </w:tcPr>
          <w:p w14:paraId="31CA1BC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0.22</w:t>
            </w:r>
          </w:p>
        </w:tc>
        <w:tc>
          <w:tcPr>
            <w:tcW w:w="710" w:type="pct"/>
            <w:tcBorders>
              <w:top w:val="single" w:color="000000" w:sz="4" w:space="0"/>
              <w:left w:val="single" w:color="000000" w:sz="4" w:space="0"/>
              <w:bottom w:val="single" w:color="000000" w:sz="4" w:space="0"/>
              <w:right w:val="single" w:color="000000" w:sz="4" w:space="0"/>
            </w:tcBorders>
            <w:vAlign w:val="center"/>
          </w:tcPr>
          <w:p w14:paraId="64FDFC9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0.28</w:t>
            </w:r>
          </w:p>
        </w:tc>
        <w:tc>
          <w:tcPr>
            <w:tcW w:w="710" w:type="pct"/>
            <w:tcBorders>
              <w:top w:val="single" w:color="000000" w:sz="4" w:space="0"/>
              <w:left w:val="single" w:color="000000" w:sz="4" w:space="0"/>
              <w:bottom w:val="single" w:color="000000" w:sz="4" w:space="0"/>
              <w:right w:val="single" w:color="000000" w:sz="4" w:space="0"/>
            </w:tcBorders>
            <w:vAlign w:val="center"/>
          </w:tcPr>
          <w:p w14:paraId="086AB44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0.55</w:t>
            </w:r>
          </w:p>
        </w:tc>
        <w:tc>
          <w:tcPr>
            <w:tcW w:w="737" w:type="pct"/>
            <w:tcBorders>
              <w:top w:val="single" w:color="000000" w:sz="4" w:space="0"/>
              <w:left w:val="single" w:color="000000" w:sz="4" w:space="0"/>
              <w:bottom w:val="single" w:color="000000" w:sz="4" w:space="0"/>
              <w:right w:val="single" w:color="000000" w:sz="4" w:space="0"/>
            </w:tcBorders>
            <w:vAlign w:val="center"/>
          </w:tcPr>
          <w:p w14:paraId="41E6F1C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19.9</w:t>
            </w:r>
          </w:p>
        </w:tc>
        <w:tc>
          <w:tcPr>
            <w:tcW w:w="710" w:type="pct"/>
            <w:tcBorders>
              <w:top w:val="single" w:color="000000" w:sz="4" w:space="0"/>
              <w:left w:val="single" w:color="000000" w:sz="4" w:space="0"/>
              <w:bottom w:val="single" w:color="000000" w:sz="4" w:space="0"/>
              <w:right w:val="single" w:color="000000" w:sz="4" w:space="0"/>
            </w:tcBorders>
            <w:vAlign w:val="center"/>
          </w:tcPr>
          <w:p w14:paraId="3B08F1E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32.7</w:t>
            </w:r>
          </w:p>
        </w:tc>
      </w:tr>
      <w:tr w14:paraId="4B6C3E0F">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7A8FC39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w:t>
            </w:r>
          </w:p>
        </w:tc>
        <w:tc>
          <w:tcPr>
            <w:tcW w:w="710" w:type="pct"/>
            <w:tcBorders>
              <w:top w:val="single" w:color="000000" w:sz="4" w:space="0"/>
              <w:left w:val="single" w:color="000000" w:sz="4" w:space="0"/>
              <w:bottom w:val="single" w:color="000000" w:sz="4" w:space="0"/>
              <w:right w:val="single" w:color="000000" w:sz="4" w:space="0"/>
            </w:tcBorders>
            <w:vAlign w:val="center"/>
          </w:tcPr>
          <w:p w14:paraId="38C6FE2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0.17</w:t>
            </w:r>
          </w:p>
        </w:tc>
        <w:tc>
          <w:tcPr>
            <w:tcW w:w="710" w:type="pct"/>
            <w:tcBorders>
              <w:top w:val="single" w:color="000000" w:sz="4" w:space="0"/>
              <w:left w:val="single" w:color="000000" w:sz="4" w:space="0"/>
              <w:bottom w:val="single" w:color="000000" w:sz="4" w:space="0"/>
              <w:right w:val="single" w:color="000000" w:sz="4" w:space="0"/>
            </w:tcBorders>
            <w:vAlign w:val="center"/>
          </w:tcPr>
          <w:p w14:paraId="28A6D8D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0.22</w:t>
            </w:r>
          </w:p>
        </w:tc>
        <w:tc>
          <w:tcPr>
            <w:tcW w:w="710" w:type="pct"/>
            <w:tcBorders>
              <w:top w:val="single" w:color="000000" w:sz="4" w:space="0"/>
              <w:left w:val="single" w:color="000000" w:sz="4" w:space="0"/>
              <w:bottom w:val="single" w:color="000000" w:sz="4" w:space="0"/>
              <w:right w:val="single" w:color="000000" w:sz="4" w:space="0"/>
            </w:tcBorders>
            <w:vAlign w:val="center"/>
          </w:tcPr>
          <w:p w14:paraId="42508A4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0.48</w:t>
            </w:r>
          </w:p>
        </w:tc>
        <w:tc>
          <w:tcPr>
            <w:tcW w:w="710" w:type="pct"/>
            <w:tcBorders>
              <w:top w:val="single" w:color="000000" w:sz="4" w:space="0"/>
              <w:left w:val="single" w:color="000000" w:sz="4" w:space="0"/>
              <w:bottom w:val="single" w:color="000000" w:sz="4" w:space="0"/>
              <w:right w:val="single" w:color="000000" w:sz="4" w:space="0"/>
            </w:tcBorders>
            <w:vAlign w:val="center"/>
          </w:tcPr>
          <w:p w14:paraId="218A1D6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0.72</w:t>
            </w:r>
          </w:p>
        </w:tc>
        <w:tc>
          <w:tcPr>
            <w:tcW w:w="737" w:type="pct"/>
            <w:tcBorders>
              <w:top w:val="single" w:color="000000" w:sz="4" w:space="0"/>
              <w:left w:val="single" w:color="000000" w:sz="4" w:space="0"/>
              <w:bottom w:val="single" w:color="000000" w:sz="4" w:space="0"/>
              <w:right w:val="single" w:color="000000" w:sz="4" w:space="0"/>
            </w:tcBorders>
            <w:vAlign w:val="center"/>
          </w:tcPr>
          <w:p w14:paraId="444A4A8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25.8</w:t>
            </w:r>
          </w:p>
        </w:tc>
        <w:tc>
          <w:tcPr>
            <w:tcW w:w="710" w:type="pct"/>
            <w:tcBorders>
              <w:top w:val="single" w:color="000000" w:sz="4" w:space="0"/>
              <w:left w:val="single" w:color="000000" w:sz="4" w:space="0"/>
              <w:bottom w:val="single" w:color="000000" w:sz="4" w:space="0"/>
              <w:right w:val="single" w:color="000000" w:sz="4" w:space="0"/>
            </w:tcBorders>
            <w:vAlign w:val="center"/>
          </w:tcPr>
          <w:p w14:paraId="3F98F5C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30.0</w:t>
            </w:r>
          </w:p>
        </w:tc>
      </w:tr>
      <w:tr w14:paraId="7E33814F">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58D588B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w:t>
            </w:r>
          </w:p>
        </w:tc>
        <w:tc>
          <w:tcPr>
            <w:tcW w:w="710" w:type="pct"/>
            <w:tcBorders>
              <w:top w:val="single" w:color="000000" w:sz="4" w:space="0"/>
              <w:left w:val="single" w:color="000000" w:sz="4" w:space="0"/>
              <w:bottom w:val="single" w:color="000000" w:sz="4" w:space="0"/>
              <w:right w:val="single" w:color="000000" w:sz="4" w:space="0"/>
            </w:tcBorders>
            <w:vAlign w:val="center"/>
          </w:tcPr>
          <w:p w14:paraId="20E883D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0.11</w:t>
            </w:r>
          </w:p>
        </w:tc>
        <w:tc>
          <w:tcPr>
            <w:tcW w:w="710" w:type="pct"/>
            <w:tcBorders>
              <w:top w:val="single" w:color="000000" w:sz="4" w:space="0"/>
              <w:left w:val="single" w:color="000000" w:sz="4" w:space="0"/>
              <w:bottom w:val="single" w:color="000000" w:sz="4" w:space="0"/>
              <w:right w:val="single" w:color="000000" w:sz="4" w:space="0"/>
            </w:tcBorders>
            <w:vAlign w:val="center"/>
          </w:tcPr>
          <w:p w14:paraId="6DC53DD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0.15</w:t>
            </w:r>
          </w:p>
        </w:tc>
        <w:tc>
          <w:tcPr>
            <w:tcW w:w="710" w:type="pct"/>
            <w:tcBorders>
              <w:top w:val="single" w:color="000000" w:sz="4" w:space="0"/>
              <w:left w:val="single" w:color="000000" w:sz="4" w:space="0"/>
              <w:bottom w:val="single" w:color="000000" w:sz="4" w:space="0"/>
              <w:right w:val="single" w:color="000000" w:sz="4" w:space="0"/>
            </w:tcBorders>
            <w:vAlign w:val="center"/>
          </w:tcPr>
          <w:p w14:paraId="28007C1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0.73</w:t>
            </w:r>
          </w:p>
        </w:tc>
        <w:tc>
          <w:tcPr>
            <w:tcW w:w="710" w:type="pct"/>
            <w:tcBorders>
              <w:top w:val="single" w:color="000000" w:sz="4" w:space="0"/>
              <w:left w:val="single" w:color="000000" w:sz="4" w:space="0"/>
              <w:bottom w:val="single" w:color="000000" w:sz="4" w:space="0"/>
              <w:right w:val="single" w:color="000000" w:sz="4" w:space="0"/>
            </w:tcBorders>
            <w:vAlign w:val="center"/>
          </w:tcPr>
          <w:p w14:paraId="7F064FC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0.82</w:t>
            </w:r>
          </w:p>
        </w:tc>
        <w:tc>
          <w:tcPr>
            <w:tcW w:w="737" w:type="pct"/>
            <w:tcBorders>
              <w:top w:val="single" w:color="000000" w:sz="4" w:space="0"/>
              <w:left w:val="single" w:color="000000" w:sz="4" w:space="0"/>
              <w:bottom w:val="single" w:color="000000" w:sz="4" w:space="0"/>
              <w:right w:val="single" w:color="000000" w:sz="4" w:space="0"/>
            </w:tcBorders>
            <w:vAlign w:val="center"/>
          </w:tcPr>
          <w:p w14:paraId="19A1222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29.8</w:t>
            </w:r>
          </w:p>
        </w:tc>
        <w:tc>
          <w:tcPr>
            <w:tcW w:w="710" w:type="pct"/>
            <w:tcBorders>
              <w:top w:val="single" w:color="000000" w:sz="4" w:space="0"/>
              <w:left w:val="single" w:color="000000" w:sz="4" w:space="0"/>
              <w:bottom w:val="single" w:color="000000" w:sz="4" w:space="0"/>
              <w:right w:val="single" w:color="000000" w:sz="4" w:space="0"/>
            </w:tcBorders>
            <w:vAlign w:val="center"/>
          </w:tcPr>
          <w:p w14:paraId="73232D9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27.3</w:t>
            </w:r>
          </w:p>
        </w:tc>
      </w:tr>
      <w:tr w14:paraId="1E4078D2">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3992CE0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w:t>
            </w:r>
          </w:p>
        </w:tc>
        <w:tc>
          <w:tcPr>
            <w:tcW w:w="710" w:type="pct"/>
            <w:tcBorders>
              <w:top w:val="single" w:color="000000" w:sz="4" w:space="0"/>
              <w:left w:val="single" w:color="000000" w:sz="4" w:space="0"/>
              <w:bottom w:val="single" w:color="000000" w:sz="4" w:space="0"/>
              <w:right w:val="single" w:color="000000" w:sz="4" w:space="0"/>
            </w:tcBorders>
            <w:vAlign w:val="center"/>
          </w:tcPr>
          <w:p w14:paraId="2C19824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0.07</w:t>
            </w:r>
          </w:p>
        </w:tc>
        <w:tc>
          <w:tcPr>
            <w:tcW w:w="710" w:type="pct"/>
            <w:tcBorders>
              <w:top w:val="single" w:color="000000" w:sz="4" w:space="0"/>
              <w:left w:val="single" w:color="000000" w:sz="4" w:space="0"/>
              <w:bottom w:val="single" w:color="000000" w:sz="4" w:space="0"/>
              <w:right w:val="single" w:color="000000" w:sz="4" w:space="0"/>
            </w:tcBorders>
            <w:vAlign w:val="center"/>
          </w:tcPr>
          <w:p w14:paraId="0510CE8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0.10</w:t>
            </w:r>
          </w:p>
        </w:tc>
        <w:tc>
          <w:tcPr>
            <w:tcW w:w="710" w:type="pct"/>
            <w:tcBorders>
              <w:top w:val="single" w:color="000000" w:sz="4" w:space="0"/>
              <w:left w:val="single" w:color="000000" w:sz="4" w:space="0"/>
              <w:bottom w:val="single" w:color="000000" w:sz="4" w:space="0"/>
              <w:right w:val="single" w:color="000000" w:sz="4" w:space="0"/>
            </w:tcBorders>
            <w:vAlign w:val="center"/>
          </w:tcPr>
          <w:p w14:paraId="112FE55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1.14</w:t>
            </w:r>
          </w:p>
        </w:tc>
        <w:tc>
          <w:tcPr>
            <w:tcW w:w="710" w:type="pct"/>
            <w:tcBorders>
              <w:top w:val="single" w:color="000000" w:sz="4" w:space="0"/>
              <w:left w:val="single" w:color="000000" w:sz="4" w:space="0"/>
              <w:bottom w:val="single" w:color="000000" w:sz="4" w:space="0"/>
              <w:right w:val="single" w:color="000000" w:sz="4" w:space="0"/>
            </w:tcBorders>
            <w:vAlign w:val="center"/>
          </w:tcPr>
          <w:p w14:paraId="4B470D1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0.90</w:t>
            </w:r>
          </w:p>
        </w:tc>
        <w:tc>
          <w:tcPr>
            <w:tcW w:w="737" w:type="pct"/>
            <w:tcBorders>
              <w:top w:val="single" w:color="000000" w:sz="4" w:space="0"/>
              <w:left w:val="single" w:color="000000" w:sz="4" w:space="0"/>
              <w:bottom w:val="single" w:color="000000" w:sz="4" w:space="0"/>
              <w:right w:val="single" w:color="000000" w:sz="4" w:space="0"/>
            </w:tcBorders>
            <w:vAlign w:val="center"/>
          </w:tcPr>
          <w:p w14:paraId="54286FC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32.4</w:t>
            </w:r>
          </w:p>
        </w:tc>
        <w:tc>
          <w:tcPr>
            <w:tcW w:w="710" w:type="pct"/>
            <w:tcBorders>
              <w:top w:val="single" w:color="000000" w:sz="4" w:space="0"/>
              <w:left w:val="single" w:color="000000" w:sz="4" w:space="0"/>
              <w:bottom w:val="single" w:color="000000" w:sz="4" w:space="0"/>
              <w:right w:val="single" w:color="000000" w:sz="4" w:space="0"/>
            </w:tcBorders>
            <w:vAlign w:val="center"/>
          </w:tcPr>
          <w:p w14:paraId="3F3948F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24.8</w:t>
            </w:r>
          </w:p>
        </w:tc>
      </w:tr>
      <w:tr w14:paraId="7002C5B7">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50794E0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w:t>
            </w:r>
          </w:p>
        </w:tc>
        <w:tc>
          <w:tcPr>
            <w:tcW w:w="710" w:type="pct"/>
            <w:tcBorders>
              <w:top w:val="single" w:color="000000" w:sz="4" w:space="0"/>
              <w:left w:val="single" w:color="000000" w:sz="4" w:space="0"/>
              <w:bottom w:val="single" w:color="000000" w:sz="4" w:space="0"/>
              <w:right w:val="single" w:color="000000" w:sz="4" w:space="0"/>
            </w:tcBorders>
            <w:vAlign w:val="center"/>
          </w:tcPr>
          <w:p w14:paraId="2A7C435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0.05</w:t>
            </w:r>
          </w:p>
        </w:tc>
        <w:tc>
          <w:tcPr>
            <w:tcW w:w="710" w:type="pct"/>
            <w:tcBorders>
              <w:top w:val="single" w:color="000000" w:sz="4" w:space="0"/>
              <w:left w:val="single" w:color="000000" w:sz="4" w:space="0"/>
              <w:bottom w:val="single" w:color="000000" w:sz="4" w:space="0"/>
              <w:right w:val="single" w:color="000000" w:sz="4" w:space="0"/>
            </w:tcBorders>
            <w:vAlign w:val="center"/>
          </w:tcPr>
          <w:p w14:paraId="43EC92B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0.07</w:t>
            </w:r>
          </w:p>
        </w:tc>
        <w:tc>
          <w:tcPr>
            <w:tcW w:w="710" w:type="pct"/>
            <w:tcBorders>
              <w:top w:val="single" w:color="000000" w:sz="4" w:space="0"/>
              <w:left w:val="single" w:color="000000" w:sz="4" w:space="0"/>
              <w:bottom w:val="single" w:color="000000" w:sz="4" w:space="0"/>
              <w:right w:val="single" w:color="000000" w:sz="4" w:space="0"/>
            </w:tcBorders>
            <w:vAlign w:val="center"/>
          </w:tcPr>
          <w:p w14:paraId="137D4CB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1.45</w:t>
            </w:r>
          </w:p>
        </w:tc>
        <w:tc>
          <w:tcPr>
            <w:tcW w:w="710" w:type="pct"/>
            <w:tcBorders>
              <w:top w:val="single" w:color="000000" w:sz="4" w:space="0"/>
              <w:left w:val="single" w:color="000000" w:sz="4" w:space="0"/>
              <w:bottom w:val="single" w:color="000000" w:sz="4" w:space="0"/>
              <w:right w:val="single" w:color="000000" w:sz="4" w:space="0"/>
            </w:tcBorders>
            <w:vAlign w:val="center"/>
          </w:tcPr>
          <w:p w14:paraId="099213C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0.95</w:t>
            </w:r>
          </w:p>
        </w:tc>
        <w:tc>
          <w:tcPr>
            <w:tcW w:w="737" w:type="pct"/>
            <w:tcBorders>
              <w:top w:val="single" w:color="000000" w:sz="4" w:space="0"/>
              <w:left w:val="single" w:color="000000" w:sz="4" w:space="0"/>
              <w:bottom w:val="single" w:color="000000" w:sz="4" w:space="0"/>
              <w:right w:val="single" w:color="000000" w:sz="4" w:space="0"/>
            </w:tcBorders>
            <w:vAlign w:val="center"/>
          </w:tcPr>
          <w:p w14:paraId="3D2F2F3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34.2</w:t>
            </w:r>
          </w:p>
        </w:tc>
        <w:tc>
          <w:tcPr>
            <w:tcW w:w="710" w:type="pct"/>
            <w:tcBorders>
              <w:top w:val="single" w:color="000000" w:sz="4" w:space="0"/>
              <w:left w:val="single" w:color="000000" w:sz="4" w:space="0"/>
              <w:bottom w:val="single" w:color="000000" w:sz="4" w:space="0"/>
              <w:right w:val="single" w:color="000000" w:sz="4" w:space="0"/>
            </w:tcBorders>
            <w:vAlign w:val="center"/>
          </w:tcPr>
          <w:p w14:paraId="1598F77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22.5</w:t>
            </w:r>
          </w:p>
        </w:tc>
      </w:tr>
      <w:tr w14:paraId="761F84FD">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6E4C6E1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w:t>
            </w:r>
          </w:p>
        </w:tc>
        <w:tc>
          <w:tcPr>
            <w:tcW w:w="710" w:type="pct"/>
            <w:tcBorders>
              <w:top w:val="single" w:color="000000" w:sz="4" w:space="0"/>
              <w:left w:val="single" w:color="000000" w:sz="4" w:space="0"/>
              <w:bottom w:val="single" w:color="000000" w:sz="4" w:space="0"/>
              <w:right w:val="single" w:color="000000" w:sz="4" w:space="0"/>
            </w:tcBorders>
            <w:vAlign w:val="center"/>
          </w:tcPr>
          <w:p w14:paraId="46531B4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0.03</w:t>
            </w:r>
          </w:p>
        </w:tc>
        <w:tc>
          <w:tcPr>
            <w:tcW w:w="710" w:type="pct"/>
            <w:tcBorders>
              <w:top w:val="single" w:color="000000" w:sz="4" w:space="0"/>
              <w:left w:val="single" w:color="000000" w:sz="4" w:space="0"/>
              <w:bottom w:val="single" w:color="000000" w:sz="4" w:space="0"/>
              <w:right w:val="single" w:color="000000" w:sz="4" w:space="0"/>
            </w:tcBorders>
            <w:vAlign w:val="center"/>
          </w:tcPr>
          <w:p w14:paraId="1FF0670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0.04</w:t>
            </w:r>
          </w:p>
        </w:tc>
        <w:tc>
          <w:tcPr>
            <w:tcW w:w="710" w:type="pct"/>
            <w:tcBorders>
              <w:top w:val="single" w:color="000000" w:sz="4" w:space="0"/>
              <w:left w:val="single" w:color="000000" w:sz="4" w:space="0"/>
              <w:bottom w:val="single" w:color="000000" w:sz="4" w:space="0"/>
              <w:right w:val="single" w:color="000000" w:sz="4" w:space="0"/>
            </w:tcBorders>
            <w:vAlign w:val="center"/>
          </w:tcPr>
          <w:p w14:paraId="2F90F6A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1.68</w:t>
            </w:r>
          </w:p>
        </w:tc>
        <w:tc>
          <w:tcPr>
            <w:tcW w:w="710" w:type="pct"/>
            <w:tcBorders>
              <w:top w:val="single" w:color="000000" w:sz="4" w:space="0"/>
              <w:left w:val="single" w:color="000000" w:sz="4" w:space="0"/>
              <w:bottom w:val="single" w:color="000000" w:sz="4" w:space="0"/>
              <w:right w:val="single" w:color="000000" w:sz="4" w:space="0"/>
            </w:tcBorders>
            <w:vAlign w:val="center"/>
          </w:tcPr>
          <w:p w14:paraId="4900174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0.98</w:t>
            </w:r>
          </w:p>
        </w:tc>
        <w:tc>
          <w:tcPr>
            <w:tcW w:w="737" w:type="pct"/>
            <w:tcBorders>
              <w:top w:val="single" w:color="000000" w:sz="4" w:space="0"/>
              <w:left w:val="single" w:color="000000" w:sz="4" w:space="0"/>
              <w:bottom w:val="single" w:color="000000" w:sz="4" w:space="0"/>
              <w:right w:val="single" w:color="000000" w:sz="4" w:space="0"/>
            </w:tcBorders>
            <w:vAlign w:val="center"/>
          </w:tcPr>
          <w:p w14:paraId="142A090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35.4</w:t>
            </w:r>
          </w:p>
        </w:tc>
        <w:tc>
          <w:tcPr>
            <w:tcW w:w="710" w:type="pct"/>
            <w:tcBorders>
              <w:top w:val="single" w:color="000000" w:sz="4" w:space="0"/>
              <w:left w:val="single" w:color="000000" w:sz="4" w:space="0"/>
              <w:bottom w:val="single" w:color="000000" w:sz="4" w:space="0"/>
              <w:right w:val="single" w:color="000000" w:sz="4" w:space="0"/>
            </w:tcBorders>
            <w:vAlign w:val="center"/>
          </w:tcPr>
          <w:p w14:paraId="3244A99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20.4</w:t>
            </w:r>
          </w:p>
        </w:tc>
      </w:tr>
      <w:tr w14:paraId="6EB09575">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31D0484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w:t>
            </w:r>
          </w:p>
        </w:tc>
        <w:tc>
          <w:tcPr>
            <w:tcW w:w="710" w:type="pct"/>
            <w:tcBorders>
              <w:top w:val="single" w:color="000000" w:sz="4" w:space="0"/>
              <w:left w:val="single" w:color="000000" w:sz="4" w:space="0"/>
              <w:bottom w:val="single" w:color="000000" w:sz="4" w:space="0"/>
              <w:right w:val="single" w:color="000000" w:sz="4" w:space="0"/>
            </w:tcBorders>
            <w:vAlign w:val="center"/>
          </w:tcPr>
          <w:p w14:paraId="528D360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0.02</w:t>
            </w:r>
          </w:p>
        </w:tc>
        <w:tc>
          <w:tcPr>
            <w:tcW w:w="710" w:type="pct"/>
            <w:tcBorders>
              <w:top w:val="single" w:color="000000" w:sz="4" w:space="0"/>
              <w:left w:val="single" w:color="000000" w:sz="4" w:space="0"/>
              <w:bottom w:val="single" w:color="000000" w:sz="4" w:space="0"/>
              <w:right w:val="single" w:color="000000" w:sz="4" w:space="0"/>
            </w:tcBorders>
            <w:vAlign w:val="center"/>
          </w:tcPr>
          <w:p w14:paraId="24BBA17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0.03</w:t>
            </w:r>
          </w:p>
        </w:tc>
        <w:tc>
          <w:tcPr>
            <w:tcW w:w="710" w:type="pct"/>
            <w:tcBorders>
              <w:top w:val="single" w:color="000000" w:sz="4" w:space="0"/>
              <w:left w:val="single" w:color="000000" w:sz="4" w:space="0"/>
              <w:bottom w:val="single" w:color="000000" w:sz="4" w:space="0"/>
              <w:right w:val="single" w:color="000000" w:sz="4" w:space="0"/>
            </w:tcBorders>
            <w:vAlign w:val="center"/>
          </w:tcPr>
          <w:p w14:paraId="3D96226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1.74</w:t>
            </w:r>
          </w:p>
        </w:tc>
        <w:tc>
          <w:tcPr>
            <w:tcW w:w="710" w:type="pct"/>
            <w:tcBorders>
              <w:top w:val="single" w:color="000000" w:sz="4" w:space="0"/>
              <w:left w:val="single" w:color="000000" w:sz="4" w:space="0"/>
              <w:bottom w:val="single" w:color="000000" w:sz="4" w:space="0"/>
              <w:right w:val="single" w:color="000000" w:sz="4" w:space="0"/>
            </w:tcBorders>
            <w:vAlign w:val="center"/>
          </w:tcPr>
          <w:p w14:paraId="43AC4FB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1.00</w:t>
            </w:r>
          </w:p>
        </w:tc>
        <w:tc>
          <w:tcPr>
            <w:tcW w:w="737" w:type="pct"/>
            <w:tcBorders>
              <w:top w:val="single" w:color="000000" w:sz="4" w:space="0"/>
              <w:left w:val="single" w:color="000000" w:sz="4" w:space="0"/>
              <w:bottom w:val="single" w:color="000000" w:sz="4" w:space="0"/>
              <w:right w:val="single" w:color="000000" w:sz="4" w:space="0"/>
            </w:tcBorders>
            <w:vAlign w:val="center"/>
          </w:tcPr>
          <w:p w14:paraId="0000F1C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36.2</w:t>
            </w:r>
          </w:p>
        </w:tc>
        <w:tc>
          <w:tcPr>
            <w:tcW w:w="710" w:type="pct"/>
            <w:tcBorders>
              <w:top w:val="single" w:color="000000" w:sz="4" w:space="0"/>
              <w:left w:val="single" w:color="000000" w:sz="4" w:space="0"/>
              <w:bottom w:val="single" w:color="000000" w:sz="4" w:space="0"/>
              <w:right w:val="single" w:color="000000" w:sz="4" w:space="0"/>
            </w:tcBorders>
            <w:vAlign w:val="center"/>
          </w:tcPr>
          <w:p w14:paraId="4F01A08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18.6</w:t>
            </w:r>
          </w:p>
        </w:tc>
      </w:tr>
      <w:tr w14:paraId="77876EA0">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631B7B5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w:t>
            </w:r>
          </w:p>
        </w:tc>
        <w:tc>
          <w:tcPr>
            <w:tcW w:w="710" w:type="pct"/>
            <w:tcBorders>
              <w:top w:val="single" w:color="000000" w:sz="4" w:space="0"/>
              <w:left w:val="single" w:color="000000" w:sz="4" w:space="0"/>
              <w:bottom w:val="single" w:color="000000" w:sz="4" w:space="0"/>
              <w:right w:val="single" w:color="000000" w:sz="4" w:space="0"/>
            </w:tcBorders>
            <w:vAlign w:val="center"/>
          </w:tcPr>
          <w:p w14:paraId="39E55A2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7DD0BED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0.02</w:t>
            </w:r>
          </w:p>
        </w:tc>
        <w:tc>
          <w:tcPr>
            <w:tcW w:w="710" w:type="pct"/>
            <w:tcBorders>
              <w:top w:val="single" w:color="000000" w:sz="4" w:space="0"/>
              <w:left w:val="single" w:color="000000" w:sz="4" w:space="0"/>
              <w:bottom w:val="single" w:color="000000" w:sz="4" w:space="0"/>
              <w:right w:val="single" w:color="000000" w:sz="4" w:space="0"/>
            </w:tcBorders>
            <w:vAlign w:val="center"/>
          </w:tcPr>
          <w:p w14:paraId="50F06D2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1.81</w:t>
            </w:r>
          </w:p>
        </w:tc>
        <w:tc>
          <w:tcPr>
            <w:tcW w:w="710" w:type="pct"/>
            <w:tcBorders>
              <w:top w:val="single" w:color="000000" w:sz="4" w:space="0"/>
              <w:left w:val="single" w:color="000000" w:sz="4" w:space="0"/>
              <w:bottom w:val="single" w:color="000000" w:sz="4" w:space="0"/>
              <w:right w:val="single" w:color="000000" w:sz="4" w:space="0"/>
            </w:tcBorders>
            <w:vAlign w:val="center"/>
          </w:tcPr>
          <w:p w14:paraId="7B59A34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1.02</w:t>
            </w:r>
          </w:p>
        </w:tc>
        <w:tc>
          <w:tcPr>
            <w:tcW w:w="737" w:type="pct"/>
            <w:tcBorders>
              <w:top w:val="single" w:color="000000" w:sz="4" w:space="0"/>
              <w:left w:val="single" w:color="000000" w:sz="4" w:space="0"/>
              <w:bottom w:val="single" w:color="000000" w:sz="4" w:space="0"/>
              <w:right w:val="single" w:color="000000" w:sz="4" w:space="0"/>
            </w:tcBorders>
            <w:vAlign w:val="center"/>
          </w:tcPr>
          <w:p w14:paraId="19DFB2D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36.7</w:t>
            </w:r>
          </w:p>
        </w:tc>
        <w:tc>
          <w:tcPr>
            <w:tcW w:w="710" w:type="pct"/>
            <w:tcBorders>
              <w:top w:val="single" w:color="000000" w:sz="4" w:space="0"/>
              <w:left w:val="single" w:color="000000" w:sz="4" w:space="0"/>
              <w:bottom w:val="single" w:color="000000" w:sz="4" w:space="0"/>
              <w:right w:val="single" w:color="000000" w:sz="4" w:space="0"/>
            </w:tcBorders>
            <w:vAlign w:val="center"/>
          </w:tcPr>
          <w:p w14:paraId="1FE9450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17.1</w:t>
            </w:r>
          </w:p>
        </w:tc>
      </w:tr>
      <w:tr w14:paraId="28483AB0">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4D9361C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710" w:type="pct"/>
            <w:tcBorders>
              <w:top w:val="single" w:color="000000" w:sz="4" w:space="0"/>
              <w:left w:val="single" w:color="000000" w:sz="4" w:space="0"/>
              <w:bottom w:val="single" w:color="000000" w:sz="4" w:space="0"/>
              <w:right w:val="single" w:color="000000" w:sz="4" w:space="0"/>
            </w:tcBorders>
            <w:vAlign w:val="center"/>
          </w:tcPr>
          <w:p w14:paraId="41252A9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75C6A23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0.02</w:t>
            </w:r>
          </w:p>
        </w:tc>
        <w:tc>
          <w:tcPr>
            <w:tcW w:w="710" w:type="pct"/>
            <w:tcBorders>
              <w:top w:val="single" w:color="000000" w:sz="4" w:space="0"/>
              <w:left w:val="single" w:color="000000" w:sz="4" w:space="0"/>
              <w:bottom w:val="single" w:color="000000" w:sz="4" w:space="0"/>
              <w:right w:val="single" w:color="000000" w:sz="4" w:space="0"/>
            </w:tcBorders>
            <w:vAlign w:val="center"/>
          </w:tcPr>
          <w:p w14:paraId="0110C4D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1.88</w:t>
            </w:r>
          </w:p>
        </w:tc>
        <w:tc>
          <w:tcPr>
            <w:tcW w:w="710" w:type="pct"/>
            <w:tcBorders>
              <w:top w:val="single" w:color="000000" w:sz="4" w:space="0"/>
              <w:left w:val="single" w:color="000000" w:sz="4" w:space="0"/>
              <w:bottom w:val="single" w:color="000000" w:sz="4" w:space="0"/>
              <w:right w:val="single" w:color="000000" w:sz="4" w:space="0"/>
            </w:tcBorders>
            <w:vAlign w:val="center"/>
          </w:tcPr>
          <w:p w14:paraId="17237F8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1.03</w:t>
            </w:r>
          </w:p>
        </w:tc>
        <w:tc>
          <w:tcPr>
            <w:tcW w:w="737" w:type="pct"/>
            <w:tcBorders>
              <w:top w:val="single" w:color="000000" w:sz="4" w:space="0"/>
              <w:left w:val="single" w:color="000000" w:sz="4" w:space="0"/>
              <w:bottom w:val="single" w:color="000000" w:sz="4" w:space="0"/>
              <w:right w:val="single" w:color="000000" w:sz="4" w:space="0"/>
            </w:tcBorders>
            <w:vAlign w:val="center"/>
          </w:tcPr>
          <w:p w14:paraId="124E4CB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37.2</w:t>
            </w:r>
          </w:p>
        </w:tc>
        <w:tc>
          <w:tcPr>
            <w:tcW w:w="710" w:type="pct"/>
            <w:tcBorders>
              <w:top w:val="single" w:color="000000" w:sz="4" w:space="0"/>
              <w:left w:val="single" w:color="000000" w:sz="4" w:space="0"/>
              <w:bottom w:val="single" w:color="000000" w:sz="4" w:space="0"/>
              <w:right w:val="single" w:color="000000" w:sz="4" w:space="0"/>
            </w:tcBorders>
            <w:vAlign w:val="center"/>
          </w:tcPr>
          <w:p w14:paraId="5B9E524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15.7</w:t>
            </w:r>
          </w:p>
        </w:tc>
      </w:tr>
      <w:tr w14:paraId="2662695A">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631CFE2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13</w:t>
            </w:r>
          </w:p>
        </w:tc>
        <w:tc>
          <w:tcPr>
            <w:tcW w:w="710" w:type="pct"/>
            <w:tcBorders>
              <w:top w:val="single" w:color="000000" w:sz="4" w:space="0"/>
              <w:left w:val="single" w:color="000000" w:sz="4" w:space="0"/>
              <w:bottom w:val="single" w:color="000000" w:sz="4" w:space="0"/>
              <w:right w:val="single" w:color="000000" w:sz="4" w:space="0"/>
            </w:tcBorders>
            <w:vAlign w:val="center"/>
          </w:tcPr>
          <w:p w14:paraId="2CF452E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7ADC355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0.02</w:t>
            </w:r>
          </w:p>
        </w:tc>
        <w:tc>
          <w:tcPr>
            <w:tcW w:w="710" w:type="pct"/>
            <w:tcBorders>
              <w:top w:val="single" w:color="000000" w:sz="4" w:space="0"/>
              <w:left w:val="single" w:color="000000" w:sz="4" w:space="0"/>
              <w:bottom w:val="single" w:color="000000" w:sz="4" w:space="0"/>
              <w:right w:val="single" w:color="000000" w:sz="4" w:space="0"/>
            </w:tcBorders>
            <w:vAlign w:val="center"/>
          </w:tcPr>
          <w:p w14:paraId="0E9D2AD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1.94</w:t>
            </w:r>
          </w:p>
        </w:tc>
        <w:tc>
          <w:tcPr>
            <w:tcW w:w="710" w:type="pct"/>
            <w:tcBorders>
              <w:top w:val="single" w:color="000000" w:sz="4" w:space="0"/>
              <w:left w:val="single" w:color="000000" w:sz="4" w:space="0"/>
              <w:bottom w:val="single" w:color="000000" w:sz="4" w:space="0"/>
              <w:right w:val="single" w:color="000000" w:sz="4" w:space="0"/>
            </w:tcBorders>
            <w:vAlign w:val="center"/>
          </w:tcPr>
          <w:p w14:paraId="5F9249A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1.04</w:t>
            </w:r>
          </w:p>
        </w:tc>
        <w:tc>
          <w:tcPr>
            <w:tcW w:w="737" w:type="pct"/>
            <w:tcBorders>
              <w:top w:val="single" w:color="000000" w:sz="4" w:space="0"/>
              <w:left w:val="single" w:color="000000" w:sz="4" w:space="0"/>
              <w:bottom w:val="single" w:color="000000" w:sz="4" w:space="0"/>
              <w:right w:val="single" w:color="000000" w:sz="4" w:space="0"/>
            </w:tcBorders>
            <w:vAlign w:val="center"/>
          </w:tcPr>
          <w:p w14:paraId="5D8D584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37.6</w:t>
            </w:r>
          </w:p>
        </w:tc>
        <w:tc>
          <w:tcPr>
            <w:tcW w:w="710" w:type="pct"/>
            <w:tcBorders>
              <w:top w:val="single" w:color="000000" w:sz="4" w:space="0"/>
              <w:left w:val="single" w:color="000000" w:sz="4" w:space="0"/>
              <w:bottom w:val="single" w:color="000000" w:sz="4" w:space="0"/>
              <w:right w:val="single" w:color="000000" w:sz="4" w:space="0"/>
            </w:tcBorders>
            <w:vAlign w:val="center"/>
          </w:tcPr>
          <w:p w14:paraId="3E3F875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14.6</w:t>
            </w:r>
          </w:p>
        </w:tc>
      </w:tr>
      <w:tr w14:paraId="55B1EE88">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1DCC5C7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14</w:t>
            </w:r>
          </w:p>
        </w:tc>
        <w:tc>
          <w:tcPr>
            <w:tcW w:w="710" w:type="pct"/>
            <w:tcBorders>
              <w:top w:val="single" w:color="000000" w:sz="4" w:space="0"/>
              <w:left w:val="single" w:color="000000" w:sz="4" w:space="0"/>
              <w:bottom w:val="single" w:color="000000" w:sz="4" w:space="0"/>
              <w:right w:val="single" w:color="000000" w:sz="4" w:space="0"/>
            </w:tcBorders>
            <w:vAlign w:val="center"/>
          </w:tcPr>
          <w:p w14:paraId="7E9A1B1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6565E86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501FE0B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2.01</w:t>
            </w:r>
          </w:p>
        </w:tc>
        <w:tc>
          <w:tcPr>
            <w:tcW w:w="710" w:type="pct"/>
            <w:tcBorders>
              <w:top w:val="single" w:color="000000" w:sz="4" w:space="0"/>
              <w:left w:val="single" w:color="000000" w:sz="4" w:space="0"/>
              <w:bottom w:val="single" w:color="000000" w:sz="4" w:space="0"/>
              <w:right w:val="single" w:color="000000" w:sz="4" w:space="0"/>
            </w:tcBorders>
            <w:vAlign w:val="center"/>
          </w:tcPr>
          <w:p w14:paraId="036CF79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1.05</w:t>
            </w:r>
          </w:p>
        </w:tc>
        <w:tc>
          <w:tcPr>
            <w:tcW w:w="737" w:type="pct"/>
            <w:tcBorders>
              <w:top w:val="single" w:color="000000" w:sz="4" w:space="0"/>
              <w:left w:val="single" w:color="000000" w:sz="4" w:space="0"/>
              <w:bottom w:val="single" w:color="000000" w:sz="4" w:space="0"/>
              <w:right w:val="single" w:color="000000" w:sz="4" w:space="0"/>
            </w:tcBorders>
            <w:vAlign w:val="center"/>
          </w:tcPr>
          <w:p w14:paraId="78E3E50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38.0</w:t>
            </w:r>
          </w:p>
        </w:tc>
        <w:tc>
          <w:tcPr>
            <w:tcW w:w="710" w:type="pct"/>
            <w:tcBorders>
              <w:top w:val="single" w:color="000000" w:sz="4" w:space="0"/>
              <w:left w:val="single" w:color="000000" w:sz="4" w:space="0"/>
              <w:bottom w:val="single" w:color="000000" w:sz="4" w:space="0"/>
              <w:right w:val="single" w:color="000000" w:sz="4" w:space="0"/>
            </w:tcBorders>
            <w:vAlign w:val="center"/>
          </w:tcPr>
          <w:p w14:paraId="765D950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13.7</w:t>
            </w:r>
          </w:p>
        </w:tc>
      </w:tr>
      <w:tr w14:paraId="2DF8A285">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4125F03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w:t>
            </w:r>
          </w:p>
        </w:tc>
        <w:tc>
          <w:tcPr>
            <w:tcW w:w="710" w:type="pct"/>
            <w:tcBorders>
              <w:top w:val="single" w:color="000000" w:sz="4" w:space="0"/>
              <w:left w:val="single" w:color="000000" w:sz="4" w:space="0"/>
              <w:bottom w:val="single" w:color="000000" w:sz="4" w:space="0"/>
              <w:right w:val="single" w:color="000000" w:sz="4" w:space="0"/>
            </w:tcBorders>
            <w:vAlign w:val="center"/>
          </w:tcPr>
          <w:p w14:paraId="2CEFFED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0E8AB79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7C2BF3D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2.08</w:t>
            </w:r>
          </w:p>
        </w:tc>
        <w:tc>
          <w:tcPr>
            <w:tcW w:w="710" w:type="pct"/>
            <w:tcBorders>
              <w:top w:val="single" w:color="000000" w:sz="4" w:space="0"/>
              <w:left w:val="single" w:color="000000" w:sz="4" w:space="0"/>
              <w:bottom w:val="single" w:color="000000" w:sz="4" w:space="0"/>
              <w:right w:val="single" w:color="000000" w:sz="4" w:space="0"/>
            </w:tcBorders>
            <w:vAlign w:val="center"/>
          </w:tcPr>
          <w:p w14:paraId="4B7A876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1.06</w:t>
            </w:r>
          </w:p>
        </w:tc>
        <w:tc>
          <w:tcPr>
            <w:tcW w:w="737" w:type="pct"/>
            <w:tcBorders>
              <w:top w:val="single" w:color="000000" w:sz="4" w:space="0"/>
              <w:left w:val="single" w:color="000000" w:sz="4" w:space="0"/>
              <w:bottom w:val="single" w:color="000000" w:sz="4" w:space="0"/>
              <w:right w:val="single" w:color="000000" w:sz="4" w:space="0"/>
            </w:tcBorders>
            <w:vAlign w:val="center"/>
          </w:tcPr>
          <w:p w14:paraId="288AC59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38.3</w:t>
            </w:r>
          </w:p>
        </w:tc>
        <w:tc>
          <w:tcPr>
            <w:tcW w:w="710" w:type="pct"/>
            <w:tcBorders>
              <w:top w:val="single" w:color="000000" w:sz="4" w:space="0"/>
              <w:left w:val="single" w:color="000000" w:sz="4" w:space="0"/>
              <w:bottom w:val="single" w:color="000000" w:sz="4" w:space="0"/>
              <w:right w:val="single" w:color="000000" w:sz="4" w:space="0"/>
            </w:tcBorders>
            <w:vAlign w:val="center"/>
          </w:tcPr>
          <w:p w14:paraId="2B4CB8F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12.8</w:t>
            </w:r>
          </w:p>
        </w:tc>
      </w:tr>
      <w:tr w14:paraId="0F2BE9FF">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76D81FC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w:t>
            </w:r>
          </w:p>
        </w:tc>
        <w:tc>
          <w:tcPr>
            <w:tcW w:w="710" w:type="pct"/>
            <w:tcBorders>
              <w:top w:val="single" w:color="000000" w:sz="4" w:space="0"/>
              <w:left w:val="single" w:color="000000" w:sz="4" w:space="0"/>
              <w:bottom w:val="single" w:color="000000" w:sz="4" w:space="0"/>
              <w:right w:val="single" w:color="000000" w:sz="4" w:space="0"/>
            </w:tcBorders>
            <w:vAlign w:val="center"/>
          </w:tcPr>
          <w:p w14:paraId="1C24549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0BA7053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147E6EF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2.14</w:t>
            </w:r>
          </w:p>
        </w:tc>
        <w:tc>
          <w:tcPr>
            <w:tcW w:w="710" w:type="pct"/>
            <w:tcBorders>
              <w:top w:val="single" w:color="000000" w:sz="4" w:space="0"/>
              <w:left w:val="single" w:color="000000" w:sz="4" w:space="0"/>
              <w:bottom w:val="single" w:color="000000" w:sz="4" w:space="0"/>
              <w:right w:val="single" w:color="000000" w:sz="4" w:space="0"/>
            </w:tcBorders>
            <w:vAlign w:val="center"/>
          </w:tcPr>
          <w:p w14:paraId="55DB52A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1.07</w:t>
            </w:r>
          </w:p>
        </w:tc>
        <w:tc>
          <w:tcPr>
            <w:tcW w:w="737" w:type="pct"/>
            <w:tcBorders>
              <w:top w:val="single" w:color="000000" w:sz="4" w:space="0"/>
              <w:left w:val="single" w:color="000000" w:sz="4" w:space="0"/>
              <w:bottom w:val="single" w:color="000000" w:sz="4" w:space="0"/>
              <w:right w:val="single" w:color="000000" w:sz="4" w:space="0"/>
            </w:tcBorders>
            <w:vAlign w:val="center"/>
          </w:tcPr>
          <w:p w14:paraId="7CA867F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38.6</w:t>
            </w:r>
          </w:p>
        </w:tc>
        <w:tc>
          <w:tcPr>
            <w:tcW w:w="710" w:type="pct"/>
            <w:tcBorders>
              <w:top w:val="single" w:color="000000" w:sz="4" w:space="0"/>
              <w:left w:val="single" w:color="000000" w:sz="4" w:space="0"/>
              <w:bottom w:val="single" w:color="000000" w:sz="4" w:space="0"/>
              <w:right w:val="single" w:color="000000" w:sz="4" w:space="0"/>
            </w:tcBorders>
            <w:vAlign w:val="center"/>
          </w:tcPr>
          <w:p w14:paraId="38F7725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12.0</w:t>
            </w:r>
          </w:p>
        </w:tc>
      </w:tr>
      <w:tr w14:paraId="78738A2E">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3BEACD0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17</w:t>
            </w:r>
          </w:p>
        </w:tc>
        <w:tc>
          <w:tcPr>
            <w:tcW w:w="710" w:type="pct"/>
            <w:tcBorders>
              <w:top w:val="single" w:color="000000" w:sz="4" w:space="0"/>
              <w:left w:val="single" w:color="000000" w:sz="4" w:space="0"/>
              <w:bottom w:val="single" w:color="000000" w:sz="4" w:space="0"/>
              <w:right w:val="single" w:color="000000" w:sz="4" w:space="0"/>
            </w:tcBorders>
            <w:vAlign w:val="center"/>
          </w:tcPr>
          <w:p w14:paraId="071DA12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72BABDE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6DAB527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2.21</w:t>
            </w:r>
          </w:p>
        </w:tc>
        <w:tc>
          <w:tcPr>
            <w:tcW w:w="710" w:type="pct"/>
            <w:tcBorders>
              <w:top w:val="single" w:color="000000" w:sz="4" w:space="0"/>
              <w:left w:val="single" w:color="000000" w:sz="4" w:space="0"/>
              <w:bottom w:val="single" w:color="000000" w:sz="4" w:space="0"/>
              <w:right w:val="single" w:color="000000" w:sz="4" w:space="0"/>
            </w:tcBorders>
            <w:vAlign w:val="center"/>
          </w:tcPr>
          <w:p w14:paraId="4372A6D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1.08</w:t>
            </w:r>
          </w:p>
        </w:tc>
        <w:tc>
          <w:tcPr>
            <w:tcW w:w="737" w:type="pct"/>
            <w:tcBorders>
              <w:top w:val="single" w:color="000000" w:sz="4" w:space="0"/>
              <w:left w:val="single" w:color="000000" w:sz="4" w:space="0"/>
              <w:bottom w:val="single" w:color="000000" w:sz="4" w:space="0"/>
              <w:right w:val="single" w:color="000000" w:sz="4" w:space="0"/>
            </w:tcBorders>
            <w:vAlign w:val="center"/>
          </w:tcPr>
          <w:p w14:paraId="41A1000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38.9</w:t>
            </w:r>
          </w:p>
        </w:tc>
        <w:tc>
          <w:tcPr>
            <w:tcW w:w="710" w:type="pct"/>
            <w:tcBorders>
              <w:top w:val="single" w:color="000000" w:sz="4" w:space="0"/>
              <w:left w:val="single" w:color="000000" w:sz="4" w:space="0"/>
              <w:bottom w:val="single" w:color="000000" w:sz="4" w:space="0"/>
              <w:right w:val="single" w:color="000000" w:sz="4" w:space="0"/>
            </w:tcBorders>
            <w:vAlign w:val="center"/>
          </w:tcPr>
          <w:p w14:paraId="70311EC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11.3</w:t>
            </w:r>
          </w:p>
        </w:tc>
      </w:tr>
      <w:tr w14:paraId="45025FD6">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5273B74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18</w:t>
            </w:r>
          </w:p>
        </w:tc>
        <w:tc>
          <w:tcPr>
            <w:tcW w:w="710" w:type="pct"/>
            <w:tcBorders>
              <w:top w:val="single" w:color="000000" w:sz="4" w:space="0"/>
              <w:left w:val="single" w:color="000000" w:sz="4" w:space="0"/>
              <w:bottom w:val="single" w:color="000000" w:sz="4" w:space="0"/>
              <w:right w:val="single" w:color="000000" w:sz="4" w:space="0"/>
            </w:tcBorders>
            <w:vAlign w:val="center"/>
          </w:tcPr>
          <w:p w14:paraId="4502A19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48C57B9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25465F5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2.27</w:t>
            </w:r>
          </w:p>
        </w:tc>
        <w:tc>
          <w:tcPr>
            <w:tcW w:w="710" w:type="pct"/>
            <w:tcBorders>
              <w:top w:val="single" w:color="000000" w:sz="4" w:space="0"/>
              <w:left w:val="single" w:color="000000" w:sz="4" w:space="0"/>
              <w:bottom w:val="single" w:color="000000" w:sz="4" w:space="0"/>
              <w:right w:val="single" w:color="000000" w:sz="4" w:space="0"/>
            </w:tcBorders>
            <w:vAlign w:val="center"/>
          </w:tcPr>
          <w:p w14:paraId="6133396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1.08</w:t>
            </w:r>
          </w:p>
        </w:tc>
        <w:tc>
          <w:tcPr>
            <w:tcW w:w="737" w:type="pct"/>
            <w:tcBorders>
              <w:top w:val="single" w:color="000000" w:sz="4" w:space="0"/>
              <w:left w:val="single" w:color="000000" w:sz="4" w:space="0"/>
              <w:bottom w:val="single" w:color="000000" w:sz="4" w:space="0"/>
              <w:right w:val="single" w:color="000000" w:sz="4" w:space="0"/>
            </w:tcBorders>
            <w:vAlign w:val="center"/>
          </w:tcPr>
          <w:p w14:paraId="72BE884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39.1</w:t>
            </w:r>
          </w:p>
        </w:tc>
        <w:tc>
          <w:tcPr>
            <w:tcW w:w="710" w:type="pct"/>
            <w:tcBorders>
              <w:top w:val="single" w:color="000000" w:sz="4" w:space="0"/>
              <w:left w:val="single" w:color="000000" w:sz="4" w:space="0"/>
              <w:bottom w:val="single" w:color="000000" w:sz="4" w:space="0"/>
              <w:right w:val="single" w:color="000000" w:sz="4" w:space="0"/>
            </w:tcBorders>
            <w:vAlign w:val="center"/>
          </w:tcPr>
          <w:p w14:paraId="7AD4E1C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10.7</w:t>
            </w:r>
          </w:p>
        </w:tc>
      </w:tr>
      <w:tr w14:paraId="7652B067">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6EECE52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19</w:t>
            </w:r>
          </w:p>
        </w:tc>
        <w:tc>
          <w:tcPr>
            <w:tcW w:w="710" w:type="pct"/>
            <w:tcBorders>
              <w:top w:val="single" w:color="000000" w:sz="4" w:space="0"/>
              <w:left w:val="single" w:color="000000" w:sz="4" w:space="0"/>
              <w:bottom w:val="single" w:color="000000" w:sz="4" w:space="0"/>
              <w:right w:val="single" w:color="000000" w:sz="4" w:space="0"/>
            </w:tcBorders>
            <w:vAlign w:val="center"/>
          </w:tcPr>
          <w:p w14:paraId="2DE1B37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4ED3924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45A9EEB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2.34</w:t>
            </w:r>
          </w:p>
        </w:tc>
        <w:tc>
          <w:tcPr>
            <w:tcW w:w="710" w:type="pct"/>
            <w:tcBorders>
              <w:top w:val="single" w:color="000000" w:sz="4" w:space="0"/>
              <w:left w:val="single" w:color="000000" w:sz="4" w:space="0"/>
              <w:bottom w:val="single" w:color="000000" w:sz="4" w:space="0"/>
              <w:right w:val="single" w:color="000000" w:sz="4" w:space="0"/>
            </w:tcBorders>
            <w:vAlign w:val="center"/>
          </w:tcPr>
          <w:p w14:paraId="50BC015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1.09</w:t>
            </w:r>
          </w:p>
        </w:tc>
        <w:tc>
          <w:tcPr>
            <w:tcW w:w="737" w:type="pct"/>
            <w:tcBorders>
              <w:top w:val="single" w:color="000000" w:sz="4" w:space="0"/>
              <w:left w:val="single" w:color="000000" w:sz="4" w:space="0"/>
              <w:bottom w:val="single" w:color="000000" w:sz="4" w:space="0"/>
              <w:right w:val="single" w:color="000000" w:sz="4" w:space="0"/>
            </w:tcBorders>
            <w:vAlign w:val="center"/>
          </w:tcPr>
          <w:p w14:paraId="10B9FAB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39.3</w:t>
            </w:r>
          </w:p>
        </w:tc>
        <w:tc>
          <w:tcPr>
            <w:tcW w:w="710" w:type="pct"/>
            <w:tcBorders>
              <w:top w:val="single" w:color="000000" w:sz="4" w:space="0"/>
              <w:left w:val="single" w:color="000000" w:sz="4" w:space="0"/>
              <w:bottom w:val="single" w:color="000000" w:sz="4" w:space="0"/>
              <w:right w:val="single" w:color="000000" w:sz="4" w:space="0"/>
            </w:tcBorders>
            <w:vAlign w:val="center"/>
          </w:tcPr>
          <w:p w14:paraId="5C71F63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10.1</w:t>
            </w:r>
          </w:p>
        </w:tc>
      </w:tr>
      <w:tr w14:paraId="073B4C03">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vAlign w:val="center"/>
          </w:tcPr>
          <w:p w14:paraId="5D8F50D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w:t>
            </w:r>
          </w:p>
        </w:tc>
        <w:tc>
          <w:tcPr>
            <w:tcW w:w="710" w:type="pct"/>
            <w:tcBorders>
              <w:top w:val="single" w:color="000000" w:sz="4" w:space="0"/>
              <w:left w:val="single" w:color="000000" w:sz="4" w:space="0"/>
              <w:bottom w:val="single" w:color="000000" w:sz="4" w:space="0"/>
              <w:right w:val="single" w:color="000000" w:sz="4" w:space="0"/>
            </w:tcBorders>
            <w:vAlign w:val="center"/>
          </w:tcPr>
          <w:p w14:paraId="562C8A6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3474EB6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0.01</w:t>
            </w:r>
          </w:p>
        </w:tc>
        <w:tc>
          <w:tcPr>
            <w:tcW w:w="710" w:type="pct"/>
            <w:tcBorders>
              <w:top w:val="single" w:color="000000" w:sz="4" w:space="0"/>
              <w:left w:val="single" w:color="000000" w:sz="4" w:space="0"/>
              <w:bottom w:val="single" w:color="000000" w:sz="4" w:space="0"/>
              <w:right w:val="single" w:color="000000" w:sz="4" w:space="0"/>
            </w:tcBorders>
            <w:vAlign w:val="center"/>
          </w:tcPr>
          <w:p w14:paraId="2B345B3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2.41</w:t>
            </w:r>
          </w:p>
        </w:tc>
        <w:tc>
          <w:tcPr>
            <w:tcW w:w="710" w:type="pct"/>
            <w:tcBorders>
              <w:top w:val="single" w:color="000000" w:sz="4" w:space="0"/>
              <w:left w:val="single" w:color="000000" w:sz="4" w:space="0"/>
              <w:bottom w:val="single" w:color="000000" w:sz="4" w:space="0"/>
              <w:right w:val="single" w:color="000000" w:sz="4" w:space="0"/>
            </w:tcBorders>
            <w:vAlign w:val="center"/>
          </w:tcPr>
          <w:p w14:paraId="282E396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1.09</w:t>
            </w:r>
          </w:p>
        </w:tc>
        <w:tc>
          <w:tcPr>
            <w:tcW w:w="737" w:type="pct"/>
            <w:tcBorders>
              <w:top w:val="single" w:color="000000" w:sz="4" w:space="0"/>
              <w:left w:val="single" w:color="000000" w:sz="4" w:space="0"/>
              <w:bottom w:val="single" w:color="000000" w:sz="4" w:space="0"/>
              <w:right w:val="single" w:color="000000" w:sz="4" w:space="0"/>
            </w:tcBorders>
            <w:vAlign w:val="center"/>
          </w:tcPr>
          <w:p w14:paraId="7E416D6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39.5</w:t>
            </w:r>
          </w:p>
        </w:tc>
        <w:tc>
          <w:tcPr>
            <w:tcW w:w="710" w:type="pct"/>
            <w:tcBorders>
              <w:top w:val="single" w:color="000000" w:sz="4" w:space="0"/>
              <w:left w:val="single" w:color="000000" w:sz="4" w:space="0"/>
              <w:bottom w:val="single" w:color="000000" w:sz="4" w:space="0"/>
              <w:right w:val="single" w:color="000000" w:sz="4" w:space="0"/>
            </w:tcBorders>
            <w:vAlign w:val="center"/>
          </w:tcPr>
          <w:p w14:paraId="0BC5711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9.5</w:t>
            </w:r>
          </w:p>
        </w:tc>
      </w:tr>
    </w:tbl>
    <w:p w14:paraId="2C300C2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Times New Roman" w:hAnsi="Times New Roman" w:cs="Times New Roman"/>
          <w:color w:val="auto"/>
          <w:u w:val="none"/>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5 </w:t>
      </w:r>
      <w:r>
        <w:rPr>
          <w:rFonts w:hint="default" w:ascii="黑体" w:hAnsi="黑体" w:eastAsia="黑体" w:cs="黑体"/>
          <w:b/>
          <w:color w:val="auto"/>
          <w:kern w:val="0"/>
          <w:sz w:val="24"/>
          <w:szCs w:val="24"/>
          <w:highlight w:val="none"/>
          <w:u w:val="none"/>
          <w:lang w:val="en-US" w:eastAsia="zh-CN"/>
        </w:rPr>
        <w:t>主体工程</w:t>
      </w:r>
    </w:p>
    <w:p w14:paraId="3A41544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kern w:val="0"/>
          <w:sz w:val="24"/>
          <w:szCs w:val="22"/>
          <w:u w:val="none"/>
        </w:rPr>
      </w:pPr>
      <w:r>
        <w:rPr>
          <w:rFonts w:hint="default" w:ascii="Times New Roman" w:hAnsi="Times New Roman" w:cs="Times New Roman"/>
          <w:color w:val="auto"/>
          <w:kern w:val="0"/>
          <w:sz w:val="24"/>
          <w:szCs w:val="22"/>
          <w:u w:val="none"/>
        </w:rPr>
        <w:t>主体工程包括</w:t>
      </w:r>
      <w:r>
        <w:rPr>
          <w:rFonts w:hint="eastAsia" w:cs="Times New Roman"/>
          <w:color w:val="auto"/>
          <w:kern w:val="0"/>
          <w:sz w:val="24"/>
          <w:szCs w:val="22"/>
          <w:u w:val="none"/>
          <w:lang w:eastAsia="zh-CN"/>
        </w:rPr>
        <w:t>：</w:t>
      </w:r>
      <w:r>
        <w:rPr>
          <w:rFonts w:hint="eastAsia" w:cs="Times New Roman"/>
          <w:color w:val="auto"/>
          <w:kern w:val="0"/>
          <w:sz w:val="24"/>
          <w:szCs w:val="22"/>
          <w:u w:val="none"/>
          <w:lang w:val="en-US" w:eastAsia="zh-CN"/>
        </w:rPr>
        <w:t>钻井工程、采气工程以及地面</w:t>
      </w:r>
      <w:r>
        <w:rPr>
          <w:rFonts w:hint="default" w:ascii="Times New Roman" w:hAnsi="Times New Roman" w:cs="Times New Roman"/>
          <w:color w:val="auto"/>
          <w:kern w:val="0"/>
          <w:sz w:val="24"/>
          <w:szCs w:val="22"/>
          <w:highlight w:val="none"/>
          <w:u w:val="none"/>
        </w:rPr>
        <w:t>工程</w:t>
      </w:r>
      <w:r>
        <w:rPr>
          <w:rFonts w:hint="default" w:ascii="Times New Roman" w:hAnsi="Times New Roman" w:cs="Times New Roman"/>
          <w:color w:val="auto"/>
          <w:kern w:val="0"/>
          <w:sz w:val="24"/>
          <w:szCs w:val="22"/>
          <w:u w:val="none"/>
        </w:rPr>
        <w:t>。</w:t>
      </w:r>
    </w:p>
    <w:p w14:paraId="1F8B7430">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Times New Roman" w:hAnsi="Times New Roman" w:cs="Times New Roman"/>
          <w:color w:val="auto"/>
          <w:szCs w:val="24"/>
          <w:u w:val="none"/>
        </w:rPr>
      </w:pPr>
      <w:r>
        <w:rPr>
          <w:rFonts w:hint="eastAsia" w:ascii="宋体" w:hAnsi="宋体" w:eastAsia="宋体" w:cs="宋体"/>
          <w:color w:val="auto"/>
          <w:u w:val="none"/>
        </w:rPr>
        <w:t>3.</w:t>
      </w:r>
      <w:r>
        <w:rPr>
          <w:rFonts w:hint="eastAsia" w:ascii="宋体" w:hAnsi="宋体" w:eastAsia="宋体" w:cs="宋体"/>
          <w:color w:val="auto"/>
          <w:u w:val="none"/>
          <w:lang w:val="en-US" w:eastAsia="zh-CN"/>
        </w:rPr>
        <w:t>3</w:t>
      </w:r>
      <w:r>
        <w:rPr>
          <w:rFonts w:hint="eastAsia" w:ascii="宋体" w:hAnsi="宋体" w:eastAsia="宋体" w:cs="宋体"/>
          <w:color w:val="auto"/>
          <w:u w:val="none"/>
        </w:rPr>
        <w:t>.</w:t>
      </w:r>
      <w:r>
        <w:rPr>
          <w:rFonts w:hint="eastAsia" w:ascii="宋体" w:hAnsi="宋体" w:cs="宋体"/>
          <w:color w:val="auto"/>
          <w:u w:val="none"/>
          <w:lang w:val="en-US" w:eastAsia="zh-CN"/>
        </w:rPr>
        <w:t>5</w:t>
      </w:r>
      <w:r>
        <w:rPr>
          <w:rFonts w:hint="eastAsia" w:ascii="宋体" w:hAnsi="宋体" w:eastAsia="宋体" w:cs="宋体"/>
          <w:color w:val="auto"/>
          <w:u w:val="none"/>
        </w:rPr>
        <w:t>.1</w:t>
      </w:r>
      <w:r>
        <w:rPr>
          <w:rFonts w:hint="eastAsia" w:ascii="宋体" w:hAnsi="宋体" w:eastAsia="宋体" w:cs="宋体"/>
          <w:color w:val="auto"/>
          <w:u w:val="none"/>
          <w:lang w:val="en-US" w:eastAsia="zh-CN"/>
        </w:rPr>
        <w:t xml:space="preserve"> </w:t>
      </w:r>
      <w:r>
        <w:rPr>
          <w:rFonts w:hint="eastAsia" w:ascii="宋体" w:hAnsi="宋体" w:eastAsia="宋体" w:cs="宋体"/>
          <w:color w:val="auto"/>
          <w:szCs w:val="24"/>
          <w:u w:val="none"/>
          <w:lang w:val="en-US" w:eastAsia="zh-CN"/>
        </w:rPr>
        <w:t>钻井</w:t>
      </w:r>
      <w:r>
        <w:rPr>
          <w:rFonts w:hint="eastAsia" w:ascii="宋体" w:hAnsi="宋体" w:eastAsia="宋体" w:cs="宋体"/>
          <w:color w:val="auto"/>
          <w:szCs w:val="24"/>
          <w:u w:val="none"/>
        </w:rPr>
        <w:t>工程</w:t>
      </w:r>
    </w:p>
    <w:p w14:paraId="31F4E74C">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rPr>
        <w:t>（1）</w:t>
      </w:r>
      <w:r>
        <w:rPr>
          <w:rFonts w:hint="default" w:ascii="Times New Roman" w:hAnsi="Times New Roman" w:cs="Times New Roman"/>
          <w:color w:val="auto"/>
          <w:highlight w:val="none"/>
          <w:u w:val="none"/>
          <w:lang w:val="en-US" w:eastAsia="zh-CN"/>
        </w:rPr>
        <w:t>基本情况</w:t>
      </w:r>
    </w:p>
    <w:p w14:paraId="0F1FBDF3">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s="Times New Roman"/>
          <w:color w:val="auto"/>
          <w:highlight w:val="none"/>
          <w:u w:val="none"/>
          <w:lang w:eastAsia="zh-CN"/>
        </w:rPr>
      </w:pPr>
      <w:r>
        <w:rPr>
          <w:rFonts w:hint="default" w:ascii="Times New Roman" w:hAnsi="Times New Roman" w:cs="Times New Roman"/>
          <w:color w:val="auto"/>
          <w:highlight w:val="none"/>
          <w:u w:val="none"/>
        </w:rPr>
        <w:t>本工程新钻采气井3口（MBHW6006井、MBHW6008井、MBHW6009井）</w:t>
      </w:r>
      <w:r>
        <w:rPr>
          <w:rFonts w:hint="eastAsia" w:ascii="Times New Roman" w:hAnsi="Times New Roman" w:cs="Times New Roman"/>
          <w:color w:val="auto"/>
          <w:highlight w:val="none"/>
          <w:u w:val="none"/>
          <w:lang w:val="en-US" w:eastAsia="zh-CN"/>
        </w:rPr>
        <w:t>，钻井总进尺</w:t>
      </w:r>
      <w:r>
        <w:rPr>
          <w:rFonts w:hint="eastAsia" w:cs="Times New Roman"/>
          <w:color w:val="auto"/>
          <w:highlight w:val="none"/>
          <w:u w:val="none"/>
          <w:lang w:val="en-US" w:eastAsia="zh-CN"/>
        </w:rPr>
        <w:t>16830</w:t>
      </w:r>
      <w:r>
        <w:rPr>
          <w:rFonts w:hint="eastAsia" w:ascii="Times New Roman" w:hAnsi="Times New Roman" w:cs="Times New Roman"/>
          <w:color w:val="auto"/>
          <w:highlight w:val="none"/>
          <w:u w:val="none"/>
          <w:lang w:val="en-US" w:eastAsia="zh-CN"/>
        </w:rPr>
        <w:t>m</w:t>
      </w:r>
      <w:r>
        <w:rPr>
          <w:rFonts w:hint="default" w:ascii="Times New Roman" w:hAnsi="Times New Roman" w:cs="Times New Roman"/>
          <w:snapToGrid w:val="0"/>
          <w:color w:val="auto"/>
          <w:kern w:val="0"/>
          <w:sz w:val="24"/>
          <w:u w:val="none"/>
        </w:rPr>
        <w:t>，</w:t>
      </w:r>
      <w:r>
        <w:rPr>
          <w:rFonts w:hint="default" w:ascii="Times New Roman" w:hAnsi="Times New Roman" w:cs="Times New Roman"/>
          <w:color w:val="auto"/>
          <w:highlight w:val="none"/>
          <w:u w:val="none"/>
        </w:rPr>
        <w:t>井型</w:t>
      </w:r>
      <w:r>
        <w:rPr>
          <w:rFonts w:hint="default" w:ascii="Times New Roman" w:hAnsi="Times New Roman" w:cs="Times New Roman"/>
          <w:color w:val="auto"/>
          <w:highlight w:val="none"/>
          <w:u w:val="none"/>
          <w:lang w:val="en-US" w:eastAsia="zh-CN"/>
        </w:rPr>
        <w:t>为水平井</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采用</w:t>
      </w:r>
      <w:r>
        <w:rPr>
          <w:rFonts w:hint="eastAsia" w:ascii="Times New Roman" w:hAnsi="Times New Roman" w:cs="Times New Roman"/>
          <w:color w:val="auto"/>
          <w:highlight w:val="none"/>
          <w:u w:val="none"/>
          <w:lang w:val="en-US" w:eastAsia="zh-CN"/>
        </w:rPr>
        <w:t>三</w:t>
      </w:r>
      <w:r>
        <w:rPr>
          <w:rFonts w:hint="default" w:ascii="Times New Roman" w:hAnsi="Times New Roman" w:cs="Times New Roman"/>
          <w:color w:val="auto"/>
          <w:highlight w:val="none"/>
          <w:u w:val="none"/>
          <w:lang w:val="en-US" w:eastAsia="zh-CN"/>
        </w:rPr>
        <w:t>开井身结构</w:t>
      </w:r>
      <w:r>
        <w:rPr>
          <w:rFonts w:hint="eastAsia" w:cs="Times New Roman"/>
          <w:color w:val="auto"/>
          <w:highlight w:val="none"/>
          <w:u w:val="none"/>
          <w:lang w:eastAsia="zh-CN"/>
        </w:rPr>
        <w:t>。</w:t>
      </w:r>
    </w:p>
    <w:p w14:paraId="2A98D622">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部署表见表3.</w:t>
      </w:r>
      <w:r>
        <w:rPr>
          <w:rFonts w:hint="eastAsia" w:cs="Times New Roman"/>
          <w:color w:val="auto"/>
          <w:highlight w:val="none"/>
          <w:u w:val="none"/>
          <w:lang w:val="en-US" w:eastAsia="zh-CN"/>
        </w:rPr>
        <w:t>3</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6</w:t>
      </w:r>
      <w:r>
        <w:rPr>
          <w:rFonts w:hint="default" w:ascii="Times New Roman" w:hAnsi="Times New Roman" w:cs="Times New Roman"/>
          <w:color w:val="auto"/>
          <w:highlight w:val="none"/>
          <w:u w:val="none"/>
        </w:rPr>
        <w:t>。</w:t>
      </w:r>
    </w:p>
    <w:p w14:paraId="5A21B8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042317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770974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3-6   莫116井区J</w:t>
      </w:r>
      <w:r>
        <w:rPr>
          <w:rFonts w:hint="eastAsia" w:ascii="黑体" w:hAnsi="黑体" w:eastAsia="黑体" w:cs="黑体"/>
          <w:b w:val="0"/>
          <w:bCs/>
          <w:color w:val="auto"/>
          <w:kern w:val="2"/>
          <w:sz w:val="24"/>
          <w:szCs w:val="24"/>
          <w:u w:val="none"/>
          <w:vertAlign w:val="subscript"/>
          <w:lang w:val="en-US" w:eastAsia="zh-CN" w:bidi="ar-SA"/>
        </w:rPr>
        <w:t>1</w:t>
      </w:r>
      <w:r>
        <w:rPr>
          <w:rFonts w:hint="eastAsia" w:ascii="黑体" w:hAnsi="黑体" w:eastAsia="黑体" w:cs="黑体"/>
          <w:b w:val="0"/>
          <w:bCs/>
          <w:color w:val="auto"/>
          <w:kern w:val="2"/>
          <w:sz w:val="24"/>
          <w:szCs w:val="24"/>
          <w:u w:val="none"/>
          <w:lang w:val="en-US" w:eastAsia="zh-CN" w:bidi="ar-SA"/>
        </w:rPr>
        <w:t>s</w:t>
      </w:r>
      <w:r>
        <w:rPr>
          <w:rFonts w:hint="eastAsia" w:ascii="黑体" w:hAnsi="黑体" w:eastAsia="黑体" w:cs="黑体"/>
          <w:b w:val="0"/>
          <w:bCs/>
          <w:color w:val="auto"/>
          <w:kern w:val="2"/>
          <w:sz w:val="24"/>
          <w:szCs w:val="24"/>
          <w:u w:val="none"/>
          <w:vertAlign w:val="subscript"/>
          <w:lang w:val="en-US" w:eastAsia="zh-CN" w:bidi="ar-SA"/>
        </w:rPr>
        <w:t>2</w:t>
      </w:r>
      <w:r>
        <w:rPr>
          <w:rFonts w:hint="eastAsia" w:ascii="黑体" w:hAnsi="黑体" w:eastAsia="黑体" w:cs="黑体"/>
          <w:b w:val="0"/>
          <w:bCs/>
          <w:color w:val="auto"/>
          <w:kern w:val="2"/>
          <w:sz w:val="24"/>
          <w:szCs w:val="24"/>
          <w:u w:val="none"/>
          <w:vertAlign w:val="superscript"/>
          <w:lang w:val="en-US" w:eastAsia="zh-CN" w:bidi="ar-SA"/>
        </w:rPr>
        <w:t>1-2</w:t>
      </w:r>
      <w:r>
        <w:rPr>
          <w:rFonts w:hint="eastAsia" w:ascii="黑体" w:hAnsi="黑体" w:eastAsia="黑体" w:cs="黑体"/>
          <w:b w:val="0"/>
          <w:bCs/>
          <w:color w:val="auto"/>
          <w:kern w:val="2"/>
          <w:sz w:val="24"/>
          <w:szCs w:val="24"/>
          <w:u w:val="none"/>
          <w:lang w:val="en-US" w:eastAsia="zh-CN" w:bidi="ar-SA"/>
        </w:rPr>
        <w:t>气藏开发部署表</w:t>
      </w:r>
    </w:p>
    <w:tbl>
      <w:tblPr>
        <w:tblStyle w:val="37"/>
        <w:tblW w:w="50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15"/>
        <w:gridCol w:w="1023"/>
        <w:gridCol w:w="1289"/>
        <w:gridCol w:w="1252"/>
        <w:gridCol w:w="805"/>
        <w:gridCol w:w="821"/>
        <w:gridCol w:w="1025"/>
        <w:gridCol w:w="1029"/>
        <w:gridCol w:w="1031"/>
      </w:tblGrid>
      <w:tr w14:paraId="65AA9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restart"/>
            <w:tcBorders>
              <w:tl2br w:val="nil"/>
              <w:tr2bl w:val="nil"/>
            </w:tcBorders>
            <w:shd w:val="clear" w:color="auto" w:fill="auto"/>
            <w:vAlign w:val="center"/>
          </w:tcPr>
          <w:p w14:paraId="75D1E42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序号</w:t>
            </w:r>
          </w:p>
        </w:tc>
        <w:tc>
          <w:tcPr>
            <w:tcW w:w="582" w:type="pct"/>
            <w:vMerge w:val="restart"/>
            <w:tcBorders>
              <w:tl2br w:val="nil"/>
              <w:tr2bl w:val="nil"/>
            </w:tcBorders>
            <w:shd w:val="clear" w:color="auto" w:fill="auto"/>
            <w:vAlign w:val="center"/>
          </w:tcPr>
          <w:p w14:paraId="24A7098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井号</w:t>
            </w:r>
          </w:p>
        </w:tc>
        <w:tc>
          <w:tcPr>
            <w:tcW w:w="1445" w:type="pct"/>
            <w:gridSpan w:val="2"/>
            <w:tcBorders>
              <w:tl2br w:val="nil"/>
              <w:tr2bl w:val="nil"/>
            </w:tcBorders>
            <w:shd w:val="clear" w:color="auto" w:fill="auto"/>
            <w:vAlign w:val="center"/>
          </w:tcPr>
          <w:p w14:paraId="60D57F5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坐标</w:t>
            </w:r>
          </w:p>
        </w:tc>
        <w:tc>
          <w:tcPr>
            <w:tcW w:w="458" w:type="pct"/>
            <w:vMerge w:val="restart"/>
            <w:tcBorders>
              <w:tl2br w:val="nil"/>
              <w:tr2bl w:val="nil"/>
            </w:tcBorders>
            <w:shd w:val="clear" w:color="auto" w:fill="auto"/>
            <w:vAlign w:val="center"/>
          </w:tcPr>
          <w:p w14:paraId="619247A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层位</w:t>
            </w:r>
          </w:p>
        </w:tc>
        <w:tc>
          <w:tcPr>
            <w:tcW w:w="465" w:type="pct"/>
            <w:vMerge w:val="restart"/>
            <w:tcBorders>
              <w:tl2br w:val="nil"/>
              <w:tr2bl w:val="nil"/>
            </w:tcBorders>
            <w:shd w:val="clear" w:color="auto" w:fill="auto"/>
            <w:vAlign w:val="center"/>
          </w:tcPr>
          <w:p w14:paraId="6046B39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井型</w:t>
            </w:r>
          </w:p>
        </w:tc>
        <w:tc>
          <w:tcPr>
            <w:tcW w:w="583" w:type="pct"/>
            <w:vMerge w:val="restart"/>
            <w:tcBorders>
              <w:tl2br w:val="nil"/>
              <w:tr2bl w:val="nil"/>
            </w:tcBorders>
            <w:shd w:val="clear" w:color="auto" w:fill="auto"/>
            <w:vAlign w:val="center"/>
          </w:tcPr>
          <w:p w14:paraId="285514D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水平段长</w:t>
            </w:r>
            <w:r>
              <w:rPr>
                <w:rFonts w:hint="eastAsia" w:ascii="宋体" w:hAnsi="宋体" w:eastAsia="宋体" w:cs="宋体"/>
                <w:color w:val="auto"/>
                <w:sz w:val="21"/>
                <w:szCs w:val="21"/>
                <w:u w:val="none"/>
              </w:rPr>
              <w:br w:type="textWrapping"/>
            </w:r>
            <w:r>
              <w:rPr>
                <w:rFonts w:hint="eastAsia" w:ascii="宋体" w:hAnsi="宋体" w:eastAsia="宋体" w:cs="宋体"/>
                <w:color w:val="auto"/>
                <w:sz w:val="21"/>
                <w:szCs w:val="21"/>
                <w:u w:val="none"/>
              </w:rPr>
              <w:t>(m)</w:t>
            </w:r>
          </w:p>
        </w:tc>
        <w:tc>
          <w:tcPr>
            <w:tcW w:w="585" w:type="pct"/>
            <w:vMerge w:val="restart"/>
            <w:tcBorders>
              <w:tl2br w:val="nil"/>
              <w:tr2bl w:val="nil"/>
            </w:tcBorders>
            <w:shd w:val="clear" w:color="auto" w:fill="auto"/>
            <w:vAlign w:val="center"/>
          </w:tcPr>
          <w:p w14:paraId="0D399A6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设计井深</w:t>
            </w:r>
            <w:r>
              <w:rPr>
                <w:rFonts w:hint="eastAsia" w:ascii="宋体" w:hAnsi="宋体" w:eastAsia="宋体" w:cs="宋体"/>
                <w:color w:val="auto"/>
                <w:sz w:val="21"/>
                <w:szCs w:val="21"/>
                <w:u w:val="none"/>
              </w:rPr>
              <w:br w:type="textWrapping"/>
            </w:r>
            <w:r>
              <w:rPr>
                <w:rFonts w:hint="eastAsia" w:ascii="宋体" w:hAnsi="宋体" w:eastAsia="宋体" w:cs="宋体"/>
                <w:color w:val="auto"/>
                <w:sz w:val="21"/>
                <w:szCs w:val="21"/>
                <w:u w:val="none"/>
              </w:rPr>
              <w:t>(m)</w:t>
            </w:r>
          </w:p>
        </w:tc>
        <w:tc>
          <w:tcPr>
            <w:tcW w:w="586" w:type="pct"/>
            <w:vMerge w:val="restart"/>
            <w:tcBorders>
              <w:tl2br w:val="nil"/>
              <w:tr2bl w:val="nil"/>
            </w:tcBorders>
            <w:shd w:val="clear" w:color="auto" w:fill="auto"/>
            <w:vAlign w:val="center"/>
          </w:tcPr>
          <w:p w14:paraId="5A79FE7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钻井进尺</w:t>
            </w:r>
          </w:p>
          <w:p w14:paraId="5593D6F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w:t>
            </w:r>
            <w:r>
              <w:rPr>
                <w:rFonts w:hint="eastAsia" w:ascii="宋体" w:hAnsi="宋体" w:eastAsia="宋体" w:cs="宋体"/>
                <w:color w:val="auto"/>
                <w:sz w:val="21"/>
                <w:szCs w:val="21"/>
                <w:u w:val="none"/>
                <w:vertAlign w:val="superscript"/>
              </w:rPr>
              <w:t>4</w:t>
            </w:r>
            <w:r>
              <w:rPr>
                <w:rFonts w:hint="eastAsia" w:ascii="宋体" w:hAnsi="宋体" w:eastAsia="宋体" w:cs="宋体"/>
                <w:color w:val="auto"/>
                <w:sz w:val="21"/>
                <w:szCs w:val="21"/>
                <w:u w:val="none"/>
              </w:rPr>
              <w:t>m)</w:t>
            </w:r>
          </w:p>
        </w:tc>
      </w:tr>
      <w:tr w14:paraId="3F6EE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Borders>
              <w:tl2br w:val="nil"/>
              <w:tr2bl w:val="nil"/>
            </w:tcBorders>
            <w:shd w:val="clear" w:color="auto" w:fill="auto"/>
            <w:vAlign w:val="center"/>
          </w:tcPr>
          <w:p w14:paraId="76FC632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p>
        </w:tc>
        <w:tc>
          <w:tcPr>
            <w:tcW w:w="582" w:type="pct"/>
            <w:vMerge w:val="continue"/>
            <w:tcBorders>
              <w:tl2br w:val="nil"/>
              <w:tr2bl w:val="nil"/>
            </w:tcBorders>
            <w:shd w:val="clear" w:color="auto" w:fill="auto"/>
            <w:vAlign w:val="center"/>
          </w:tcPr>
          <w:p w14:paraId="0CC30E7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p>
        </w:tc>
        <w:tc>
          <w:tcPr>
            <w:tcW w:w="733" w:type="pct"/>
            <w:tcBorders>
              <w:tl2br w:val="nil"/>
              <w:tr2bl w:val="nil"/>
            </w:tcBorders>
            <w:shd w:val="clear" w:color="auto" w:fill="auto"/>
            <w:vAlign w:val="center"/>
          </w:tcPr>
          <w:p w14:paraId="2C306E6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横坐标</w:t>
            </w:r>
          </w:p>
        </w:tc>
        <w:tc>
          <w:tcPr>
            <w:tcW w:w="711" w:type="pct"/>
            <w:tcBorders>
              <w:tl2br w:val="nil"/>
              <w:tr2bl w:val="nil"/>
            </w:tcBorders>
            <w:shd w:val="clear" w:color="auto" w:fill="auto"/>
            <w:vAlign w:val="center"/>
          </w:tcPr>
          <w:p w14:paraId="4390D23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纵坐标</w:t>
            </w:r>
          </w:p>
        </w:tc>
        <w:tc>
          <w:tcPr>
            <w:tcW w:w="458" w:type="pct"/>
            <w:vMerge w:val="continue"/>
            <w:tcBorders>
              <w:tl2br w:val="nil"/>
              <w:tr2bl w:val="nil"/>
            </w:tcBorders>
            <w:shd w:val="clear" w:color="auto" w:fill="auto"/>
            <w:vAlign w:val="center"/>
          </w:tcPr>
          <w:p w14:paraId="7965B31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p>
        </w:tc>
        <w:tc>
          <w:tcPr>
            <w:tcW w:w="465" w:type="pct"/>
            <w:vMerge w:val="continue"/>
            <w:tcBorders>
              <w:tl2br w:val="nil"/>
              <w:tr2bl w:val="nil"/>
            </w:tcBorders>
            <w:shd w:val="clear" w:color="auto" w:fill="auto"/>
            <w:vAlign w:val="center"/>
          </w:tcPr>
          <w:p w14:paraId="2B3F75D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p>
        </w:tc>
        <w:tc>
          <w:tcPr>
            <w:tcW w:w="583" w:type="pct"/>
            <w:vMerge w:val="continue"/>
            <w:tcBorders>
              <w:tl2br w:val="nil"/>
              <w:tr2bl w:val="nil"/>
            </w:tcBorders>
            <w:shd w:val="clear" w:color="auto" w:fill="auto"/>
            <w:vAlign w:val="center"/>
          </w:tcPr>
          <w:p w14:paraId="39FE65B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p>
        </w:tc>
        <w:tc>
          <w:tcPr>
            <w:tcW w:w="585" w:type="pct"/>
            <w:vMerge w:val="continue"/>
            <w:tcBorders>
              <w:tl2br w:val="nil"/>
              <w:tr2bl w:val="nil"/>
            </w:tcBorders>
            <w:shd w:val="clear" w:color="auto" w:fill="auto"/>
            <w:vAlign w:val="center"/>
          </w:tcPr>
          <w:p w14:paraId="6A8FBF6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p>
        </w:tc>
        <w:tc>
          <w:tcPr>
            <w:tcW w:w="586" w:type="pct"/>
            <w:vMerge w:val="continue"/>
            <w:tcBorders>
              <w:tl2br w:val="nil"/>
              <w:tr2bl w:val="nil"/>
            </w:tcBorders>
            <w:shd w:val="clear" w:color="auto" w:fill="auto"/>
            <w:vAlign w:val="center"/>
          </w:tcPr>
          <w:p w14:paraId="0AF3C64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p>
        </w:tc>
      </w:tr>
      <w:tr w14:paraId="200CA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tcBorders>
              <w:tl2br w:val="nil"/>
              <w:tr2bl w:val="nil"/>
            </w:tcBorders>
            <w:shd w:val="clear" w:color="auto" w:fill="auto"/>
            <w:noWrap/>
            <w:vAlign w:val="center"/>
          </w:tcPr>
          <w:p w14:paraId="3868957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582" w:type="pct"/>
            <w:tcBorders>
              <w:tl2br w:val="nil"/>
              <w:tr2bl w:val="nil"/>
            </w:tcBorders>
            <w:shd w:val="clear" w:color="auto" w:fill="auto"/>
            <w:vAlign w:val="center"/>
          </w:tcPr>
          <w:p w14:paraId="42C21EE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MBHW6006</w:t>
            </w:r>
          </w:p>
        </w:tc>
        <w:tc>
          <w:tcPr>
            <w:tcW w:w="733" w:type="pct"/>
            <w:tcBorders>
              <w:tl2br w:val="nil"/>
              <w:tr2bl w:val="nil"/>
            </w:tcBorders>
            <w:shd w:val="clear" w:color="auto" w:fill="auto"/>
            <w:noWrap/>
            <w:vAlign w:val="center"/>
          </w:tcPr>
          <w:p w14:paraId="32C59CD9">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15469492.3</w:t>
            </w:r>
          </w:p>
        </w:tc>
        <w:tc>
          <w:tcPr>
            <w:tcW w:w="711" w:type="pct"/>
            <w:tcBorders>
              <w:tl2br w:val="nil"/>
              <w:tr2bl w:val="nil"/>
            </w:tcBorders>
            <w:shd w:val="clear" w:color="auto" w:fill="auto"/>
            <w:noWrap/>
            <w:vAlign w:val="center"/>
          </w:tcPr>
          <w:p w14:paraId="1D0BA9F4">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4996514.3</w:t>
            </w:r>
          </w:p>
        </w:tc>
        <w:tc>
          <w:tcPr>
            <w:tcW w:w="458" w:type="pct"/>
            <w:tcBorders>
              <w:tl2br w:val="nil"/>
              <w:tr2bl w:val="nil"/>
            </w:tcBorders>
            <w:shd w:val="clear" w:color="auto" w:fill="auto"/>
            <w:noWrap/>
            <w:vAlign w:val="center"/>
          </w:tcPr>
          <w:p w14:paraId="0FC5721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J</w:t>
            </w:r>
            <w:r>
              <w:rPr>
                <w:rFonts w:hint="eastAsia" w:ascii="宋体" w:hAnsi="宋体" w:eastAsia="宋体" w:cs="宋体"/>
                <w:color w:val="auto"/>
                <w:sz w:val="21"/>
                <w:szCs w:val="21"/>
                <w:u w:val="none"/>
                <w:vertAlign w:val="subscript"/>
              </w:rPr>
              <w:t>1</w:t>
            </w:r>
            <w:r>
              <w:rPr>
                <w:rFonts w:hint="eastAsia" w:ascii="宋体" w:hAnsi="宋体" w:eastAsia="宋体" w:cs="宋体"/>
                <w:color w:val="auto"/>
                <w:sz w:val="21"/>
                <w:szCs w:val="21"/>
                <w:u w:val="none"/>
              </w:rPr>
              <w:t>s</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vertAlign w:val="superscript"/>
              </w:rPr>
              <w:t>1-2</w:t>
            </w:r>
          </w:p>
        </w:tc>
        <w:tc>
          <w:tcPr>
            <w:tcW w:w="465" w:type="pct"/>
            <w:tcBorders>
              <w:tl2br w:val="nil"/>
              <w:tr2bl w:val="nil"/>
            </w:tcBorders>
            <w:shd w:val="clear" w:color="auto" w:fill="auto"/>
            <w:noWrap/>
            <w:vAlign w:val="center"/>
          </w:tcPr>
          <w:p w14:paraId="111CC37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水平井</w:t>
            </w:r>
          </w:p>
        </w:tc>
        <w:tc>
          <w:tcPr>
            <w:tcW w:w="583" w:type="pct"/>
            <w:tcBorders>
              <w:tl2br w:val="nil"/>
              <w:tr2bl w:val="nil"/>
            </w:tcBorders>
            <w:shd w:val="clear" w:color="auto" w:fill="auto"/>
            <w:vAlign w:val="center"/>
          </w:tcPr>
          <w:p w14:paraId="70F52EC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950</w:t>
            </w:r>
          </w:p>
        </w:tc>
        <w:tc>
          <w:tcPr>
            <w:tcW w:w="585" w:type="pct"/>
            <w:tcBorders>
              <w:tl2br w:val="nil"/>
              <w:tr2bl w:val="nil"/>
            </w:tcBorders>
            <w:shd w:val="clear" w:color="auto" w:fill="auto"/>
            <w:vAlign w:val="center"/>
          </w:tcPr>
          <w:p w14:paraId="6C14465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5565</w:t>
            </w:r>
          </w:p>
        </w:tc>
        <w:tc>
          <w:tcPr>
            <w:tcW w:w="586" w:type="pct"/>
            <w:tcBorders>
              <w:tl2br w:val="nil"/>
              <w:tr2bl w:val="nil"/>
            </w:tcBorders>
            <w:shd w:val="clear" w:color="auto" w:fill="auto"/>
            <w:noWrap/>
            <w:vAlign w:val="center"/>
          </w:tcPr>
          <w:p w14:paraId="3973746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0.56</w:t>
            </w:r>
          </w:p>
        </w:tc>
      </w:tr>
      <w:tr w14:paraId="42980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tcBorders>
              <w:tl2br w:val="nil"/>
              <w:tr2bl w:val="nil"/>
            </w:tcBorders>
            <w:shd w:val="clear" w:color="auto" w:fill="auto"/>
            <w:noWrap/>
            <w:vAlign w:val="center"/>
          </w:tcPr>
          <w:p w14:paraId="399A368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582" w:type="pct"/>
            <w:tcBorders>
              <w:tl2br w:val="nil"/>
              <w:tr2bl w:val="nil"/>
            </w:tcBorders>
            <w:shd w:val="clear" w:color="auto" w:fill="auto"/>
            <w:vAlign w:val="center"/>
          </w:tcPr>
          <w:p w14:paraId="02B8D98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MBHW6008</w:t>
            </w:r>
          </w:p>
        </w:tc>
        <w:tc>
          <w:tcPr>
            <w:tcW w:w="733" w:type="pct"/>
            <w:tcBorders>
              <w:tl2br w:val="nil"/>
              <w:tr2bl w:val="nil"/>
            </w:tcBorders>
            <w:shd w:val="clear" w:color="auto" w:fill="auto"/>
            <w:noWrap/>
            <w:vAlign w:val="center"/>
          </w:tcPr>
          <w:p w14:paraId="0257045A">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15471715.5</w:t>
            </w:r>
          </w:p>
        </w:tc>
        <w:tc>
          <w:tcPr>
            <w:tcW w:w="711" w:type="pct"/>
            <w:tcBorders>
              <w:tl2br w:val="nil"/>
              <w:tr2bl w:val="nil"/>
            </w:tcBorders>
            <w:shd w:val="clear" w:color="auto" w:fill="auto"/>
            <w:noWrap/>
            <w:vAlign w:val="center"/>
          </w:tcPr>
          <w:p w14:paraId="6A90796B">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4999051.5</w:t>
            </w:r>
          </w:p>
        </w:tc>
        <w:tc>
          <w:tcPr>
            <w:tcW w:w="458" w:type="pct"/>
            <w:tcBorders>
              <w:tl2br w:val="nil"/>
              <w:tr2bl w:val="nil"/>
            </w:tcBorders>
            <w:shd w:val="clear" w:color="auto" w:fill="auto"/>
            <w:noWrap/>
            <w:vAlign w:val="center"/>
          </w:tcPr>
          <w:p w14:paraId="066B0BC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J</w:t>
            </w:r>
            <w:r>
              <w:rPr>
                <w:rFonts w:hint="eastAsia" w:ascii="宋体" w:hAnsi="宋体" w:eastAsia="宋体" w:cs="宋体"/>
                <w:color w:val="auto"/>
                <w:sz w:val="21"/>
                <w:szCs w:val="21"/>
                <w:u w:val="none"/>
                <w:vertAlign w:val="subscript"/>
              </w:rPr>
              <w:t>1</w:t>
            </w:r>
            <w:r>
              <w:rPr>
                <w:rFonts w:hint="eastAsia" w:ascii="宋体" w:hAnsi="宋体" w:eastAsia="宋体" w:cs="宋体"/>
                <w:color w:val="auto"/>
                <w:sz w:val="21"/>
                <w:szCs w:val="21"/>
                <w:u w:val="none"/>
              </w:rPr>
              <w:t>s</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vertAlign w:val="superscript"/>
              </w:rPr>
              <w:t>1-2</w:t>
            </w:r>
          </w:p>
        </w:tc>
        <w:tc>
          <w:tcPr>
            <w:tcW w:w="465" w:type="pct"/>
            <w:tcBorders>
              <w:tl2br w:val="nil"/>
              <w:tr2bl w:val="nil"/>
            </w:tcBorders>
            <w:shd w:val="clear" w:color="auto" w:fill="auto"/>
            <w:noWrap/>
            <w:vAlign w:val="center"/>
          </w:tcPr>
          <w:p w14:paraId="288907F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水平井</w:t>
            </w:r>
          </w:p>
        </w:tc>
        <w:tc>
          <w:tcPr>
            <w:tcW w:w="583" w:type="pct"/>
            <w:tcBorders>
              <w:tl2br w:val="nil"/>
              <w:tr2bl w:val="nil"/>
            </w:tcBorders>
            <w:shd w:val="clear" w:color="auto" w:fill="auto"/>
            <w:vAlign w:val="center"/>
          </w:tcPr>
          <w:p w14:paraId="54F8707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1000</w:t>
            </w:r>
          </w:p>
        </w:tc>
        <w:tc>
          <w:tcPr>
            <w:tcW w:w="585" w:type="pct"/>
            <w:tcBorders>
              <w:tl2br w:val="nil"/>
              <w:tr2bl w:val="nil"/>
            </w:tcBorders>
            <w:shd w:val="clear" w:color="auto" w:fill="auto"/>
            <w:vAlign w:val="center"/>
          </w:tcPr>
          <w:p w14:paraId="66026C3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5580</w:t>
            </w:r>
          </w:p>
        </w:tc>
        <w:tc>
          <w:tcPr>
            <w:tcW w:w="586" w:type="pct"/>
            <w:tcBorders>
              <w:tl2br w:val="nil"/>
              <w:tr2bl w:val="nil"/>
            </w:tcBorders>
            <w:shd w:val="clear" w:color="auto" w:fill="auto"/>
            <w:noWrap/>
            <w:vAlign w:val="center"/>
          </w:tcPr>
          <w:p w14:paraId="0DD08BC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0.56</w:t>
            </w:r>
          </w:p>
        </w:tc>
      </w:tr>
      <w:tr w14:paraId="1F3DE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tcBorders>
              <w:tl2br w:val="nil"/>
              <w:tr2bl w:val="nil"/>
            </w:tcBorders>
            <w:shd w:val="clear" w:color="auto" w:fill="auto"/>
            <w:noWrap/>
            <w:vAlign w:val="center"/>
          </w:tcPr>
          <w:p w14:paraId="7F96142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w:t>
            </w:r>
          </w:p>
        </w:tc>
        <w:tc>
          <w:tcPr>
            <w:tcW w:w="582" w:type="pct"/>
            <w:tcBorders>
              <w:tl2br w:val="nil"/>
              <w:tr2bl w:val="nil"/>
            </w:tcBorders>
            <w:shd w:val="clear" w:color="auto" w:fill="auto"/>
            <w:vAlign w:val="center"/>
          </w:tcPr>
          <w:p w14:paraId="724FA00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MBHW6009</w:t>
            </w:r>
          </w:p>
        </w:tc>
        <w:tc>
          <w:tcPr>
            <w:tcW w:w="733" w:type="pct"/>
            <w:tcBorders>
              <w:tl2br w:val="nil"/>
              <w:tr2bl w:val="nil"/>
            </w:tcBorders>
            <w:shd w:val="clear" w:color="auto" w:fill="auto"/>
            <w:noWrap/>
            <w:vAlign w:val="center"/>
          </w:tcPr>
          <w:p w14:paraId="29022231">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15470333.3</w:t>
            </w:r>
          </w:p>
        </w:tc>
        <w:tc>
          <w:tcPr>
            <w:tcW w:w="711" w:type="pct"/>
            <w:tcBorders>
              <w:tl2br w:val="nil"/>
              <w:tr2bl w:val="nil"/>
            </w:tcBorders>
            <w:shd w:val="clear" w:color="auto" w:fill="auto"/>
            <w:noWrap/>
            <w:vAlign w:val="center"/>
          </w:tcPr>
          <w:p w14:paraId="46293E1D">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4997791.3</w:t>
            </w:r>
          </w:p>
        </w:tc>
        <w:tc>
          <w:tcPr>
            <w:tcW w:w="458" w:type="pct"/>
            <w:tcBorders>
              <w:tl2br w:val="nil"/>
              <w:tr2bl w:val="nil"/>
            </w:tcBorders>
            <w:shd w:val="clear" w:color="auto" w:fill="auto"/>
            <w:noWrap/>
            <w:vAlign w:val="center"/>
          </w:tcPr>
          <w:p w14:paraId="5F5A520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J</w:t>
            </w:r>
            <w:r>
              <w:rPr>
                <w:rFonts w:hint="eastAsia" w:ascii="宋体" w:hAnsi="宋体" w:eastAsia="宋体" w:cs="宋体"/>
                <w:color w:val="auto"/>
                <w:sz w:val="21"/>
                <w:szCs w:val="21"/>
                <w:u w:val="none"/>
                <w:vertAlign w:val="subscript"/>
              </w:rPr>
              <w:t>1</w:t>
            </w:r>
            <w:r>
              <w:rPr>
                <w:rFonts w:hint="eastAsia" w:ascii="宋体" w:hAnsi="宋体" w:eastAsia="宋体" w:cs="宋体"/>
                <w:color w:val="auto"/>
                <w:sz w:val="21"/>
                <w:szCs w:val="21"/>
                <w:u w:val="none"/>
              </w:rPr>
              <w:t>s</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vertAlign w:val="superscript"/>
              </w:rPr>
              <w:t>1-2</w:t>
            </w:r>
          </w:p>
        </w:tc>
        <w:tc>
          <w:tcPr>
            <w:tcW w:w="465" w:type="pct"/>
            <w:tcBorders>
              <w:tl2br w:val="nil"/>
              <w:tr2bl w:val="nil"/>
            </w:tcBorders>
            <w:shd w:val="clear" w:color="auto" w:fill="auto"/>
            <w:noWrap/>
            <w:vAlign w:val="center"/>
          </w:tcPr>
          <w:p w14:paraId="442D8A7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水平井</w:t>
            </w:r>
          </w:p>
        </w:tc>
        <w:tc>
          <w:tcPr>
            <w:tcW w:w="583" w:type="pct"/>
            <w:tcBorders>
              <w:tl2br w:val="nil"/>
              <w:tr2bl w:val="nil"/>
            </w:tcBorders>
            <w:shd w:val="clear" w:color="auto" w:fill="auto"/>
            <w:vAlign w:val="center"/>
          </w:tcPr>
          <w:p w14:paraId="4DA9C0F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1100</w:t>
            </w:r>
          </w:p>
        </w:tc>
        <w:tc>
          <w:tcPr>
            <w:tcW w:w="585" w:type="pct"/>
            <w:tcBorders>
              <w:tl2br w:val="nil"/>
              <w:tr2bl w:val="nil"/>
            </w:tcBorders>
            <w:shd w:val="clear" w:color="auto" w:fill="auto"/>
            <w:vAlign w:val="center"/>
          </w:tcPr>
          <w:p w14:paraId="27ADDA7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5685</w:t>
            </w:r>
          </w:p>
        </w:tc>
        <w:tc>
          <w:tcPr>
            <w:tcW w:w="586" w:type="pct"/>
            <w:tcBorders>
              <w:tl2br w:val="nil"/>
              <w:tr2bl w:val="nil"/>
            </w:tcBorders>
            <w:shd w:val="clear" w:color="auto" w:fill="auto"/>
            <w:noWrap/>
            <w:vAlign w:val="center"/>
          </w:tcPr>
          <w:p w14:paraId="3676122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0.57</w:t>
            </w:r>
          </w:p>
        </w:tc>
      </w:tr>
      <w:tr w14:paraId="20810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44" w:type="pct"/>
            <w:gridSpan w:val="6"/>
            <w:tcBorders>
              <w:tl2br w:val="nil"/>
              <w:tr2bl w:val="nil"/>
            </w:tcBorders>
            <w:shd w:val="clear" w:color="auto" w:fill="auto"/>
            <w:noWrap/>
            <w:vAlign w:val="center"/>
          </w:tcPr>
          <w:p w14:paraId="5ECAE97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合计/平均</w:t>
            </w:r>
          </w:p>
        </w:tc>
        <w:tc>
          <w:tcPr>
            <w:tcW w:w="583" w:type="pct"/>
            <w:tcBorders>
              <w:tl2br w:val="nil"/>
              <w:tr2bl w:val="nil"/>
            </w:tcBorders>
            <w:shd w:val="clear" w:color="auto" w:fill="auto"/>
            <w:noWrap/>
            <w:vAlign w:val="center"/>
          </w:tcPr>
          <w:p w14:paraId="408DF81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950～1100</w:t>
            </w:r>
          </w:p>
        </w:tc>
        <w:tc>
          <w:tcPr>
            <w:tcW w:w="585" w:type="pct"/>
            <w:tcBorders>
              <w:tl2br w:val="nil"/>
              <w:tr2bl w:val="nil"/>
            </w:tcBorders>
            <w:shd w:val="clear" w:color="auto" w:fill="auto"/>
            <w:noWrap/>
            <w:vAlign w:val="center"/>
          </w:tcPr>
          <w:p w14:paraId="711BA63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5610</w:t>
            </w:r>
          </w:p>
        </w:tc>
        <w:tc>
          <w:tcPr>
            <w:tcW w:w="586" w:type="pct"/>
            <w:tcBorders>
              <w:tl2br w:val="nil"/>
              <w:tr2bl w:val="nil"/>
            </w:tcBorders>
            <w:shd w:val="clear" w:color="auto" w:fill="auto"/>
            <w:noWrap/>
            <w:vAlign w:val="center"/>
          </w:tcPr>
          <w:p w14:paraId="0FBDD34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1.68</w:t>
            </w:r>
          </w:p>
        </w:tc>
      </w:tr>
    </w:tbl>
    <w:p w14:paraId="5CCB642D">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w:t>
      </w:r>
      <w:r>
        <w:rPr>
          <w:rFonts w:hint="eastAsia" w:ascii="宋体" w:hAnsi="宋体" w:eastAsia="宋体" w:cs="宋体"/>
          <w:color w:val="auto"/>
          <w:highlight w:val="none"/>
          <w:u w:val="none"/>
          <w:lang w:val="en-US" w:eastAsia="zh-CN"/>
        </w:rPr>
        <w:t>2</w:t>
      </w:r>
      <w:r>
        <w:rPr>
          <w:rFonts w:hint="eastAsia" w:ascii="宋体" w:hAnsi="宋体" w:eastAsia="宋体" w:cs="宋体"/>
          <w:color w:val="auto"/>
          <w:highlight w:val="none"/>
          <w:u w:val="none"/>
        </w:rPr>
        <w:t>）</w:t>
      </w:r>
      <w:r>
        <w:rPr>
          <w:rFonts w:hint="eastAsia" w:ascii="宋体" w:hAnsi="宋体" w:eastAsia="宋体" w:cs="宋体"/>
          <w:color w:val="auto"/>
          <w:highlight w:val="none"/>
          <w:u w:val="none"/>
          <w:lang w:val="en-US" w:eastAsia="zh-CN"/>
        </w:rPr>
        <w:t>井场平面布置</w:t>
      </w:r>
    </w:p>
    <w:p w14:paraId="4E79B16C">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钻井期井场布置有值班房、钳工房、录井房、配电房、发电房、不落地系统等，平面布置见图</w:t>
      </w:r>
      <w:r>
        <w:rPr>
          <w:rFonts w:hint="eastAsia" w:ascii="宋体" w:hAnsi="宋体" w:cs="宋体"/>
          <w:color w:val="auto"/>
          <w:highlight w:val="none"/>
          <w:u w:val="none"/>
          <w:lang w:val="en-US" w:eastAsia="zh-CN"/>
        </w:rPr>
        <w:t>3.3-5</w:t>
      </w:r>
      <w:r>
        <w:rPr>
          <w:rFonts w:hint="eastAsia" w:ascii="宋体" w:hAnsi="宋体" w:eastAsia="宋体" w:cs="宋体"/>
          <w:color w:val="auto"/>
          <w:highlight w:val="none"/>
          <w:u w:val="none"/>
        </w:rPr>
        <w:t>。</w:t>
      </w:r>
    </w:p>
    <w:p w14:paraId="51189C61">
      <w:pPr>
        <w:pStyle w:val="54"/>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drawing>
          <wp:anchor distT="0" distB="0" distL="114300" distR="114300" simplePos="0" relativeHeight="251715584" behindDoc="0" locked="0" layoutInCell="1" allowOverlap="1">
            <wp:simplePos x="0" y="0"/>
            <wp:positionH relativeFrom="column">
              <wp:posOffset>-50165</wp:posOffset>
            </wp:positionH>
            <wp:positionV relativeFrom="paragraph">
              <wp:posOffset>77470</wp:posOffset>
            </wp:positionV>
            <wp:extent cx="5632450" cy="3761740"/>
            <wp:effectExtent l="0" t="0" r="6350" b="10160"/>
            <wp:wrapTopAndBottom/>
            <wp:docPr id="14" name="图片 14" descr="井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井场平面布置图"/>
                    <pic:cNvPicPr>
                      <a:picLocks noChangeAspect="1"/>
                    </pic:cNvPicPr>
                  </pic:nvPicPr>
                  <pic:blipFill>
                    <a:blip r:embed="rId37"/>
                    <a:stretch>
                      <a:fillRect/>
                    </a:stretch>
                  </pic:blipFill>
                  <pic:spPr>
                    <a:xfrm>
                      <a:off x="0" y="0"/>
                      <a:ext cx="5632450" cy="3761740"/>
                    </a:xfrm>
                    <a:prstGeom prst="rect">
                      <a:avLst/>
                    </a:prstGeom>
                  </pic:spPr>
                </pic:pic>
              </a:graphicData>
            </a:graphic>
          </wp:anchor>
        </w:drawing>
      </w:r>
      <w:r>
        <w:rPr>
          <w:rFonts w:hint="eastAsia" w:ascii="Times New Roman" w:eastAsia="宋体"/>
          <w:color w:val="auto"/>
          <w:u w:val="none"/>
          <w:lang w:val="en-US" w:eastAsia="zh-CN"/>
        </w:rPr>
        <w:t>图</w:t>
      </w:r>
      <w:r>
        <w:rPr>
          <w:rFonts w:hint="default" w:ascii="黑体" w:hAnsi="黑体" w:eastAsia="黑体" w:cs="黑体"/>
          <w:b w:val="0"/>
          <w:bCs/>
          <w:color w:val="auto"/>
          <w:kern w:val="2"/>
          <w:sz w:val="24"/>
          <w:szCs w:val="24"/>
          <w:u w:val="none"/>
          <w:lang w:val="en-US" w:eastAsia="zh-CN" w:bidi="ar-SA"/>
        </w:rPr>
        <w:t>3.</w:t>
      </w:r>
      <w:r>
        <w:rPr>
          <w:rFonts w:hint="eastAsia" w:ascii="黑体" w:hAnsi="黑体" w:eastAsia="黑体" w:cs="黑体"/>
          <w:b w:val="0"/>
          <w:bCs/>
          <w:color w:val="auto"/>
          <w:kern w:val="2"/>
          <w:sz w:val="24"/>
          <w:szCs w:val="24"/>
          <w:u w:val="none"/>
          <w:lang w:val="en-US" w:eastAsia="zh-CN" w:bidi="ar-SA"/>
        </w:rPr>
        <w:t>3</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5  </w:t>
      </w:r>
      <w:r>
        <w:rPr>
          <w:rFonts w:hint="default" w:ascii="黑体" w:hAnsi="黑体" w:eastAsia="黑体" w:cs="黑体"/>
          <w:b w:val="0"/>
          <w:bCs/>
          <w:color w:val="auto"/>
          <w:kern w:val="2"/>
          <w:sz w:val="24"/>
          <w:szCs w:val="24"/>
          <w:u w:val="none"/>
          <w:lang w:val="en-US" w:eastAsia="zh-CN" w:bidi="ar-SA"/>
        </w:rPr>
        <w:t>井</w:t>
      </w:r>
      <w:r>
        <w:rPr>
          <w:rFonts w:hint="eastAsia" w:ascii="黑体" w:hAnsi="黑体" w:eastAsia="黑体" w:cs="黑体"/>
          <w:b w:val="0"/>
          <w:bCs/>
          <w:color w:val="auto"/>
          <w:kern w:val="2"/>
          <w:sz w:val="24"/>
          <w:szCs w:val="24"/>
          <w:u w:val="none"/>
          <w:lang w:val="en-US" w:eastAsia="zh-CN" w:bidi="ar-SA"/>
        </w:rPr>
        <w:t>场平面布置</w:t>
      </w:r>
      <w:r>
        <w:rPr>
          <w:rFonts w:hint="default" w:ascii="黑体" w:hAnsi="黑体" w:eastAsia="黑体" w:cs="黑体"/>
          <w:b w:val="0"/>
          <w:bCs/>
          <w:color w:val="auto"/>
          <w:kern w:val="2"/>
          <w:sz w:val="24"/>
          <w:szCs w:val="24"/>
          <w:u w:val="none"/>
          <w:lang w:val="en-US" w:eastAsia="zh-CN" w:bidi="ar-SA"/>
        </w:rPr>
        <w:t>图</w:t>
      </w:r>
    </w:p>
    <w:p w14:paraId="50ECB3F8">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w:t>
      </w:r>
      <w:r>
        <w:rPr>
          <w:rFonts w:hint="eastAsia" w:ascii="宋体" w:hAnsi="宋体" w:cs="宋体"/>
          <w:color w:val="auto"/>
          <w:highlight w:val="none"/>
          <w:u w:val="none"/>
          <w:lang w:val="en-US" w:eastAsia="zh-CN"/>
        </w:rPr>
        <w:t>3</w:t>
      </w:r>
      <w:r>
        <w:rPr>
          <w:rFonts w:hint="eastAsia" w:ascii="宋体" w:hAnsi="宋体" w:eastAsia="宋体" w:cs="宋体"/>
          <w:color w:val="auto"/>
          <w:highlight w:val="none"/>
          <w:u w:val="none"/>
        </w:rPr>
        <w:t>）井身结构</w:t>
      </w:r>
    </w:p>
    <w:p w14:paraId="54DBE1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本项目新钻</w:t>
      </w:r>
      <w:r>
        <w:rPr>
          <w:rFonts w:hint="default" w:ascii="Times New Roman" w:hAnsi="Times New Roman" w:cs="Times New Roman"/>
          <w:snapToGrid w:val="0"/>
          <w:color w:val="auto"/>
          <w:kern w:val="0"/>
          <w:sz w:val="24"/>
          <w:u w:val="none"/>
        </w:rPr>
        <w:t>采</w:t>
      </w:r>
      <w:r>
        <w:rPr>
          <w:rFonts w:hint="eastAsia" w:cs="Times New Roman"/>
          <w:snapToGrid w:val="0"/>
          <w:color w:val="auto"/>
          <w:kern w:val="0"/>
          <w:sz w:val="24"/>
          <w:u w:val="none"/>
          <w:lang w:val="en-US" w:eastAsia="zh-CN"/>
        </w:rPr>
        <w:t>气</w:t>
      </w:r>
      <w:r>
        <w:rPr>
          <w:rFonts w:hint="default" w:ascii="Times New Roman" w:hAnsi="Times New Roman" w:cs="Times New Roman"/>
          <w:snapToGrid w:val="0"/>
          <w:color w:val="auto"/>
          <w:kern w:val="0"/>
          <w:sz w:val="24"/>
          <w:u w:val="none"/>
        </w:rPr>
        <w:t>井</w:t>
      </w:r>
      <w:r>
        <w:rPr>
          <w:rFonts w:hint="eastAsia" w:cs="Times New Roman"/>
          <w:snapToGrid w:val="0"/>
          <w:color w:val="auto"/>
          <w:kern w:val="0"/>
          <w:sz w:val="24"/>
          <w:u w:val="none"/>
          <w:lang w:val="en-US" w:eastAsia="zh-CN"/>
        </w:rPr>
        <w:t>3</w:t>
      </w:r>
      <w:r>
        <w:rPr>
          <w:rFonts w:hint="default" w:ascii="Times New Roman" w:hAnsi="Times New Roman" w:cs="Times New Roman"/>
          <w:snapToGrid w:val="0"/>
          <w:color w:val="auto"/>
          <w:kern w:val="0"/>
          <w:sz w:val="24"/>
          <w:u w:val="none"/>
        </w:rPr>
        <w:t>口</w:t>
      </w:r>
      <w:r>
        <w:rPr>
          <w:rFonts w:hint="eastAsia" w:ascii="宋体" w:hAnsi="宋体" w:eastAsia="宋体" w:cs="宋体"/>
          <w:color w:val="auto"/>
          <w:sz w:val="24"/>
          <w:szCs w:val="24"/>
          <w:u w:val="none"/>
        </w:rPr>
        <w:t>，</w:t>
      </w:r>
      <w:r>
        <w:rPr>
          <w:rFonts w:hint="eastAsia" w:ascii="宋体" w:hAnsi="宋体" w:cs="宋体"/>
          <w:color w:val="auto"/>
          <w:sz w:val="24"/>
          <w:szCs w:val="24"/>
          <w:u w:val="none"/>
          <w:lang w:val="en-US" w:eastAsia="zh-CN"/>
        </w:rPr>
        <w:t>均</w:t>
      </w:r>
      <w:r>
        <w:rPr>
          <w:rFonts w:hint="eastAsia" w:ascii="宋体" w:hAnsi="宋体" w:eastAsia="宋体" w:cs="宋体"/>
          <w:color w:val="auto"/>
          <w:sz w:val="24"/>
          <w:szCs w:val="24"/>
          <w:u w:val="none"/>
        </w:rPr>
        <w:t>采用三开水平井井深结构。</w:t>
      </w:r>
    </w:p>
    <w:p w14:paraId="3203600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一开采用Φ444.5mm钻头钻至井深500m，下入Φ339.7mm表层套管，水泥浆返至地面，封隔地表松散易塌地层。</w:t>
      </w:r>
    </w:p>
    <w:p w14:paraId="1EE0B11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二开采用Φ311.2mm钻头钻至西山窑组稳定泥岩（造斜点以上15m），下入244.5mm技术套管，封隔上部易垮塌地层，实现三开造斜；</w:t>
      </w:r>
    </w:p>
    <w:p w14:paraId="324E40F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三开采用Φ215.9mm钻头钻至设计完钻井深，下入Φ139.7mm油层套管，固井水泥返至地面。</w:t>
      </w:r>
    </w:p>
    <w:p w14:paraId="13C331C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bCs/>
          <w:color w:val="auto"/>
          <w:sz w:val="21"/>
          <w:szCs w:val="21"/>
          <w:u w:val="none"/>
          <w:lang w:val="en-US" w:eastAsia="zh-CN"/>
        </w:rPr>
      </w:pPr>
      <w:r>
        <w:rPr>
          <w:color w:val="auto"/>
          <w:u w:val="none"/>
        </w:rPr>
        <w:drawing>
          <wp:anchor distT="0" distB="0" distL="114300" distR="114300" simplePos="0" relativeHeight="251714560" behindDoc="0" locked="0" layoutInCell="1" allowOverlap="1">
            <wp:simplePos x="0" y="0"/>
            <wp:positionH relativeFrom="column">
              <wp:posOffset>899795</wp:posOffset>
            </wp:positionH>
            <wp:positionV relativeFrom="paragraph">
              <wp:posOffset>74295</wp:posOffset>
            </wp:positionV>
            <wp:extent cx="3841115" cy="4242435"/>
            <wp:effectExtent l="0" t="0" r="6985" b="5715"/>
            <wp:wrapTopAndBottom/>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8"/>
                    <a:stretch>
                      <a:fillRect/>
                    </a:stretch>
                  </pic:blipFill>
                  <pic:spPr>
                    <a:xfrm>
                      <a:off x="0" y="0"/>
                      <a:ext cx="3841115" cy="4242435"/>
                    </a:xfrm>
                    <a:prstGeom prst="rect">
                      <a:avLst/>
                    </a:prstGeom>
                    <a:noFill/>
                    <a:ln>
                      <a:noFill/>
                    </a:ln>
                  </pic:spPr>
                </pic:pic>
              </a:graphicData>
            </a:graphic>
          </wp:anchor>
        </w:drawing>
      </w:r>
      <w:r>
        <w:rPr>
          <w:rFonts w:hint="eastAsia"/>
          <w:color w:val="auto"/>
          <w:u w:val="none"/>
          <w:lang w:val="en-US" w:eastAsia="zh-CN"/>
        </w:rPr>
        <w:t>图</w:t>
      </w:r>
      <w:r>
        <w:rPr>
          <w:rFonts w:hint="default" w:ascii="黑体" w:hAnsi="黑体" w:eastAsia="黑体" w:cs="黑体"/>
          <w:b w:val="0"/>
          <w:bCs/>
          <w:color w:val="auto"/>
          <w:kern w:val="2"/>
          <w:sz w:val="24"/>
          <w:szCs w:val="24"/>
          <w:u w:val="none"/>
          <w:lang w:val="en-US" w:eastAsia="zh-CN" w:bidi="ar-SA"/>
        </w:rPr>
        <w:t>3.</w:t>
      </w:r>
      <w:r>
        <w:rPr>
          <w:rFonts w:hint="eastAsia" w:ascii="黑体" w:hAnsi="黑体" w:eastAsia="黑体" w:cs="黑体"/>
          <w:b w:val="0"/>
          <w:bCs/>
          <w:color w:val="auto"/>
          <w:kern w:val="2"/>
          <w:sz w:val="24"/>
          <w:szCs w:val="24"/>
          <w:u w:val="none"/>
          <w:lang w:val="en-US" w:eastAsia="zh-CN" w:bidi="ar-SA"/>
        </w:rPr>
        <w:t>3</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6  </w:t>
      </w:r>
      <w:r>
        <w:rPr>
          <w:rFonts w:hint="default" w:ascii="黑体" w:hAnsi="黑体" w:eastAsia="黑体" w:cs="黑体"/>
          <w:b w:val="0"/>
          <w:bCs/>
          <w:color w:val="auto"/>
          <w:kern w:val="2"/>
          <w:sz w:val="24"/>
          <w:szCs w:val="24"/>
          <w:u w:val="none"/>
          <w:lang w:val="en-US" w:eastAsia="zh-CN" w:bidi="ar-SA"/>
        </w:rPr>
        <w:t>井身结构设计图</w:t>
      </w:r>
    </w:p>
    <w:p w14:paraId="43CAD3B9">
      <w:pPr>
        <w:keepNext w:val="0"/>
        <w:keepLines w:val="0"/>
        <w:pageBreakBefore w:val="0"/>
        <w:kinsoku/>
        <w:wordWrap/>
        <w:overflowPunct/>
        <w:topLinePunct w:val="0"/>
        <w:autoSpaceDE/>
        <w:autoSpaceDN/>
        <w:bidi w:val="0"/>
        <w:adjustRightInd/>
        <w:spacing w:line="480" w:lineRule="exact"/>
        <w:ind w:firstLine="480" w:firstLineChars="200"/>
        <w:jc w:val="left"/>
        <w:rPr>
          <w:rFonts w:hint="eastAsia" w:ascii="宋体" w:hAnsi="宋体" w:eastAsia="宋体" w:cs="宋体"/>
          <w:color w:val="auto"/>
          <w:kern w:val="0"/>
          <w:sz w:val="24"/>
          <w:szCs w:val="22"/>
          <w:highlight w:val="none"/>
          <w:u w:val="none"/>
        </w:rPr>
      </w:pPr>
      <w:r>
        <w:rPr>
          <w:rFonts w:hint="eastAsia" w:ascii="宋体" w:hAnsi="宋体" w:eastAsia="宋体" w:cs="宋体"/>
          <w:color w:val="auto"/>
          <w:kern w:val="0"/>
          <w:sz w:val="24"/>
          <w:szCs w:val="22"/>
          <w:highlight w:val="none"/>
          <w:u w:val="none"/>
          <w:lang w:eastAsia="zh-CN"/>
        </w:rPr>
        <w:t>（</w:t>
      </w:r>
      <w:r>
        <w:rPr>
          <w:rFonts w:hint="eastAsia" w:ascii="宋体" w:hAnsi="宋体" w:cs="宋体"/>
          <w:color w:val="auto"/>
          <w:kern w:val="0"/>
          <w:sz w:val="24"/>
          <w:szCs w:val="22"/>
          <w:highlight w:val="none"/>
          <w:u w:val="none"/>
          <w:lang w:val="en-US" w:eastAsia="zh-CN"/>
        </w:rPr>
        <w:t>4</w:t>
      </w:r>
      <w:r>
        <w:rPr>
          <w:rFonts w:hint="eastAsia" w:ascii="宋体" w:hAnsi="宋体" w:eastAsia="宋体" w:cs="宋体"/>
          <w:color w:val="auto"/>
          <w:kern w:val="0"/>
          <w:sz w:val="24"/>
          <w:szCs w:val="22"/>
          <w:highlight w:val="none"/>
          <w:u w:val="none"/>
          <w:lang w:eastAsia="zh-CN"/>
        </w:rPr>
        <w:t>）</w:t>
      </w:r>
      <w:r>
        <w:rPr>
          <w:rFonts w:hint="eastAsia" w:ascii="宋体" w:hAnsi="宋体" w:eastAsia="宋体" w:cs="宋体"/>
          <w:color w:val="auto"/>
          <w:kern w:val="0"/>
          <w:sz w:val="24"/>
          <w:szCs w:val="22"/>
          <w:highlight w:val="none"/>
          <w:u w:val="none"/>
        </w:rPr>
        <w:t>钻井液</w:t>
      </w:r>
    </w:p>
    <w:p w14:paraId="110686C1">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baseline"/>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本项目</w:t>
      </w:r>
      <w:r>
        <w:rPr>
          <w:rFonts w:hint="eastAsia" w:ascii="宋体" w:hAnsi="宋体" w:eastAsia="宋体" w:cs="宋体"/>
          <w:color w:val="auto"/>
          <w:sz w:val="24"/>
          <w:szCs w:val="24"/>
          <w:u w:val="none"/>
          <w:lang w:val="en-US" w:eastAsia="zh-CN"/>
        </w:rPr>
        <w:t>一开、二开过程</w:t>
      </w:r>
      <w:r>
        <w:rPr>
          <w:rFonts w:hint="eastAsia" w:ascii="宋体" w:hAnsi="宋体" w:eastAsia="宋体" w:cs="宋体"/>
          <w:color w:val="auto"/>
          <w:sz w:val="24"/>
          <w:szCs w:val="24"/>
          <w:u w:val="none"/>
        </w:rPr>
        <w:t>采用水基钻井液</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三开过程采用油基钻井液</w:t>
      </w:r>
      <w:r>
        <w:rPr>
          <w:rFonts w:hint="eastAsia" w:ascii="宋体" w:hAnsi="宋体" w:eastAsia="宋体" w:cs="宋体"/>
          <w:color w:val="auto"/>
          <w:sz w:val="24"/>
          <w:szCs w:val="24"/>
          <w:u w:val="none"/>
        </w:rPr>
        <w:t>。</w:t>
      </w:r>
    </w:p>
    <w:p w14:paraId="5E1183FE">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baseline"/>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1）一开钻井液</w:t>
      </w:r>
    </w:p>
    <w:p w14:paraId="73F58263">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baseline"/>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val="en-US" w:eastAsia="zh-CN"/>
        </w:rPr>
        <w:t>①</w:t>
      </w:r>
      <w:r>
        <w:rPr>
          <w:rFonts w:hint="eastAsia" w:ascii="宋体" w:hAnsi="宋体" w:eastAsia="宋体" w:cs="宋体"/>
          <w:color w:val="auto"/>
          <w:sz w:val="24"/>
          <w:szCs w:val="24"/>
          <w:u w:val="none"/>
        </w:rPr>
        <w:t>钻井液体系：坂土—CMC钻井液</w:t>
      </w:r>
    </w:p>
    <w:p w14:paraId="6649ECC8">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baseline"/>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val="en-US" w:eastAsia="zh-CN"/>
        </w:rPr>
        <w:t>②</w:t>
      </w:r>
      <w:r>
        <w:rPr>
          <w:rFonts w:hint="eastAsia" w:ascii="宋体" w:hAnsi="宋体" w:eastAsia="宋体" w:cs="宋体"/>
          <w:color w:val="auto"/>
          <w:sz w:val="24"/>
          <w:szCs w:val="24"/>
          <w:u w:val="none"/>
        </w:rPr>
        <w:t>配方提示：8%坂土+0.4%Na</w:t>
      </w:r>
      <w:r>
        <w:rPr>
          <w:rFonts w:hint="eastAsia" w:ascii="宋体" w:hAnsi="宋体" w:eastAsia="宋体" w:cs="宋体"/>
          <w:color w:val="auto"/>
          <w:sz w:val="24"/>
          <w:szCs w:val="24"/>
          <w:u w:val="none"/>
          <w:vertAlign w:val="subscript"/>
          <w:lang w:val="en-US" w:eastAsia="zh-CN"/>
        </w:rPr>
        <w:t>2</w:t>
      </w:r>
      <w:r>
        <w:rPr>
          <w:rFonts w:hint="eastAsia" w:ascii="宋体" w:hAnsi="宋体" w:eastAsia="宋体" w:cs="宋体"/>
          <w:color w:val="auto"/>
          <w:sz w:val="24"/>
          <w:szCs w:val="24"/>
          <w:u w:val="none"/>
        </w:rPr>
        <w:t>CO</w:t>
      </w:r>
      <w:r>
        <w:rPr>
          <w:rFonts w:hint="eastAsia" w:ascii="宋体" w:hAnsi="宋体" w:eastAsia="宋体" w:cs="宋体"/>
          <w:color w:val="auto"/>
          <w:sz w:val="24"/>
          <w:szCs w:val="24"/>
          <w:u w:val="none"/>
          <w:vertAlign w:val="subscript"/>
          <w:lang w:val="en-US" w:eastAsia="zh-CN"/>
        </w:rPr>
        <w:t>3</w:t>
      </w:r>
      <w:r>
        <w:rPr>
          <w:rFonts w:hint="eastAsia" w:ascii="宋体" w:hAnsi="宋体" w:eastAsia="宋体" w:cs="宋体"/>
          <w:color w:val="auto"/>
          <w:sz w:val="24"/>
          <w:szCs w:val="24"/>
          <w:u w:val="none"/>
        </w:rPr>
        <w:t>+0.4%CMC(中)+重晶石</w:t>
      </w:r>
    </w:p>
    <w:p w14:paraId="7DAA23FE">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baseline"/>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val="en-US" w:eastAsia="zh-CN"/>
        </w:rPr>
        <w:t>③</w:t>
      </w:r>
      <w:r>
        <w:rPr>
          <w:rFonts w:hint="eastAsia" w:ascii="宋体" w:hAnsi="宋体" w:eastAsia="宋体" w:cs="宋体"/>
          <w:color w:val="auto"/>
          <w:sz w:val="24"/>
          <w:szCs w:val="24"/>
          <w:u w:val="none"/>
        </w:rPr>
        <w:t>主控性能指标：密度：1.10～1.20g/cm</w:t>
      </w:r>
      <w:r>
        <w:rPr>
          <w:rFonts w:hint="eastAsia" w:ascii="宋体" w:hAnsi="宋体" w:eastAsia="宋体" w:cs="宋体"/>
          <w:color w:val="auto"/>
          <w:sz w:val="24"/>
          <w:szCs w:val="24"/>
          <w:u w:val="none"/>
          <w:vertAlign w:val="superscript"/>
        </w:rPr>
        <w:t>3</w:t>
      </w:r>
      <w:r>
        <w:rPr>
          <w:rFonts w:hint="eastAsia" w:ascii="宋体" w:hAnsi="宋体" w:eastAsia="宋体" w:cs="宋体"/>
          <w:color w:val="auto"/>
          <w:sz w:val="24"/>
          <w:szCs w:val="24"/>
          <w:u w:val="none"/>
        </w:rPr>
        <w:t>粘度：60~120s</w:t>
      </w:r>
    </w:p>
    <w:p w14:paraId="24E2AAE1">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baseline"/>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val="en-US" w:eastAsia="zh-CN"/>
        </w:rPr>
        <w:t>2）</w:t>
      </w:r>
      <w:r>
        <w:rPr>
          <w:rFonts w:hint="eastAsia" w:ascii="宋体" w:hAnsi="宋体" w:eastAsia="宋体" w:cs="宋体"/>
          <w:color w:val="auto"/>
          <w:sz w:val="24"/>
          <w:szCs w:val="24"/>
          <w:u w:val="none"/>
        </w:rPr>
        <w:t>二开钻井液</w:t>
      </w:r>
    </w:p>
    <w:p w14:paraId="3B486BE8">
      <w:pPr>
        <w:keepNext w:val="0"/>
        <w:keepLines w:val="0"/>
        <w:pageBreakBefore w:val="0"/>
        <w:kinsoku/>
        <w:wordWrap/>
        <w:overflowPunct/>
        <w:topLinePunct w:val="0"/>
        <w:autoSpaceDE/>
        <w:autoSpaceDN/>
        <w:bidi w:val="0"/>
        <w:adjustRightInd/>
        <w:snapToGrid w:val="0"/>
        <w:spacing w:after="0" w:line="480" w:lineRule="exact"/>
        <w:ind w:firstLine="480" w:firstLineChars="200"/>
        <w:jc w:val="left"/>
        <w:rPr>
          <w:rFonts w:hint="eastAsia" w:ascii="宋体" w:hAnsi="宋体" w:eastAsia="宋体" w:cs="宋体"/>
          <w:color w:val="auto"/>
          <w:sz w:val="24"/>
          <w:u w:val="none"/>
        </w:rPr>
      </w:pPr>
      <w:r>
        <w:rPr>
          <w:rFonts w:hint="eastAsia" w:ascii="宋体" w:hAnsi="宋体" w:eastAsia="宋体" w:cs="宋体"/>
          <w:color w:val="auto"/>
          <w:sz w:val="24"/>
          <w:u w:val="none"/>
          <w:lang w:val="en-US" w:eastAsia="zh-CN"/>
        </w:rPr>
        <w:t>①</w:t>
      </w:r>
      <w:r>
        <w:rPr>
          <w:rFonts w:hint="eastAsia" w:ascii="宋体" w:hAnsi="宋体" w:eastAsia="宋体" w:cs="宋体"/>
          <w:color w:val="auto"/>
          <w:sz w:val="24"/>
          <w:u w:val="none"/>
        </w:rPr>
        <w:t>钻井液体系：钾钙基聚胺</w:t>
      </w:r>
    </w:p>
    <w:p w14:paraId="1D9A8C7C">
      <w:pPr>
        <w:keepNext w:val="0"/>
        <w:keepLines w:val="0"/>
        <w:pageBreakBefore w:val="0"/>
        <w:widowControl w:val="0"/>
        <w:kinsoku/>
        <w:wordWrap w:val="0"/>
        <w:overflowPunct/>
        <w:topLinePunct w:val="0"/>
        <w:autoSpaceDE/>
        <w:autoSpaceDN/>
        <w:bidi w:val="0"/>
        <w:adjustRightInd/>
        <w:snapToGrid w:val="0"/>
        <w:spacing w:after="0" w:line="480" w:lineRule="exact"/>
        <w:ind w:firstLine="480" w:firstLineChars="200"/>
        <w:jc w:val="left"/>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val="en-US" w:eastAsia="zh-CN"/>
        </w:rPr>
        <w:t>②</w:t>
      </w:r>
      <w:r>
        <w:rPr>
          <w:rFonts w:hint="eastAsia" w:ascii="宋体" w:hAnsi="宋体" w:eastAsia="宋体" w:cs="宋体"/>
          <w:color w:val="auto"/>
          <w:sz w:val="24"/>
          <w:szCs w:val="24"/>
          <w:u w:val="none"/>
        </w:rPr>
        <w:t>配方提示：4%坂土+0.2%Na</w:t>
      </w:r>
      <w:r>
        <w:rPr>
          <w:rFonts w:hint="eastAsia" w:ascii="宋体" w:hAnsi="宋体" w:eastAsia="宋体" w:cs="宋体"/>
          <w:color w:val="auto"/>
          <w:sz w:val="24"/>
          <w:szCs w:val="24"/>
          <w:u w:val="none"/>
          <w:vertAlign w:val="subscript"/>
          <w:lang w:val="en-US" w:eastAsia="zh-CN"/>
        </w:rPr>
        <w:t>2</w:t>
      </w:r>
      <w:r>
        <w:rPr>
          <w:rFonts w:hint="eastAsia" w:ascii="宋体" w:hAnsi="宋体" w:eastAsia="宋体" w:cs="宋体"/>
          <w:color w:val="auto"/>
          <w:sz w:val="24"/>
          <w:szCs w:val="24"/>
          <w:u w:val="none"/>
        </w:rPr>
        <w:t>CO</w:t>
      </w:r>
      <w:r>
        <w:rPr>
          <w:rFonts w:hint="eastAsia" w:ascii="宋体" w:hAnsi="宋体" w:eastAsia="宋体" w:cs="宋体"/>
          <w:color w:val="auto"/>
          <w:sz w:val="24"/>
          <w:szCs w:val="24"/>
          <w:u w:val="none"/>
          <w:vertAlign w:val="subscript"/>
          <w:lang w:val="en-US" w:eastAsia="zh-CN"/>
        </w:rPr>
        <w:t>3</w:t>
      </w:r>
      <w:r>
        <w:rPr>
          <w:rFonts w:hint="eastAsia" w:ascii="宋体" w:hAnsi="宋体" w:eastAsia="宋体" w:cs="宋体"/>
          <w:color w:val="auto"/>
          <w:sz w:val="24"/>
          <w:szCs w:val="24"/>
          <w:u w:val="none"/>
        </w:rPr>
        <w:t>+0.4%NaOH+0.5%～0.7%SP-8+0.5%～0.7%PMHA-2+0.5%复配铵盐+2%HY-2+7%KCl+0.2%～0.5%CaO+1%～2%胺基抑制剂+3%阳离子乳化沥青+0.5%液体润滑剂+2%超细碳酸钙+重晶石</w:t>
      </w:r>
    </w:p>
    <w:p w14:paraId="00017A36">
      <w:pPr>
        <w:keepNext w:val="0"/>
        <w:keepLines w:val="0"/>
        <w:pageBreakBefore w:val="0"/>
        <w:kinsoku/>
        <w:wordWrap/>
        <w:overflowPunct/>
        <w:topLinePunct w:val="0"/>
        <w:autoSpaceDE/>
        <w:autoSpaceDN/>
        <w:bidi w:val="0"/>
        <w:adjustRightInd/>
        <w:snapToGrid w:val="0"/>
        <w:spacing w:after="0" w:line="480" w:lineRule="exact"/>
        <w:ind w:firstLine="496" w:firstLineChars="200"/>
        <w:jc w:val="left"/>
        <w:rPr>
          <w:rFonts w:ascii="Arial" w:hAnsi="Arial" w:cs="Arial"/>
          <w:snapToGrid w:val="0"/>
          <w:color w:val="auto"/>
          <w:kern w:val="0"/>
          <w:sz w:val="24"/>
          <w:u w:val="none"/>
        </w:rPr>
      </w:pPr>
      <w:r>
        <w:rPr>
          <w:rFonts w:hint="eastAsia" w:ascii="宋体" w:hAnsi="宋体" w:eastAsia="宋体" w:cs="宋体"/>
          <w:snapToGrid w:val="0"/>
          <w:color w:val="auto"/>
          <w:spacing w:val="4"/>
          <w:kern w:val="0"/>
          <w:sz w:val="24"/>
          <w:u w:val="none"/>
          <w:lang w:val="en-US" w:eastAsia="zh-CN"/>
        </w:rPr>
        <w:t>③</w:t>
      </w:r>
      <w:r>
        <w:rPr>
          <w:rFonts w:hint="eastAsia" w:ascii="宋体" w:hAnsi="宋体" w:eastAsia="宋体" w:cs="宋体"/>
          <w:snapToGrid w:val="0"/>
          <w:color w:val="auto"/>
          <w:spacing w:val="4"/>
          <w:kern w:val="0"/>
          <w:sz w:val="24"/>
          <w:u w:val="none"/>
        </w:rPr>
        <w:t>钻井液性能要求，见表</w:t>
      </w:r>
      <w:r>
        <w:rPr>
          <w:rFonts w:hint="eastAsia" w:ascii="宋体" w:hAnsi="宋体" w:eastAsia="宋体" w:cs="宋体"/>
          <w:snapToGrid w:val="0"/>
          <w:color w:val="auto"/>
          <w:spacing w:val="4"/>
          <w:kern w:val="0"/>
          <w:sz w:val="24"/>
          <w:u w:val="none"/>
          <w:lang w:val="en-US" w:eastAsia="zh-CN"/>
        </w:rPr>
        <w:t>3.3-7。</w:t>
      </w:r>
      <w:r>
        <w:rPr>
          <w:rFonts w:ascii="Arial" w:hAnsi="Arial" w:cs="Arial"/>
          <w:snapToGrid w:val="0"/>
          <w:color w:val="auto"/>
          <w:kern w:val="0"/>
          <w:sz w:val="24"/>
          <w:u w:val="none"/>
        </w:rPr>
        <w:t xml:space="preserve"> </w:t>
      </w:r>
    </w:p>
    <w:p w14:paraId="7417CA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表3.3-7  二开钻井液主控性能参数表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07"/>
        <w:gridCol w:w="1062"/>
        <w:gridCol w:w="1066"/>
        <w:gridCol w:w="1062"/>
        <w:gridCol w:w="899"/>
        <w:gridCol w:w="1231"/>
        <w:gridCol w:w="1066"/>
        <w:gridCol w:w="1078"/>
      </w:tblGrid>
      <w:tr w14:paraId="3E2FA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6" w:type="pct"/>
            <w:tcBorders>
              <w:tl2br w:val="nil"/>
              <w:tr2bl w:val="nil"/>
            </w:tcBorders>
            <w:vAlign w:val="center"/>
          </w:tcPr>
          <w:p w14:paraId="58DA154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ρ</w:t>
            </w:r>
          </w:p>
          <w:p w14:paraId="09BD8AE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(g/cm</w:t>
            </w:r>
            <w:r>
              <w:rPr>
                <w:rFonts w:hint="eastAsia" w:ascii="宋体" w:hAnsi="宋体" w:eastAsia="宋体" w:cs="宋体"/>
                <w:color w:val="auto"/>
                <w:sz w:val="21"/>
                <w:szCs w:val="21"/>
                <w:u w:val="none"/>
                <w:vertAlign w:val="superscript"/>
              </w:rPr>
              <w:t>3</w:t>
            </w:r>
            <w:r>
              <w:rPr>
                <w:rFonts w:hint="eastAsia" w:ascii="宋体" w:hAnsi="宋体" w:eastAsia="宋体" w:cs="宋体"/>
                <w:color w:val="auto"/>
                <w:sz w:val="21"/>
                <w:szCs w:val="21"/>
                <w:u w:val="none"/>
              </w:rPr>
              <w:t>)</w:t>
            </w:r>
          </w:p>
        </w:tc>
        <w:tc>
          <w:tcPr>
            <w:tcW w:w="612" w:type="pct"/>
            <w:tcBorders>
              <w:tl2br w:val="nil"/>
              <w:tr2bl w:val="nil"/>
            </w:tcBorders>
            <w:vAlign w:val="center"/>
          </w:tcPr>
          <w:p w14:paraId="4BEEDD9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FV</w:t>
            </w:r>
          </w:p>
          <w:p w14:paraId="599356E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(s)</w:t>
            </w:r>
          </w:p>
        </w:tc>
        <w:tc>
          <w:tcPr>
            <w:tcW w:w="614" w:type="pct"/>
            <w:tcBorders>
              <w:tl2br w:val="nil"/>
              <w:tr2bl w:val="nil"/>
            </w:tcBorders>
            <w:vAlign w:val="center"/>
          </w:tcPr>
          <w:p w14:paraId="47D8F73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FL</w:t>
            </w:r>
          </w:p>
          <w:p w14:paraId="397A857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(ml)</w:t>
            </w:r>
          </w:p>
        </w:tc>
        <w:tc>
          <w:tcPr>
            <w:tcW w:w="612" w:type="pct"/>
            <w:tcBorders>
              <w:tl2br w:val="nil"/>
              <w:tr2bl w:val="nil"/>
            </w:tcBorders>
            <w:vAlign w:val="center"/>
          </w:tcPr>
          <w:p w14:paraId="5634330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PV</w:t>
            </w:r>
          </w:p>
          <w:p w14:paraId="74C5FC8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(mPa.s)</w:t>
            </w:r>
          </w:p>
        </w:tc>
        <w:tc>
          <w:tcPr>
            <w:tcW w:w="518" w:type="pct"/>
            <w:tcBorders>
              <w:tl2br w:val="nil"/>
              <w:tr2bl w:val="nil"/>
            </w:tcBorders>
            <w:vAlign w:val="center"/>
          </w:tcPr>
          <w:p w14:paraId="7C803C9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YP</w:t>
            </w:r>
          </w:p>
          <w:p w14:paraId="6FF2711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(Pa)</w:t>
            </w:r>
          </w:p>
        </w:tc>
        <w:tc>
          <w:tcPr>
            <w:tcW w:w="709" w:type="pct"/>
            <w:tcBorders>
              <w:tl2br w:val="nil"/>
              <w:tr2bl w:val="nil"/>
            </w:tcBorders>
            <w:vAlign w:val="center"/>
          </w:tcPr>
          <w:p w14:paraId="3D1F1A7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GEL</w:t>
            </w:r>
          </w:p>
          <w:p w14:paraId="29E69EB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napToGrid w:val="0"/>
                <w:color w:val="auto"/>
                <w:sz w:val="21"/>
                <w:szCs w:val="21"/>
                <w:u w:val="none"/>
              </w:rPr>
            </w:pPr>
            <w:r>
              <w:rPr>
                <w:rFonts w:hint="eastAsia" w:ascii="宋体" w:hAnsi="宋体" w:eastAsia="宋体" w:cs="宋体"/>
                <w:snapToGrid w:val="0"/>
                <w:color w:val="auto"/>
                <w:sz w:val="21"/>
                <w:szCs w:val="21"/>
                <w:u w:val="none"/>
              </w:rPr>
              <w:t>(Pa)</w:t>
            </w:r>
          </w:p>
        </w:tc>
        <w:tc>
          <w:tcPr>
            <w:tcW w:w="614" w:type="pct"/>
            <w:tcBorders>
              <w:tl2br w:val="nil"/>
              <w:tr2bl w:val="nil"/>
            </w:tcBorders>
            <w:vAlign w:val="center"/>
          </w:tcPr>
          <w:p w14:paraId="2D45610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pH</w:t>
            </w:r>
          </w:p>
        </w:tc>
        <w:tc>
          <w:tcPr>
            <w:tcW w:w="621" w:type="pct"/>
            <w:tcBorders>
              <w:tl2br w:val="nil"/>
              <w:tr2bl w:val="nil"/>
            </w:tcBorders>
            <w:vAlign w:val="center"/>
          </w:tcPr>
          <w:p w14:paraId="0468DA4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含砂量</w:t>
            </w:r>
          </w:p>
          <w:p w14:paraId="0D45C14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r>
      <w:tr w14:paraId="26593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6" w:type="pct"/>
            <w:tcBorders>
              <w:tl2br w:val="nil"/>
              <w:tr2bl w:val="nil"/>
            </w:tcBorders>
            <w:vAlign w:val="center"/>
          </w:tcPr>
          <w:p w14:paraId="191D326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1.10~1.35</w:t>
            </w:r>
          </w:p>
        </w:tc>
        <w:tc>
          <w:tcPr>
            <w:tcW w:w="612" w:type="pct"/>
            <w:tcBorders>
              <w:tl2br w:val="nil"/>
              <w:tr2bl w:val="nil"/>
            </w:tcBorders>
            <w:vAlign w:val="center"/>
          </w:tcPr>
          <w:p w14:paraId="721CB36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40~70</w:t>
            </w:r>
          </w:p>
        </w:tc>
        <w:tc>
          <w:tcPr>
            <w:tcW w:w="614" w:type="pct"/>
            <w:tcBorders>
              <w:tl2br w:val="nil"/>
              <w:tr2bl w:val="nil"/>
            </w:tcBorders>
            <w:vAlign w:val="center"/>
          </w:tcPr>
          <w:p w14:paraId="4EF325E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w:t>
            </w:r>
          </w:p>
        </w:tc>
        <w:tc>
          <w:tcPr>
            <w:tcW w:w="612" w:type="pct"/>
            <w:tcBorders>
              <w:tl2br w:val="nil"/>
              <w:tr2bl w:val="nil"/>
            </w:tcBorders>
            <w:vAlign w:val="center"/>
          </w:tcPr>
          <w:p w14:paraId="1297194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15~35</w:t>
            </w:r>
          </w:p>
        </w:tc>
        <w:tc>
          <w:tcPr>
            <w:tcW w:w="518" w:type="pct"/>
            <w:tcBorders>
              <w:tl2br w:val="nil"/>
              <w:tr2bl w:val="nil"/>
            </w:tcBorders>
            <w:vAlign w:val="center"/>
          </w:tcPr>
          <w:p w14:paraId="0CE285A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5~15</w:t>
            </w:r>
          </w:p>
        </w:tc>
        <w:tc>
          <w:tcPr>
            <w:tcW w:w="709" w:type="pct"/>
            <w:tcBorders>
              <w:tl2br w:val="nil"/>
              <w:tr2bl w:val="nil"/>
            </w:tcBorders>
            <w:vAlign w:val="center"/>
          </w:tcPr>
          <w:p w14:paraId="5A72ED9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1~7/2~12</w:t>
            </w:r>
          </w:p>
        </w:tc>
        <w:tc>
          <w:tcPr>
            <w:tcW w:w="614" w:type="pct"/>
            <w:tcBorders>
              <w:tl2br w:val="nil"/>
              <w:tr2bl w:val="nil"/>
            </w:tcBorders>
            <w:vAlign w:val="center"/>
          </w:tcPr>
          <w:p w14:paraId="3937639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9~11</w:t>
            </w:r>
          </w:p>
        </w:tc>
        <w:tc>
          <w:tcPr>
            <w:tcW w:w="621" w:type="pct"/>
            <w:tcBorders>
              <w:tl2br w:val="nil"/>
              <w:tr2bl w:val="nil"/>
            </w:tcBorders>
            <w:vAlign w:val="center"/>
          </w:tcPr>
          <w:p w14:paraId="3F43D6C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sym w:font="Symbol" w:char="00A3"/>
            </w:r>
            <w:r>
              <w:rPr>
                <w:rFonts w:hint="eastAsia" w:ascii="宋体" w:hAnsi="宋体" w:eastAsia="宋体" w:cs="宋体"/>
                <w:color w:val="auto"/>
                <w:sz w:val="21"/>
                <w:szCs w:val="21"/>
                <w:u w:val="none"/>
              </w:rPr>
              <w:t>0.3</w:t>
            </w:r>
          </w:p>
        </w:tc>
      </w:tr>
    </w:tbl>
    <w:p w14:paraId="1D8508AF">
      <w:pPr>
        <w:keepNext w:val="0"/>
        <w:keepLines w:val="0"/>
        <w:pageBreakBefore w:val="0"/>
        <w:widowControl/>
        <w:kinsoku/>
        <w:wordWrap/>
        <w:overflowPunct/>
        <w:topLinePunct w:val="0"/>
        <w:autoSpaceDE/>
        <w:autoSpaceDN/>
        <w:bidi w:val="0"/>
        <w:spacing w:line="480" w:lineRule="exact"/>
        <w:ind w:firstLine="480" w:firstLineChars="200"/>
        <w:jc w:val="left"/>
        <w:textAlignment w:val="baseline"/>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3）三开钻井液</w:t>
      </w:r>
    </w:p>
    <w:p w14:paraId="67A6771B">
      <w:pPr>
        <w:keepNext w:val="0"/>
        <w:keepLines w:val="0"/>
        <w:pageBreakBefore w:val="0"/>
        <w:kinsoku/>
        <w:wordWrap/>
        <w:overflowPunct/>
        <w:topLinePunct w:val="0"/>
        <w:autoSpaceDE/>
        <w:autoSpaceDN/>
        <w:bidi w:val="0"/>
        <w:adjustRightInd w:val="0"/>
        <w:snapToGrid w:val="0"/>
        <w:spacing w:after="0" w:line="480" w:lineRule="exact"/>
        <w:ind w:firstLine="496" w:firstLineChars="200"/>
        <w:rPr>
          <w:rFonts w:hint="eastAsia" w:ascii="宋体" w:hAnsi="宋体" w:eastAsia="宋体" w:cs="宋体"/>
          <w:color w:val="auto"/>
          <w:spacing w:val="4"/>
          <w:sz w:val="24"/>
          <w:u w:val="none"/>
        </w:rPr>
      </w:pPr>
      <w:r>
        <w:rPr>
          <w:rFonts w:hint="eastAsia" w:ascii="宋体" w:hAnsi="宋体" w:eastAsia="宋体" w:cs="宋体"/>
          <w:color w:val="auto"/>
          <w:spacing w:val="4"/>
          <w:sz w:val="24"/>
          <w:u w:val="none"/>
          <w:lang w:val="en-US" w:eastAsia="zh-CN"/>
        </w:rPr>
        <w:t>①</w:t>
      </w:r>
      <w:r>
        <w:rPr>
          <w:rFonts w:hint="eastAsia" w:ascii="宋体" w:hAnsi="宋体" w:eastAsia="宋体" w:cs="宋体"/>
          <w:color w:val="auto"/>
          <w:spacing w:val="4"/>
          <w:sz w:val="24"/>
          <w:u w:val="none"/>
        </w:rPr>
        <w:t>钻井完井液体系：油基钻井液</w:t>
      </w:r>
    </w:p>
    <w:p w14:paraId="0A63D1BE">
      <w:pPr>
        <w:keepNext w:val="0"/>
        <w:keepLines w:val="0"/>
        <w:pageBreakBefore w:val="0"/>
        <w:kinsoku/>
        <w:wordWrap/>
        <w:overflowPunct/>
        <w:topLinePunct w:val="0"/>
        <w:autoSpaceDE/>
        <w:autoSpaceDN/>
        <w:bidi w:val="0"/>
        <w:adjustRightInd w:val="0"/>
        <w:snapToGrid w:val="0"/>
        <w:spacing w:after="0" w:line="480" w:lineRule="exact"/>
        <w:ind w:firstLine="480" w:firstLineChars="200"/>
        <w:jc w:val="left"/>
        <w:rPr>
          <w:rFonts w:hint="eastAsia" w:ascii="宋体" w:hAnsi="宋体" w:eastAsia="宋体" w:cs="宋体"/>
          <w:color w:val="auto"/>
          <w:sz w:val="24"/>
          <w:szCs w:val="24"/>
          <w:u w:val="none"/>
          <w:lang w:eastAsia="zh-CN"/>
        </w:rPr>
      </w:pPr>
      <w:r>
        <w:rPr>
          <w:rFonts w:hint="eastAsia" w:ascii="宋体" w:hAnsi="宋体" w:eastAsia="宋体" w:cs="宋体"/>
          <w:color w:val="auto"/>
          <w:sz w:val="24"/>
          <w:szCs w:val="24"/>
          <w:u w:val="none"/>
        </w:rPr>
        <w:t>配方：75:25（白油:30%CaCl</w:t>
      </w:r>
      <w:r>
        <w:rPr>
          <w:rFonts w:hint="eastAsia" w:ascii="宋体" w:hAnsi="宋体" w:eastAsia="宋体" w:cs="宋体"/>
          <w:color w:val="auto"/>
          <w:sz w:val="24"/>
          <w:szCs w:val="24"/>
          <w:u w:val="none"/>
          <w:vertAlign w:val="subscript"/>
          <w:lang w:val="en-US" w:eastAsia="zh-CN"/>
        </w:rPr>
        <w:t>2</w:t>
      </w:r>
      <w:r>
        <w:rPr>
          <w:rFonts w:hint="eastAsia" w:ascii="宋体" w:hAnsi="宋体" w:eastAsia="宋体" w:cs="宋体"/>
          <w:color w:val="auto"/>
          <w:sz w:val="24"/>
          <w:szCs w:val="24"/>
          <w:u w:val="none"/>
        </w:rPr>
        <w:t>水溶液）+2%～2.5%主乳化剂+2%～2.5%辅乳化剂+1%～1.5%润湿剂+2%～3%有机土+2.5%降滤失剂+1%絮凝剂+1.5%CaO+2%封堵剂+重晶石</w:t>
      </w:r>
      <w:r>
        <w:rPr>
          <w:rFonts w:hint="eastAsia" w:ascii="宋体" w:hAnsi="宋体" w:eastAsia="宋体" w:cs="宋体"/>
          <w:color w:val="auto"/>
          <w:sz w:val="24"/>
          <w:szCs w:val="24"/>
          <w:u w:val="none"/>
          <w:lang w:eastAsia="zh-CN"/>
        </w:rPr>
        <w:t>。</w:t>
      </w:r>
    </w:p>
    <w:p w14:paraId="2A707559">
      <w:pPr>
        <w:keepNext w:val="0"/>
        <w:keepLines w:val="0"/>
        <w:pageBreakBefore w:val="0"/>
        <w:kinsoku/>
        <w:wordWrap/>
        <w:overflowPunct/>
        <w:topLinePunct w:val="0"/>
        <w:autoSpaceDE/>
        <w:autoSpaceDN/>
        <w:bidi w:val="0"/>
        <w:adjustRightInd w:val="0"/>
        <w:snapToGrid w:val="0"/>
        <w:spacing w:after="0" w:line="480" w:lineRule="exact"/>
        <w:ind w:firstLine="496" w:firstLineChars="200"/>
        <w:rPr>
          <w:rFonts w:ascii="Arial" w:hAnsi="Arial" w:cs="Arial"/>
          <w:color w:val="auto"/>
          <w:spacing w:val="4"/>
          <w:sz w:val="24"/>
          <w:u w:val="none"/>
        </w:rPr>
      </w:pPr>
      <w:r>
        <w:rPr>
          <w:rFonts w:hint="eastAsia" w:ascii="宋体" w:hAnsi="宋体" w:eastAsia="宋体" w:cs="宋体"/>
          <w:color w:val="auto"/>
          <w:spacing w:val="4"/>
          <w:sz w:val="24"/>
          <w:u w:val="none"/>
          <w:lang w:val="en-US" w:eastAsia="zh-CN"/>
        </w:rPr>
        <w:t>②</w:t>
      </w:r>
      <w:r>
        <w:rPr>
          <w:rFonts w:hint="eastAsia" w:ascii="宋体" w:hAnsi="宋体" w:eastAsia="宋体" w:cs="宋体"/>
          <w:color w:val="auto"/>
          <w:spacing w:val="4"/>
          <w:sz w:val="24"/>
          <w:u w:val="none"/>
        </w:rPr>
        <w:t>钻井液性能要求，</w:t>
      </w:r>
      <w:r>
        <w:rPr>
          <w:rFonts w:hint="eastAsia" w:ascii="宋体" w:hAnsi="宋体" w:eastAsia="宋体" w:cs="宋体"/>
          <w:color w:val="auto"/>
          <w:sz w:val="24"/>
          <w:szCs w:val="24"/>
          <w:u w:val="none"/>
        </w:rPr>
        <w:t>见表</w:t>
      </w:r>
      <w:r>
        <w:rPr>
          <w:rFonts w:hint="eastAsia" w:ascii="宋体" w:hAnsi="宋体" w:eastAsia="宋体" w:cs="宋体"/>
          <w:color w:val="auto"/>
          <w:sz w:val="24"/>
          <w:szCs w:val="24"/>
          <w:u w:val="none"/>
          <w:lang w:val="en-US" w:eastAsia="zh-CN"/>
        </w:rPr>
        <w:t>3.3-8</w:t>
      </w:r>
      <w:r>
        <w:rPr>
          <w:rFonts w:hint="eastAsia" w:ascii="宋体" w:hAnsi="宋体" w:eastAsia="宋体" w:cs="宋体"/>
          <w:color w:val="auto"/>
          <w:sz w:val="24"/>
          <w:szCs w:val="24"/>
          <w:u w:val="none"/>
        </w:rPr>
        <w:t>。</w:t>
      </w:r>
    </w:p>
    <w:p w14:paraId="0E7EB3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表3.3-8  三开钻井液主控性能参数表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39"/>
        <w:gridCol w:w="1100"/>
        <w:gridCol w:w="1099"/>
        <w:gridCol w:w="1375"/>
        <w:gridCol w:w="1239"/>
        <w:gridCol w:w="964"/>
        <w:gridCol w:w="1227"/>
      </w:tblGrid>
      <w:tr w14:paraId="1236B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8" w:type="pct"/>
            <w:tcBorders>
              <w:tl2br w:val="nil"/>
              <w:tr2bl w:val="nil"/>
            </w:tcBorders>
            <w:vAlign w:val="center"/>
          </w:tcPr>
          <w:p w14:paraId="3EF8B76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密 度</w:t>
            </w:r>
          </w:p>
          <w:p w14:paraId="3670EA7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(g/cm</w:t>
            </w:r>
            <w:r>
              <w:rPr>
                <w:rFonts w:hint="eastAsia" w:ascii="宋体" w:hAnsi="宋体" w:eastAsia="宋体" w:cs="宋体"/>
                <w:color w:val="auto"/>
                <w:sz w:val="21"/>
                <w:szCs w:val="21"/>
                <w:u w:val="none"/>
                <w:vertAlign w:val="superscript"/>
              </w:rPr>
              <w:t>3</w:t>
            </w:r>
            <w:r>
              <w:rPr>
                <w:rFonts w:hint="eastAsia" w:ascii="宋体" w:hAnsi="宋体" w:eastAsia="宋体" w:cs="宋体"/>
                <w:color w:val="auto"/>
                <w:sz w:val="21"/>
                <w:szCs w:val="21"/>
                <w:u w:val="none"/>
              </w:rPr>
              <w:t>)</w:t>
            </w:r>
          </w:p>
        </w:tc>
        <w:tc>
          <w:tcPr>
            <w:tcW w:w="636" w:type="pct"/>
            <w:tcBorders>
              <w:tl2br w:val="nil"/>
              <w:tr2bl w:val="nil"/>
            </w:tcBorders>
            <w:vAlign w:val="center"/>
          </w:tcPr>
          <w:p w14:paraId="1CAFDE5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粘 度</w:t>
            </w:r>
          </w:p>
          <w:p w14:paraId="742E165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s )</w:t>
            </w:r>
          </w:p>
        </w:tc>
        <w:tc>
          <w:tcPr>
            <w:tcW w:w="635" w:type="pct"/>
            <w:tcBorders>
              <w:tl2br w:val="nil"/>
              <w:tr2bl w:val="nil"/>
            </w:tcBorders>
            <w:vAlign w:val="center"/>
          </w:tcPr>
          <w:p w14:paraId="07B16D2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HTHP</w:t>
            </w:r>
          </w:p>
          <w:p w14:paraId="1882F73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 (ml)</w:t>
            </w:r>
          </w:p>
        </w:tc>
        <w:tc>
          <w:tcPr>
            <w:tcW w:w="795" w:type="pct"/>
            <w:tcBorders>
              <w:tl2br w:val="nil"/>
              <w:tr2bl w:val="nil"/>
            </w:tcBorders>
            <w:vAlign w:val="center"/>
          </w:tcPr>
          <w:p w14:paraId="7AE7CE5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静切力</w:t>
            </w:r>
          </w:p>
          <w:p w14:paraId="05A083A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(Pa)</w:t>
            </w:r>
          </w:p>
        </w:tc>
        <w:tc>
          <w:tcPr>
            <w:tcW w:w="716" w:type="pct"/>
            <w:tcBorders>
              <w:tl2br w:val="nil"/>
              <w:tr2bl w:val="nil"/>
            </w:tcBorders>
            <w:vAlign w:val="center"/>
          </w:tcPr>
          <w:p w14:paraId="7A8BEAA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塑性粘度</w:t>
            </w:r>
          </w:p>
          <w:p w14:paraId="746473A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(mPa.s)</w:t>
            </w:r>
          </w:p>
        </w:tc>
        <w:tc>
          <w:tcPr>
            <w:tcW w:w="557" w:type="pct"/>
            <w:tcBorders>
              <w:tl2br w:val="nil"/>
              <w:tr2bl w:val="nil"/>
            </w:tcBorders>
            <w:vAlign w:val="center"/>
          </w:tcPr>
          <w:p w14:paraId="42B0D58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动切力</w:t>
            </w:r>
          </w:p>
          <w:p w14:paraId="0520326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(Pa)</w:t>
            </w:r>
          </w:p>
        </w:tc>
        <w:tc>
          <w:tcPr>
            <w:tcW w:w="709" w:type="pct"/>
            <w:tcBorders>
              <w:tl2br w:val="nil"/>
              <w:tr2bl w:val="nil"/>
            </w:tcBorders>
            <w:vAlign w:val="center"/>
          </w:tcPr>
          <w:p w14:paraId="6389AE7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破乳电压</w:t>
            </w:r>
          </w:p>
          <w:p w14:paraId="3BFAA77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V</w:t>
            </w:r>
          </w:p>
        </w:tc>
      </w:tr>
      <w:tr w14:paraId="76618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8" w:type="pct"/>
            <w:tcBorders>
              <w:tl2br w:val="nil"/>
              <w:tr2bl w:val="nil"/>
            </w:tcBorders>
            <w:vAlign w:val="center"/>
          </w:tcPr>
          <w:p w14:paraId="718D283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1.30</w:t>
            </w:r>
            <w:r>
              <w:rPr>
                <w:rFonts w:hint="eastAsia" w:ascii="宋体" w:hAnsi="宋体" w:eastAsia="宋体" w:cs="宋体"/>
                <w:color w:val="auto"/>
                <w:sz w:val="21"/>
                <w:szCs w:val="21"/>
                <w:u w:val="none"/>
              </w:rPr>
              <w:sym w:font="Symbol" w:char="007E"/>
            </w:r>
            <w:r>
              <w:rPr>
                <w:rFonts w:hint="eastAsia" w:ascii="宋体" w:hAnsi="宋体" w:eastAsia="宋体" w:cs="宋体"/>
                <w:color w:val="auto"/>
                <w:sz w:val="21"/>
                <w:szCs w:val="21"/>
                <w:u w:val="none"/>
              </w:rPr>
              <w:t>1.45</w:t>
            </w:r>
          </w:p>
        </w:tc>
        <w:tc>
          <w:tcPr>
            <w:tcW w:w="636" w:type="pct"/>
            <w:tcBorders>
              <w:tl2br w:val="nil"/>
              <w:tr2bl w:val="nil"/>
            </w:tcBorders>
            <w:vAlign w:val="center"/>
          </w:tcPr>
          <w:p w14:paraId="4B9AB58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45~75</w:t>
            </w:r>
          </w:p>
        </w:tc>
        <w:tc>
          <w:tcPr>
            <w:tcW w:w="635" w:type="pct"/>
            <w:tcBorders>
              <w:tl2br w:val="nil"/>
              <w:tr2bl w:val="nil"/>
            </w:tcBorders>
            <w:vAlign w:val="center"/>
          </w:tcPr>
          <w:p w14:paraId="0B58AC0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795" w:type="pct"/>
            <w:tcBorders>
              <w:tl2br w:val="nil"/>
              <w:tr2bl w:val="nil"/>
            </w:tcBorders>
            <w:vAlign w:val="center"/>
          </w:tcPr>
          <w:p w14:paraId="22F0165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1~6/2~9</w:t>
            </w:r>
          </w:p>
        </w:tc>
        <w:tc>
          <w:tcPr>
            <w:tcW w:w="716" w:type="pct"/>
            <w:tcBorders>
              <w:tl2br w:val="nil"/>
              <w:tr2bl w:val="nil"/>
            </w:tcBorders>
            <w:vAlign w:val="center"/>
          </w:tcPr>
          <w:p w14:paraId="6C290C9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15~35</w:t>
            </w:r>
          </w:p>
        </w:tc>
        <w:tc>
          <w:tcPr>
            <w:tcW w:w="557" w:type="pct"/>
            <w:tcBorders>
              <w:tl2br w:val="nil"/>
              <w:tr2bl w:val="nil"/>
            </w:tcBorders>
            <w:vAlign w:val="center"/>
          </w:tcPr>
          <w:p w14:paraId="3D26C84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5~12</w:t>
            </w:r>
          </w:p>
        </w:tc>
        <w:tc>
          <w:tcPr>
            <w:tcW w:w="709" w:type="pct"/>
            <w:tcBorders>
              <w:tl2br w:val="nil"/>
              <w:tr2bl w:val="nil"/>
            </w:tcBorders>
            <w:vAlign w:val="center"/>
          </w:tcPr>
          <w:p w14:paraId="6B7625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≥400</w:t>
            </w:r>
          </w:p>
        </w:tc>
      </w:tr>
    </w:tbl>
    <w:p w14:paraId="105454F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eastAsia="zh-CN"/>
        </w:rPr>
      </w:pPr>
      <w:r>
        <w:rPr>
          <w:rFonts w:hint="eastAsia" w:ascii="宋体" w:hAnsi="宋体" w:eastAsia="宋体" w:cs="宋体"/>
          <w:color w:val="auto"/>
          <w:sz w:val="24"/>
          <w:szCs w:val="24"/>
          <w:u w:val="none"/>
        </w:rPr>
        <w:t>（</w:t>
      </w:r>
      <w:r>
        <w:rPr>
          <w:rFonts w:hint="eastAsia" w:ascii="宋体" w:hAnsi="宋体" w:cs="宋体"/>
          <w:color w:val="auto"/>
          <w:sz w:val="24"/>
          <w:szCs w:val="24"/>
          <w:u w:val="none"/>
          <w:lang w:val="en-US" w:eastAsia="zh-CN"/>
        </w:rPr>
        <w:t>5</w:t>
      </w:r>
      <w:r>
        <w:rPr>
          <w:rFonts w:hint="eastAsia" w:ascii="宋体" w:hAnsi="宋体" w:eastAsia="宋体" w:cs="宋体"/>
          <w:color w:val="auto"/>
          <w:sz w:val="24"/>
          <w:szCs w:val="24"/>
          <w:u w:val="none"/>
        </w:rPr>
        <w:t>）</w:t>
      </w:r>
      <w:r>
        <w:rPr>
          <w:rFonts w:hint="eastAsia" w:ascii="宋体" w:hAnsi="宋体" w:cs="宋体"/>
          <w:color w:val="auto"/>
          <w:sz w:val="24"/>
          <w:szCs w:val="24"/>
          <w:u w:val="none"/>
          <w:lang w:val="en-US" w:eastAsia="zh-CN"/>
        </w:rPr>
        <w:t>钻井工程原辅材料</w:t>
      </w:r>
    </w:p>
    <w:p w14:paraId="0F6207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钻井工程原辅材料</w:t>
      </w:r>
      <w:r>
        <w:rPr>
          <w:rFonts w:hint="eastAsia" w:ascii="宋体" w:hAnsi="宋体" w:cs="宋体"/>
          <w:color w:val="auto"/>
          <w:sz w:val="24"/>
          <w:szCs w:val="24"/>
          <w:u w:val="none"/>
          <w:lang w:val="en-US" w:eastAsia="zh-CN"/>
        </w:rPr>
        <w:t>消耗建表3.3-9。</w:t>
      </w:r>
    </w:p>
    <w:p w14:paraId="0040C7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表3.3-9  钻井工程原辅材料消耗表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839"/>
        <w:gridCol w:w="1268"/>
        <w:gridCol w:w="1395"/>
        <w:gridCol w:w="1201"/>
        <w:gridCol w:w="1399"/>
      </w:tblGrid>
      <w:tr w14:paraId="6D24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726417BA">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开钻次序</w:t>
            </w:r>
          </w:p>
        </w:tc>
        <w:tc>
          <w:tcPr>
            <w:tcW w:w="718" w:type="pct"/>
            <w:vAlign w:val="center"/>
          </w:tcPr>
          <w:p w14:paraId="6F5F3DFA">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一开</w:t>
            </w:r>
          </w:p>
        </w:tc>
        <w:tc>
          <w:tcPr>
            <w:tcW w:w="790" w:type="pct"/>
            <w:vAlign w:val="center"/>
          </w:tcPr>
          <w:p w14:paraId="19302A6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二开</w:t>
            </w:r>
          </w:p>
        </w:tc>
        <w:tc>
          <w:tcPr>
            <w:tcW w:w="678" w:type="pct"/>
            <w:vAlign w:val="center"/>
          </w:tcPr>
          <w:p w14:paraId="411D8AB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三开</w:t>
            </w:r>
          </w:p>
        </w:tc>
        <w:tc>
          <w:tcPr>
            <w:tcW w:w="792" w:type="pct"/>
            <w:vAlign w:val="center"/>
          </w:tcPr>
          <w:p w14:paraId="1E41AE2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r>
      <w:tr w14:paraId="2485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034D1338">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钻头尺寸mm</w:t>
            </w:r>
          </w:p>
        </w:tc>
        <w:tc>
          <w:tcPr>
            <w:tcW w:w="718" w:type="pct"/>
            <w:vAlign w:val="center"/>
          </w:tcPr>
          <w:p w14:paraId="7DE696F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444.5</w:t>
            </w:r>
          </w:p>
        </w:tc>
        <w:tc>
          <w:tcPr>
            <w:tcW w:w="790" w:type="pct"/>
            <w:vAlign w:val="center"/>
          </w:tcPr>
          <w:p w14:paraId="60FB8C1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311.2</w:t>
            </w:r>
          </w:p>
        </w:tc>
        <w:tc>
          <w:tcPr>
            <w:tcW w:w="678" w:type="pct"/>
            <w:vAlign w:val="center"/>
          </w:tcPr>
          <w:p w14:paraId="2C37B6E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215.9</w:t>
            </w:r>
          </w:p>
        </w:tc>
        <w:tc>
          <w:tcPr>
            <w:tcW w:w="792" w:type="pct"/>
            <w:vAlign w:val="center"/>
          </w:tcPr>
          <w:p w14:paraId="0C3643D5">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r>
      <w:tr w14:paraId="20DB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0AD9BBF4">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井段m</w:t>
            </w:r>
          </w:p>
        </w:tc>
        <w:tc>
          <w:tcPr>
            <w:tcW w:w="718" w:type="pct"/>
            <w:vAlign w:val="center"/>
          </w:tcPr>
          <w:p w14:paraId="25328EB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0~500</w:t>
            </w:r>
          </w:p>
        </w:tc>
        <w:tc>
          <w:tcPr>
            <w:tcW w:w="790" w:type="pct"/>
            <w:vAlign w:val="center"/>
          </w:tcPr>
          <w:p w14:paraId="798ED80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~4020</w:t>
            </w:r>
          </w:p>
        </w:tc>
        <w:tc>
          <w:tcPr>
            <w:tcW w:w="678" w:type="pct"/>
            <w:vAlign w:val="center"/>
          </w:tcPr>
          <w:p w14:paraId="23C72A6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~5623.63</w:t>
            </w:r>
          </w:p>
        </w:tc>
        <w:tc>
          <w:tcPr>
            <w:tcW w:w="792" w:type="pct"/>
            <w:vAlign w:val="center"/>
          </w:tcPr>
          <w:p w14:paraId="0E3B605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r>
      <w:tr w14:paraId="4892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36ACFF3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井筒容积m</w:t>
            </w:r>
            <w:r>
              <w:rPr>
                <w:rFonts w:hint="eastAsia" w:ascii="宋体" w:hAnsi="宋体" w:eastAsia="宋体" w:cs="宋体"/>
                <w:color w:val="auto"/>
                <w:sz w:val="21"/>
                <w:szCs w:val="21"/>
                <w:u w:val="none"/>
                <w:vertAlign w:val="superscript"/>
              </w:rPr>
              <w:t>3</w:t>
            </w:r>
          </w:p>
        </w:tc>
        <w:tc>
          <w:tcPr>
            <w:tcW w:w="718" w:type="pct"/>
            <w:vAlign w:val="center"/>
          </w:tcPr>
          <w:p w14:paraId="1003304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78</w:t>
            </w:r>
          </w:p>
        </w:tc>
        <w:tc>
          <w:tcPr>
            <w:tcW w:w="790" w:type="pct"/>
            <w:vAlign w:val="center"/>
          </w:tcPr>
          <w:p w14:paraId="52978778">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308</w:t>
            </w:r>
          </w:p>
        </w:tc>
        <w:tc>
          <w:tcPr>
            <w:tcW w:w="678" w:type="pct"/>
            <w:vAlign w:val="center"/>
          </w:tcPr>
          <w:p w14:paraId="5DA7D2E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215</w:t>
            </w:r>
          </w:p>
        </w:tc>
        <w:tc>
          <w:tcPr>
            <w:tcW w:w="792" w:type="pct"/>
            <w:vAlign w:val="center"/>
          </w:tcPr>
          <w:p w14:paraId="6DC5B92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r>
      <w:tr w14:paraId="758D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20A0866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钻井液用量m</w:t>
            </w:r>
            <w:r>
              <w:rPr>
                <w:rFonts w:hint="eastAsia" w:ascii="宋体" w:hAnsi="宋体" w:eastAsia="宋体" w:cs="宋体"/>
                <w:color w:val="auto"/>
                <w:sz w:val="21"/>
                <w:szCs w:val="21"/>
                <w:u w:val="none"/>
                <w:vertAlign w:val="superscript"/>
              </w:rPr>
              <w:t>3</w:t>
            </w:r>
          </w:p>
        </w:tc>
        <w:tc>
          <w:tcPr>
            <w:tcW w:w="718" w:type="pct"/>
            <w:vAlign w:val="center"/>
          </w:tcPr>
          <w:p w14:paraId="01B5F16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206</w:t>
            </w:r>
          </w:p>
        </w:tc>
        <w:tc>
          <w:tcPr>
            <w:tcW w:w="790" w:type="pct"/>
            <w:vAlign w:val="center"/>
          </w:tcPr>
          <w:p w14:paraId="407D615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585</w:t>
            </w:r>
          </w:p>
        </w:tc>
        <w:tc>
          <w:tcPr>
            <w:tcW w:w="678" w:type="pct"/>
            <w:vAlign w:val="center"/>
          </w:tcPr>
          <w:p w14:paraId="40FDB78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511</w:t>
            </w:r>
          </w:p>
        </w:tc>
        <w:tc>
          <w:tcPr>
            <w:tcW w:w="792" w:type="pct"/>
            <w:vAlign w:val="center"/>
          </w:tcPr>
          <w:p w14:paraId="3A08C0C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r>
      <w:tr w14:paraId="54B0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339FBC7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新增钻井液用量m</w:t>
            </w:r>
            <w:r>
              <w:rPr>
                <w:rFonts w:hint="eastAsia" w:ascii="宋体" w:hAnsi="宋体" w:eastAsia="宋体" w:cs="宋体"/>
                <w:color w:val="auto"/>
                <w:sz w:val="21"/>
                <w:szCs w:val="21"/>
                <w:u w:val="none"/>
                <w:vertAlign w:val="superscript"/>
              </w:rPr>
              <w:t>3</w:t>
            </w:r>
          </w:p>
        </w:tc>
        <w:tc>
          <w:tcPr>
            <w:tcW w:w="718" w:type="pct"/>
            <w:vAlign w:val="center"/>
          </w:tcPr>
          <w:p w14:paraId="35299138">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206</w:t>
            </w:r>
          </w:p>
        </w:tc>
        <w:tc>
          <w:tcPr>
            <w:tcW w:w="790" w:type="pct"/>
            <w:vAlign w:val="center"/>
          </w:tcPr>
          <w:p w14:paraId="56791A5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585</w:t>
            </w:r>
          </w:p>
        </w:tc>
        <w:tc>
          <w:tcPr>
            <w:tcW w:w="678" w:type="pct"/>
            <w:vAlign w:val="center"/>
          </w:tcPr>
          <w:p w14:paraId="360C120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511</w:t>
            </w:r>
          </w:p>
        </w:tc>
        <w:tc>
          <w:tcPr>
            <w:tcW w:w="792" w:type="pct"/>
            <w:vAlign w:val="center"/>
          </w:tcPr>
          <w:p w14:paraId="7A24A40A">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r>
      <w:tr w14:paraId="081C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8" w:type="pct"/>
            <w:vMerge w:val="restart"/>
            <w:vAlign w:val="center"/>
          </w:tcPr>
          <w:p w14:paraId="2FED90A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储备钻井液</w:t>
            </w:r>
          </w:p>
        </w:tc>
        <w:tc>
          <w:tcPr>
            <w:tcW w:w="1041" w:type="pct"/>
            <w:vAlign w:val="center"/>
          </w:tcPr>
          <w:p w14:paraId="70448BD5">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密度g/cm</w:t>
            </w:r>
            <w:r>
              <w:rPr>
                <w:rFonts w:hint="eastAsia" w:ascii="宋体" w:hAnsi="宋体" w:eastAsia="宋体" w:cs="宋体"/>
                <w:color w:val="auto"/>
                <w:sz w:val="21"/>
                <w:szCs w:val="21"/>
                <w:u w:val="none"/>
                <w:vertAlign w:val="superscript"/>
              </w:rPr>
              <w:t>3</w:t>
            </w:r>
          </w:p>
        </w:tc>
        <w:tc>
          <w:tcPr>
            <w:tcW w:w="718" w:type="pct"/>
            <w:vAlign w:val="center"/>
          </w:tcPr>
          <w:p w14:paraId="10BE27F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5E09B8F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372019C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0D44B88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r>
      <w:tr w14:paraId="139A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8" w:type="pct"/>
            <w:vMerge w:val="continue"/>
            <w:vAlign w:val="center"/>
          </w:tcPr>
          <w:p w14:paraId="7323AC1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1041" w:type="pct"/>
            <w:vAlign w:val="center"/>
          </w:tcPr>
          <w:p w14:paraId="3AD6B7AA">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体积m</w:t>
            </w:r>
            <w:r>
              <w:rPr>
                <w:rFonts w:hint="eastAsia" w:ascii="宋体" w:hAnsi="宋体" w:eastAsia="宋体" w:cs="宋体"/>
                <w:color w:val="auto"/>
                <w:sz w:val="21"/>
                <w:szCs w:val="21"/>
                <w:u w:val="none"/>
                <w:vertAlign w:val="superscript"/>
              </w:rPr>
              <w:t>3</w:t>
            </w:r>
          </w:p>
        </w:tc>
        <w:tc>
          <w:tcPr>
            <w:tcW w:w="718" w:type="pct"/>
            <w:vAlign w:val="center"/>
          </w:tcPr>
          <w:p w14:paraId="1815A21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5239EE3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61FEB63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66D892B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r>
      <w:tr w14:paraId="7E2E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36FF623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材料名称(代号)</w:t>
            </w:r>
          </w:p>
        </w:tc>
        <w:tc>
          <w:tcPr>
            <w:tcW w:w="2188" w:type="pct"/>
            <w:gridSpan w:val="3"/>
            <w:vAlign w:val="center"/>
          </w:tcPr>
          <w:p w14:paraId="0E49C4A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用  量  t</w:t>
            </w:r>
          </w:p>
        </w:tc>
        <w:tc>
          <w:tcPr>
            <w:tcW w:w="792" w:type="pct"/>
            <w:vAlign w:val="center"/>
          </w:tcPr>
          <w:p w14:paraId="563993C4">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合计t</w:t>
            </w:r>
          </w:p>
        </w:tc>
      </w:tr>
      <w:tr w14:paraId="6C36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2FE057F8">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坂土</w:t>
            </w:r>
          </w:p>
        </w:tc>
        <w:tc>
          <w:tcPr>
            <w:tcW w:w="718" w:type="pct"/>
            <w:vAlign w:val="center"/>
          </w:tcPr>
          <w:p w14:paraId="77CDA80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16.5</w:t>
            </w:r>
          </w:p>
        </w:tc>
        <w:tc>
          <w:tcPr>
            <w:tcW w:w="790" w:type="pct"/>
            <w:vAlign w:val="center"/>
          </w:tcPr>
          <w:p w14:paraId="7DF5E00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23.4 </w:t>
            </w:r>
          </w:p>
        </w:tc>
        <w:tc>
          <w:tcPr>
            <w:tcW w:w="678" w:type="pct"/>
            <w:vAlign w:val="center"/>
          </w:tcPr>
          <w:p w14:paraId="53ECFCB4">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54D01F65">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39.9 </w:t>
            </w:r>
          </w:p>
        </w:tc>
      </w:tr>
      <w:tr w14:paraId="3A1B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3DD9E935">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CMC(中)</w:t>
            </w:r>
          </w:p>
        </w:tc>
        <w:tc>
          <w:tcPr>
            <w:tcW w:w="718" w:type="pct"/>
            <w:vAlign w:val="center"/>
          </w:tcPr>
          <w:p w14:paraId="5DF6556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0.8</w:t>
            </w:r>
          </w:p>
        </w:tc>
        <w:tc>
          <w:tcPr>
            <w:tcW w:w="790" w:type="pct"/>
            <w:vAlign w:val="center"/>
          </w:tcPr>
          <w:p w14:paraId="42279F0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7A5F649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61ED8C0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0.8 </w:t>
            </w:r>
          </w:p>
        </w:tc>
      </w:tr>
      <w:tr w14:paraId="1C13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0D32191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Na</w:t>
            </w:r>
            <w:r>
              <w:rPr>
                <w:rFonts w:hint="eastAsia" w:ascii="宋体" w:hAnsi="宋体" w:eastAsia="宋体" w:cs="宋体"/>
                <w:color w:val="auto"/>
                <w:sz w:val="21"/>
                <w:szCs w:val="21"/>
                <w:u w:val="none"/>
                <w:vertAlign w:val="subscript"/>
              </w:rPr>
              <w:t>2</w:t>
            </w:r>
            <w:r>
              <w:rPr>
                <w:rFonts w:hint="eastAsia" w:ascii="宋体" w:hAnsi="宋体" w:eastAsia="宋体" w:cs="宋体"/>
                <w:color w:val="auto"/>
                <w:sz w:val="21"/>
                <w:szCs w:val="21"/>
                <w:u w:val="none"/>
              </w:rPr>
              <w:t>CO</w:t>
            </w:r>
            <w:r>
              <w:rPr>
                <w:rFonts w:hint="eastAsia" w:ascii="宋体" w:hAnsi="宋体" w:eastAsia="宋体" w:cs="宋体"/>
                <w:color w:val="auto"/>
                <w:sz w:val="21"/>
                <w:szCs w:val="21"/>
                <w:u w:val="none"/>
                <w:vertAlign w:val="subscript"/>
              </w:rPr>
              <w:t>3</w:t>
            </w:r>
          </w:p>
        </w:tc>
        <w:tc>
          <w:tcPr>
            <w:tcW w:w="718" w:type="pct"/>
            <w:vAlign w:val="center"/>
          </w:tcPr>
          <w:p w14:paraId="186CEA6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0.8</w:t>
            </w:r>
          </w:p>
        </w:tc>
        <w:tc>
          <w:tcPr>
            <w:tcW w:w="790" w:type="pct"/>
            <w:vAlign w:val="center"/>
          </w:tcPr>
          <w:p w14:paraId="45B3F97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1.2 </w:t>
            </w:r>
          </w:p>
        </w:tc>
        <w:tc>
          <w:tcPr>
            <w:tcW w:w="678" w:type="pct"/>
            <w:vAlign w:val="center"/>
          </w:tcPr>
          <w:p w14:paraId="7D5024B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3F59D2C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2.0 </w:t>
            </w:r>
          </w:p>
        </w:tc>
      </w:tr>
      <w:tr w14:paraId="0938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781A31B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NaOH</w:t>
            </w:r>
          </w:p>
        </w:tc>
        <w:tc>
          <w:tcPr>
            <w:tcW w:w="718" w:type="pct"/>
            <w:vAlign w:val="center"/>
          </w:tcPr>
          <w:p w14:paraId="704C62F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0684A07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2.3 </w:t>
            </w:r>
          </w:p>
        </w:tc>
        <w:tc>
          <w:tcPr>
            <w:tcW w:w="678" w:type="pct"/>
            <w:vAlign w:val="center"/>
          </w:tcPr>
          <w:p w14:paraId="1F62B89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574176C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2.3 </w:t>
            </w:r>
          </w:p>
        </w:tc>
      </w:tr>
      <w:tr w14:paraId="3F62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4059B84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SP-8</w:t>
            </w:r>
          </w:p>
        </w:tc>
        <w:tc>
          <w:tcPr>
            <w:tcW w:w="718" w:type="pct"/>
            <w:vAlign w:val="center"/>
          </w:tcPr>
          <w:p w14:paraId="1036C0C5">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3F2056B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3.5 </w:t>
            </w:r>
          </w:p>
        </w:tc>
        <w:tc>
          <w:tcPr>
            <w:tcW w:w="678" w:type="pct"/>
            <w:vAlign w:val="center"/>
          </w:tcPr>
          <w:p w14:paraId="0A606FE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3943466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3.5 </w:t>
            </w:r>
          </w:p>
        </w:tc>
      </w:tr>
      <w:tr w14:paraId="7301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63FE60C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PMHA-2</w:t>
            </w:r>
          </w:p>
        </w:tc>
        <w:tc>
          <w:tcPr>
            <w:tcW w:w="718" w:type="pct"/>
            <w:vAlign w:val="center"/>
          </w:tcPr>
          <w:p w14:paraId="38C68BD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57EE8B6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3.5 </w:t>
            </w:r>
          </w:p>
        </w:tc>
        <w:tc>
          <w:tcPr>
            <w:tcW w:w="678" w:type="pct"/>
            <w:vAlign w:val="center"/>
          </w:tcPr>
          <w:p w14:paraId="35D0DF14">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5F3F247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3.5 </w:t>
            </w:r>
          </w:p>
        </w:tc>
      </w:tr>
      <w:tr w14:paraId="6260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2AB1531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KCl</w:t>
            </w:r>
          </w:p>
        </w:tc>
        <w:tc>
          <w:tcPr>
            <w:tcW w:w="718" w:type="pct"/>
            <w:vAlign w:val="center"/>
          </w:tcPr>
          <w:p w14:paraId="3E6EC84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06E2E9E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41.0 </w:t>
            </w:r>
          </w:p>
        </w:tc>
        <w:tc>
          <w:tcPr>
            <w:tcW w:w="678" w:type="pct"/>
            <w:vAlign w:val="center"/>
          </w:tcPr>
          <w:p w14:paraId="615472A4">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2C9FDB8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41.0 </w:t>
            </w:r>
          </w:p>
        </w:tc>
      </w:tr>
      <w:tr w14:paraId="2EC9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5B80892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复配铵盐</w:t>
            </w:r>
          </w:p>
        </w:tc>
        <w:tc>
          <w:tcPr>
            <w:tcW w:w="718" w:type="pct"/>
            <w:vAlign w:val="center"/>
          </w:tcPr>
          <w:p w14:paraId="51912E1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03F112C8">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2.9 </w:t>
            </w:r>
          </w:p>
        </w:tc>
        <w:tc>
          <w:tcPr>
            <w:tcW w:w="678" w:type="pct"/>
            <w:vAlign w:val="center"/>
          </w:tcPr>
          <w:p w14:paraId="2CF7325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4087275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2.9 </w:t>
            </w:r>
          </w:p>
        </w:tc>
      </w:tr>
      <w:tr w14:paraId="3A1D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1875A63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HY-2</w:t>
            </w:r>
          </w:p>
        </w:tc>
        <w:tc>
          <w:tcPr>
            <w:tcW w:w="718" w:type="pct"/>
            <w:vAlign w:val="center"/>
          </w:tcPr>
          <w:p w14:paraId="299FF70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5598B8F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11.7 </w:t>
            </w:r>
          </w:p>
        </w:tc>
        <w:tc>
          <w:tcPr>
            <w:tcW w:w="678" w:type="pct"/>
            <w:vAlign w:val="center"/>
          </w:tcPr>
          <w:p w14:paraId="0704059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7E25D53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11.7 </w:t>
            </w:r>
          </w:p>
        </w:tc>
      </w:tr>
      <w:tr w14:paraId="0DAA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56F1E308">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胺基抑制剂</w:t>
            </w:r>
          </w:p>
        </w:tc>
        <w:tc>
          <w:tcPr>
            <w:tcW w:w="718" w:type="pct"/>
            <w:vAlign w:val="center"/>
          </w:tcPr>
          <w:p w14:paraId="129948F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25E4EBD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8.8 </w:t>
            </w:r>
          </w:p>
        </w:tc>
        <w:tc>
          <w:tcPr>
            <w:tcW w:w="678" w:type="pct"/>
            <w:vAlign w:val="center"/>
          </w:tcPr>
          <w:p w14:paraId="3D09845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552F712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8.8 </w:t>
            </w:r>
          </w:p>
        </w:tc>
      </w:tr>
      <w:tr w14:paraId="28D0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1780C46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阳离子乳化沥青</w:t>
            </w:r>
          </w:p>
        </w:tc>
        <w:tc>
          <w:tcPr>
            <w:tcW w:w="718" w:type="pct"/>
            <w:vAlign w:val="center"/>
          </w:tcPr>
          <w:p w14:paraId="1F63E21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6C14A40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17.6 </w:t>
            </w:r>
          </w:p>
        </w:tc>
        <w:tc>
          <w:tcPr>
            <w:tcW w:w="678" w:type="pct"/>
            <w:vAlign w:val="center"/>
          </w:tcPr>
          <w:p w14:paraId="7E300E5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4CF49F5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17.6 </w:t>
            </w:r>
          </w:p>
        </w:tc>
      </w:tr>
      <w:tr w14:paraId="2D7A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6F86BDA5">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液体润滑剂</w:t>
            </w:r>
          </w:p>
        </w:tc>
        <w:tc>
          <w:tcPr>
            <w:tcW w:w="718" w:type="pct"/>
            <w:vAlign w:val="center"/>
          </w:tcPr>
          <w:p w14:paraId="2CE2156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472C800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2.9 </w:t>
            </w:r>
          </w:p>
        </w:tc>
        <w:tc>
          <w:tcPr>
            <w:tcW w:w="678" w:type="pct"/>
            <w:vAlign w:val="center"/>
          </w:tcPr>
          <w:p w14:paraId="619BB56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63F3C52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2.9 </w:t>
            </w:r>
          </w:p>
        </w:tc>
      </w:tr>
      <w:tr w14:paraId="7BE4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5EF9A81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超细碳酸钙</w:t>
            </w:r>
          </w:p>
        </w:tc>
        <w:tc>
          <w:tcPr>
            <w:tcW w:w="718" w:type="pct"/>
            <w:vAlign w:val="center"/>
          </w:tcPr>
          <w:p w14:paraId="0A83925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12CD764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11.7 </w:t>
            </w:r>
          </w:p>
        </w:tc>
        <w:tc>
          <w:tcPr>
            <w:tcW w:w="678" w:type="pct"/>
            <w:vAlign w:val="center"/>
          </w:tcPr>
          <w:p w14:paraId="669C193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2D5CA50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11.7 </w:t>
            </w:r>
          </w:p>
        </w:tc>
      </w:tr>
      <w:tr w14:paraId="25F4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5B46712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白油</w:t>
            </w:r>
          </w:p>
        </w:tc>
        <w:tc>
          <w:tcPr>
            <w:tcW w:w="718" w:type="pct"/>
            <w:vAlign w:val="center"/>
          </w:tcPr>
          <w:p w14:paraId="356A46D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58CB755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5B32808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293.2 </w:t>
            </w:r>
          </w:p>
        </w:tc>
        <w:tc>
          <w:tcPr>
            <w:tcW w:w="792" w:type="pct"/>
            <w:vAlign w:val="center"/>
          </w:tcPr>
          <w:p w14:paraId="5FFBD228">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293.2 </w:t>
            </w:r>
          </w:p>
        </w:tc>
      </w:tr>
      <w:tr w14:paraId="6786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3C5C172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主乳化剂</w:t>
            </w:r>
          </w:p>
        </w:tc>
        <w:tc>
          <w:tcPr>
            <w:tcW w:w="718" w:type="pct"/>
            <w:vAlign w:val="center"/>
          </w:tcPr>
          <w:p w14:paraId="1F8BE23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6F43C3E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6A53659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10.3 </w:t>
            </w:r>
          </w:p>
        </w:tc>
        <w:tc>
          <w:tcPr>
            <w:tcW w:w="792" w:type="pct"/>
            <w:vAlign w:val="center"/>
          </w:tcPr>
          <w:p w14:paraId="1C6CFD7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10.3 </w:t>
            </w:r>
          </w:p>
        </w:tc>
      </w:tr>
      <w:tr w14:paraId="568C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51E63CA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辅乳化剂</w:t>
            </w:r>
          </w:p>
        </w:tc>
        <w:tc>
          <w:tcPr>
            <w:tcW w:w="718" w:type="pct"/>
            <w:vAlign w:val="center"/>
          </w:tcPr>
          <w:p w14:paraId="4932A10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3E6EB71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53912D15">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10.3 </w:t>
            </w:r>
          </w:p>
        </w:tc>
        <w:tc>
          <w:tcPr>
            <w:tcW w:w="792" w:type="pct"/>
            <w:vAlign w:val="center"/>
          </w:tcPr>
          <w:p w14:paraId="512B78E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10.3 </w:t>
            </w:r>
          </w:p>
        </w:tc>
      </w:tr>
      <w:tr w14:paraId="79A7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26D78A0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润湿剂</w:t>
            </w:r>
          </w:p>
        </w:tc>
        <w:tc>
          <w:tcPr>
            <w:tcW w:w="718" w:type="pct"/>
            <w:vAlign w:val="center"/>
          </w:tcPr>
          <w:p w14:paraId="0D49702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1AF5F75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3B615B6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5.7 </w:t>
            </w:r>
          </w:p>
        </w:tc>
        <w:tc>
          <w:tcPr>
            <w:tcW w:w="792" w:type="pct"/>
            <w:vAlign w:val="center"/>
          </w:tcPr>
          <w:p w14:paraId="1C4DEE3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5.7 </w:t>
            </w:r>
          </w:p>
        </w:tc>
      </w:tr>
      <w:tr w14:paraId="5431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36647A5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有机土</w:t>
            </w:r>
          </w:p>
        </w:tc>
        <w:tc>
          <w:tcPr>
            <w:tcW w:w="718" w:type="pct"/>
            <w:vAlign w:val="center"/>
          </w:tcPr>
          <w:p w14:paraId="15324B2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37C6087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75CC3BC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11.5 </w:t>
            </w:r>
          </w:p>
        </w:tc>
        <w:tc>
          <w:tcPr>
            <w:tcW w:w="792" w:type="pct"/>
            <w:vAlign w:val="center"/>
          </w:tcPr>
          <w:p w14:paraId="082B850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11.5 </w:t>
            </w:r>
          </w:p>
        </w:tc>
      </w:tr>
      <w:tr w14:paraId="0758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05DF7F0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降滤失剂</w:t>
            </w:r>
          </w:p>
        </w:tc>
        <w:tc>
          <w:tcPr>
            <w:tcW w:w="718" w:type="pct"/>
            <w:vAlign w:val="center"/>
          </w:tcPr>
          <w:p w14:paraId="4A4DA7E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7D13AC5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0EFFA3A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11.5 </w:t>
            </w:r>
          </w:p>
        </w:tc>
        <w:tc>
          <w:tcPr>
            <w:tcW w:w="792" w:type="pct"/>
            <w:vAlign w:val="center"/>
          </w:tcPr>
          <w:p w14:paraId="507F42A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11.5 </w:t>
            </w:r>
          </w:p>
        </w:tc>
      </w:tr>
      <w:tr w14:paraId="7C88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23F801E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封堵剂</w:t>
            </w:r>
          </w:p>
        </w:tc>
        <w:tc>
          <w:tcPr>
            <w:tcW w:w="718" w:type="pct"/>
            <w:vAlign w:val="center"/>
          </w:tcPr>
          <w:p w14:paraId="53E535D8">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356D5C0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1D7DAB6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9.2 </w:t>
            </w:r>
          </w:p>
        </w:tc>
        <w:tc>
          <w:tcPr>
            <w:tcW w:w="792" w:type="pct"/>
            <w:vAlign w:val="center"/>
          </w:tcPr>
          <w:p w14:paraId="178336D4">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9.2 </w:t>
            </w:r>
          </w:p>
        </w:tc>
      </w:tr>
      <w:tr w14:paraId="0E17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61013D5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絮凝剂</w:t>
            </w:r>
          </w:p>
        </w:tc>
        <w:tc>
          <w:tcPr>
            <w:tcW w:w="718" w:type="pct"/>
            <w:vAlign w:val="center"/>
          </w:tcPr>
          <w:p w14:paraId="58710E3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72002534">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6E316644">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4.6 </w:t>
            </w:r>
          </w:p>
        </w:tc>
        <w:tc>
          <w:tcPr>
            <w:tcW w:w="792" w:type="pct"/>
            <w:vAlign w:val="center"/>
          </w:tcPr>
          <w:p w14:paraId="3C31A67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4.6 </w:t>
            </w:r>
          </w:p>
        </w:tc>
      </w:tr>
      <w:tr w14:paraId="458D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6413B705">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CaCl</w:t>
            </w:r>
            <w:r>
              <w:rPr>
                <w:rFonts w:hint="eastAsia" w:ascii="宋体" w:hAnsi="宋体" w:eastAsia="宋体" w:cs="宋体"/>
                <w:color w:val="auto"/>
                <w:sz w:val="21"/>
                <w:szCs w:val="21"/>
                <w:u w:val="none"/>
                <w:vertAlign w:val="subscript"/>
              </w:rPr>
              <w:t>2</w:t>
            </w:r>
          </w:p>
        </w:tc>
        <w:tc>
          <w:tcPr>
            <w:tcW w:w="718" w:type="pct"/>
            <w:vAlign w:val="center"/>
          </w:tcPr>
          <w:p w14:paraId="349B112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32EA2E4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6A57DA7E">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34.5 </w:t>
            </w:r>
          </w:p>
        </w:tc>
        <w:tc>
          <w:tcPr>
            <w:tcW w:w="792" w:type="pct"/>
            <w:vAlign w:val="center"/>
          </w:tcPr>
          <w:p w14:paraId="622B4729">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34.5 </w:t>
            </w:r>
          </w:p>
        </w:tc>
      </w:tr>
      <w:tr w14:paraId="1158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3610103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CaO</w:t>
            </w:r>
          </w:p>
        </w:tc>
        <w:tc>
          <w:tcPr>
            <w:tcW w:w="718" w:type="pct"/>
            <w:vAlign w:val="center"/>
          </w:tcPr>
          <w:p w14:paraId="603F7938">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67B6C54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2.0 </w:t>
            </w:r>
          </w:p>
        </w:tc>
        <w:tc>
          <w:tcPr>
            <w:tcW w:w="678" w:type="pct"/>
            <w:vAlign w:val="center"/>
          </w:tcPr>
          <w:p w14:paraId="79BEA1D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6.9 </w:t>
            </w:r>
          </w:p>
        </w:tc>
        <w:tc>
          <w:tcPr>
            <w:tcW w:w="792" w:type="pct"/>
            <w:vAlign w:val="center"/>
          </w:tcPr>
          <w:p w14:paraId="0016F19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8.9 </w:t>
            </w:r>
          </w:p>
        </w:tc>
      </w:tr>
      <w:tr w14:paraId="6EAC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09CE9C26">
            <w:pPr>
              <w:keepNext w:val="0"/>
              <w:keepLines w:val="0"/>
              <w:pageBreakBefore w:val="0"/>
              <w:widowControl w:val="0"/>
              <w:kinsoku/>
              <w:wordWrap/>
              <w:overflowPunct/>
              <w:topLinePunct w:val="0"/>
              <w:autoSpaceDE/>
              <w:autoSpaceDN/>
              <w:bidi w:val="0"/>
              <w:adjustRightInd/>
              <w:snapToGrid/>
              <w:spacing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Ⅱ级重晶石</w:t>
            </w:r>
          </w:p>
        </w:tc>
        <w:tc>
          <w:tcPr>
            <w:tcW w:w="718" w:type="pct"/>
            <w:vAlign w:val="center"/>
          </w:tcPr>
          <w:p w14:paraId="1D9BEB4D">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20.0</w:t>
            </w:r>
          </w:p>
        </w:tc>
        <w:tc>
          <w:tcPr>
            <w:tcW w:w="790" w:type="pct"/>
            <w:vAlign w:val="center"/>
          </w:tcPr>
          <w:p w14:paraId="58AF0DC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183.0</w:t>
            </w:r>
          </w:p>
        </w:tc>
        <w:tc>
          <w:tcPr>
            <w:tcW w:w="678" w:type="pct"/>
            <w:vAlign w:val="center"/>
          </w:tcPr>
          <w:p w14:paraId="7A57ED7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3856C84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203.0</w:t>
            </w:r>
          </w:p>
        </w:tc>
      </w:tr>
      <w:tr w14:paraId="17AF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0B9615E0">
            <w:pPr>
              <w:keepNext w:val="0"/>
              <w:keepLines w:val="0"/>
              <w:pageBreakBefore w:val="0"/>
              <w:widowControl w:val="0"/>
              <w:kinsoku/>
              <w:wordWrap/>
              <w:overflowPunct/>
              <w:topLinePunct w:val="0"/>
              <w:autoSpaceDE/>
              <w:autoSpaceDN/>
              <w:bidi w:val="0"/>
              <w:adjustRightInd/>
              <w:snapToGrid/>
              <w:spacing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Ⅰ级重晶石</w:t>
            </w:r>
          </w:p>
        </w:tc>
        <w:tc>
          <w:tcPr>
            <w:tcW w:w="718" w:type="pct"/>
            <w:vAlign w:val="center"/>
          </w:tcPr>
          <w:p w14:paraId="0A12A1F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022F8E0B">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68015DE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358.0</w:t>
            </w:r>
          </w:p>
        </w:tc>
        <w:tc>
          <w:tcPr>
            <w:tcW w:w="792" w:type="pct"/>
            <w:vAlign w:val="center"/>
          </w:tcPr>
          <w:p w14:paraId="2A41BC8A">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358.0</w:t>
            </w:r>
          </w:p>
        </w:tc>
      </w:tr>
      <w:tr w14:paraId="24B5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38D7AEE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备用材料名称</w:t>
            </w:r>
          </w:p>
        </w:tc>
        <w:tc>
          <w:tcPr>
            <w:tcW w:w="2188" w:type="pct"/>
            <w:gridSpan w:val="3"/>
            <w:vAlign w:val="center"/>
          </w:tcPr>
          <w:p w14:paraId="0C182A1F">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用  量  t</w:t>
            </w:r>
          </w:p>
        </w:tc>
        <w:tc>
          <w:tcPr>
            <w:tcW w:w="792" w:type="pct"/>
            <w:vAlign w:val="center"/>
          </w:tcPr>
          <w:p w14:paraId="77A8A1E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合计t</w:t>
            </w:r>
          </w:p>
        </w:tc>
      </w:tr>
      <w:tr w14:paraId="55AC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44FBEED1">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重晶石</w:t>
            </w:r>
          </w:p>
        </w:tc>
        <w:tc>
          <w:tcPr>
            <w:tcW w:w="718" w:type="pct"/>
            <w:vAlign w:val="center"/>
          </w:tcPr>
          <w:p w14:paraId="1236CBA7">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40B9702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5798ADC3">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7A26DE66">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20.0</w:t>
            </w:r>
          </w:p>
        </w:tc>
      </w:tr>
      <w:tr w14:paraId="0980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03E2A130">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堵漏剂</w:t>
            </w:r>
          </w:p>
        </w:tc>
        <w:tc>
          <w:tcPr>
            <w:tcW w:w="718" w:type="pct"/>
            <w:vAlign w:val="center"/>
          </w:tcPr>
          <w:p w14:paraId="71FF65A2">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0" w:type="pct"/>
            <w:vAlign w:val="center"/>
          </w:tcPr>
          <w:p w14:paraId="437A3D8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678" w:type="pct"/>
            <w:vAlign w:val="center"/>
          </w:tcPr>
          <w:p w14:paraId="559AF115">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p>
        </w:tc>
        <w:tc>
          <w:tcPr>
            <w:tcW w:w="792" w:type="pct"/>
            <w:vAlign w:val="center"/>
          </w:tcPr>
          <w:p w14:paraId="294DEC6C">
            <w:pPr>
              <w:keepNext w:val="0"/>
              <w:keepLines w:val="0"/>
              <w:pageBreakBefore w:val="0"/>
              <w:widowControl w:val="0"/>
              <w:kinsoku/>
              <w:wordWrap/>
              <w:overflowPunct/>
              <w:topLinePunct w:val="0"/>
              <w:autoSpaceDE/>
              <w:autoSpaceDN/>
              <w:bidi w:val="0"/>
              <w:adjustRightInd/>
              <w:snapToGrid/>
              <w:spacing w:after="0"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10.0</w:t>
            </w:r>
          </w:p>
        </w:tc>
      </w:tr>
      <w:tr w14:paraId="306F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19" w:type="pct"/>
            <w:gridSpan w:val="2"/>
            <w:vAlign w:val="center"/>
          </w:tcPr>
          <w:p w14:paraId="1BF7240E">
            <w:pPr>
              <w:keepNext w:val="0"/>
              <w:keepLines w:val="0"/>
              <w:pageBreakBefore w:val="0"/>
              <w:widowControl w:val="0"/>
              <w:kinsoku/>
              <w:wordWrap/>
              <w:overflowPunct/>
              <w:topLinePunct w:val="0"/>
              <w:autoSpaceDE/>
              <w:autoSpaceDN/>
              <w:bidi w:val="0"/>
              <w:adjustRightInd/>
              <w:snapToGrid/>
              <w:spacing w:line="33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可选材料</w:t>
            </w:r>
          </w:p>
        </w:tc>
        <w:tc>
          <w:tcPr>
            <w:tcW w:w="2980" w:type="pct"/>
            <w:gridSpan w:val="4"/>
            <w:vAlign w:val="center"/>
          </w:tcPr>
          <w:p w14:paraId="3EA3E30C">
            <w:pPr>
              <w:keepNext w:val="0"/>
              <w:keepLines w:val="0"/>
              <w:pageBreakBefore w:val="0"/>
              <w:widowControl w:val="0"/>
              <w:kinsoku/>
              <w:wordWrap/>
              <w:overflowPunct/>
              <w:topLinePunct w:val="0"/>
              <w:autoSpaceDE/>
              <w:autoSpaceDN/>
              <w:bidi w:val="0"/>
              <w:adjustRightInd/>
              <w:snapToGrid/>
              <w:spacing w:after="0" w:line="33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SP-8：NAT20、BA-8、MAN101；</w:t>
            </w:r>
          </w:p>
          <w:p w14:paraId="0262343E">
            <w:pPr>
              <w:keepNext w:val="0"/>
              <w:keepLines w:val="0"/>
              <w:pageBreakBefore w:val="0"/>
              <w:widowControl w:val="0"/>
              <w:kinsoku/>
              <w:wordWrap/>
              <w:overflowPunct/>
              <w:topLinePunct w:val="0"/>
              <w:autoSpaceDE/>
              <w:autoSpaceDN/>
              <w:bidi w:val="0"/>
              <w:adjustRightInd/>
              <w:snapToGrid/>
              <w:spacing w:after="0" w:line="33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FA367：IND30、IND10、TC-DBY、PMHA-2</w:t>
            </w:r>
          </w:p>
        </w:tc>
      </w:tr>
    </w:tbl>
    <w:p w14:paraId="61651AB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Times New Roman" w:hAnsi="Times New Roman" w:cs="Times New Roman"/>
          <w:color w:val="auto"/>
          <w:szCs w:val="24"/>
          <w:u w:val="none"/>
        </w:rPr>
      </w:pPr>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3</w:t>
      </w:r>
      <w:r>
        <w:rPr>
          <w:rFonts w:hint="default" w:ascii="宋体" w:hAnsi="宋体" w:eastAsia="宋体" w:cs="宋体"/>
          <w:color w:val="auto"/>
          <w:u w:val="none"/>
          <w:lang w:val="en-US" w:eastAsia="zh-CN"/>
        </w:rPr>
        <w:t>.</w:t>
      </w:r>
      <w:r>
        <w:rPr>
          <w:rFonts w:hint="eastAsia" w:ascii="宋体" w:hAnsi="宋体" w:cs="宋体"/>
          <w:color w:val="auto"/>
          <w:u w:val="none"/>
          <w:lang w:val="en-US" w:eastAsia="zh-CN"/>
        </w:rPr>
        <w:t>5</w:t>
      </w:r>
      <w:r>
        <w:rPr>
          <w:rFonts w:hint="default" w:ascii="宋体" w:hAnsi="宋体" w:eastAsia="宋体" w:cs="宋体"/>
          <w:color w:val="auto"/>
          <w:u w:val="none"/>
          <w:lang w:val="en-US" w:eastAsia="zh-CN"/>
        </w:rPr>
        <w:t>.</w:t>
      </w:r>
      <w:r>
        <w:rPr>
          <w:rFonts w:hint="eastAsia" w:ascii="宋体" w:hAnsi="宋体" w:eastAsia="宋体" w:cs="宋体"/>
          <w:color w:val="auto"/>
          <w:u w:val="none"/>
          <w:lang w:val="en-US" w:eastAsia="zh-CN"/>
        </w:rPr>
        <w:t>2 采气</w:t>
      </w:r>
      <w:r>
        <w:rPr>
          <w:rFonts w:hint="default" w:ascii="宋体" w:hAnsi="宋体" w:eastAsia="宋体" w:cs="宋体"/>
          <w:color w:val="auto"/>
          <w:u w:val="none"/>
          <w:lang w:val="en-US" w:eastAsia="zh-CN"/>
        </w:rPr>
        <w:t>工程</w:t>
      </w:r>
    </w:p>
    <w:p w14:paraId="75768B64">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val="en-US" w:eastAsia="zh-CN"/>
        </w:rPr>
        <w:t>1</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采</w:t>
      </w:r>
      <w:r>
        <w:rPr>
          <w:rFonts w:hint="eastAsia" w:cs="Times New Roman"/>
          <w:color w:val="auto"/>
          <w:highlight w:val="none"/>
          <w:u w:val="none"/>
          <w:lang w:val="en-US" w:eastAsia="zh-CN"/>
        </w:rPr>
        <w:t>气</w:t>
      </w:r>
      <w:r>
        <w:rPr>
          <w:rFonts w:hint="default" w:ascii="Times New Roman" w:hAnsi="Times New Roman" w:cs="Times New Roman"/>
          <w:color w:val="auto"/>
          <w:highlight w:val="none"/>
          <w:u w:val="none"/>
        </w:rPr>
        <w:t>井口</w:t>
      </w:r>
    </w:p>
    <w:p w14:paraId="3842C998">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采气井口采用KQ78-65/105井口，选择Φ73×5.51mm P110外加厚完井管柱和180mm大通径闸阀。</w:t>
      </w:r>
    </w:p>
    <w:p w14:paraId="26A97661">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val="en-US" w:eastAsia="zh-CN"/>
        </w:rPr>
        <w:t>2</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清蜡工艺</w:t>
      </w:r>
    </w:p>
    <w:p w14:paraId="5FCC2EC6">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自喷期机械清蜡，抽油期周期热洗或者化学清防蜡，清蜡周期根据实际结蜡情况，以不影响正常生产为原则。</w:t>
      </w:r>
    </w:p>
    <w:p w14:paraId="65AB2B81">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val="en-US" w:eastAsia="zh-CN"/>
        </w:rPr>
        <w:t>3</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防砂工艺</w:t>
      </w:r>
    </w:p>
    <w:p w14:paraId="13C82F82">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岩性声波时差为195.3~200.6μs/m（小于295μs/m），预测不出砂，结合前期井生产过程未发现出砂，因此不必采取先期防砂措施，压裂后试气及生产过程，为防止支撑剂出现回流出砂现象，应控制合理的生产压差。</w:t>
      </w:r>
    </w:p>
    <w:p w14:paraId="1C5B43F6">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Times New Roman" w:hAnsi="Times New Roman" w:cs="Times New Roman"/>
          <w:color w:val="auto"/>
          <w:szCs w:val="24"/>
          <w:u w:val="none"/>
        </w:rPr>
      </w:pPr>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3</w:t>
      </w:r>
      <w:r>
        <w:rPr>
          <w:rFonts w:hint="default" w:ascii="宋体" w:hAnsi="宋体" w:eastAsia="宋体" w:cs="宋体"/>
          <w:color w:val="auto"/>
          <w:u w:val="none"/>
          <w:lang w:val="en-US" w:eastAsia="zh-CN"/>
        </w:rPr>
        <w:t>.</w:t>
      </w:r>
      <w:r>
        <w:rPr>
          <w:rFonts w:hint="eastAsia" w:ascii="宋体" w:hAnsi="宋体" w:cs="宋体"/>
          <w:color w:val="auto"/>
          <w:u w:val="none"/>
          <w:lang w:val="en-US" w:eastAsia="zh-CN"/>
        </w:rPr>
        <w:t>5</w:t>
      </w:r>
      <w:r>
        <w:rPr>
          <w:rFonts w:hint="default" w:ascii="宋体" w:hAnsi="宋体" w:eastAsia="宋体" w:cs="宋体"/>
          <w:color w:val="auto"/>
          <w:u w:val="none"/>
          <w:lang w:val="en-US" w:eastAsia="zh-CN"/>
        </w:rPr>
        <w:t>.</w:t>
      </w:r>
      <w:r>
        <w:rPr>
          <w:rFonts w:hint="eastAsia" w:ascii="宋体" w:hAnsi="宋体" w:eastAsia="宋体" w:cs="宋体"/>
          <w:color w:val="auto"/>
          <w:u w:val="none"/>
          <w:lang w:val="en-US" w:eastAsia="zh-CN"/>
        </w:rPr>
        <w:t>3 储层改造</w:t>
      </w:r>
      <w:r>
        <w:rPr>
          <w:rFonts w:hint="default" w:ascii="宋体" w:hAnsi="宋体" w:eastAsia="宋体" w:cs="宋体"/>
          <w:color w:val="auto"/>
          <w:u w:val="none"/>
          <w:lang w:val="en-US" w:eastAsia="zh-CN"/>
        </w:rPr>
        <w:t>工程</w:t>
      </w:r>
    </w:p>
    <w:p w14:paraId="5D51C2C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（1）压裂工艺：采用固井桥塞+多簇射孔分段压裂工艺。</w:t>
      </w:r>
    </w:p>
    <w:p w14:paraId="4955EE9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（2）射孔工艺及参数：</w:t>
      </w:r>
    </w:p>
    <w:p w14:paraId="22F5B57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首段采用连续油管射孔，其余段采用电缆泵送桥塞射孔联作工艺，井口配套电缆防喷装置。</w:t>
      </w:r>
    </w:p>
    <w:p w14:paraId="79EDF5C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通过储层特征及力学分析，储层平面存在一定的应力非均质性。为实现段内的充分压开，需采用限流压裂促使各簇充分进液。分析不同孔眼间的应力差情况、孔眼数目和孔眼摩阻关系，当排量8m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/min时，如射孔孔眼直径10mm，为克服3MPa的应力非均质性，保证所有孔眼同时吸液，确保各簇充分压开，有效孔眼数应≤27个。当排量12m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/min时，如射孔孔眼直径10mm，为克服3MPa的应力非均质性，保证所有孔眼同时吸液，确保各簇充分压开，有效孔眼数应≤41个。</w:t>
      </w:r>
    </w:p>
    <w:p w14:paraId="7D5DC2E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1）射孔方式：首段采用连续油管传输射孔，其余井段采用电缆泵送桥塞射孔联作工艺射孔，井口配套电缆防喷装置。</w:t>
      </w:r>
    </w:p>
    <w:p w14:paraId="6B807FC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2）射孔枪弹选型：89型射孔枪，首段采用深穿透射孔弹，其余井段采用等孔径射孔弹。</w:t>
      </w:r>
    </w:p>
    <w:p w14:paraId="09975DC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3）射孔参数：首段射孔2簇，12孔/簇；其余井段射孔2~3簇，8~10孔/簇；相位角60°。</w:t>
      </w:r>
    </w:p>
    <w:p w14:paraId="536508F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4）射孔液：首段射孔采用清水并添加4%KCl或防膨性能达到要求的其它防膨液，配方中需添加满足防水锁性能要求的防水锁剂，其余段射孔采用压裂液。</w:t>
      </w:r>
    </w:p>
    <w:p w14:paraId="1051E11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（3）压裂材料</w:t>
      </w:r>
    </w:p>
    <w:p w14:paraId="257AA98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压裂液：推荐采用低伤害防水锁胍胶压裂液体系，要求压裂液与储层岩石和流体配伍性好。压裂液配方中添加4%KCl或防膨性能达到要求的其它防膨液；要求具有良好的破胶返排性能，以降低返排液处理难度。</w:t>
      </w:r>
    </w:p>
    <w:p w14:paraId="270863F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目标区三工河组储层闭合应力约88MPa，扣除井底流压后作用在支撑剂上的压力约为66MPa，支撑剂选用承压不低于69MPa的40/70目陶粒和30/50目陶粒。</w:t>
      </w:r>
    </w:p>
    <w:p w14:paraId="6F02E6E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w:t>
      </w:r>
      <w:r>
        <w:rPr>
          <w:rFonts w:hint="eastAsia" w:cs="Times New Roman"/>
          <w:color w:val="auto"/>
          <w:sz w:val="24"/>
          <w:szCs w:val="24"/>
          <w:u w:val="none"/>
          <w:lang w:val="en-US" w:eastAsia="zh-CN"/>
        </w:rPr>
        <w:t>4</w:t>
      </w:r>
      <w:r>
        <w:rPr>
          <w:rFonts w:hint="eastAsia" w:ascii="Times New Roman" w:hAnsi="Times New Roman" w:eastAsia="宋体" w:cs="Times New Roman"/>
          <w:color w:val="auto"/>
          <w:sz w:val="24"/>
          <w:szCs w:val="24"/>
          <w:u w:val="none"/>
          <w:lang w:val="en-US" w:eastAsia="zh-CN"/>
        </w:rPr>
        <w:t>）压裂规模</w:t>
      </w:r>
    </w:p>
    <w:p w14:paraId="6438FD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若采用主方案，综合考虑气藏部署井边水、断裂发育情况，推荐单簇规模5m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~25m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，单井规模230m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~480m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，单井液量5350m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~7500m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，具体单井压裂规模设计根据地质认识、单井录测井解释、实钻轨迹等实际情况进行合理优化。</w:t>
      </w:r>
    </w:p>
    <w:p w14:paraId="3A179B3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若采用备用方案，综合考虑气藏部署井边水、断裂发育情况，推荐单簇规模5m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~30m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，单井规模415m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~735m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，单井液量5980m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~9350m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，具体单井压裂规模设计根据地质认识、单井录测井解释、实钻轨迹等实际情况进行合理优化。</w:t>
      </w:r>
    </w:p>
    <w:p w14:paraId="18CF4FE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（5）施工参数</w:t>
      </w:r>
    </w:p>
    <w:p w14:paraId="69A6955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根据前期水平井压裂工艺适应性分析及认识，压裂施工参数设计如下：</w:t>
      </w:r>
    </w:p>
    <w:p w14:paraId="199A53A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1）施工排量：单段2簇井段6m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/min~8m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/min，单段3簇井段施工排量10.0m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/min~12.0m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w:t>
      </w:r>
    </w:p>
    <w:p w14:paraId="5E114A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2）前置液比例：15%（超低前置试验）~40%左右（常规泵注）。</w:t>
      </w:r>
    </w:p>
    <w:p w14:paraId="062B33F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3）平均砂比：10%~15%左右，最高砂浓度300kg/m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~400kg/m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w:t>
      </w:r>
    </w:p>
    <w:p w14:paraId="49B53E3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4）液砂比：主方案平均20m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左右；备用方案平均15m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左右。</w:t>
      </w:r>
    </w:p>
    <w:p w14:paraId="1A2B49D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5）泵注工艺：前置段塞+冻胶携砂泵注工艺；根据实施情况择机试验超低前置+冻胶连续携砂泵注工艺。</w:t>
      </w:r>
    </w:p>
    <w:p w14:paraId="444A6520">
      <w:pPr>
        <w:spacing w:line="360" w:lineRule="auto"/>
        <w:outlineLvl w:val="3"/>
        <w:rPr>
          <w:rFonts w:hint="default" w:ascii="Times New Roman" w:hAnsi="Times New Roman" w:cs="Times New Roman"/>
          <w:color w:val="auto"/>
          <w:szCs w:val="24"/>
          <w:u w:val="none"/>
        </w:rPr>
      </w:pPr>
      <w:r>
        <w:rPr>
          <w:rFonts w:hint="default" w:ascii="宋体" w:hAnsi="宋体" w:eastAsia="宋体" w:cs="宋体"/>
          <w:b/>
          <w:color w:val="auto"/>
          <w:kern w:val="2"/>
          <w:sz w:val="24"/>
          <w:szCs w:val="22"/>
          <w:u w:val="none"/>
          <w:lang w:val="en-US" w:eastAsia="zh-CN" w:bidi="ar-SA"/>
        </w:rPr>
        <w:t>3.</w:t>
      </w:r>
      <w:r>
        <w:rPr>
          <w:rFonts w:hint="eastAsia" w:ascii="宋体" w:hAnsi="宋体" w:eastAsia="宋体" w:cs="宋体"/>
          <w:b/>
          <w:color w:val="auto"/>
          <w:kern w:val="2"/>
          <w:sz w:val="24"/>
          <w:szCs w:val="22"/>
          <w:u w:val="none"/>
          <w:lang w:val="en-US" w:eastAsia="zh-CN" w:bidi="ar-SA"/>
        </w:rPr>
        <w:t>3</w:t>
      </w:r>
      <w:r>
        <w:rPr>
          <w:rFonts w:hint="default" w:ascii="宋体" w:hAnsi="宋体" w:eastAsia="宋体" w:cs="宋体"/>
          <w:b/>
          <w:color w:val="auto"/>
          <w:kern w:val="2"/>
          <w:sz w:val="24"/>
          <w:szCs w:val="22"/>
          <w:u w:val="none"/>
          <w:lang w:val="en-US" w:eastAsia="zh-CN" w:bidi="ar-SA"/>
        </w:rPr>
        <w:t>.</w:t>
      </w:r>
      <w:bookmarkStart w:id="174" w:name="_Toc29780"/>
      <w:r>
        <w:rPr>
          <w:rFonts w:hint="eastAsia" w:ascii="宋体" w:hAnsi="宋体" w:cs="宋体"/>
          <w:b/>
          <w:color w:val="auto"/>
          <w:kern w:val="2"/>
          <w:sz w:val="24"/>
          <w:szCs w:val="22"/>
          <w:u w:val="none"/>
          <w:lang w:val="en-US" w:eastAsia="zh-CN" w:bidi="ar-SA"/>
        </w:rPr>
        <w:t>5</w:t>
      </w:r>
      <w:r>
        <w:rPr>
          <w:rFonts w:hint="eastAsia" w:ascii="宋体" w:hAnsi="宋体" w:eastAsia="宋体" w:cs="宋体"/>
          <w:b/>
          <w:color w:val="auto"/>
          <w:kern w:val="2"/>
          <w:sz w:val="24"/>
          <w:szCs w:val="22"/>
          <w:u w:val="none"/>
          <w:lang w:val="en-US" w:eastAsia="zh-CN" w:bidi="ar-SA"/>
        </w:rPr>
        <w:t>.4 地面</w:t>
      </w:r>
      <w:r>
        <w:rPr>
          <w:rFonts w:hint="default" w:ascii="宋体" w:hAnsi="宋体" w:eastAsia="宋体" w:cs="宋体"/>
          <w:b/>
          <w:color w:val="auto"/>
          <w:kern w:val="2"/>
          <w:sz w:val="24"/>
          <w:szCs w:val="22"/>
          <w:u w:val="none"/>
          <w:lang w:val="en-US" w:eastAsia="zh-CN" w:bidi="ar-SA"/>
        </w:rPr>
        <w:t>工程</w:t>
      </w:r>
      <w:bookmarkEnd w:id="174"/>
    </w:p>
    <w:p w14:paraId="4A25D8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auto"/>
          <w:sz w:val="24"/>
          <w:szCs w:val="24"/>
          <w:u w:val="none"/>
          <w:lang w:val="en-US" w:eastAsia="zh-CN"/>
        </w:rPr>
      </w:pPr>
      <w:r>
        <w:rPr>
          <w:rFonts w:hint="eastAsia" w:cs="Times New Roman"/>
          <w:color w:val="auto"/>
          <w:sz w:val="24"/>
          <w:szCs w:val="24"/>
          <w:u w:val="none"/>
          <w:lang w:val="en-US" w:eastAsia="zh-CN"/>
        </w:rPr>
        <w:t>本工程地面工程包括：新建单井采气管线7.4km，对莫109转油站进行改造。</w:t>
      </w:r>
    </w:p>
    <w:p w14:paraId="6A7B9E5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（1）莫109转油站改造</w:t>
      </w:r>
    </w:p>
    <w:p w14:paraId="121A02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莫109转油站气处理装置运行已接近20年，目前从原油处理装置来低压伴生气经过气处理装置直接外输，实际未进行处理。本工程接入后，需重新启用处理装置，并对部分工艺进行完善，更换站内部分设备；将采出水接入莫109转油站-莫北转油站外输油线。</w:t>
      </w:r>
    </w:p>
    <w:p w14:paraId="15DAA2A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kern w:val="2"/>
          <w:sz w:val="24"/>
          <w:szCs w:val="24"/>
          <w:u w:val="none"/>
          <w:lang w:val="en-US" w:eastAsia="zh-CN" w:bidi="ar-SA"/>
        </w:rPr>
        <w:t>采气井口、莫109转油站改造部分主要工程量，见表3.3-10。</w:t>
      </w:r>
    </w:p>
    <w:p w14:paraId="32EED4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表3.3-10  采气井口、莫109转油站改造部分主要工程量一览表</w:t>
      </w:r>
    </w:p>
    <w:tbl>
      <w:tblPr>
        <w:tblStyle w:val="37"/>
        <w:tblW w:w="51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71"/>
        <w:gridCol w:w="4236"/>
        <w:gridCol w:w="580"/>
        <w:gridCol w:w="1332"/>
        <w:gridCol w:w="2202"/>
      </w:tblGrid>
      <w:tr w14:paraId="5B85E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6E18F3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序</w:t>
            </w:r>
          </w:p>
          <w:p w14:paraId="00CEAD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号</w:t>
            </w:r>
          </w:p>
        </w:tc>
        <w:tc>
          <w:tcPr>
            <w:tcW w:w="2401" w:type="pct"/>
            <w:tcBorders>
              <w:tl2br w:val="nil"/>
              <w:tr2bl w:val="nil"/>
            </w:tcBorders>
            <w:vAlign w:val="center"/>
          </w:tcPr>
          <w:p w14:paraId="13E97C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75" w:name="工程内容"/>
            <w:bookmarkEnd w:id="175"/>
            <w:r>
              <w:rPr>
                <w:rFonts w:hint="eastAsia" w:ascii="宋体" w:hAnsi="宋体" w:eastAsia="宋体" w:cs="宋体"/>
                <w:color w:val="auto"/>
                <w:sz w:val="21"/>
                <w:szCs w:val="21"/>
                <w:u w:val="none"/>
              </w:rPr>
              <w:t>工程内容</w:t>
            </w:r>
          </w:p>
        </w:tc>
        <w:tc>
          <w:tcPr>
            <w:tcW w:w="329" w:type="pct"/>
            <w:tcBorders>
              <w:tl2br w:val="nil"/>
              <w:tr2bl w:val="nil"/>
            </w:tcBorders>
            <w:vAlign w:val="center"/>
          </w:tcPr>
          <w:p w14:paraId="15E6B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76" w:name="单位"/>
            <w:bookmarkEnd w:id="176"/>
            <w:r>
              <w:rPr>
                <w:rFonts w:hint="eastAsia" w:ascii="宋体" w:hAnsi="宋体" w:eastAsia="宋体" w:cs="宋体"/>
                <w:color w:val="auto"/>
                <w:sz w:val="21"/>
                <w:szCs w:val="21"/>
                <w:u w:val="none"/>
              </w:rPr>
              <w:t>单位</w:t>
            </w:r>
          </w:p>
        </w:tc>
        <w:tc>
          <w:tcPr>
            <w:tcW w:w="755" w:type="pct"/>
            <w:tcBorders>
              <w:tl2br w:val="nil"/>
              <w:tr2bl w:val="nil"/>
            </w:tcBorders>
            <w:vAlign w:val="center"/>
          </w:tcPr>
          <w:p w14:paraId="1BC720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77" w:name="数量"/>
            <w:bookmarkEnd w:id="177"/>
            <w:r>
              <w:rPr>
                <w:rFonts w:hint="eastAsia" w:ascii="宋体" w:hAnsi="宋体" w:eastAsia="宋体" w:cs="宋体"/>
                <w:color w:val="auto"/>
                <w:sz w:val="21"/>
                <w:szCs w:val="21"/>
                <w:u w:val="none"/>
              </w:rPr>
              <w:t>数量</w:t>
            </w:r>
          </w:p>
        </w:tc>
        <w:tc>
          <w:tcPr>
            <w:tcW w:w="1246" w:type="pct"/>
            <w:tcBorders>
              <w:tl2br w:val="nil"/>
              <w:tr2bl w:val="nil"/>
            </w:tcBorders>
            <w:vAlign w:val="center"/>
          </w:tcPr>
          <w:p w14:paraId="6F6BF9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78" w:name="备注"/>
            <w:bookmarkEnd w:id="178"/>
            <w:r>
              <w:rPr>
                <w:rFonts w:hint="eastAsia" w:ascii="宋体" w:hAnsi="宋体" w:eastAsia="宋体" w:cs="宋体"/>
                <w:color w:val="auto"/>
                <w:sz w:val="21"/>
                <w:szCs w:val="21"/>
                <w:u w:val="none"/>
              </w:rPr>
              <w:t>备注</w:t>
            </w:r>
          </w:p>
        </w:tc>
      </w:tr>
      <w:tr w14:paraId="247298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vAlign w:val="center"/>
          </w:tcPr>
          <w:p w14:paraId="35D8C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79" w:name="第一批次"/>
            <w:bookmarkEnd w:id="179"/>
            <w:r>
              <w:rPr>
                <w:rFonts w:hint="eastAsia" w:ascii="宋体" w:hAnsi="宋体" w:eastAsia="宋体" w:cs="宋体"/>
                <w:color w:val="auto"/>
                <w:sz w:val="21"/>
                <w:szCs w:val="21"/>
                <w:u w:val="none"/>
              </w:rPr>
              <w:t>第一批次</w:t>
            </w:r>
          </w:p>
        </w:tc>
      </w:tr>
      <w:tr w14:paraId="68E742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vAlign w:val="center"/>
          </w:tcPr>
          <w:p w14:paraId="62116B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0" w:name="井场部分"/>
            <w:bookmarkEnd w:id="180"/>
            <w:r>
              <w:rPr>
                <w:rFonts w:hint="eastAsia" w:ascii="宋体" w:hAnsi="宋体" w:eastAsia="宋体" w:cs="宋体"/>
                <w:color w:val="auto"/>
                <w:sz w:val="21"/>
                <w:szCs w:val="21"/>
                <w:u w:val="none"/>
              </w:rPr>
              <w:t>井场部分</w:t>
            </w:r>
          </w:p>
        </w:tc>
      </w:tr>
      <w:tr w14:paraId="5F5DB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464331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2401" w:type="pct"/>
            <w:tcBorders>
              <w:tl2br w:val="nil"/>
              <w:tr2bl w:val="nil"/>
            </w:tcBorders>
            <w:vAlign w:val="center"/>
          </w:tcPr>
          <w:p w14:paraId="01B628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单井井场（共1座）</w:t>
            </w:r>
          </w:p>
        </w:tc>
        <w:tc>
          <w:tcPr>
            <w:tcW w:w="329" w:type="pct"/>
            <w:tcBorders>
              <w:tl2br w:val="nil"/>
              <w:tr2bl w:val="nil"/>
            </w:tcBorders>
            <w:vAlign w:val="center"/>
          </w:tcPr>
          <w:p w14:paraId="387777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755" w:type="pct"/>
            <w:tcBorders>
              <w:tl2br w:val="nil"/>
              <w:tr2bl w:val="nil"/>
            </w:tcBorders>
            <w:vAlign w:val="center"/>
          </w:tcPr>
          <w:p w14:paraId="686F03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1246" w:type="pct"/>
            <w:tcBorders>
              <w:tl2br w:val="nil"/>
              <w:tr2bl w:val="nil"/>
            </w:tcBorders>
            <w:vAlign w:val="center"/>
          </w:tcPr>
          <w:p w14:paraId="44F2D0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1" w:name="以下为单座工程量"/>
            <w:bookmarkEnd w:id="181"/>
            <w:r>
              <w:rPr>
                <w:rFonts w:hint="eastAsia" w:ascii="宋体" w:hAnsi="宋体" w:eastAsia="宋体" w:cs="宋体"/>
                <w:color w:val="auto"/>
                <w:sz w:val="21"/>
                <w:szCs w:val="21"/>
                <w:u w:val="none"/>
              </w:rPr>
              <w:t>以下为单座工程量</w:t>
            </w:r>
          </w:p>
        </w:tc>
      </w:tr>
      <w:tr w14:paraId="53BFAB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080578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p w14:paraId="33E599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2401" w:type="pct"/>
            <w:tcBorders>
              <w:tl2br w:val="nil"/>
              <w:tr2bl w:val="nil"/>
            </w:tcBorders>
            <w:vAlign w:val="center"/>
          </w:tcPr>
          <w:p w14:paraId="1EB793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井口高、低压切断阀P42MPa DN50</w:t>
            </w:r>
          </w:p>
        </w:tc>
        <w:tc>
          <w:tcPr>
            <w:tcW w:w="329" w:type="pct"/>
            <w:tcBorders>
              <w:tl2br w:val="nil"/>
              <w:tr2bl w:val="nil"/>
            </w:tcBorders>
            <w:vAlign w:val="center"/>
          </w:tcPr>
          <w:p w14:paraId="403EE8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2" w:name="套"/>
            <w:bookmarkEnd w:id="182"/>
            <w:r>
              <w:rPr>
                <w:rFonts w:hint="eastAsia" w:ascii="宋体" w:hAnsi="宋体" w:eastAsia="宋体" w:cs="宋体"/>
                <w:color w:val="auto"/>
                <w:sz w:val="21"/>
                <w:szCs w:val="21"/>
                <w:u w:val="none"/>
              </w:rPr>
              <w:t>套</w:t>
            </w:r>
          </w:p>
        </w:tc>
        <w:tc>
          <w:tcPr>
            <w:tcW w:w="755" w:type="pct"/>
            <w:tcBorders>
              <w:tl2br w:val="nil"/>
              <w:tr2bl w:val="nil"/>
            </w:tcBorders>
            <w:vAlign w:val="center"/>
          </w:tcPr>
          <w:p w14:paraId="1D5575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p w14:paraId="5D9E0A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3" w:name="1"/>
            <w:bookmarkEnd w:id="183"/>
            <w:r>
              <w:rPr>
                <w:rFonts w:hint="eastAsia" w:ascii="宋体" w:hAnsi="宋体" w:eastAsia="宋体" w:cs="宋体"/>
                <w:color w:val="auto"/>
                <w:sz w:val="21"/>
                <w:szCs w:val="21"/>
                <w:u w:val="none"/>
              </w:rPr>
              <w:t>1</w:t>
            </w:r>
          </w:p>
        </w:tc>
        <w:tc>
          <w:tcPr>
            <w:tcW w:w="1246" w:type="pct"/>
            <w:tcBorders>
              <w:tl2br w:val="nil"/>
              <w:tr2bl w:val="nil"/>
            </w:tcBorders>
            <w:vAlign w:val="center"/>
          </w:tcPr>
          <w:p w14:paraId="67D588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高压切断值：9.5MPa</w:t>
            </w:r>
          </w:p>
          <w:p w14:paraId="0161A3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4" w:name="低压切断值：6.0MPa"/>
            <w:bookmarkEnd w:id="184"/>
            <w:r>
              <w:rPr>
                <w:rFonts w:hint="eastAsia" w:ascii="宋体" w:hAnsi="宋体" w:eastAsia="宋体" w:cs="宋体"/>
                <w:color w:val="auto"/>
                <w:sz w:val="21"/>
                <w:szCs w:val="21"/>
                <w:u w:val="none"/>
              </w:rPr>
              <w:t>低压切断值：6.0MPa</w:t>
            </w:r>
          </w:p>
        </w:tc>
      </w:tr>
      <w:tr w14:paraId="2147F3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0165F5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2401" w:type="pct"/>
            <w:tcBorders>
              <w:tl2br w:val="nil"/>
              <w:tr2bl w:val="nil"/>
            </w:tcBorders>
            <w:vAlign w:val="center"/>
          </w:tcPr>
          <w:p w14:paraId="5D1394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加热节流装置</w:t>
            </w:r>
          </w:p>
        </w:tc>
        <w:tc>
          <w:tcPr>
            <w:tcW w:w="329" w:type="pct"/>
            <w:tcBorders>
              <w:tl2br w:val="nil"/>
              <w:tr2bl w:val="nil"/>
            </w:tcBorders>
            <w:vAlign w:val="center"/>
          </w:tcPr>
          <w:p w14:paraId="0A4F04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755" w:type="pct"/>
            <w:tcBorders>
              <w:tl2br w:val="nil"/>
              <w:tr2bl w:val="nil"/>
            </w:tcBorders>
            <w:vAlign w:val="center"/>
          </w:tcPr>
          <w:p w14:paraId="3589F7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1246" w:type="pct"/>
            <w:tcBorders>
              <w:tl2br w:val="nil"/>
              <w:tr2bl w:val="nil"/>
            </w:tcBorders>
            <w:vAlign w:val="center"/>
          </w:tcPr>
          <w:p w14:paraId="43DFCB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65C6CE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3F565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2401" w:type="pct"/>
            <w:tcBorders>
              <w:tl2br w:val="nil"/>
              <w:tr2bl w:val="nil"/>
            </w:tcBorders>
            <w:vAlign w:val="center"/>
          </w:tcPr>
          <w:p w14:paraId="41604F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MBHW6008电加热节流橇80kW 42MPa</w:t>
            </w:r>
          </w:p>
        </w:tc>
        <w:tc>
          <w:tcPr>
            <w:tcW w:w="329" w:type="pct"/>
            <w:tcBorders>
              <w:tl2br w:val="nil"/>
              <w:tr2bl w:val="nil"/>
            </w:tcBorders>
            <w:vAlign w:val="center"/>
          </w:tcPr>
          <w:p w14:paraId="057426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5" w:name="座"/>
            <w:bookmarkEnd w:id="185"/>
            <w:r>
              <w:rPr>
                <w:rFonts w:hint="eastAsia" w:ascii="宋体" w:hAnsi="宋体" w:eastAsia="宋体" w:cs="宋体"/>
                <w:color w:val="auto"/>
                <w:sz w:val="21"/>
                <w:szCs w:val="21"/>
                <w:u w:val="none"/>
              </w:rPr>
              <w:t>座</w:t>
            </w:r>
          </w:p>
        </w:tc>
        <w:tc>
          <w:tcPr>
            <w:tcW w:w="755" w:type="pct"/>
            <w:tcBorders>
              <w:tl2br w:val="nil"/>
              <w:tr2bl w:val="nil"/>
            </w:tcBorders>
            <w:vAlign w:val="center"/>
          </w:tcPr>
          <w:p w14:paraId="5EBEBE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6" w:name="1"/>
            <w:bookmarkEnd w:id="186"/>
            <w:r>
              <w:rPr>
                <w:rFonts w:hint="eastAsia" w:ascii="宋体" w:hAnsi="宋体" w:eastAsia="宋体" w:cs="宋体"/>
                <w:color w:val="auto"/>
                <w:sz w:val="21"/>
                <w:szCs w:val="21"/>
                <w:u w:val="none"/>
              </w:rPr>
              <w:t>1</w:t>
            </w:r>
          </w:p>
        </w:tc>
        <w:tc>
          <w:tcPr>
            <w:tcW w:w="1246" w:type="pct"/>
            <w:tcBorders>
              <w:tl2br w:val="nil"/>
              <w:tr2bl w:val="nil"/>
            </w:tcBorders>
            <w:vAlign w:val="center"/>
          </w:tcPr>
          <w:p w14:paraId="6BD1D8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254522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714A03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w:t>
            </w:r>
          </w:p>
        </w:tc>
        <w:tc>
          <w:tcPr>
            <w:tcW w:w="2401" w:type="pct"/>
            <w:tcBorders>
              <w:tl2br w:val="nil"/>
              <w:tr2bl w:val="nil"/>
            </w:tcBorders>
            <w:vAlign w:val="center"/>
          </w:tcPr>
          <w:p w14:paraId="7B87E2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采气树转接口</w:t>
            </w:r>
          </w:p>
        </w:tc>
        <w:tc>
          <w:tcPr>
            <w:tcW w:w="329" w:type="pct"/>
            <w:tcBorders>
              <w:tl2br w:val="nil"/>
              <w:tr2bl w:val="nil"/>
            </w:tcBorders>
            <w:vAlign w:val="center"/>
          </w:tcPr>
          <w:p w14:paraId="15B6BC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7" w:name="个"/>
            <w:bookmarkEnd w:id="187"/>
            <w:r>
              <w:rPr>
                <w:rFonts w:hint="eastAsia" w:ascii="宋体" w:hAnsi="宋体" w:eastAsia="宋体" w:cs="宋体"/>
                <w:color w:val="auto"/>
                <w:sz w:val="21"/>
                <w:szCs w:val="21"/>
                <w:u w:val="none"/>
              </w:rPr>
              <w:t>个</w:t>
            </w:r>
          </w:p>
        </w:tc>
        <w:tc>
          <w:tcPr>
            <w:tcW w:w="755" w:type="pct"/>
            <w:tcBorders>
              <w:tl2br w:val="nil"/>
              <w:tr2bl w:val="nil"/>
            </w:tcBorders>
            <w:vAlign w:val="center"/>
          </w:tcPr>
          <w:p w14:paraId="69385C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8" w:name="2"/>
            <w:bookmarkEnd w:id="188"/>
            <w:r>
              <w:rPr>
                <w:rFonts w:hint="eastAsia" w:ascii="宋体" w:hAnsi="宋体" w:eastAsia="宋体" w:cs="宋体"/>
                <w:color w:val="auto"/>
                <w:sz w:val="21"/>
                <w:szCs w:val="21"/>
                <w:u w:val="none"/>
              </w:rPr>
              <w:t>2</w:t>
            </w:r>
          </w:p>
        </w:tc>
        <w:tc>
          <w:tcPr>
            <w:tcW w:w="1246" w:type="pct"/>
            <w:tcBorders>
              <w:tl2br w:val="nil"/>
              <w:tr2bl w:val="nil"/>
            </w:tcBorders>
            <w:vAlign w:val="center"/>
          </w:tcPr>
          <w:p w14:paraId="75AF48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20356B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189D93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w:t>
            </w:r>
          </w:p>
        </w:tc>
        <w:tc>
          <w:tcPr>
            <w:tcW w:w="2401" w:type="pct"/>
            <w:tcBorders>
              <w:tl2br w:val="nil"/>
              <w:tr2bl w:val="nil"/>
            </w:tcBorders>
            <w:vAlign w:val="center"/>
          </w:tcPr>
          <w:p w14:paraId="583B88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无缝钢管D60×12 20G</w:t>
            </w:r>
          </w:p>
        </w:tc>
        <w:tc>
          <w:tcPr>
            <w:tcW w:w="329" w:type="pct"/>
            <w:tcBorders>
              <w:tl2br w:val="nil"/>
              <w:tr2bl w:val="nil"/>
            </w:tcBorders>
            <w:vAlign w:val="center"/>
          </w:tcPr>
          <w:p w14:paraId="57274D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89" w:name="m"/>
            <w:bookmarkEnd w:id="189"/>
            <w:r>
              <w:rPr>
                <w:rFonts w:hint="eastAsia" w:ascii="宋体" w:hAnsi="宋体" w:eastAsia="宋体" w:cs="宋体"/>
                <w:color w:val="auto"/>
                <w:sz w:val="21"/>
                <w:szCs w:val="21"/>
                <w:u w:val="none"/>
              </w:rPr>
              <w:t>m</w:t>
            </w:r>
          </w:p>
        </w:tc>
        <w:tc>
          <w:tcPr>
            <w:tcW w:w="755" w:type="pct"/>
            <w:tcBorders>
              <w:tl2br w:val="nil"/>
              <w:tr2bl w:val="nil"/>
            </w:tcBorders>
            <w:vAlign w:val="center"/>
          </w:tcPr>
          <w:p w14:paraId="2D4434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0" w:name="30"/>
            <w:bookmarkEnd w:id="190"/>
            <w:r>
              <w:rPr>
                <w:rFonts w:hint="eastAsia" w:ascii="宋体" w:hAnsi="宋体" w:eastAsia="宋体" w:cs="宋体"/>
                <w:color w:val="auto"/>
                <w:sz w:val="21"/>
                <w:szCs w:val="21"/>
                <w:u w:val="none"/>
              </w:rPr>
              <w:t>30</w:t>
            </w:r>
          </w:p>
        </w:tc>
        <w:tc>
          <w:tcPr>
            <w:tcW w:w="1246" w:type="pct"/>
            <w:tcBorders>
              <w:tl2br w:val="nil"/>
              <w:tr2bl w:val="nil"/>
            </w:tcBorders>
            <w:vAlign w:val="center"/>
          </w:tcPr>
          <w:p w14:paraId="67CC0A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1" w:name="保温50mm"/>
            <w:bookmarkEnd w:id="191"/>
            <w:r>
              <w:rPr>
                <w:rFonts w:hint="eastAsia" w:ascii="宋体" w:hAnsi="宋体" w:eastAsia="宋体" w:cs="宋体"/>
                <w:color w:val="auto"/>
                <w:sz w:val="21"/>
                <w:szCs w:val="21"/>
                <w:u w:val="none"/>
              </w:rPr>
              <w:t>保温50mm</w:t>
            </w:r>
          </w:p>
        </w:tc>
      </w:tr>
      <w:tr w14:paraId="75DABF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000649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w:t>
            </w:r>
          </w:p>
        </w:tc>
        <w:tc>
          <w:tcPr>
            <w:tcW w:w="2401" w:type="pct"/>
            <w:tcBorders>
              <w:tl2br w:val="nil"/>
              <w:tr2bl w:val="nil"/>
            </w:tcBorders>
            <w:vAlign w:val="center"/>
          </w:tcPr>
          <w:p w14:paraId="5A756D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无缝钢管D76×5</w:t>
            </w:r>
            <w:r>
              <w:rPr>
                <w:rFonts w:hint="eastAsia" w:ascii="宋体" w:hAnsi="宋体" w:eastAsia="宋体" w:cs="宋体"/>
                <w:color w:val="auto"/>
                <w:sz w:val="21"/>
                <w:szCs w:val="21"/>
                <w:u w:val="none"/>
              </w:rPr>
              <w:tab/>
            </w:r>
            <w:r>
              <w:rPr>
                <w:rFonts w:hint="eastAsia" w:ascii="宋体" w:hAnsi="宋体" w:eastAsia="宋体" w:cs="宋体"/>
                <w:color w:val="auto"/>
                <w:sz w:val="21"/>
                <w:szCs w:val="21"/>
                <w:u w:val="none"/>
              </w:rPr>
              <w:t>20G</w:t>
            </w:r>
          </w:p>
        </w:tc>
        <w:tc>
          <w:tcPr>
            <w:tcW w:w="329" w:type="pct"/>
            <w:tcBorders>
              <w:tl2br w:val="nil"/>
              <w:tr2bl w:val="nil"/>
            </w:tcBorders>
            <w:vAlign w:val="center"/>
          </w:tcPr>
          <w:p w14:paraId="12D7FA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2" w:name="m"/>
            <w:bookmarkEnd w:id="192"/>
            <w:r>
              <w:rPr>
                <w:rFonts w:hint="eastAsia" w:ascii="宋体" w:hAnsi="宋体" w:eastAsia="宋体" w:cs="宋体"/>
                <w:color w:val="auto"/>
                <w:sz w:val="21"/>
                <w:szCs w:val="21"/>
                <w:u w:val="none"/>
              </w:rPr>
              <w:t>m</w:t>
            </w:r>
          </w:p>
        </w:tc>
        <w:tc>
          <w:tcPr>
            <w:tcW w:w="755" w:type="pct"/>
            <w:tcBorders>
              <w:tl2br w:val="nil"/>
              <w:tr2bl w:val="nil"/>
            </w:tcBorders>
            <w:vAlign w:val="center"/>
          </w:tcPr>
          <w:p w14:paraId="48429D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3" w:name="90"/>
            <w:bookmarkEnd w:id="193"/>
            <w:r>
              <w:rPr>
                <w:rFonts w:hint="eastAsia" w:ascii="宋体" w:hAnsi="宋体" w:eastAsia="宋体" w:cs="宋体"/>
                <w:color w:val="auto"/>
                <w:sz w:val="21"/>
                <w:szCs w:val="21"/>
                <w:u w:val="none"/>
              </w:rPr>
              <w:t>90</w:t>
            </w:r>
          </w:p>
        </w:tc>
        <w:tc>
          <w:tcPr>
            <w:tcW w:w="1246" w:type="pct"/>
            <w:tcBorders>
              <w:tl2br w:val="nil"/>
              <w:tr2bl w:val="nil"/>
            </w:tcBorders>
            <w:vAlign w:val="center"/>
          </w:tcPr>
          <w:p w14:paraId="449D9F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4" w:name="保温50mm"/>
            <w:bookmarkEnd w:id="194"/>
            <w:r>
              <w:rPr>
                <w:rFonts w:hint="eastAsia" w:ascii="宋体" w:hAnsi="宋体" w:eastAsia="宋体" w:cs="宋体"/>
                <w:color w:val="auto"/>
                <w:sz w:val="21"/>
                <w:szCs w:val="21"/>
                <w:u w:val="none"/>
              </w:rPr>
              <w:t>保温50mm</w:t>
            </w:r>
          </w:p>
        </w:tc>
      </w:tr>
      <w:tr w14:paraId="3C7C35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6023A5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w:t>
            </w:r>
          </w:p>
        </w:tc>
        <w:tc>
          <w:tcPr>
            <w:tcW w:w="2401" w:type="pct"/>
            <w:tcBorders>
              <w:tl2br w:val="nil"/>
              <w:tr2bl w:val="nil"/>
            </w:tcBorders>
            <w:vAlign w:val="center"/>
          </w:tcPr>
          <w:p w14:paraId="7CAD72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无缝钢管D60×5</w:t>
            </w:r>
            <w:r>
              <w:rPr>
                <w:rFonts w:hint="eastAsia" w:ascii="宋体" w:hAnsi="宋体" w:eastAsia="宋体" w:cs="宋体"/>
                <w:color w:val="auto"/>
                <w:sz w:val="21"/>
                <w:szCs w:val="21"/>
                <w:u w:val="none"/>
              </w:rPr>
              <w:tab/>
            </w:r>
            <w:r>
              <w:rPr>
                <w:rFonts w:hint="eastAsia" w:ascii="宋体" w:hAnsi="宋体" w:eastAsia="宋体" w:cs="宋体"/>
                <w:color w:val="auto"/>
                <w:sz w:val="21"/>
                <w:szCs w:val="21"/>
                <w:u w:val="none"/>
              </w:rPr>
              <w:t>20G</w:t>
            </w:r>
          </w:p>
        </w:tc>
        <w:tc>
          <w:tcPr>
            <w:tcW w:w="329" w:type="pct"/>
            <w:tcBorders>
              <w:tl2br w:val="nil"/>
              <w:tr2bl w:val="nil"/>
            </w:tcBorders>
            <w:vAlign w:val="center"/>
          </w:tcPr>
          <w:p w14:paraId="26AF7E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5" w:name="m"/>
            <w:bookmarkEnd w:id="195"/>
            <w:r>
              <w:rPr>
                <w:rFonts w:hint="eastAsia" w:ascii="宋体" w:hAnsi="宋体" w:eastAsia="宋体" w:cs="宋体"/>
                <w:color w:val="auto"/>
                <w:sz w:val="21"/>
                <w:szCs w:val="21"/>
                <w:u w:val="none"/>
              </w:rPr>
              <w:t>m</w:t>
            </w:r>
          </w:p>
        </w:tc>
        <w:tc>
          <w:tcPr>
            <w:tcW w:w="755" w:type="pct"/>
            <w:tcBorders>
              <w:tl2br w:val="nil"/>
              <w:tr2bl w:val="nil"/>
            </w:tcBorders>
            <w:vAlign w:val="center"/>
          </w:tcPr>
          <w:p w14:paraId="370EC9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6" w:name="30"/>
            <w:bookmarkEnd w:id="196"/>
            <w:r>
              <w:rPr>
                <w:rFonts w:hint="eastAsia" w:ascii="宋体" w:hAnsi="宋体" w:eastAsia="宋体" w:cs="宋体"/>
                <w:color w:val="auto"/>
                <w:sz w:val="21"/>
                <w:szCs w:val="21"/>
                <w:u w:val="none"/>
              </w:rPr>
              <w:t>30</w:t>
            </w:r>
          </w:p>
        </w:tc>
        <w:tc>
          <w:tcPr>
            <w:tcW w:w="1246" w:type="pct"/>
            <w:tcBorders>
              <w:tl2br w:val="nil"/>
              <w:tr2bl w:val="nil"/>
            </w:tcBorders>
            <w:vAlign w:val="center"/>
          </w:tcPr>
          <w:p w14:paraId="3A47FC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763F59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2ED016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w:t>
            </w:r>
          </w:p>
        </w:tc>
        <w:tc>
          <w:tcPr>
            <w:tcW w:w="2401" w:type="pct"/>
            <w:tcBorders>
              <w:tl2br w:val="nil"/>
              <w:tr2bl w:val="nil"/>
            </w:tcBorders>
            <w:vAlign w:val="center"/>
          </w:tcPr>
          <w:p w14:paraId="2C902E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无缝钢管D76×5 20</w:t>
            </w:r>
          </w:p>
        </w:tc>
        <w:tc>
          <w:tcPr>
            <w:tcW w:w="329" w:type="pct"/>
            <w:tcBorders>
              <w:tl2br w:val="nil"/>
              <w:tr2bl w:val="nil"/>
            </w:tcBorders>
            <w:vAlign w:val="center"/>
          </w:tcPr>
          <w:p w14:paraId="772F71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7" w:name="m"/>
            <w:bookmarkEnd w:id="197"/>
            <w:r>
              <w:rPr>
                <w:rFonts w:hint="eastAsia" w:ascii="宋体" w:hAnsi="宋体" w:eastAsia="宋体" w:cs="宋体"/>
                <w:color w:val="auto"/>
                <w:sz w:val="21"/>
                <w:szCs w:val="21"/>
                <w:u w:val="none"/>
              </w:rPr>
              <w:t>m</w:t>
            </w:r>
          </w:p>
        </w:tc>
        <w:tc>
          <w:tcPr>
            <w:tcW w:w="755" w:type="pct"/>
            <w:tcBorders>
              <w:tl2br w:val="nil"/>
              <w:tr2bl w:val="nil"/>
            </w:tcBorders>
            <w:vAlign w:val="center"/>
          </w:tcPr>
          <w:p w14:paraId="2BF78A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8" w:name="90"/>
            <w:bookmarkEnd w:id="198"/>
            <w:r>
              <w:rPr>
                <w:rFonts w:hint="eastAsia" w:ascii="宋体" w:hAnsi="宋体" w:eastAsia="宋体" w:cs="宋体"/>
                <w:color w:val="auto"/>
                <w:sz w:val="21"/>
                <w:szCs w:val="21"/>
                <w:u w:val="none"/>
              </w:rPr>
              <w:t>90</w:t>
            </w:r>
          </w:p>
        </w:tc>
        <w:tc>
          <w:tcPr>
            <w:tcW w:w="1246" w:type="pct"/>
            <w:tcBorders>
              <w:tl2br w:val="nil"/>
              <w:tr2bl w:val="nil"/>
            </w:tcBorders>
            <w:vAlign w:val="center"/>
          </w:tcPr>
          <w:p w14:paraId="55957B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5D47B8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5A3004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w:t>
            </w:r>
          </w:p>
        </w:tc>
        <w:tc>
          <w:tcPr>
            <w:tcW w:w="2401" w:type="pct"/>
            <w:tcBorders>
              <w:tl2br w:val="nil"/>
              <w:tr2bl w:val="nil"/>
            </w:tcBorders>
            <w:vAlign w:val="center"/>
          </w:tcPr>
          <w:p w14:paraId="429ACE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电伴热带39W/m</w:t>
            </w:r>
          </w:p>
        </w:tc>
        <w:tc>
          <w:tcPr>
            <w:tcW w:w="329" w:type="pct"/>
            <w:tcBorders>
              <w:tl2br w:val="nil"/>
              <w:tr2bl w:val="nil"/>
            </w:tcBorders>
            <w:vAlign w:val="center"/>
          </w:tcPr>
          <w:p w14:paraId="1B742B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199" w:name="m"/>
            <w:bookmarkEnd w:id="199"/>
            <w:r>
              <w:rPr>
                <w:rFonts w:hint="eastAsia" w:ascii="宋体" w:hAnsi="宋体" w:eastAsia="宋体" w:cs="宋体"/>
                <w:color w:val="auto"/>
                <w:sz w:val="21"/>
                <w:szCs w:val="21"/>
                <w:u w:val="none"/>
              </w:rPr>
              <w:t>m</w:t>
            </w:r>
          </w:p>
        </w:tc>
        <w:tc>
          <w:tcPr>
            <w:tcW w:w="755" w:type="pct"/>
            <w:tcBorders>
              <w:tl2br w:val="nil"/>
              <w:tr2bl w:val="nil"/>
            </w:tcBorders>
            <w:vAlign w:val="center"/>
          </w:tcPr>
          <w:p w14:paraId="761548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0" w:name="200"/>
            <w:bookmarkEnd w:id="200"/>
            <w:r>
              <w:rPr>
                <w:rFonts w:hint="eastAsia" w:ascii="宋体" w:hAnsi="宋体" w:eastAsia="宋体" w:cs="宋体"/>
                <w:color w:val="auto"/>
                <w:sz w:val="21"/>
                <w:szCs w:val="21"/>
                <w:u w:val="none"/>
              </w:rPr>
              <w:t>200</w:t>
            </w:r>
          </w:p>
        </w:tc>
        <w:tc>
          <w:tcPr>
            <w:tcW w:w="1246" w:type="pct"/>
            <w:tcBorders>
              <w:tl2br w:val="nil"/>
              <w:tr2bl w:val="nil"/>
            </w:tcBorders>
            <w:vAlign w:val="center"/>
          </w:tcPr>
          <w:p w14:paraId="576A38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58B382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73A6CE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w:t>
            </w:r>
          </w:p>
        </w:tc>
        <w:tc>
          <w:tcPr>
            <w:tcW w:w="2401" w:type="pct"/>
            <w:tcBorders>
              <w:tl2br w:val="nil"/>
              <w:tr2bl w:val="nil"/>
            </w:tcBorders>
            <w:vAlign w:val="center"/>
          </w:tcPr>
          <w:p w14:paraId="05E48C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采气树保温盒</w:t>
            </w:r>
          </w:p>
        </w:tc>
        <w:tc>
          <w:tcPr>
            <w:tcW w:w="329" w:type="pct"/>
            <w:tcBorders>
              <w:tl2br w:val="nil"/>
              <w:tr2bl w:val="nil"/>
            </w:tcBorders>
            <w:vAlign w:val="center"/>
          </w:tcPr>
          <w:p w14:paraId="359C98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1" w:name="个"/>
            <w:bookmarkEnd w:id="201"/>
            <w:r>
              <w:rPr>
                <w:rFonts w:hint="eastAsia" w:ascii="宋体" w:hAnsi="宋体" w:eastAsia="宋体" w:cs="宋体"/>
                <w:color w:val="auto"/>
                <w:sz w:val="21"/>
                <w:szCs w:val="21"/>
                <w:u w:val="none"/>
              </w:rPr>
              <w:t>个</w:t>
            </w:r>
          </w:p>
        </w:tc>
        <w:tc>
          <w:tcPr>
            <w:tcW w:w="755" w:type="pct"/>
            <w:tcBorders>
              <w:tl2br w:val="nil"/>
              <w:tr2bl w:val="nil"/>
            </w:tcBorders>
            <w:vAlign w:val="center"/>
          </w:tcPr>
          <w:p w14:paraId="343FF5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2" w:name="1"/>
            <w:bookmarkEnd w:id="202"/>
            <w:r>
              <w:rPr>
                <w:rFonts w:hint="eastAsia" w:ascii="宋体" w:hAnsi="宋体" w:eastAsia="宋体" w:cs="宋体"/>
                <w:color w:val="auto"/>
                <w:sz w:val="21"/>
                <w:szCs w:val="21"/>
                <w:u w:val="none"/>
              </w:rPr>
              <w:t>1</w:t>
            </w:r>
          </w:p>
        </w:tc>
        <w:tc>
          <w:tcPr>
            <w:tcW w:w="1246" w:type="pct"/>
            <w:tcBorders>
              <w:tl2br w:val="nil"/>
              <w:tr2bl w:val="nil"/>
            </w:tcBorders>
            <w:vAlign w:val="center"/>
          </w:tcPr>
          <w:p w14:paraId="0BE078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00F152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5B00BB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w:t>
            </w:r>
          </w:p>
        </w:tc>
        <w:tc>
          <w:tcPr>
            <w:tcW w:w="2401" w:type="pct"/>
            <w:tcBorders>
              <w:tl2br w:val="nil"/>
              <w:tr2bl w:val="nil"/>
            </w:tcBorders>
            <w:vAlign w:val="center"/>
          </w:tcPr>
          <w:p w14:paraId="6DE9C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采气树操作平台</w:t>
            </w:r>
          </w:p>
        </w:tc>
        <w:tc>
          <w:tcPr>
            <w:tcW w:w="329" w:type="pct"/>
            <w:tcBorders>
              <w:tl2br w:val="nil"/>
              <w:tr2bl w:val="nil"/>
            </w:tcBorders>
            <w:vAlign w:val="center"/>
          </w:tcPr>
          <w:p w14:paraId="47F68E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3" w:name="个"/>
            <w:bookmarkEnd w:id="203"/>
            <w:r>
              <w:rPr>
                <w:rFonts w:hint="eastAsia" w:ascii="宋体" w:hAnsi="宋体" w:eastAsia="宋体" w:cs="宋体"/>
                <w:color w:val="auto"/>
                <w:sz w:val="21"/>
                <w:szCs w:val="21"/>
                <w:u w:val="none"/>
              </w:rPr>
              <w:t>个</w:t>
            </w:r>
          </w:p>
        </w:tc>
        <w:tc>
          <w:tcPr>
            <w:tcW w:w="755" w:type="pct"/>
            <w:tcBorders>
              <w:tl2br w:val="nil"/>
              <w:tr2bl w:val="nil"/>
            </w:tcBorders>
            <w:vAlign w:val="center"/>
          </w:tcPr>
          <w:p w14:paraId="2C7926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4" w:name="1"/>
            <w:bookmarkEnd w:id="204"/>
            <w:r>
              <w:rPr>
                <w:rFonts w:hint="eastAsia" w:ascii="宋体" w:hAnsi="宋体" w:eastAsia="宋体" w:cs="宋体"/>
                <w:color w:val="auto"/>
                <w:sz w:val="21"/>
                <w:szCs w:val="21"/>
                <w:u w:val="none"/>
              </w:rPr>
              <w:t>1</w:t>
            </w:r>
          </w:p>
        </w:tc>
        <w:tc>
          <w:tcPr>
            <w:tcW w:w="1246" w:type="pct"/>
            <w:tcBorders>
              <w:tl2br w:val="nil"/>
              <w:tr2bl w:val="nil"/>
            </w:tcBorders>
            <w:vAlign w:val="center"/>
          </w:tcPr>
          <w:p w14:paraId="7DEC5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6F0946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7D6409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w:t>
            </w:r>
          </w:p>
        </w:tc>
        <w:tc>
          <w:tcPr>
            <w:tcW w:w="2401" w:type="pct"/>
            <w:tcBorders>
              <w:tl2br w:val="nil"/>
              <w:tr2bl w:val="nil"/>
            </w:tcBorders>
            <w:vAlign w:val="center"/>
          </w:tcPr>
          <w:p w14:paraId="216710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采气树盖板花纹钢板</w:t>
            </w:r>
          </w:p>
        </w:tc>
        <w:tc>
          <w:tcPr>
            <w:tcW w:w="329" w:type="pct"/>
            <w:tcBorders>
              <w:tl2br w:val="nil"/>
              <w:tr2bl w:val="nil"/>
            </w:tcBorders>
            <w:vAlign w:val="center"/>
          </w:tcPr>
          <w:p w14:paraId="50B46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5" w:name="个"/>
            <w:bookmarkEnd w:id="205"/>
            <w:r>
              <w:rPr>
                <w:rFonts w:hint="eastAsia" w:ascii="宋体" w:hAnsi="宋体" w:eastAsia="宋体" w:cs="宋体"/>
                <w:color w:val="auto"/>
                <w:sz w:val="21"/>
                <w:szCs w:val="21"/>
                <w:u w:val="none"/>
              </w:rPr>
              <w:t>个</w:t>
            </w:r>
          </w:p>
        </w:tc>
        <w:tc>
          <w:tcPr>
            <w:tcW w:w="755" w:type="pct"/>
            <w:tcBorders>
              <w:tl2br w:val="nil"/>
              <w:tr2bl w:val="nil"/>
            </w:tcBorders>
            <w:vAlign w:val="center"/>
          </w:tcPr>
          <w:p w14:paraId="173510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6" w:name="1"/>
            <w:bookmarkEnd w:id="206"/>
            <w:r>
              <w:rPr>
                <w:rFonts w:hint="eastAsia" w:ascii="宋体" w:hAnsi="宋体" w:eastAsia="宋体" w:cs="宋体"/>
                <w:color w:val="auto"/>
                <w:sz w:val="21"/>
                <w:szCs w:val="21"/>
                <w:u w:val="none"/>
              </w:rPr>
              <w:t>1</w:t>
            </w:r>
          </w:p>
        </w:tc>
        <w:tc>
          <w:tcPr>
            <w:tcW w:w="1246" w:type="pct"/>
            <w:tcBorders>
              <w:tl2br w:val="nil"/>
              <w:tr2bl w:val="nil"/>
            </w:tcBorders>
            <w:vAlign w:val="center"/>
          </w:tcPr>
          <w:p w14:paraId="10BF20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191640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1634F5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2401" w:type="pct"/>
            <w:tcBorders>
              <w:tl2br w:val="nil"/>
              <w:tr2bl w:val="nil"/>
            </w:tcBorders>
            <w:vAlign w:val="center"/>
          </w:tcPr>
          <w:p w14:paraId="639763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井场标示牌</w:t>
            </w:r>
          </w:p>
        </w:tc>
        <w:tc>
          <w:tcPr>
            <w:tcW w:w="329" w:type="pct"/>
            <w:tcBorders>
              <w:tl2br w:val="nil"/>
              <w:tr2bl w:val="nil"/>
            </w:tcBorders>
            <w:vAlign w:val="center"/>
          </w:tcPr>
          <w:p w14:paraId="487850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7" w:name="个"/>
            <w:bookmarkEnd w:id="207"/>
            <w:r>
              <w:rPr>
                <w:rFonts w:hint="eastAsia" w:ascii="宋体" w:hAnsi="宋体" w:eastAsia="宋体" w:cs="宋体"/>
                <w:color w:val="auto"/>
                <w:sz w:val="21"/>
                <w:szCs w:val="21"/>
                <w:u w:val="none"/>
              </w:rPr>
              <w:t>个</w:t>
            </w:r>
          </w:p>
        </w:tc>
        <w:tc>
          <w:tcPr>
            <w:tcW w:w="755" w:type="pct"/>
            <w:tcBorders>
              <w:tl2br w:val="nil"/>
              <w:tr2bl w:val="nil"/>
            </w:tcBorders>
            <w:vAlign w:val="center"/>
          </w:tcPr>
          <w:p w14:paraId="596E66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8" w:name="1"/>
            <w:bookmarkEnd w:id="208"/>
            <w:r>
              <w:rPr>
                <w:rFonts w:hint="eastAsia" w:ascii="宋体" w:hAnsi="宋体" w:eastAsia="宋体" w:cs="宋体"/>
                <w:color w:val="auto"/>
                <w:sz w:val="21"/>
                <w:szCs w:val="21"/>
                <w:u w:val="none"/>
              </w:rPr>
              <w:t>1</w:t>
            </w:r>
          </w:p>
        </w:tc>
        <w:tc>
          <w:tcPr>
            <w:tcW w:w="1246" w:type="pct"/>
            <w:tcBorders>
              <w:tl2br w:val="nil"/>
              <w:tr2bl w:val="nil"/>
            </w:tcBorders>
            <w:vAlign w:val="center"/>
          </w:tcPr>
          <w:p w14:paraId="2D05A2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26D94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12CE4F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13</w:t>
            </w:r>
          </w:p>
        </w:tc>
        <w:tc>
          <w:tcPr>
            <w:tcW w:w="2401" w:type="pct"/>
            <w:tcBorders>
              <w:tl2br w:val="nil"/>
              <w:tr2bl w:val="nil"/>
            </w:tcBorders>
            <w:vAlign w:val="center"/>
          </w:tcPr>
          <w:p w14:paraId="6854B7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井场警示牌0.5m×0.3m</w:t>
            </w:r>
          </w:p>
        </w:tc>
        <w:tc>
          <w:tcPr>
            <w:tcW w:w="329" w:type="pct"/>
            <w:tcBorders>
              <w:tl2br w:val="nil"/>
              <w:tr2bl w:val="nil"/>
            </w:tcBorders>
            <w:vAlign w:val="center"/>
          </w:tcPr>
          <w:p w14:paraId="670DB9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09" w:name="个"/>
            <w:bookmarkEnd w:id="209"/>
            <w:r>
              <w:rPr>
                <w:rFonts w:hint="eastAsia" w:ascii="宋体" w:hAnsi="宋体" w:eastAsia="宋体" w:cs="宋体"/>
                <w:color w:val="auto"/>
                <w:sz w:val="21"/>
                <w:szCs w:val="21"/>
                <w:u w:val="none"/>
              </w:rPr>
              <w:t>个</w:t>
            </w:r>
          </w:p>
        </w:tc>
        <w:tc>
          <w:tcPr>
            <w:tcW w:w="755" w:type="pct"/>
            <w:tcBorders>
              <w:tl2br w:val="nil"/>
              <w:tr2bl w:val="nil"/>
            </w:tcBorders>
            <w:vAlign w:val="center"/>
          </w:tcPr>
          <w:p w14:paraId="62E341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0" w:name="2"/>
            <w:bookmarkEnd w:id="210"/>
            <w:r>
              <w:rPr>
                <w:rFonts w:hint="eastAsia" w:ascii="宋体" w:hAnsi="宋体" w:eastAsia="宋体" w:cs="宋体"/>
                <w:color w:val="auto"/>
                <w:sz w:val="21"/>
                <w:szCs w:val="21"/>
                <w:u w:val="none"/>
              </w:rPr>
              <w:t>2</w:t>
            </w:r>
          </w:p>
        </w:tc>
        <w:tc>
          <w:tcPr>
            <w:tcW w:w="1246" w:type="pct"/>
            <w:tcBorders>
              <w:tl2br w:val="nil"/>
              <w:tr2bl w:val="nil"/>
            </w:tcBorders>
            <w:vAlign w:val="center"/>
          </w:tcPr>
          <w:p w14:paraId="3D801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49C926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3789D1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14</w:t>
            </w:r>
          </w:p>
        </w:tc>
        <w:tc>
          <w:tcPr>
            <w:tcW w:w="2401" w:type="pct"/>
            <w:tcBorders>
              <w:tl2br w:val="nil"/>
              <w:tr2bl w:val="nil"/>
            </w:tcBorders>
            <w:vAlign w:val="center"/>
          </w:tcPr>
          <w:p w14:paraId="283E8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单管线固定沙箱</w:t>
            </w:r>
          </w:p>
        </w:tc>
        <w:tc>
          <w:tcPr>
            <w:tcW w:w="329" w:type="pct"/>
            <w:tcBorders>
              <w:tl2br w:val="nil"/>
              <w:tr2bl w:val="nil"/>
            </w:tcBorders>
            <w:vAlign w:val="center"/>
          </w:tcPr>
          <w:p w14:paraId="68ED49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1" w:name="个"/>
            <w:bookmarkEnd w:id="211"/>
            <w:r>
              <w:rPr>
                <w:rFonts w:hint="eastAsia" w:ascii="宋体" w:hAnsi="宋体" w:eastAsia="宋体" w:cs="宋体"/>
                <w:color w:val="auto"/>
                <w:sz w:val="21"/>
                <w:szCs w:val="21"/>
                <w:u w:val="none"/>
              </w:rPr>
              <w:t>个</w:t>
            </w:r>
          </w:p>
        </w:tc>
        <w:tc>
          <w:tcPr>
            <w:tcW w:w="755" w:type="pct"/>
            <w:tcBorders>
              <w:tl2br w:val="nil"/>
              <w:tr2bl w:val="nil"/>
            </w:tcBorders>
            <w:vAlign w:val="center"/>
          </w:tcPr>
          <w:p w14:paraId="09C80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2" w:name="7"/>
            <w:bookmarkEnd w:id="212"/>
            <w:r>
              <w:rPr>
                <w:rFonts w:hint="eastAsia" w:ascii="宋体" w:hAnsi="宋体" w:eastAsia="宋体" w:cs="宋体"/>
                <w:color w:val="auto"/>
                <w:sz w:val="21"/>
                <w:szCs w:val="21"/>
                <w:u w:val="none"/>
              </w:rPr>
              <w:t>7</w:t>
            </w:r>
          </w:p>
        </w:tc>
        <w:tc>
          <w:tcPr>
            <w:tcW w:w="1246" w:type="pct"/>
            <w:tcBorders>
              <w:tl2br w:val="nil"/>
              <w:tr2bl w:val="nil"/>
            </w:tcBorders>
            <w:vAlign w:val="center"/>
          </w:tcPr>
          <w:p w14:paraId="2E50CD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250DC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0590A9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w:t>
            </w:r>
          </w:p>
        </w:tc>
        <w:tc>
          <w:tcPr>
            <w:tcW w:w="2401" w:type="pct"/>
            <w:tcBorders>
              <w:tl2br w:val="nil"/>
              <w:tr2bl w:val="nil"/>
            </w:tcBorders>
            <w:vAlign w:val="center"/>
          </w:tcPr>
          <w:p w14:paraId="134695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两管线固定沙箱</w:t>
            </w:r>
          </w:p>
        </w:tc>
        <w:tc>
          <w:tcPr>
            <w:tcW w:w="329" w:type="pct"/>
            <w:tcBorders>
              <w:tl2br w:val="nil"/>
              <w:tr2bl w:val="nil"/>
            </w:tcBorders>
            <w:vAlign w:val="center"/>
          </w:tcPr>
          <w:p w14:paraId="1A8C67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3" w:name="个"/>
            <w:bookmarkEnd w:id="213"/>
            <w:r>
              <w:rPr>
                <w:rFonts w:hint="eastAsia" w:ascii="宋体" w:hAnsi="宋体" w:eastAsia="宋体" w:cs="宋体"/>
                <w:color w:val="auto"/>
                <w:sz w:val="21"/>
                <w:szCs w:val="21"/>
                <w:u w:val="none"/>
              </w:rPr>
              <w:t>个</w:t>
            </w:r>
          </w:p>
        </w:tc>
        <w:tc>
          <w:tcPr>
            <w:tcW w:w="755" w:type="pct"/>
            <w:tcBorders>
              <w:tl2br w:val="nil"/>
              <w:tr2bl w:val="nil"/>
            </w:tcBorders>
            <w:vAlign w:val="center"/>
          </w:tcPr>
          <w:p w14:paraId="335207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4" w:name="8"/>
            <w:bookmarkEnd w:id="214"/>
            <w:r>
              <w:rPr>
                <w:rFonts w:hint="eastAsia" w:ascii="宋体" w:hAnsi="宋体" w:eastAsia="宋体" w:cs="宋体"/>
                <w:color w:val="auto"/>
                <w:sz w:val="21"/>
                <w:szCs w:val="21"/>
                <w:u w:val="none"/>
              </w:rPr>
              <w:t>8</w:t>
            </w:r>
          </w:p>
        </w:tc>
        <w:tc>
          <w:tcPr>
            <w:tcW w:w="1246" w:type="pct"/>
            <w:tcBorders>
              <w:tl2br w:val="nil"/>
              <w:tr2bl w:val="nil"/>
            </w:tcBorders>
            <w:vAlign w:val="center"/>
          </w:tcPr>
          <w:p w14:paraId="147B73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00072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5F6057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w:t>
            </w:r>
          </w:p>
        </w:tc>
        <w:tc>
          <w:tcPr>
            <w:tcW w:w="2401" w:type="pct"/>
            <w:tcBorders>
              <w:tl2br w:val="nil"/>
              <w:tr2bl w:val="nil"/>
            </w:tcBorders>
            <w:vAlign w:val="center"/>
          </w:tcPr>
          <w:p w14:paraId="6DF552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阀门支墩</w:t>
            </w:r>
          </w:p>
        </w:tc>
        <w:tc>
          <w:tcPr>
            <w:tcW w:w="329" w:type="pct"/>
            <w:tcBorders>
              <w:tl2br w:val="nil"/>
              <w:tr2bl w:val="nil"/>
            </w:tcBorders>
            <w:vAlign w:val="center"/>
          </w:tcPr>
          <w:p w14:paraId="313778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5" w:name="个"/>
            <w:bookmarkEnd w:id="215"/>
            <w:r>
              <w:rPr>
                <w:rFonts w:hint="eastAsia" w:ascii="宋体" w:hAnsi="宋体" w:eastAsia="宋体" w:cs="宋体"/>
                <w:color w:val="auto"/>
                <w:sz w:val="21"/>
                <w:szCs w:val="21"/>
                <w:u w:val="none"/>
              </w:rPr>
              <w:t>个</w:t>
            </w:r>
          </w:p>
        </w:tc>
        <w:tc>
          <w:tcPr>
            <w:tcW w:w="755" w:type="pct"/>
            <w:tcBorders>
              <w:tl2br w:val="nil"/>
              <w:tr2bl w:val="nil"/>
            </w:tcBorders>
            <w:vAlign w:val="center"/>
          </w:tcPr>
          <w:p w14:paraId="509393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6" w:name="1"/>
            <w:bookmarkEnd w:id="216"/>
            <w:r>
              <w:rPr>
                <w:rFonts w:hint="eastAsia" w:ascii="宋体" w:hAnsi="宋体" w:eastAsia="宋体" w:cs="宋体"/>
                <w:color w:val="auto"/>
                <w:sz w:val="21"/>
                <w:szCs w:val="21"/>
                <w:u w:val="none"/>
              </w:rPr>
              <w:t>1</w:t>
            </w:r>
          </w:p>
        </w:tc>
        <w:tc>
          <w:tcPr>
            <w:tcW w:w="1246" w:type="pct"/>
            <w:tcBorders>
              <w:tl2br w:val="nil"/>
              <w:tr2bl w:val="nil"/>
            </w:tcBorders>
            <w:vAlign w:val="center"/>
          </w:tcPr>
          <w:p w14:paraId="019392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793A9E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59385A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17</w:t>
            </w:r>
          </w:p>
        </w:tc>
        <w:tc>
          <w:tcPr>
            <w:tcW w:w="2401" w:type="pct"/>
            <w:tcBorders>
              <w:tl2br w:val="nil"/>
              <w:tr2bl w:val="nil"/>
            </w:tcBorders>
            <w:vAlign w:val="center"/>
          </w:tcPr>
          <w:p w14:paraId="23A3EE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高压减震管托（带支墩）</w:t>
            </w:r>
          </w:p>
        </w:tc>
        <w:tc>
          <w:tcPr>
            <w:tcW w:w="329" w:type="pct"/>
            <w:tcBorders>
              <w:tl2br w:val="nil"/>
              <w:tr2bl w:val="nil"/>
            </w:tcBorders>
            <w:vAlign w:val="center"/>
          </w:tcPr>
          <w:p w14:paraId="3BABF6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7" w:name="个"/>
            <w:bookmarkEnd w:id="217"/>
            <w:r>
              <w:rPr>
                <w:rFonts w:hint="eastAsia" w:ascii="宋体" w:hAnsi="宋体" w:eastAsia="宋体" w:cs="宋体"/>
                <w:color w:val="auto"/>
                <w:sz w:val="21"/>
                <w:szCs w:val="21"/>
                <w:u w:val="none"/>
              </w:rPr>
              <w:t>个</w:t>
            </w:r>
          </w:p>
        </w:tc>
        <w:tc>
          <w:tcPr>
            <w:tcW w:w="755" w:type="pct"/>
            <w:tcBorders>
              <w:tl2br w:val="nil"/>
              <w:tr2bl w:val="nil"/>
            </w:tcBorders>
            <w:vAlign w:val="center"/>
          </w:tcPr>
          <w:p w14:paraId="777290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8" w:name="5"/>
            <w:bookmarkEnd w:id="218"/>
            <w:r>
              <w:rPr>
                <w:rFonts w:hint="eastAsia" w:ascii="宋体" w:hAnsi="宋体" w:eastAsia="宋体" w:cs="宋体"/>
                <w:color w:val="auto"/>
                <w:sz w:val="21"/>
                <w:szCs w:val="21"/>
                <w:u w:val="none"/>
              </w:rPr>
              <w:t>5</w:t>
            </w:r>
          </w:p>
        </w:tc>
        <w:tc>
          <w:tcPr>
            <w:tcW w:w="1246" w:type="pct"/>
            <w:tcBorders>
              <w:tl2br w:val="nil"/>
              <w:tr2bl w:val="nil"/>
            </w:tcBorders>
            <w:vAlign w:val="center"/>
          </w:tcPr>
          <w:p w14:paraId="3CF41D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2A86D4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vAlign w:val="center"/>
          </w:tcPr>
          <w:p w14:paraId="57F32F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19" w:name="站内改造"/>
            <w:bookmarkEnd w:id="219"/>
            <w:r>
              <w:rPr>
                <w:rFonts w:hint="eastAsia" w:ascii="宋体" w:hAnsi="宋体" w:eastAsia="宋体" w:cs="宋体"/>
                <w:color w:val="auto"/>
                <w:sz w:val="21"/>
                <w:szCs w:val="21"/>
                <w:u w:val="none"/>
              </w:rPr>
              <w:t>站内改造</w:t>
            </w:r>
          </w:p>
        </w:tc>
      </w:tr>
      <w:tr w14:paraId="47D22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0F1B6F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2401" w:type="pct"/>
            <w:tcBorders>
              <w:tl2br w:val="nil"/>
              <w:tr2bl w:val="nil"/>
            </w:tcBorders>
            <w:vAlign w:val="center"/>
          </w:tcPr>
          <w:p w14:paraId="5471E1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气气换热器</w:t>
            </w:r>
          </w:p>
        </w:tc>
        <w:tc>
          <w:tcPr>
            <w:tcW w:w="329" w:type="pct"/>
            <w:tcBorders>
              <w:tl2br w:val="nil"/>
              <w:tr2bl w:val="nil"/>
            </w:tcBorders>
            <w:vAlign w:val="center"/>
          </w:tcPr>
          <w:p w14:paraId="038FFD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20" w:name="座"/>
            <w:bookmarkEnd w:id="220"/>
            <w:r>
              <w:rPr>
                <w:rFonts w:hint="eastAsia" w:ascii="宋体" w:hAnsi="宋体" w:eastAsia="宋体" w:cs="宋体"/>
                <w:color w:val="auto"/>
                <w:sz w:val="21"/>
                <w:szCs w:val="21"/>
                <w:u w:val="none"/>
              </w:rPr>
              <w:t>座</w:t>
            </w:r>
          </w:p>
        </w:tc>
        <w:tc>
          <w:tcPr>
            <w:tcW w:w="755" w:type="pct"/>
            <w:tcBorders>
              <w:tl2br w:val="nil"/>
              <w:tr2bl w:val="nil"/>
            </w:tcBorders>
            <w:vAlign w:val="center"/>
          </w:tcPr>
          <w:p w14:paraId="456DB8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21" w:name="1"/>
            <w:bookmarkEnd w:id="221"/>
            <w:r>
              <w:rPr>
                <w:rFonts w:hint="eastAsia" w:ascii="宋体" w:hAnsi="宋体" w:eastAsia="宋体" w:cs="宋体"/>
                <w:color w:val="auto"/>
                <w:sz w:val="21"/>
                <w:szCs w:val="21"/>
                <w:u w:val="none"/>
              </w:rPr>
              <w:t>1</w:t>
            </w:r>
          </w:p>
        </w:tc>
        <w:tc>
          <w:tcPr>
            <w:tcW w:w="1246" w:type="pct"/>
            <w:tcBorders>
              <w:tl2br w:val="nil"/>
              <w:tr2bl w:val="nil"/>
            </w:tcBorders>
            <w:vAlign w:val="center"/>
          </w:tcPr>
          <w:p w14:paraId="09B631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054BC0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03EB11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2401" w:type="pct"/>
            <w:tcBorders>
              <w:tl2br w:val="nil"/>
              <w:tr2bl w:val="nil"/>
            </w:tcBorders>
            <w:vAlign w:val="center"/>
          </w:tcPr>
          <w:p w14:paraId="282BF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注醇泵</w:t>
            </w:r>
          </w:p>
        </w:tc>
        <w:tc>
          <w:tcPr>
            <w:tcW w:w="329" w:type="pct"/>
            <w:tcBorders>
              <w:tl2br w:val="nil"/>
              <w:tr2bl w:val="nil"/>
            </w:tcBorders>
            <w:vAlign w:val="center"/>
          </w:tcPr>
          <w:p w14:paraId="521296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22" w:name="座"/>
            <w:bookmarkEnd w:id="222"/>
            <w:r>
              <w:rPr>
                <w:rFonts w:hint="eastAsia" w:ascii="宋体" w:hAnsi="宋体" w:eastAsia="宋体" w:cs="宋体"/>
                <w:color w:val="auto"/>
                <w:sz w:val="21"/>
                <w:szCs w:val="21"/>
                <w:u w:val="none"/>
              </w:rPr>
              <w:t>座</w:t>
            </w:r>
          </w:p>
        </w:tc>
        <w:tc>
          <w:tcPr>
            <w:tcW w:w="755" w:type="pct"/>
            <w:tcBorders>
              <w:tl2br w:val="nil"/>
              <w:tr2bl w:val="nil"/>
            </w:tcBorders>
            <w:vAlign w:val="center"/>
          </w:tcPr>
          <w:p w14:paraId="448298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23" w:name="2"/>
            <w:bookmarkEnd w:id="223"/>
            <w:r>
              <w:rPr>
                <w:rFonts w:hint="eastAsia" w:ascii="宋体" w:hAnsi="宋体" w:eastAsia="宋体" w:cs="宋体"/>
                <w:color w:val="auto"/>
                <w:sz w:val="21"/>
                <w:szCs w:val="21"/>
                <w:u w:val="none"/>
              </w:rPr>
              <w:t>2</w:t>
            </w:r>
          </w:p>
        </w:tc>
        <w:tc>
          <w:tcPr>
            <w:tcW w:w="1246" w:type="pct"/>
            <w:tcBorders>
              <w:tl2br w:val="nil"/>
              <w:tr2bl w:val="nil"/>
            </w:tcBorders>
            <w:vAlign w:val="center"/>
          </w:tcPr>
          <w:p w14:paraId="168C3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6DD0B8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12A761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w:t>
            </w:r>
          </w:p>
        </w:tc>
        <w:tc>
          <w:tcPr>
            <w:tcW w:w="2401" w:type="pct"/>
            <w:tcBorders>
              <w:tl2br w:val="nil"/>
              <w:tr2bl w:val="nil"/>
            </w:tcBorders>
            <w:vAlign w:val="center"/>
          </w:tcPr>
          <w:p w14:paraId="2E65BD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乙二醇再生泵</w:t>
            </w:r>
          </w:p>
        </w:tc>
        <w:tc>
          <w:tcPr>
            <w:tcW w:w="329" w:type="pct"/>
            <w:tcBorders>
              <w:tl2br w:val="nil"/>
              <w:tr2bl w:val="nil"/>
            </w:tcBorders>
            <w:vAlign w:val="center"/>
          </w:tcPr>
          <w:p w14:paraId="0E2968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24" w:name="座"/>
            <w:bookmarkEnd w:id="224"/>
            <w:r>
              <w:rPr>
                <w:rFonts w:hint="eastAsia" w:ascii="宋体" w:hAnsi="宋体" w:eastAsia="宋体" w:cs="宋体"/>
                <w:color w:val="auto"/>
                <w:sz w:val="21"/>
                <w:szCs w:val="21"/>
                <w:u w:val="none"/>
              </w:rPr>
              <w:t>座</w:t>
            </w:r>
          </w:p>
        </w:tc>
        <w:tc>
          <w:tcPr>
            <w:tcW w:w="755" w:type="pct"/>
            <w:tcBorders>
              <w:tl2br w:val="nil"/>
              <w:tr2bl w:val="nil"/>
            </w:tcBorders>
            <w:vAlign w:val="center"/>
          </w:tcPr>
          <w:p w14:paraId="1D9360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bookmarkStart w:id="225" w:name="2"/>
            <w:bookmarkEnd w:id="225"/>
            <w:r>
              <w:rPr>
                <w:rFonts w:hint="eastAsia" w:ascii="宋体" w:hAnsi="宋体" w:eastAsia="宋体" w:cs="宋体"/>
                <w:color w:val="auto"/>
                <w:sz w:val="21"/>
                <w:szCs w:val="21"/>
                <w:u w:val="none"/>
              </w:rPr>
              <w:t>2</w:t>
            </w:r>
          </w:p>
        </w:tc>
        <w:tc>
          <w:tcPr>
            <w:tcW w:w="1246" w:type="pct"/>
            <w:tcBorders>
              <w:tl2br w:val="nil"/>
              <w:tr2bl w:val="nil"/>
            </w:tcBorders>
            <w:vAlign w:val="center"/>
          </w:tcPr>
          <w:p w14:paraId="78C376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6C614C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5052BF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w:t>
            </w:r>
          </w:p>
        </w:tc>
        <w:tc>
          <w:tcPr>
            <w:tcW w:w="2401" w:type="pct"/>
            <w:tcBorders>
              <w:tl2br w:val="nil"/>
              <w:tr2bl w:val="nil"/>
            </w:tcBorders>
            <w:vAlign w:val="center"/>
          </w:tcPr>
          <w:p w14:paraId="65A21E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导热油泵</w:t>
            </w:r>
          </w:p>
        </w:tc>
        <w:tc>
          <w:tcPr>
            <w:tcW w:w="329" w:type="pct"/>
            <w:tcBorders>
              <w:tl2br w:val="nil"/>
              <w:tr2bl w:val="nil"/>
            </w:tcBorders>
            <w:vAlign w:val="center"/>
          </w:tcPr>
          <w:p w14:paraId="5468B1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座</w:t>
            </w:r>
          </w:p>
        </w:tc>
        <w:tc>
          <w:tcPr>
            <w:tcW w:w="755" w:type="pct"/>
            <w:tcBorders>
              <w:tl2br w:val="nil"/>
              <w:tr2bl w:val="nil"/>
            </w:tcBorders>
            <w:vAlign w:val="center"/>
          </w:tcPr>
          <w:p w14:paraId="7316BA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1246" w:type="pct"/>
            <w:tcBorders>
              <w:tl2br w:val="nil"/>
              <w:tr2bl w:val="nil"/>
            </w:tcBorders>
            <w:vAlign w:val="center"/>
          </w:tcPr>
          <w:p w14:paraId="26BC00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3A56B7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4DDCC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w:t>
            </w:r>
          </w:p>
        </w:tc>
        <w:tc>
          <w:tcPr>
            <w:tcW w:w="2401" w:type="pct"/>
            <w:tcBorders>
              <w:tl2br w:val="nil"/>
              <w:tr2bl w:val="nil"/>
            </w:tcBorders>
            <w:vAlign w:val="center"/>
          </w:tcPr>
          <w:p w14:paraId="3C1250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生产分离器油水界面仪</w:t>
            </w:r>
          </w:p>
        </w:tc>
        <w:tc>
          <w:tcPr>
            <w:tcW w:w="329" w:type="pct"/>
            <w:tcBorders>
              <w:tl2br w:val="nil"/>
              <w:tr2bl w:val="nil"/>
            </w:tcBorders>
            <w:vAlign w:val="center"/>
          </w:tcPr>
          <w:p w14:paraId="768C34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座</w:t>
            </w:r>
          </w:p>
        </w:tc>
        <w:tc>
          <w:tcPr>
            <w:tcW w:w="755" w:type="pct"/>
            <w:tcBorders>
              <w:tl2br w:val="nil"/>
              <w:tr2bl w:val="nil"/>
            </w:tcBorders>
            <w:vAlign w:val="center"/>
          </w:tcPr>
          <w:p w14:paraId="75A167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14C0D6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0B3346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0CCFD1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w:t>
            </w:r>
          </w:p>
        </w:tc>
        <w:tc>
          <w:tcPr>
            <w:tcW w:w="2401" w:type="pct"/>
            <w:tcBorders>
              <w:tl2br w:val="nil"/>
              <w:tr2bl w:val="nil"/>
            </w:tcBorders>
            <w:vAlign w:val="center"/>
          </w:tcPr>
          <w:p w14:paraId="348154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液烃分离器界面仪</w:t>
            </w:r>
          </w:p>
        </w:tc>
        <w:tc>
          <w:tcPr>
            <w:tcW w:w="329" w:type="pct"/>
            <w:tcBorders>
              <w:tl2br w:val="nil"/>
              <w:tr2bl w:val="nil"/>
            </w:tcBorders>
            <w:vAlign w:val="center"/>
          </w:tcPr>
          <w:p w14:paraId="320A43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座</w:t>
            </w:r>
          </w:p>
        </w:tc>
        <w:tc>
          <w:tcPr>
            <w:tcW w:w="755" w:type="pct"/>
            <w:tcBorders>
              <w:tl2br w:val="nil"/>
              <w:tr2bl w:val="nil"/>
            </w:tcBorders>
            <w:vAlign w:val="center"/>
          </w:tcPr>
          <w:p w14:paraId="2BA52A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6662AD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58D903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0F0678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w:t>
            </w:r>
          </w:p>
        </w:tc>
        <w:tc>
          <w:tcPr>
            <w:tcW w:w="2401" w:type="pct"/>
            <w:tcBorders>
              <w:tl2br w:val="nil"/>
              <w:tr2bl w:val="nil"/>
            </w:tcBorders>
            <w:vAlign w:val="center"/>
          </w:tcPr>
          <w:p w14:paraId="213549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油水分离器界面仪</w:t>
            </w:r>
          </w:p>
        </w:tc>
        <w:tc>
          <w:tcPr>
            <w:tcW w:w="329" w:type="pct"/>
            <w:tcBorders>
              <w:tl2br w:val="nil"/>
              <w:tr2bl w:val="nil"/>
            </w:tcBorders>
            <w:vAlign w:val="center"/>
          </w:tcPr>
          <w:p w14:paraId="04D87C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座</w:t>
            </w:r>
          </w:p>
        </w:tc>
        <w:tc>
          <w:tcPr>
            <w:tcW w:w="755" w:type="pct"/>
            <w:tcBorders>
              <w:tl2br w:val="nil"/>
              <w:tr2bl w:val="nil"/>
            </w:tcBorders>
            <w:vAlign w:val="center"/>
          </w:tcPr>
          <w:p w14:paraId="1C2ACA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248F5E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45FAF3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28FF64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w:t>
            </w:r>
          </w:p>
        </w:tc>
        <w:tc>
          <w:tcPr>
            <w:tcW w:w="2401" w:type="pct"/>
            <w:tcBorders>
              <w:tl2br w:val="nil"/>
              <w:tr2bl w:val="nil"/>
            </w:tcBorders>
            <w:vAlign w:val="center"/>
          </w:tcPr>
          <w:p w14:paraId="6FA639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J-T阀</w:t>
            </w:r>
          </w:p>
        </w:tc>
        <w:tc>
          <w:tcPr>
            <w:tcW w:w="329" w:type="pct"/>
            <w:tcBorders>
              <w:tl2br w:val="nil"/>
              <w:tr2bl w:val="nil"/>
            </w:tcBorders>
            <w:vAlign w:val="center"/>
          </w:tcPr>
          <w:p w14:paraId="3BE6C8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套</w:t>
            </w:r>
          </w:p>
        </w:tc>
        <w:tc>
          <w:tcPr>
            <w:tcW w:w="755" w:type="pct"/>
            <w:tcBorders>
              <w:tl2br w:val="nil"/>
              <w:tr2bl w:val="nil"/>
            </w:tcBorders>
            <w:vAlign w:val="center"/>
          </w:tcPr>
          <w:p w14:paraId="382063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1246" w:type="pct"/>
            <w:tcBorders>
              <w:tl2br w:val="nil"/>
              <w:tr2bl w:val="nil"/>
            </w:tcBorders>
            <w:vAlign w:val="center"/>
          </w:tcPr>
          <w:p w14:paraId="3F0BE4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3B630F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43F1B2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w:t>
            </w:r>
          </w:p>
        </w:tc>
        <w:tc>
          <w:tcPr>
            <w:tcW w:w="2401" w:type="pct"/>
            <w:tcBorders>
              <w:tl2br w:val="nil"/>
              <w:tr2bl w:val="nil"/>
            </w:tcBorders>
            <w:vAlign w:val="center"/>
          </w:tcPr>
          <w:p w14:paraId="7B7B2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注醇器</w:t>
            </w:r>
          </w:p>
        </w:tc>
        <w:tc>
          <w:tcPr>
            <w:tcW w:w="329" w:type="pct"/>
            <w:tcBorders>
              <w:tl2br w:val="nil"/>
              <w:tr2bl w:val="nil"/>
            </w:tcBorders>
            <w:vAlign w:val="center"/>
          </w:tcPr>
          <w:p w14:paraId="3D6E60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套</w:t>
            </w:r>
          </w:p>
        </w:tc>
        <w:tc>
          <w:tcPr>
            <w:tcW w:w="755" w:type="pct"/>
            <w:tcBorders>
              <w:tl2br w:val="nil"/>
              <w:tr2bl w:val="nil"/>
            </w:tcBorders>
            <w:vAlign w:val="center"/>
          </w:tcPr>
          <w:p w14:paraId="64B120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1246" w:type="pct"/>
            <w:tcBorders>
              <w:tl2br w:val="nil"/>
              <w:tr2bl w:val="nil"/>
            </w:tcBorders>
            <w:vAlign w:val="center"/>
          </w:tcPr>
          <w:p w14:paraId="34AFCA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2DDF14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308C9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10</w:t>
            </w:r>
          </w:p>
        </w:tc>
        <w:tc>
          <w:tcPr>
            <w:tcW w:w="2401" w:type="pct"/>
            <w:tcBorders>
              <w:tl2br w:val="nil"/>
              <w:tr2bl w:val="nil"/>
            </w:tcBorders>
            <w:vAlign w:val="center"/>
          </w:tcPr>
          <w:p w14:paraId="4F4EDD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稳定油装车鹤管</w:t>
            </w:r>
          </w:p>
        </w:tc>
        <w:tc>
          <w:tcPr>
            <w:tcW w:w="329" w:type="pct"/>
            <w:tcBorders>
              <w:tl2br w:val="nil"/>
              <w:tr2bl w:val="nil"/>
            </w:tcBorders>
            <w:vAlign w:val="center"/>
          </w:tcPr>
          <w:p w14:paraId="221E7B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套</w:t>
            </w:r>
          </w:p>
        </w:tc>
        <w:tc>
          <w:tcPr>
            <w:tcW w:w="755" w:type="pct"/>
            <w:tcBorders>
              <w:tl2br w:val="nil"/>
              <w:tr2bl w:val="nil"/>
            </w:tcBorders>
            <w:vAlign w:val="center"/>
          </w:tcPr>
          <w:p w14:paraId="5590B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08EF21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717DFC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71" w:type="dxa"/>
            <w:tcBorders>
              <w:tl2br w:val="nil"/>
              <w:tr2bl w:val="nil"/>
            </w:tcBorders>
            <w:vAlign w:val="center"/>
          </w:tcPr>
          <w:p w14:paraId="0096E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11</w:t>
            </w:r>
          </w:p>
        </w:tc>
        <w:tc>
          <w:tcPr>
            <w:tcW w:w="2401" w:type="pct"/>
            <w:tcBorders>
              <w:tl2br w:val="nil"/>
              <w:tr2bl w:val="nil"/>
            </w:tcBorders>
            <w:vAlign w:val="center"/>
          </w:tcPr>
          <w:p w14:paraId="757B55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高压采出水管线D114×4/20</w:t>
            </w:r>
          </w:p>
        </w:tc>
        <w:tc>
          <w:tcPr>
            <w:tcW w:w="329" w:type="pct"/>
            <w:tcBorders>
              <w:tl2br w:val="nil"/>
              <w:tr2bl w:val="nil"/>
            </w:tcBorders>
            <w:vAlign w:val="center"/>
          </w:tcPr>
          <w:p w14:paraId="411137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w:t>
            </w:r>
          </w:p>
        </w:tc>
        <w:tc>
          <w:tcPr>
            <w:tcW w:w="755" w:type="pct"/>
            <w:tcBorders>
              <w:tl2br w:val="nil"/>
              <w:tr2bl w:val="nil"/>
            </w:tcBorders>
            <w:vAlign w:val="center"/>
          </w:tcPr>
          <w:p w14:paraId="1ACF8D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400</w:t>
            </w:r>
          </w:p>
        </w:tc>
        <w:tc>
          <w:tcPr>
            <w:tcW w:w="1246" w:type="pct"/>
            <w:tcBorders>
              <w:tl2br w:val="nil"/>
              <w:tr2bl w:val="nil"/>
            </w:tcBorders>
            <w:vAlign w:val="center"/>
          </w:tcPr>
          <w:p w14:paraId="40BB06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7AAC37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71" w:type="dxa"/>
            <w:tcBorders>
              <w:tl2br w:val="nil"/>
              <w:tr2bl w:val="nil"/>
            </w:tcBorders>
            <w:vAlign w:val="center"/>
          </w:tcPr>
          <w:p w14:paraId="6124A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12</w:t>
            </w:r>
          </w:p>
        </w:tc>
        <w:tc>
          <w:tcPr>
            <w:tcW w:w="2401" w:type="pct"/>
            <w:tcBorders>
              <w:tl2br w:val="nil"/>
              <w:tr2bl w:val="nil"/>
            </w:tcBorders>
            <w:vAlign w:val="center"/>
          </w:tcPr>
          <w:p w14:paraId="7EFED8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气动液位调节阀DN50 PN100</w:t>
            </w:r>
          </w:p>
        </w:tc>
        <w:tc>
          <w:tcPr>
            <w:tcW w:w="329" w:type="pct"/>
            <w:tcBorders>
              <w:tl2br w:val="nil"/>
              <w:tr2bl w:val="nil"/>
            </w:tcBorders>
            <w:vAlign w:val="center"/>
          </w:tcPr>
          <w:p w14:paraId="706C01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套</w:t>
            </w:r>
          </w:p>
        </w:tc>
        <w:tc>
          <w:tcPr>
            <w:tcW w:w="755" w:type="pct"/>
            <w:tcBorders>
              <w:tl2br w:val="nil"/>
              <w:tr2bl w:val="nil"/>
            </w:tcBorders>
            <w:vAlign w:val="center"/>
          </w:tcPr>
          <w:p w14:paraId="59E5A5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w:t>
            </w:r>
          </w:p>
        </w:tc>
        <w:tc>
          <w:tcPr>
            <w:tcW w:w="1246" w:type="pct"/>
            <w:tcBorders>
              <w:tl2br w:val="nil"/>
              <w:tr2bl w:val="nil"/>
            </w:tcBorders>
            <w:vAlign w:val="center"/>
          </w:tcPr>
          <w:p w14:paraId="52EDEF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112B4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71" w:type="dxa"/>
            <w:tcBorders>
              <w:tl2br w:val="nil"/>
              <w:tr2bl w:val="nil"/>
            </w:tcBorders>
            <w:vAlign w:val="center"/>
          </w:tcPr>
          <w:p w14:paraId="3FEEF8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w:t>
            </w:r>
          </w:p>
        </w:tc>
        <w:tc>
          <w:tcPr>
            <w:tcW w:w="2401" w:type="pct"/>
            <w:tcBorders>
              <w:tl2br w:val="nil"/>
              <w:tr2bl w:val="nil"/>
            </w:tcBorders>
            <w:vAlign w:val="center"/>
          </w:tcPr>
          <w:p w14:paraId="76B561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气动液位调节阀DN25 PN25</w:t>
            </w:r>
          </w:p>
        </w:tc>
        <w:tc>
          <w:tcPr>
            <w:tcW w:w="329" w:type="pct"/>
            <w:tcBorders>
              <w:tl2br w:val="nil"/>
              <w:tr2bl w:val="nil"/>
            </w:tcBorders>
            <w:vAlign w:val="center"/>
          </w:tcPr>
          <w:p w14:paraId="4B6CF4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套</w:t>
            </w:r>
          </w:p>
        </w:tc>
        <w:tc>
          <w:tcPr>
            <w:tcW w:w="755" w:type="pct"/>
            <w:tcBorders>
              <w:tl2br w:val="nil"/>
              <w:tr2bl w:val="nil"/>
            </w:tcBorders>
            <w:vAlign w:val="center"/>
          </w:tcPr>
          <w:p w14:paraId="0F2248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1246" w:type="pct"/>
            <w:tcBorders>
              <w:tl2br w:val="nil"/>
              <w:tr2bl w:val="nil"/>
            </w:tcBorders>
            <w:vAlign w:val="center"/>
          </w:tcPr>
          <w:p w14:paraId="59694E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7F6842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71" w:type="dxa"/>
            <w:tcBorders>
              <w:tl2br w:val="nil"/>
              <w:tr2bl w:val="nil"/>
            </w:tcBorders>
            <w:vAlign w:val="center"/>
          </w:tcPr>
          <w:p w14:paraId="5F674E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14</w:t>
            </w:r>
          </w:p>
        </w:tc>
        <w:tc>
          <w:tcPr>
            <w:tcW w:w="2401" w:type="pct"/>
            <w:tcBorders>
              <w:tl2br w:val="nil"/>
              <w:tr2bl w:val="nil"/>
            </w:tcBorders>
            <w:vAlign w:val="center"/>
          </w:tcPr>
          <w:p w14:paraId="38E427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气动液位调节阀DN50 PN25</w:t>
            </w:r>
          </w:p>
        </w:tc>
        <w:tc>
          <w:tcPr>
            <w:tcW w:w="329" w:type="pct"/>
            <w:tcBorders>
              <w:tl2br w:val="nil"/>
              <w:tr2bl w:val="nil"/>
            </w:tcBorders>
            <w:vAlign w:val="center"/>
          </w:tcPr>
          <w:p w14:paraId="7D7EE7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套</w:t>
            </w:r>
          </w:p>
        </w:tc>
        <w:tc>
          <w:tcPr>
            <w:tcW w:w="755" w:type="pct"/>
            <w:tcBorders>
              <w:tl2br w:val="nil"/>
              <w:tr2bl w:val="nil"/>
            </w:tcBorders>
            <w:vAlign w:val="center"/>
          </w:tcPr>
          <w:p w14:paraId="269B83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w:t>
            </w:r>
          </w:p>
        </w:tc>
        <w:tc>
          <w:tcPr>
            <w:tcW w:w="1246" w:type="pct"/>
            <w:tcBorders>
              <w:tl2br w:val="nil"/>
              <w:tr2bl w:val="nil"/>
            </w:tcBorders>
            <w:vAlign w:val="center"/>
          </w:tcPr>
          <w:p w14:paraId="31D03B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43623F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71" w:type="dxa"/>
            <w:tcBorders>
              <w:tl2br w:val="nil"/>
              <w:tr2bl w:val="nil"/>
            </w:tcBorders>
            <w:vAlign w:val="center"/>
          </w:tcPr>
          <w:p w14:paraId="6C4E39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15</w:t>
            </w:r>
          </w:p>
        </w:tc>
        <w:tc>
          <w:tcPr>
            <w:tcW w:w="2401" w:type="pct"/>
            <w:tcBorders>
              <w:tl2br w:val="nil"/>
              <w:tr2bl w:val="nil"/>
            </w:tcBorders>
            <w:vAlign w:val="center"/>
          </w:tcPr>
          <w:p w14:paraId="48C10E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气动液位调节阀DN150 PN40</w:t>
            </w:r>
          </w:p>
        </w:tc>
        <w:tc>
          <w:tcPr>
            <w:tcW w:w="329" w:type="pct"/>
            <w:tcBorders>
              <w:tl2br w:val="nil"/>
              <w:tr2bl w:val="nil"/>
            </w:tcBorders>
            <w:vAlign w:val="center"/>
          </w:tcPr>
          <w:p w14:paraId="6E36C9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套</w:t>
            </w:r>
          </w:p>
        </w:tc>
        <w:tc>
          <w:tcPr>
            <w:tcW w:w="755" w:type="pct"/>
            <w:tcBorders>
              <w:tl2br w:val="nil"/>
              <w:tr2bl w:val="nil"/>
            </w:tcBorders>
            <w:vAlign w:val="center"/>
          </w:tcPr>
          <w:p w14:paraId="1125CC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122328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00782F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71" w:type="dxa"/>
            <w:tcBorders>
              <w:tl2br w:val="nil"/>
              <w:tr2bl w:val="nil"/>
            </w:tcBorders>
            <w:vAlign w:val="center"/>
          </w:tcPr>
          <w:p w14:paraId="4AE794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16</w:t>
            </w:r>
          </w:p>
        </w:tc>
        <w:tc>
          <w:tcPr>
            <w:tcW w:w="2401" w:type="pct"/>
            <w:tcBorders>
              <w:tl2br w:val="nil"/>
              <w:tr2bl w:val="nil"/>
            </w:tcBorders>
            <w:vAlign w:val="center"/>
          </w:tcPr>
          <w:p w14:paraId="41B128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气动液位调节阀DN50 PN40</w:t>
            </w:r>
          </w:p>
        </w:tc>
        <w:tc>
          <w:tcPr>
            <w:tcW w:w="329" w:type="pct"/>
            <w:tcBorders>
              <w:tl2br w:val="nil"/>
              <w:tr2bl w:val="nil"/>
            </w:tcBorders>
            <w:vAlign w:val="center"/>
          </w:tcPr>
          <w:p w14:paraId="3C8B7F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套</w:t>
            </w:r>
          </w:p>
        </w:tc>
        <w:tc>
          <w:tcPr>
            <w:tcW w:w="755" w:type="pct"/>
            <w:tcBorders>
              <w:tl2br w:val="nil"/>
              <w:tr2bl w:val="nil"/>
            </w:tcBorders>
            <w:vAlign w:val="center"/>
          </w:tcPr>
          <w:p w14:paraId="724965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09365C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66D4A6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71" w:type="dxa"/>
            <w:tcBorders>
              <w:tl2br w:val="nil"/>
              <w:tr2bl w:val="nil"/>
            </w:tcBorders>
            <w:vAlign w:val="center"/>
          </w:tcPr>
          <w:p w14:paraId="0E9E5B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17</w:t>
            </w:r>
          </w:p>
        </w:tc>
        <w:tc>
          <w:tcPr>
            <w:tcW w:w="2401" w:type="pct"/>
            <w:tcBorders>
              <w:tl2br w:val="nil"/>
              <w:tr2bl w:val="nil"/>
            </w:tcBorders>
            <w:vAlign w:val="center"/>
          </w:tcPr>
          <w:p w14:paraId="2F02E9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D89×6/20G</w:t>
            </w:r>
          </w:p>
        </w:tc>
        <w:tc>
          <w:tcPr>
            <w:tcW w:w="329" w:type="pct"/>
            <w:tcBorders>
              <w:tl2br w:val="nil"/>
              <w:tr2bl w:val="nil"/>
            </w:tcBorders>
            <w:vAlign w:val="center"/>
          </w:tcPr>
          <w:p w14:paraId="5980FE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w:t>
            </w:r>
          </w:p>
        </w:tc>
        <w:tc>
          <w:tcPr>
            <w:tcW w:w="755" w:type="pct"/>
            <w:tcBorders>
              <w:tl2br w:val="nil"/>
              <w:tr2bl w:val="nil"/>
            </w:tcBorders>
            <w:vAlign w:val="center"/>
          </w:tcPr>
          <w:p w14:paraId="3C0972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300</w:t>
            </w:r>
          </w:p>
        </w:tc>
        <w:tc>
          <w:tcPr>
            <w:tcW w:w="1246" w:type="pct"/>
            <w:tcBorders>
              <w:tl2br w:val="nil"/>
              <w:tr2bl w:val="nil"/>
            </w:tcBorders>
            <w:vAlign w:val="center"/>
          </w:tcPr>
          <w:p w14:paraId="16999C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7B05B3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71" w:type="dxa"/>
            <w:tcBorders>
              <w:tl2br w:val="nil"/>
              <w:tr2bl w:val="nil"/>
            </w:tcBorders>
            <w:vAlign w:val="center"/>
          </w:tcPr>
          <w:p w14:paraId="233E1E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11</w:t>
            </w:r>
          </w:p>
        </w:tc>
        <w:tc>
          <w:tcPr>
            <w:tcW w:w="2401" w:type="pct"/>
            <w:tcBorders>
              <w:tl2br w:val="nil"/>
              <w:tr2bl w:val="nil"/>
            </w:tcBorders>
            <w:vAlign w:val="center"/>
          </w:tcPr>
          <w:p w14:paraId="2F890D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D60×5/20G</w:t>
            </w:r>
          </w:p>
        </w:tc>
        <w:tc>
          <w:tcPr>
            <w:tcW w:w="329" w:type="pct"/>
            <w:tcBorders>
              <w:tl2br w:val="nil"/>
              <w:tr2bl w:val="nil"/>
            </w:tcBorders>
            <w:vAlign w:val="center"/>
          </w:tcPr>
          <w:p w14:paraId="759A02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w:t>
            </w:r>
          </w:p>
        </w:tc>
        <w:tc>
          <w:tcPr>
            <w:tcW w:w="755" w:type="pct"/>
            <w:tcBorders>
              <w:tl2br w:val="nil"/>
              <w:tr2bl w:val="nil"/>
            </w:tcBorders>
            <w:vAlign w:val="center"/>
          </w:tcPr>
          <w:p w14:paraId="130FE8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500</w:t>
            </w:r>
          </w:p>
        </w:tc>
        <w:tc>
          <w:tcPr>
            <w:tcW w:w="1246" w:type="pct"/>
            <w:tcBorders>
              <w:tl2br w:val="nil"/>
              <w:tr2bl w:val="nil"/>
            </w:tcBorders>
            <w:vAlign w:val="center"/>
          </w:tcPr>
          <w:p w14:paraId="4E6605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492365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vAlign w:val="center"/>
          </w:tcPr>
          <w:p w14:paraId="7CE27E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第二批次</w:t>
            </w:r>
          </w:p>
        </w:tc>
      </w:tr>
      <w:tr w14:paraId="2C0801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374CB1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2401" w:type="pct"/>
            <w:tcBorders>
              <w:tl2br w:val="nil"/>
              <w:tr2bl w:val="nil"/>
            </w:tcBorders>
            <w:vAlign w:val="center"/>
          </w:tcPr>
          <w:p w14:paraId="775DEE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单井井场（共2座）</w:t>
            </w:r>
          </w:p>
        </w:tc>
        <w:tc>
          <w:tcPr>
            <w:tcW w:w="329" w:type="pct"/>
            <w:tcBorders>
              <w:tl2br w:val="nil"/>
              <w:tr2bl w:val="nil"/>
            </w:tcBorders>
            <w:vAlign w:val="center"/>
          </w:tcPr>
          <w:p w14:paraId="3256B7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755" w:type="pct"/>
            <w:tcBorders>
              <w:tl2br w:val="nil"/>
              <w:tr2bl w:val="nil"/>
            </w:tcBorders>
            <w:vAlign w:val="center"/>
          </w:tcPr>
          <w:p w14:paraId="752952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1246" w:type="pct"/>
            <w:tcBorders>
              <w:tl2br w:val="nil"/>
              <w:tr2bl w:val="nil"/>
            </w:tcBorders>
            <w:vAlign w:val="center"/>
          </w:tcPr>
          <w:p w14:paraId="208759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以下为单座工程量</w:t>
            </w:r>
          </w:p>
        </w:tc>
      </w:tr>
      <w:tr w14:paraId="3CFA57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7161A3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p w14:paraId="6EE61B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2401" w:type="pct"/>
            <w:tcBorders>
              <w:tl2br w:val="nil"/>
              <w:tr2bl w:val="nil"/>
            </w:tcBorders>
            <w:vAlign w:val="center"/>
          </w:tcPr>
          <w:p w14:paraId="1B7E0E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井口高、低压切断阀P42MPa DN50</w:t>
            </w:r>
          </w:p>
        </w:tc>
        <w:tc>
          <w:tcPr>
            <w:tcW w:w="329" w:type="pct"/>
            <w:tcBorders>
              <w:tl2br w:val="nil"/>
              <w:tr2bl w:val="nil"/>
            </w:tcBorders>
            <w:vAlign w:val="center"/>
          </w:tcPr>
          <w:p w14:paraId="5A2F16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套</w:t>
            </w:r>
          </w:p>
        </w:tc>
        <w:tc>
          <w:tcPr>
            <w:tcW w:w="755" w:type="pct"/>
            <w:tcBorders>
              <w:tl2br w:val="nil"/>
              <w:tr2bl w:val="nil"/>
            </w:tcBorders>
            <w:vAlign w:val="center"/>
          </w:tcPr>
          <w:p w14:paraId="5B618E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p w14:paraId="5458E4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5C5F3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高压切断值：9.5MPa</w:t>
            </w:r>
          </w:p>
          <w:p w14:paraId="110D22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低压切断值：6.0MPa</w:t>
            </w:r>
          </w:p>
        </w:tc>
      </w:tr>
      <w:tr w14:paraId="3CC66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3ED570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2401" w:type="pct"/>
            <w:tcBorders>
              <w:tl2br w:val="nil"/>
              <w:tr2bl w:val="nil"/>
            </w:tcBorders>
            <w:vAlign w:val="center"/>
          </w:tcPr>
          <w:p w14:paraId="191483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加热节流装置</w:t>
            </w:r>
          </w:p>
        </w:tc>
        <w:tc>
          <w:tcPr>
            <w:tcW w:w="329" w:type="pct"/>
            <w:tcBorders>
              <w:tl2br w:val="nil"/>
              <w:tr2bl w:val="nil"/>
            </w:tcBorders>
            <w:vAlign w:val="center"/>
          </w:tcPr>
          <w:p w14:paraId="229714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755" w:type="pct"/>
            <w:tcBorders>
              <w:tl2br w:val="nil"/>
              <w:tr2bl w:val="nil"/>
            </w:tcBorders>
            <w:vAlign w:val="center"/>
          </w:tcPr>
          <w:p w14:paraId="7AEBB5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c>
          <w:tcPr>
            <w:tcW w:w="1246" w:type="pct"/>
            <w:tcBorders>
              <w:tl2br w:val="nil"/>
              <w:tr2bl w:val="nil"/>
            </w:tcBorders>
            <w:vAlign w:val="center"/>
          </w:tcPr>
          <w:p w14:paraId="107237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226F30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7CAE16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2401" w:type="pct"/>
            <w:tcBorders>
              <w:tl2br w:val="nil"/>
              <w:tr2bl w:val="nil"/>
            </w:tcBorders>
            <w:vAlign w:val="center"/>
          </w:tcPr>
          <w:p w14:paraId="70EE59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MBHW6006电加热节流橇80kW 42MPa</w:t>
            </w:r>
          </w:p>
        </w:tc>
        <w:tc>
          <w:tcPr>
            <w:tcW w:w="329" w:type="pct"/>
            <w:tcBorders>
              <w:tl2br w:val="nil"/>
              <w:tr2bl w:val="nil"/>
            </w:tcBorders>
            <w:vAlign w:val="center"/>
          </w:tcPr>
          <w:p w14:paraId="7A8EB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座</w:t>
            </w:r>
          </w:p>
        </w:tc>
        <w:tc>
          <w:tcPr>
            <w:tcW w:w="755" w:type="pct"/>
            <w:tcBorders>
              <w:tl2br w:val="nil"/>
              <w:tr2bl w:val="nil"/>
            </w:tcBorders>
            <w:vAlign w:val="center"/>
          </w:tcPr>
          <w:p w14:paraId="761C68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60146B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6D7DD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3E94FC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2401" w:type="pct"/>
            <w:tcBorders>
              <w:tl2br w:val="nil"/>
              <w:tr2bl w:val="nil"/>
            </w:tcBorders>
            <w:vAlign w:val="center"/>
          </w:tcPr>
          <w:p w14:paraId="35873E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MBHW6009电加热节流橇80kW 42MPa</w:t>
            </w:r>
          </w:p>
        </w:tc>
        <w:tc>
          <w:tcPr>
            <w:tcW w:w="329" w:type="pct"/>
            <w:tcBorders>
              <w:tl2br w:val="nil"/>
              <w:tr2bl w:val="nil"/>
            </w:tcBorders>
            <w:vAlign w:val="center"/>
          </w:tcPr>
          <w:p w14:paraId="37F4E4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座</w:t>
            </w:r>
          </w:p>
        </w:tc>
        <w:tc>
          <w:tcPr>
            <w:tcW w:w="755" w:type="pct"/>
            <w:tcBorders>
              <w:tl2br w:val="nil"/>
              <w:tr2bl w:val="nil"/>
            </w:tcBorders>
            <w:vAlign w:val="center"/>
          </w:tcPr>
          <w:p w14:paraId="541933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5B7A76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39EC25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7E5BF4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w:t>
            </w:r>
          </w:p>
        </w:tc>
        <w:tc>
          <w:tcPr>
            <w:tcW w:w="2401" w:type="pct"/>
            <w:tcBorders>
              <w:tl2br w:val="nil"/>
              <w:tr2bl w:val="nil"/>
            </w:tcBorders>
            <w:vAlign w:val="center"/>
          </w:tcPr>
          <w:p w14:paraId="71BF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采气树转接口</w:t>
            </w:r>
          </w:p>
        </w:tc>
        <w:tc>
          <w:tcPr>
            <w:tcW w:w="329" w:type="pct"/>
            <w:tcBorders>
              <w:tl2br w:val="nil"/>
              <w:tr2bl w:val="nil"/>
            </w:tcBorders>
            <w:vAlign w:val="center"/>
          </w:tcPr>
          <w:p w14:paraId="6BF944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421FC8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1246" w:type="pct"/>
            <w:tcBorders>
              <w:tl2br w:val="nil"/>
              <w:tr2bl w:val="nil"/>
            </w:tcBorders>
            <w:vAlign w:val="center"/>
          </w:tcPr>
          <w:p w14:paraId="0837F7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0B5776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192389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4</w:t>
            </w:r>
          </w:p>
        </w:tc>
        <w:tc>
          <w:tcPr>
            <w:tcW w:w="2401" w:type="pct"/>
            <w:tcBorders>
              <w:tl2br w:val="nil"/>
              <w:tr2bl w:val="nil"/>
            </w:tcBorders>
            <w:vAlign w:val="center"/>
          </w:tcPr>
          <w:p w14:paraId="6F7C9A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无缝钢管D60×12 20G</w:t>
            </w:r>
          </w:p>
        </w:tc>
        <w:tc>
          <w:tcPr>
            <w:tcW w:w="329" w:type="pct"/>
            <w:tcBorders>
              <w:tl2br w:val="nil"/>
              <w:tr2bl w:val="nil"/>
            </w:tcBorders>
            <w:vAlign w:val="center"/>
          </w:tcPr>
          <w:p w14:paraId="11439A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w:t>
            </w:r>
          </w:p>
        </w:tc>
        <w:tc>
          <w:tcPr>
            <w:tcW w:w="755" w:type="pct"/>
            <w:tcBorders>
              <w:tl2br w:val="nil"/>
              <w:tr2bl w:val="nil"/>
            </w:tcBorders>
            <w:vAlign w:val="center"/>
          </w:tcPr>
          <w:p w14:paraId="6560C2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30</w:t>
            </w:r>
          </w:p>
        </w:tc>
        <w:tc>
          <w:tcPr>
            <w:tcW w:w="1246" w:type="pct"/>
            <w:tcBorders>
              <w:tl2br w:val="nil"/>
              <w:tr2bl w:val="nil"/>
            </w:tcBorders>
            <w:vAlign w:val="center"/>
          </w:tcPr>
          <w:p w14:paraId="57B36C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保温50mm</w:t>
            </w:r>
          </w:p>
        </w:tc>
      </w:tr>
      <w:tr w14:paraId="12F5F4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79EF2A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w:t>
            </w:r>
          </w:p>
        </w:tc>
        <w:tc>
          <w:tcPr>
            <w:tcW w:w="2401" w:type="pct"/>
            <w:tcBorders>
              <w:tl2br w:val="nil"/>
              <w:tr2bl w:val="nil"/>
            </w:tcBorders>
            <w:vAlign w:val="center"/>
          </w:tcPr>
          <w:p w14:paraId="057661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无缝钢管D76×5</w:t>
            </w:r>
            <w:r>
              <w:rPr>
                <w:rFonts w:hint="eastAsia" w:ascii="宋体" w:hAnsi="宋体" w:eastAsia="宋体" w:cs="宋体"/>
                <w:color w:val="auto"/>
                <w:sz w:val="21"/>
                <w:szCs w:val="21"/>
                <w:u w:val="none"/>
              </w:rPr>
              <w:tab/>
            </w:r>
            <w:r>
              <w:rPr>
                <w:rFonts w:hint="eastAsia" w:ascii="宋体" w:hAnsi="宋体" w:eastAsia="宋体" w:cs="宋体"/>
                <w:color w:val="auto"/>
                <w:sz w:val="21"/>
                <w:szCs w:val="21"/>
                <w:u w:val="none"/>
              </w:rPr>
              <w:t>20G</w:t>
            </w:r>
          </w:p>
        </w:tc>
        <w:tc>
          <w:tcPr>
            <w:tcW w:w="329" w:type="pct"/>
            <w:tcBorders>
              <w:tl2br w:val="nil"/>
              <w:tr2bl w:val="nil"/>
            </w:tcBorders>
            <w:vAlign w:val="center"/>
          </w:tcPr>
          <w:p w14:paraId="176C8B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w:t>
            </w:r>
          </w:p>
        </w:tc>
        <w:tc>
          <w:tcPr>
            <w:tcW w:w="755" w:type="pct"/>
            <w:tcBorders>
              <w:tl2br w:val="nil"/>
              <w:tr2bl w:val="nil"/>
            </w:tcBorders>
            <w:vAlign w:val="center"/>
          </w:tcPr>
          <w:p w14:paraId="3862BE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90</w:t>
            </w:r>
          </w:p>
        </w:tc>
        <w:tc>
          <w:tcPr>
            <w:tcW w:w="1246" w:type="pct"/>
            <w:tcBorders>
              <w:tl2br w:val="nil"/>
              <w:tr2bl w:val="nil"/>
            </w:tcBorders>
            <w:vAlign w:val="center"/>
          </w:tcPr>
          <w:p w14:paraId="7DF5E3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保温50mm</w:t>
            </w:r>
          </w:p>
        </w:tc>
      </w:tr>
      <w:tr w14:paraId="3ADFC2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5A4BB5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w:t>
            </w:r>
          </w:p>
        </w:tc>
        <w:tc>
          <w:tcPr>
            <w:tcW w:w="2401" w:type="pct"/>
            <w:tcBorders>
              <w:tl2br w:val="nil"/>
              <w:tr2bl w:val="nil"/>
            </w:tcBorders>
            <w:vAlign w:val="center"/>
          </w:tcPr>
          <w:p w14:paraId="33CE83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无缝钢管D60×5</w:t>
            </w:r>
            <w:r>
              <w:rPr>
                <w:rFonts w:hint="eastAsia" w:ascii="宋体" w:hAnsi="宋体" w:eastAsia="宋体" w:cs="宋体"/>
                <w:color w:val="auto"/>
                <w:sz w:val="21"/>
                <w:szCs w:val="21"/>
                <w:u w:val="none"/>
              </w:rPr>
              <w:tab/>
            </w:r>
            <w:r>
              <w:rPr>
                <w:rFonts w:hint="eastAsia" w:ascii="宋体" w:hAnsi="宋体" w:eastAsia="宋体" w:cs="宋体"/>
                <w:color w:val="auto"/>
                <w:sz w:val="21"/>
                <w:szCs w:val="21"/>
                <w:u w:val="none"/>
              </w:rPr>
              <w:t>20G</w:t>
            </w:r>
          </w:p>
        </w:tc>
        <w:tc>
          <w:tcPr>
            <w:tcW w:w="329" w:type="pct"/>
            <w:tcBorders>
              <w:tl2br w:val="nil"/>
              <w:tr2bl w:val="nil"/>
            </w:tcBorders>
            <w:vAlign w:val="center"/>
          </w:tcPr>
          <w:p w14:paraId="3CF575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w:t>
            </w:r>
          </w:p>
        </w:tc>
        <w:tc>
          <w:tcPr>
            <w:tcW w:w="755" w:type="pct"/>
            <w:tcBorders>
              <w:tl2br w:val="nil"/>
              <w:tr2bl w:val="nil"/>
            </w:tcBorders>
            <w:vAlign w:val="center"/>
          </w:tcPr>
          <w:p w14:paraId="5C495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30</w:t>
            </w:r>
          </w:p>
        </w:tc>
        <w:tc>
          <w:tcPr>
            <w:tcW w:w="1246" w:type="pct"/>
            <w:tcBorders>
              <w:tl2br w:val="nil"/>
              <w:tr2bl w:val="nil"/>
            </w:tcBorders>
            <w:vAlign w:val="center"/>
          </w:tcPr>
          <w:p w14:paraId="487FE8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12108A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48B0AB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w:t>
            </w:r>
          </w:p>
        </w:tc>
        <w:tc>
          <w:tcPr>
            <w:tcW w:w="2401" w:type="pct"/>
            <w:tcBorders>
              <w:tl2br w:val="nil"/>
              <w:tr2bl w:val="nil"/>
            </w:tcBorders>
            <w:vAlign w:val="center"/>
          </w:tcPr>
          <w:p w14:paraId="37452E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无缝钢管D76×5 20</w:t>
            </w:r>
          </w:p>
        </w:tc>
        <w:tc>
          <w:tcPr>
            <w:tcW w:w="329" w:type="pct"/>
            <w:tcBorders>
              <w:tl2br w:val="nil"/>
              <w:tr2bl w:val="nil"/>
            </w:tcBorders>
            <w:vAlign w:val="center"/>
          </w:tcPr>
          <w:p w14:paraId="56E70D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w:t>
            </w:r>
          </w:p>
        </w:tc>
        <w:tc>
          <w:tcPr>
            <w:tcW w:w="755" w:type="pct"/>
            <w:tcBorders>
              <w:tl2br w:val="nil"/>
              <w:tr2bl w:val="nil"/>
            </w:tcBorders>
            <w:vAlign w:val="center"/>
          </w:tcPr>
          <w:p w14:paraId="534619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90</w:t>
            </w:r>
          </w:p>
        </w:tc>
        <w:tc>
          <w:tcPr>
            <w:tcW w:w="1246" w:type="pct"/>
            <w:tcBorders>
              <w:tl2br w:val="nil"/>
              <w:tr2bl w:val="nil"/>
            </w:tcBorders>
            <w:vAlign w:val="center"/>
          </w:tcPr>
          <w:p w14:paraId="381FE6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7750C4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2FC28A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w:t>
            </w:r>
          </w:p>
        </w:tc>
        <w:tc>
          <w:tcPr>
            <w:tcW w:w="2401" w:type="pct"/>
            <w:tcBorders>
              <w:tl2br w:val="nil"/>
              <w:tr2bl w:val="nil"/>
            </w:tcBorders>
            <w:vAlign w:val="center"/>
          </w:tcPr>
          <w:p w14:paraId="62DA4E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电伴热带39W/m</w:t>
            </w:r>
          </w:p>
        </w:tc>
        <w:tc>
          <w:tcPr>
            <w:tcW w:w="329" w:type="pct"/>
            <w:tcBorders>
              <w:tl2br w:val="nil"/>
              <w:tr2bl w:val="nil"/>
            </w:tcBorders>
            <w:vAlign w:val="center"/>
          </w:tcPr>
          <w:p w14:paraId="510745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w:t>
            </w:r>
          </w:p>
        </w:tc>
        <w:tc>
          <w:tcPr>
            <w:tcW w:w="755" w:type="pct"/>
            <w:tcBorders>
              <w:tl2br w:val="nil"/>
              <w:tr2bl w:val="nil"/>
            </w:tcBorders>
            <w:vAlign w:val="center"/>
          </w:tcPr>
          <w:p w14:paraId="6E8AF1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200</w:t>
            </w:r>
          </w:p>
        </w:tc>
        <w:tc>
          <w:tcPr>
            <w:tcW w:w="1246" w:type="pct"/>
            <w:tcBorders>
              <w:tl2br w:val="nil"/>
              <w:tr2bl w:val="nil"/>
            </w:tcBorders>
            <w:vAlign w:val="center"/>
          </w:tcPr>
          <w:p w14:paraId="0ABD94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473902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3B4EF8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9</w:t>
            </w:r>
          </w:p>
        </w:tc>
        <w:tc>
          <w:tcPr>
            <w:tcW w:w="2401" w:type="pct"/>
            <w:tcBorders>
              <w:tl2br w:val="nil"/>
              <w:tr2bl w:val="nil"/>
            </w:tcBorders>
            <w:vAlign w:val="center"/>
          </w:tcPr>
          <w:p w14:paraId="71AD8D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采气树保温盒</w:t>
            </w:r>
          </w:p>
        </w:tc>
        <w:tc>
          <w:tcPr>
            <w:tcW w:w="329" w:type="pct"/>
            <w:tcBorders>
              <w:tl2br w:val="nil"/>
              <w:tr2bl w:val="nil"/>
            </w:tcBorders>
            <w:vAlign w:val="center"/>
          </w:tcPr>
          <w:p w14:paraId="596395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0ECE05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7E5113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2D2349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67D4AC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10</w:t>
            </w:r>
          </w:p>
        </w:tc>
        <w:tc>
          <w:tcPr>
            <w:tcW w:w="2401" w:type="pct"/>
            <w:tcBorders>
              <w:tl2br w:val="nil"/>
              <w:tr2bl w:val="nil"/>
            </w:tcBorders>
            <w:vAlign w:val="center"/>
          </w:tcPr>
          <w:p w14:paraId="354CFB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采气树操作平台</w:t>
            </w:r>
          </w:p>
        </w:tc>
        <w:tc>
          <w:tcPr>
            <w:tcW w:w="329" w:type="pct"/>
            <w:tcBorders>
              <w:tl2br w:val="nil"/>
              <w:tr2bl w:val="nil"/>
            </w:tcBorders>
            <w:vAlign w:val="center"/>
          </w:tcPr>
          <w:p w14:paraId="61D491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074929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67A67C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690028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4F8FFF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11</w:t>
            </w:r>
          </w:p>
        </w:tc>
        <w:tc>
          <w:tcPr>
            <w:tcW w:w="2401" w:type="pct"/>
            <w:tcBorders>
              <w:tl2br w:val="nil"/>
              <w:tr2bl w:val="nil"/>
            </w:tcBorders>
            <w:vAlign w:val="center"/>
          </w:tcPr>
          <w:p w14:paraId="6524DC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采气树盖板花纹钢板</w:t>
            </w:r>
          </w:p>
        </w:tc>
        <w:tc>
          <w:tcPr>
            <w:tcW w:w="329" w:type="pct"/>
            <w:tcBorders>
              <w:tl2br w:val="nil"/>
              <w:tr2bl w:val="nil"/>
            </w:tcBorders>
            <w:vAlign w:val="center"/>
          </w:tcPr>
          <w:p w14:paraId="341FE2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341FAC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1A75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666084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426894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2401" w:type="pct"/>
            <w:tcBorders>
              <w:tl2br w:val="nil"/>
              <w:tr2bl w:val="nil"/>
            </w:tcBorders>
            <w:vAlign w:val="center"/>
          </w:tcPr>
          <w:p w14:paraId="57C7FD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井场标示牌</w:t>
            </w:r>
          </w:p>
        </w:tc>
        <w:tc>
          <w:tcPr>
            <w:tcW w:w="329" w:type="pct"/>
            <w:tcBorders>
              <w:tl2br w:val="nil"/>
              <w:tr2bl w:val="nil"/>
            </w:tcBorders>
            <w:vAlign w:val="center"/>
          </w:tcPr>
          <w:p w14:paraId="0D4800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5895FE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5ECC5E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68CC09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30A974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13</w:t>
            </w:r>
          </w:p>
        </w:tc>
        <w:tc>
          <w:tcPr>
            <w:tcW w:w="2401" w:type="pct"/>
            <w:tcBorders>
              <w:tl2br w:val="nil"/>
              <w:tr2bl w:val="nil"/>
            </w:tcBorders>
            <w:vAlign w:val="center"/>
          </w:tcPr>
          <w:p w14:paraId="45576D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井场警示牌0.5m×0.3m</w:t>
            </w:r>
          </w:p>
        </w:tc>
        <w:tc>
          <w:tcPr>
            <w:tcW w:w="329" w:type="pct"/>
            <w:tcBorders>
              <w:tl2br w:val="nil"/>
              <w:tr2bl w:val="nil"/>
            </w:tcBorders>
            <w:vAlign w:val="center"/>
          </w:tcPr>
          <w:p w14:paraId="02AFDC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7A1117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1246" w:type="pct"/>
            <w:tcBorders>
              <w:tl2br w:val="nil"/>
              <w:tr2bl w:val="nil"/>
            </w:tcBorders>
            <w:vAlign w:val="center"/>
          </w:tcPr>
          <w:p w14:paraId="7DD618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243FB6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58621D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14</w:t>
            </w:r>
          </w:p>
        </w:tc>
        <w:tc>
          <w:tcPr>
            <w:tcW w:w="2401" w:type="pct"/>
            <w:tcBorders>
              <w:tl2br w:val="nil"/>
              <w:tr2bl w:val="nil"/>
            </w:tcBorders>
            <w:vAlign w:val="center"/>
          </w:tcPr>
          <w:p w14:paraId="32ECC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单管线固定沙箱</w:t>
            </w:r>
          </w:p>
        </w:tc>
        <w:tc>
          <w:tcPr>
            <w:tcW w:w="329" w:type="pct"/>
            <w:tcBorders>
              <w:tl2br w:val="nil"/>
              <w:tr2bl w:val="nil"/>
            </w:tcBorders>
            <w:vAlign w:val="center"/>
          </w:tcPr>
          <w:p w14:paraId="714445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6AF0E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7</w:t>
            </w:r>
          </w:p>
        </w:tc>
        <w:tc>
          <w:tcPr>
            <w:tcW w:w="1246" w:type="pct"/>
            <w:tcBorders>
              <w:tl2br w:val="nil"/>
              <w:tr2bl w:val="nil"/>
            </w:tcBorders>
            <w:vAlign w:val="center"/>
          </w:tcPr>
          <w:p w14:paraId="19A1C4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47648B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4570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w:t>
            </w:r>
          </w:p>
        </w:tc>
        <w:tc>
          <w:tcPr>
            <w:tcW w:w="2401" w:type="pct"/>
            <w:tcBorders>
              <w:tl2br w:val="nil"/>
              <w:tr2bl w:val="nil"/>
            </w:tcBorders>
            <w:vAlign w:val="center"/>
          </w:tcPr>
          <w:p w14:paraId="43BB1B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两管线固定沙箱</w:t>
            </w:r>
          </w:p>
        </w:tc>
        <w:tc>
          <w:tcPr>
            <w:tcW w:w="329" w:type="pct"/>
            <w:tcBorders>
              <w:tl2br w:val="nil"/>
              <w:tr2bl w:val="nil"/>
            </w:tcBorders>
            <w:vAlign w:val="center"/>
          </w:tcPr>
          <w:p w14:paraId="0A5AA4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50086E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8</w:t>
            </w:r>
          </w:p>
        </w:tc>
        <w:tc>
          <w:tcPr>
            <w:tcW w:w="1246" w:type="pct"/>
            <w:tcBorders>
              <w:tl2br w:val="nil"/>
              <w:tr2bl w:val="nil"/>
            </w:tcBorders>
            <w:vAlign w:val="center"/>
          </w:tcPr>
          <w:p w14:paraId="43F113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36A45B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241FD5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16</w:t>
            </w:r>
          </w:p>
        </w:tc>
        <w:tc>
          <w:tcPr>
            <w:tcW w:w="2401" w:type="pct"/>
            <w:tcBorders>
              <w:tl2br w:val="nil"/>
              <w:tr2bl w:val="nil"/>
            </w:tcBorders>
            <w:vAlign w:val="center"/>
          </w:tcPr>
          <w:p w14:paraId="0202F9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阀门支墩</w:t>
            </w:r>
          </w:p>
        </w:tc>
        <w:tc>
          <w:tcPr>
            <w:tcW w:w="329" w:type="pct"/>
            <w:tcBorders>
              <w:tl2br w:val="nil"/>
              <w:tr2bl w:val="nil"/>
            </w:tcBorders>
            <w:vAlign w:val="center"/>
          </w:tcPr>
          <w:p w14:paraId="581C77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3F4E8A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46" w:type="pct"/>
            <w:tcBorders>
              <w:tl2br w:val="nil"/>
              <w:tr2bl w:val="nil"/>
            </w:tcBorders>
            <w:vAlign w:val="center"/>
          </w:tcPr>
          <w:p w14:paraId="480E4B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r w14:paraId="1B5991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7" w:type="pct"/>
            <w:tcBorders>
              <w:tl2br w:val="nil"/>
              <w:tr2bl w:val="nil"/>
            </w:tcBorders>
            <w:vAlign w:val="center"/>
          </w:tcPr>
          <w:p w14:paraId="24257E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17</w:t>
            </w:r>
          </w:p>
        </w:tc>
        <w:tc>
          <w:tcPr>
            <w:tcW w:w="2401" w:type="pct"/>
            <w:tcBorders>
              <w:tl2br w:val="nil"/>
              <w:tr2bl w:val="nil"/>
            </w:tcBorders>
            <w:vAlign w:val="center"/>
          </w:tcPr>
          <w:p w14:paraId="2336E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高压减震管托（带支墩）</w:t>
            </w:r>
          </w:p>
        </w:tc>
        <w:tc>
          <w:tcPr>
            <w:tcW w:w="329" w:type="pct"/>
            <w:tcBorders>
              <w:tl2br w:val="nil"/>
              <w:tr2bl w:val="nil"/>
            </w:tcBorders>
            <w:vAlign w:val="center"/>
          </w:tcPr>
          <w:p w14:paraId="3B00BE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755" w:type="pct"/>
            <w:tcBorders>
              <w:tl2br w:val="nil"/>
              <w:tr2bl w:val="nil"/>
            </w:tcBorders>
            <w:vAlign w:val="center"/>
          </w:tcPr>
          <w:p w14:paraId="05F6D6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w:t>
            </w:r>
          </w:p>
        </w:tc>
        <w:tc>
          <w:tcPr>
            <w:tcW w:w="1246" w:type="pct"/>
            <w:tcBorders>
              <w:tl2br w:val="nil"/>
              <w:tr2bl w:val="nil"/>
            </w:tcBorders>
            <w:vAlign w:val="center"/>
          </w:tcPr>
          <w:p w14:paraId="3E75BE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p>
        </w:tc>
      </w:tr>
    </w:tbl>
    <w:p w14:paraId="33BDFC6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（2）单井采气管线</w:t>
      </w:r>
    </w:p>
    <w:p w14:paraId="0601075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新建单井管线采用D60×5 20G号无缝钢管，保温埋地敷设，管顶埋深-1.80m，保温层采用50mm厚聚氨酯泡沫保温，防腐层采用熔结环氧粉末一次成膜结构。</w:t>
      </w:r>
    </w:p>
    <w:p w14:paraId="7A9284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采气管线部分主要工程量，见表3.3-11。管线起终点坐标，见表3.3-12。</w:t>
      </w:r>
    </w:p>
    <w:p w14:paraId="4A39A3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表3.3-11  采气管线部分主要工程量一览表</w:t>
      </w:r>
    </w:p>
    <w:tbl>
      <w:tblPr>
        <w:tblStyle w:val="37"/>
        <w:tblW w:w="506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59"/>
        <w:gridCol w:w="3670"/>
        <w:gridCol w:w="736"/>
        <w:gridCol w:w="947"/>
        <w:gridCol w:w="2952"/>
      </w:tblGrid>
      <w:tr w14:paraId="3992A1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1DC825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序</w:t>
            </w:r>
          </w:p>
          <w:p w14:paraId="46A612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号</w:t>
            </w:r>
          </w:p>
        </w:tc>
        <w:tc>
          <w:tcPr>
            <w:tcW w:w="2094" w:type="pct"/>
            <w:tcBorders>
              <w:tl2br w:val="nil"/>
              <w:tr2bl w:val="nil"/>
            </w:tcBorders>
            <w:vAlign w:val="center"/>
          </w:tcPr>
          <w:p w14:paraId="7AAC10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工程内容</w:t>
            </w:r>
          </w:p>
        </w:tc>
        <w:tc>
          <w:tcPr>
            <w:tcW w:w="420" w:type="pct"/>
            <w:tcBorders>
              <w:tl2br w:val="nil"/>
              <w:tr2bl w:val="nil"/>
            </w:tcBorders>
            <w:vAlign w:val="center"/>
          </w:tcPr>
          <w:p w14:paraId="53AB26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单位</w:t>
            </w:r>
          </w:p>
        </w:tc>
        <w:tc>
          <w:tcPr>
            <w:tcW w:w="540" w:type="pct"/>
            <w:tcBorders>
              <w:tl2br w:val="nil"/>
              <w:tr2bl w:val="nil"/>
            </w:tcBorders>
            <w:vAlign w:val="center"/>
          </w:tcPr>
          <w:p w14:paraId="6CA637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数量</w:t>
            </w:r>
          </w:p>
        </w:tc>
        <w:tc>
          <w:tcPr>
            <w:tcW w:w="1683" w:type="pct"/>
            <w:tcBorders>
              <w:tl2br w:val="nil"/>
              <w:tr2bl w:val="nil"/>
            </w:tcBorders>
            <w:vAlign w:val="center"/>
          </w:tcPr>
          <w:p w14:paraId="7C3A442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备注</w:t>
            </w:r>
          </w:p>
        </w:tc>
      </w:tr>
      <w:tr w14:paraId="1F2AF5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vAlign w:val="center"/>
          </w:tcPr>
          <w:p w14:paraId="1B42C3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第一批次</w:t>
            </w:r>
          </w:p>
        </w:tc>
      </w:tr>
      <w:tr w14:paraId="120B85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4683B4A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2094" w:type="pct"/>
            <w:tcBorders>
              <w:tl2br w:val="nil"/>
              <w:tr2bl w:val="nil"/>
            </w:tcBorders>
            <w:vAlign w:val="center"/>
          </w:tcPr>
          <w:p w14:paraId="412DF9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采气管线</w:t>
            </w:r>
          </w:p>
        </w:tc>
        <w:tc>
          <w:tcPr>
            <w:tcW w:w="420" w:type="pct"/>
            <w:tcBorders>
              <w:tl2br w:val="nil"/>
              <w:tr2bl w:val="nil"/>
            </w:tcBorders>
            <w:vAlign w:val="center"/>
          </w:tcPr>
          <w:p w14:paraId="4222ABC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540" w:type="pct"/>
            <w:tcBorders>
              <w:tl2br w:val="nil"/>
              <w:tr2bl w:val="nil"/>
            </w:tcBorders>
            <w:vAlign w:val="center"/>
          </w:tcPr>
          <w:p w14:paraId="0A47B3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1683" w:type="pct"/>
            <w:tcBorders>
              <w:tl2br w:val="nil"/>
              <w:tr2bl w:val="nil"/>
            </w:tcBorders>
            <w:vAlign w:val="center"/>
          </w:tcPr>
          <w:p w14:paraId="2F3D37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r>
      <w:tr w14:paraId="44F41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1810B3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2094" w:type="pct"/>
            <w:tcBorders>
              <w:tl2br w:val="nil"/>
              <w:tr2bl w:val="nil"/>
            </w:tcBorders>
            <w:vAlign w:val="center"/>
          </w:tcPr>
          <w:p w14:paraId="4FA986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MBHW6008井采气管道D60×5 20G</w:t>
            </w:r>
          </w:p>
        </w:tc>
        <w:tc>
          <w:tcPr>
            <w:tcW w:w="420" w:type="pct"/>
            <w:tcBorders>
              <w:tl2br w:val="nil"/>
              <w:tr2bl w:val="nil"/>
            </w:tcBorders>
            <w:vAlign w:val="center"/>
          </w:tcPr>
          <w:p w14:paraId="588720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bookmarkStart w:id="226" w:name="km"/>
            <w:bookmarkEnd w:id="226"/>
            <w:r>
              <w:rPr>
                <w:rFonts w:hint="eastAsia" w:ascii="宋体" w:hAnsi="宋体" w:eastAsia="宋体" w:cs="宋体"/>
                <w:color w:val="auto"/>
                <w:sz w:val="21"/>
                <w:szCs w:val="21"/>
                <w:u w:val="none"/>
              </w:rPr>
              <w:t>km</w:t>
            </w:r>
          </w:p>
        </w:tc>
        <w:tc>
          <w:tcPr>
            <w:tcW w:w="540" w:type="pct"/>
            <w:tcBorders>
              <w:tl2br w:val="nil"/>
              <w:tr2bl w:val="nil"/>
            </w:tcBorders>
            <w:vAlign w:val="center"/>
          </w:tcPr>
          <w:p w14:paraId="3A6469D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bookmarkStart w:id="227" w:name="4.0"/>
            <w:bookmarkEnd w:id="227"/>
            <w:r>
              <w:rPr>
                <w:rFonts w:hint="eastAsia" w:ascii="宋体" w:hAnsi="宋体" w:eastAsia="宋体" w:cs="宋体"/>
                <w:color w:val="auto"/>
                <w:sz w:val="21"/>
                <w:szCs w:val="21"/>
                <w:u w:val="none"/>
              </w:rPr>
              <w:t>4.0</w:t>
            </w:r>
          </w:p>
        </w:tc>
        <w:tc>
          <w:tcPr>
            <w:tcW w:w="1683" w:type="pct"/>
            <w:tcBorders>
              <w:tl2br w:val="nil"/>
              <w:tr2bl w:val="nil"/>
            </w:tcBorders>
            <w:vAlign w:val="center"/>
          </w:tcPr>
          <w:p w14:paraId="4FF122B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bookmarkStart w:id="228" w:name="聚氨酯泡沫保温50mm"/>
            <w:bookmarkEnd w:id="228"/>
            <w:r>
              <w:rPr>
                <w:rFonts w:hint="eastAsia" w:ascii="宋体" w:hAnsi="宋体" w:eastAsia="宋体" w:cs="宋体"/>
                <w:color w:val="auto"/>
                <w:sz w:val="21"/>
                <w:szCs w:val="21"/>
                <w:u w:val="none"/>
              </w:rPr>
              <w:t>聚氨酯泡沫保温50mm</w:t>
            </w:r>
          </w:p>
        </w:tc>
      </w:tr>
      <w:tr w14:paraId="39FAE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43F2B2D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2094" w:type="pct"/>
            <w:tcBorders>
              <w:tl2br w:val="nil"/>
              <w:tr2bl w:val="nil"/>
            </w:tcBorders>
            <w:vAlign w:val="center"/>
          </w:tcPr>
          <w:p w14:paraId="1B6CFA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管线标志桩</w:t>
            </w:r>
          </w:p>
        </w:tc>
        <w:tc>
          <w:tcPr>
            <w:tcW w:w="420" w:type="pct"/>
            <w:tcBorders>
              <w:tl2br w:val="nil"/>
              <w:tr2bl w:val="nil"/>
            </w:tcBorders>
            <w:vAlign w:val="center"/>
          </w:tcPr>
          <w:p w14:paraId="0F68AB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540" w:type="pct"/>
            <w:tcBorders>
              <w:tl2br w:val="nil"/>
              <w:tr2bl w:val="nil"/>
            </w:tcBorders>
            <w:vAlign w:val="center"/>
          </w:tcPr>
          <w:p w14:paraId="1086B63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1683" w:type="pct"/>
            <w:tcBorders>
              <w:tl2br w:val="nil"/>
              <w:tr2bl w:val="nil"/>
            </w:tcBorders>
            <w:vAlign w:val="center"/>
          </w:tcPr>
          <w:p w14:paraId="76BD68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r>
      <w:tr w14:paraId="7E2C38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38187F9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2094" w:type="pct"/>
            <w:tcBorders>
              <w:tl2br w:val="nil"/>
              <w:tr2bl w:val="nil"/>
            </w:tcBorders>
            <w:vAlign w:val="center"/>
          </w:tcPr>
          <w:p w14:paraId="2BDDC1E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MBHW6008井采气管道</w:t>
            </w:r>
          </w:p>
        </w:tc>
        <w:tc>
          <w:tcPr>
            <w:tcW w:w="420" w:type="pct"/>
            <w:tcBorders>
              <w:tl2br w:val="nil"/>
              <w:tr2bl w:val="nil"/>
            </w:tcBorders>
            <w:vAlign w:val="center"/>
          </w:tcPr>
          <w:p w14:paraId="0274271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540" w:type="pct"/>
            <w:tcBorders>
              <w:tl2br w:val="nil"/>
              <w:tr2bl w:val="nil"/>
            </w:tcBorders>
            <w:vAlign w:val="center"/>
          </w:tcPr>
          <w:p w14:paraId="7A9B1B6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bookmarkStart w:id="229" w:name="50"/>
            <w:bookmarkEnd w:id="229"/>
            <w:r>
              <w:rPr>
                <w:rFonts w:hint="eastAsia" w:ascii="宋体" w:hAnsi="宋体" w:eastAsia="宋体" w:cs="宋体"/>
                <w:color w:val="auto"/>
                <w:sz w:val="21"/>
                <w:szCs w:val="21"/>
                <w:u w:val="none"/>
              </w:rPr>
              <w:t>50</w:t>
            </w:r>
          </w:p>
        </w:tc>
        <w:tc>
          <w:tcPr>
            <w:tcW w:w="1683" w:type="pct"/>
            <w:tcBorders>
              <w:tl2br w:val="nil"/>
              <w:tr2bl w:val="nil"/>
            </w:tcBorders>
            <w:vAlign w:val="center"/>
          </w:tcPr>
          <w:p w14:paraId="7088E8C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r>
      <w:tr w14:paraId="6491A8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vAlign w:val="center"/>
          </w:tcPr>
          <w:p w14:paraId="28784A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bookmarkStart w:id="230" w:name="第二批次"/>
            <w:bookmarkEnd w:id="230"/>
            <w:r>
              <w:rPr>
                <w:rFonts w:hint="eastAsia" w:ascii="宋体" w:hAnsi="宋体" w:eastAsia="宋体" w:cs="宋体"/>
                <w:color w:val="auto"/>
                <w:sz w:val="21"/>
                <w:szCs w:val="21"/>
                <w:u w:val="none"/>
              </w:rPr>
              <w:t>第二批次</w:t>
            </w:r>
          </w:p>
        </w:tc>
      </w:tr>
      <w:tr w14:paraId="153D8F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70ED3F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2094" w:type="pct"/>
            <w:tcBorders>
              <w:tl2br w:val="nil"/>
              <w:tr2bl w:val="nil"/>
            </w:tcBorders>
            <w:vAlign w:val="center"/>
          </w:tcPr>
          <w:p w14:paraId="41AFBD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采气管线</w:t>
            </w:r>
          </w:p>
        </w:tc>
        <w:tc>
          <w:tcPr>
            <w:tcW w:w="420" w:type="pct"/>
            <w:tcBorders>
              <w:tl2br w:val="nil"/>
              <w:tr2bl w:val="nil"/>
            </w:tcBorders>
            <w:vAlign w:val="center"/>
          </w:tcPr>
          <w:p w14:paraId="0AEC4C9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540" w:type="pct"/>
            <w:tcBorders>
              <w:tl2br w:val="nil"/>
              <w:tr2bl w:val="nil"/>
            </w:tcBorders>
            <w:vAlign w:val="center"/>
          </w:tcPr>
          <w:p w14:paraId="397A54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1683" w:type="pct"/>
            <w:tcBorders>
              <w:tl2br w:val="nil"/>
              <w:tr2bl w:val="nil"/>
            </w:tcBorders>
            <w:vAlign w:val="center"/>
          </w:tcPr>
          <w:p w14:paraId="27AB0C1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r>
      <w:tr w14:paraId="69AAD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277909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2094" w:type="pct"/>
            <w:tcBorders>
              <w:tl2br w:val="nil"/>
              <w:tr2bl w:val="nil"/>
            </w:tcBorders>
            <w:vAlign w:val="center"/>
          </w:tcPr>
          <w:p w14:paraId="44C8825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MBHW6006井采气管道D60×5 20G</w:t>
            </w:r>
          </w:p>
        </w:tc>
        <w:tc>
          <w:tcPr>
            <w:tcW w:w="420" w:type="pct"/>
            <w:tcBorders>
              <w:tl2br w:val="nil"/>
              <w:tr2bl w:val="nil"/>
            </w:tcBorders>
            <w:vAlign w:val="center"/>
          </w:tcPr>
          <w:p w14:paraId="3CFD647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bookmarkStart w:id="231" w:name="km"/>
            <w:bookmarkEnd w:id="231"/>
            <w:r>
              <w:rPr>
                <w:rFonts w:hint="eastAsia" w:ascii="宋体" w:hAnsi="宋体" w:eastAsia="宋体" w:cs="宋体"/>
                <w:color w:val="auto"/>
                <w:sz w:val="21"/>
                <w:szCs w:val="21"/>
                <w:u w:val="none"/>
              </w:rPr>
              <w:t>km</w:t>
            </w:r>
          </w:p>
        </w:tc>
        <w:tc>
          <w:tcPr>
            <w:tcW w:w="540" w:type="pct"/>
            <w:tcBorders>
              <w:tl2br w:val="nil"/>
              <w:tr2bl w:val="nil"/>
            </w:tcBorders>
            <w:vAlign w:val="center"/>
          </w:tcPr>
          <w:p w14:paraId="0ED622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1.5</w:t>
            </w:r>
          </w:p>
        </w:tc>
        <w:tc>
          <w:tcPr>
            <w:tcW w:w="1683" w:type="pct"/>
            <w:tcBorders>
              <w:tl2br w:val="nil"/>
              <w:tr2bl w:val="nil"/>
            </w:tcBorders>
            <w:vAlign w:val="center"/>
          </w:tcPr>
          <w:p w14:paraId="05A446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bookmarkStart w:id="232" w:name="聚氨酯泡沫保温50mm"/>
            <w:bookmarkEnd w:id="232"/>
            <w:r>
              <w:rPr>
                <w:rFonts w:hint="eastAsia" w:ascii="宋体" w:hAnsi="宋体" w:eastAsia="宋体" w:cs="宋体"/>
                <w:color w:val="auto"/>
                <w:sz w:val="21"/>
                <w:szCs w:val="21"/>
                <w:u w:val="none"/>
              </w:rPr>
              <w:t>聚氨酯泡沫保温50mm</w:t>
            </w:r>
          </w:p>
        </w:tc>
      </w:tr>
      <w:tr w14:paraId="429BAD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0C9BDA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2094" w:type="pct"/>
            <w:tcBorders>
              <w:tl2br w:val="nil"/>
              <w:tr2bl w:val="nil"/>
            </w:tcBorders>
            <w:vAlign w:val="center"/>
          </w:tcPr>
          <w:p w14:paraId="183B0BD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MBHW6009井采气管道D60×5 20G</w:t>
            </w:r>
          </w:p>
        </w:tc>
        <w:tc>
          <w:tcPr>
            <w:tcW w:w="420" w:type="pct"/>
            <w:tcBorders>
              <w:tl2br w:val="nil"/>
              <w:tr2bl w:val="nil"/>
            </w:tcBorders>
            <w:vAlign w:val="center"/>
          </w:tcPr>
          <w:p w14:paraId="28E4C9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bookmarkStart w:id="233" w:name="km"/>
            <w:bookmarkEnd w:id="233"/>
            <w:r>
              <w:rPr>
                <w:rFonts w:hint="eastAsia" w:ascii="宋体" w:hAnsi="宋体" w:eastAsia="宋体" w:cs="宋体"/>
                <w:color w:val="auto"/>
                <w:sz w:val="21"/>
                <w:szCs w:val="21"/>
                <w:u w:val="none"/>
              </w:rPr>
              <w:t>km</w:t>
            </w:r>
          </w:p>
        </w:tc>
        <w:tc>
          <w:tcPr>
            <w:tcW w:w="540" w:type="pct"/>
            <w:tcBorders>
              <w:tl2br w:val="nil"/>
              <w:tr2bl w:val="nil"/>
            </w:tcBorders>
            <w:vAlign w:val="center"/>
          </w:tcPr>
          <w:p w14:paraId="7D1D076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1.9</w:t>
            </w:r>
          </w:p>
        </w:tc>
        <w:tc>
          <w:tcPr>
            <w:tcW w:w="1683" w:type="pct"/>
            <w:tcBorders>
              <w:tl2br w:val="nil"/>
              <w:tr2bl w:val="nil"/>
            </w:tcBorders>
            <w:vAlign w:val="center"/>
          </w:tcPr>
          <w:p w14:paraId="3E6E1C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bookmarkStart w:id="234" w:name="聚氨酯泡沫保温50mm"/>
            <w:bookmarkEnd w:id="234"/>
            <w:r>
              <w:rPr>
                <w:rFonts w:hint="eastAsia" w:ascii="宋体" w:hAnsi="宋体" w:eastAsia="宋体" w:cs="宋体"/>
                <w:color w:val="auto"/>
                <w:sz w:val="21"/>
                <w:szCs w:val="21"/>
                <w:u w:val="none"/>
              </w:rPr>
              <w:t>聚氨酯泡沫保温50mm</w:t>
            </w:r>
          </w:p>
        </w:tc>
      </w:tr>
      <w:tr w14:paraId="43D55E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650BBAD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2094" w:type="pct"/>
            <w:tcBorders>
              <w:tl2br w:val="nil"/>
              <w:tr2bl w:val="nil"/>
            </w:tcBorders>
            <w:vAlign w:val="center"/>
          </w:tcPr>
          <w:p w14:paraId="79D39C9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管线标志桩</w:t>
            </w:r>
          </w:p>
        </w:tc>
        <w:tc>
          <w:tcPr>
            <w:tcW w:w="420" w:type="pct"/>
            <w:tcBorders>
              <w:tl2br w:val="nil"/>
              <w:tr2bl w:val="nil"/>
            </w:tcBorders>
            <w:vAlign w:val="center"/>
          </w:tcPr>
          <w:p w14:paraId="5EB24D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540" w:type="pct"/>
            <w:tcBorders>
              <w:tl2br w:val="nil"/>
              <w:tr2bl w:val="nil"/>
            </w:tcBorders>
            <w:vAlign w:val="center"/>
          </w:tcPr>
          <w:p w14:paraId="26E2DA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1683" w:type="pct"/>
            <w:tcBorders>
              <w:tl2br w:val="nil"/>
              <w:tr2bl w:val="nil"/>
            </w:tcBorders>
            <w:vAlign w:val="center"/>
          </w:tcPr>
          <w:p w14:paraId="2A27F37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r>
      <w:tr w14:paraId="6C8D9A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5162F5F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2094" w:type="pct"/>
            <w:tcBorders>
              <w:tl2br w:val="nil"/>
              <w:tr2bl w:val="nil"/>
            </w:tcBorders>
            <w:vAlign w:val="center"/>
          </w:tcPr>
          <w:p w14:paraId="02CBC3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MBHW6006井采气管道</w:t>
            </w:r>
          </w:p>
        </w:tc>
        <w:tc>
          <w:tcPr>
            <w:tcW w:w="420" w:type="pct"/>
            <w:tcBorders>
              <w:tl2br w:val="nil"/>
              <w:tr2bl w:val="nil"/>
            </w:tcBorders>
            <w:vAlign w:val="center"/>
          </w:tcPr>
          <w:p w14:paraId="28A1B1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540" w:type="pct"/>
            <w:tcBorders>
              <w:tl2br w:val="nil"/>
              <w:tr2bl w:val="nil"/>
            </w:tcBorders>
            <w:vAlign w:val="center"/>
          </w:tcPr>
          <w:p w14:paraId="60C65C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25</w:t>
            </w:r>
          </w:p>
        </w:tc>
        <w:tc>
          <w:tcPr>
            <w:tcW w:w="1683" w:type="pct"/>
            <w:tcBorders>
              <w:tl2br w:val="nil"/>
              <w:tr2bl w:val="nil"/>
            </w:tcBorders>
            <w:vAlign w:val="center"/>
          </w:tcPr>
          <w:p w14:paraId="5937146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r>
      <w:tr w14:paraId="18A065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614153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2094" w:type="pct"/>
            <w:tcBorders>
              <w:tl2br w:val="nil"/>
              <w:tr2bl w:val="nil"/>
            </w:tcBorders>
            <w:vAlign w:val="center"/>
          </w:tcPr>
          <w:p w14:paraId="664E8F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MBHW6009井采气管道</w:t>
            </w:r>
          </w:p>
        </w:tc>
        <w:tc>
          <w:tcPr>
            <w:tcW w:w="420" w:type="pct"/>
            <w:tcBorders>
              <w:tl2br w:val="nil"/>
              <w:tr2bl w:val="nil"/>
            </w:tcBorders>
            <w:vAlign w:val="center"/>
          </w:tcPr>
          <w:p w14:paraId="6B25AB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个</w:t>
            </w:r>
          </w:p>
        </w:tc>
        <w:tc>
          <w:tcPr>
            <w:tcW w:w="540" w:type="pct"/>
            <w:tcBorders>
              <w:tl2br w:val="nil"/>
              <w:tr2bl w:val="nil"/>
            </w:tcBorders>
            <w:vAlign w:val="center"/>
          </w:tcPr>
          <w:p w14:paraId="2B0EB2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30</w:t>
            </w:r>
          </w:p>
        </w:tc>
        <w:tc>
          <w:tcPr>
            <w:tcW w:w="1683" w:type="pct"/>
            <w:tcBorders>
              <w:tl2br w:val="nil"/>
              <w:tr2bl w:val="nil"/>
            </w:tcBorders>
            <w:vAlign w:val="center"/>
          </w:tcPr>
          <w:p w14:paraId="68E7FC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r>
      <w:tr w14:paraId="43FD70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670228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2</w:t>
            </w:r>
          </w:p>
        </w:tc>
        <w:tc>
          <w:tcPr>
            <w:tcW w:w="2094" w:type="pct"/>
            <w:tcBorders>
              <w:tl2br w:val="nil"/>
              <w:tr2bl w:val="nil"/>
            </w:tcBorders>
            <w:vAlign w:val="center"/>
          </w:tcPr>
          <w:p w14:paraId="72ACB8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线路穿跨越</w:t>
            </w:r>
          </w:p>
        </w:tc>
        <w:tc>
          <w:tcPr>
            <w:tcW w:w="420" w:type="pct"/>
            <w:tcBorders>
              <w:tl2br w:val="nil"/>
              <w:tr2bl w:val="nil"/>
            </w:tcBorders>
            <w:vAlign w:val="center"/>
          </w:tcPr>
          <w:p w14:paraId="27FDE54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540" w:type="pct"/>
            <w:tcBorders>
              <w:tl2br w:val="nil"/>
              <w:tr2bl w:val="nil"/>
            </w:tcBorders>
            <w:vAlign w:val="center"/>
          </w:tcPr>
          <w:p w14:paraId="4D6280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p>
        </w:tc>
        <w:tc>
          <w:tcPr>
            <w:tcW w:w="1683" w:type="pct"/>
            <w:tcBorders>
              <w:tl2br w:val="nil"/>
              <w:tr2bl w:val="nil"/>
            </w:tcBorders>
            <w:vAlign w:val="center"/>
          </w:tcPr>
          <w:p w14:paraId="2803C7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穿越沥青路采用顶管，</w:t>
            </w:r>
          </w:p>
          <w:p w14:paraId="397531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碎石路采用开挖加套管</w:t>
            </w:r>
          </w:p>
        </w:tc>
      </w:tr>
      <w:tr w14:paraId="05D5A2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6F13F7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2094" w:type="pct"/>
            <w:tcBorders>
              <w:tl2br w:val="nil"/>
              <w:tr2bl w:val="nil"/>
            </w:tcBorders>
            <w:vAlign w:val="center"/>
          </w:tcPr>
          <w:p w14:paraId="722FFE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MBHW6006井采气管道</w:t>
            </w:r>
          </w:p>
        </w:tc>
        <w:tc>
          <w:tcPr>
            <w:tcW w:w="420" w:type="pct"/>
            <w:tcBorders>
              <w:tl2br w:val="nil"/>
              <w:tr2bl w:val="nil"/>
            </w:tcBorders>
            <w:vAlign w:val="center"/>
          </w:tcPr>
          <w:p w14:paraId="0FCCC2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处</w:t>
            </w:r>
          </w:p>
        </w:tc>
        <w:tc>
          <w:tcPr>
            <w:tcW w:w="540" w:type="pct"/>
            <w:tcBorders>
              <w:tl2br w:val="nil"/>
              <w:tr2bl w:val="nil"/>
            </w:tcBorders>
            <w:vAlign w:val="center"/>
          </w:tcPr>
          <w:p w14:paraId="3321B4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w:t>
            </w:r>
          </w:p>
        </w:tc>
        <w:tc>
          <w:tcPr>
            <w:tcW w:w="1683" w:type="pct"/>
            <w:tcBorders>
              <w:tl2br w:val="nil"/>
              <w:tr2bl w:val="nil"/>
            </w:tcBorders>
            <w:vAlign w:val="center"/>
          </w:tcPr>
          <w:p w14:paraId="2D694CE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穿越沥青路1处，碎石路2处</w:t>
            </w:r>
          </w:p>
        </w:tc>
      </w:tr>
      <w:tr w14:paraId="640CDD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2" w:type="pct"/>
            <w:tcBorders>
              <w:tl2br w:val="nil"/>
              <w:tr2bl w:val="nil"/>
            </w:tcBorders>
            <w:vAlign w:val="center"/>
          </w:tcPr>
          <w:p w14:paraId="72A055F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2094" w:type="pct"/>
            <w:tcBorders>
              <w:tl2br w:val="nil"/>
              <w:tr2bl w:val="nil"/>
            </w:tcBorders>
            <w:vAlign w:val="center"/>
          </w:tcPr>
          <w:p w14:paraId="7F14FEA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MBHW6009井采气管道</w:t>
            </w:r>
          </w:p>
        </w:tc>
        <w:tc>
          <w:tcPr>
            <w:tcW w:w="420" w:type="pct"/>
            <w:tcBorders>
              <w:tl2br w:val="nil"/>
              <w:tr2bl w:val="nil"/>
            </w:tcBorders>
            <w:vAlign w:val="center"/>
          </w:tcPr>
          <w:p w14:paraId="4E4C9E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处</w:t>
            </w:r>
          </w:p>
        </w:tc>
        <w:tc>
          <w:tcPr>
            <w:tcW w:w="540" w:type="pct"/>
            <w:tcBorders>
              <w:tl2br w:val="nil"/>
              <w:tr2bl w:val="nil"/>
            </w:tcBorders>
            <w:vAlign w:val="center"/>
          </w:tcPr>
          <w:p w14:paraId="66EB3AF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w:t>
            </w:r>
          </w:p>
        </w:tc>
        <w:tc>
          <w:tcPr>
            <w:tcW w:w="1683" w:type="pct"/>
            <w:tcBorders>
              <w:tl2br w:val="nil"/>
              <w:tr2bl w:val="nil"/>
            </w:tcBorders>
            <w:vAlign w:val="center"/>
          </w:tcPr>
          <w:p w14:paraId="39EC9BC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穿越沥青路1处，碎石路2处</w:t>
            </w:r>
          </w:p>
        </w:tc>
      </w:tr>
    </w:tbl>
    <w:p w14:paraId="019533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3-12   管线起终点坐标</w:t>
      </w:r>
    </w:p>
    <w:tbl>
      <w:tblPr>
        <w:tblStyle w:val="37"/>
        <w:tblW w:w="51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054"/>
        <w:gridCol w:w="2590"/>
        <w:gridCol w:w="2596"/>
        <w:gridCol w:w="1581"/>
      </w:tblGrid>
      <w:tr w14:paraId="660AC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4" w:type="pct"/>
            <w:vMerge w:val="restart"/>
            <w:tcBorders>
              <w:tl2br w:val="nil"/>
              <w:tr2bl w:val="nil"/>
            </w:tcBorders>
            <w:shd w:val="clear" w:color="auto" w:fill="auto"/>
            <w:vAlign w:val="center"/>
          </w:tcPr>
          <w:p w14:paraId="167D863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井号</w:t>
            </w:r>
          </w:p>
        </w:tc>
        <w:tc>
          <w:tcPr>
            <w:tcW w:w="2939" w:type="pct"/>
            <w:gridSpan w:val="2"/>
            <w:tcBorders>
              <w:tl2br w:val="nil"/>
              <w:tr2bl w:val="nil"/>
            </w:tcBorders>
            <w:shd w:val="clear" w:color="auto" w:fill="auto"/>
            <w:vAlign w:val="center"/>
          </w:tcPr>
          <w:p w14:paraId="30154FF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坐标</w:t>
            </w:r>
          </w:p>
        </w:tc>
        <w:tc>
          <w:tcPr>
            <w:tcW w:w="896" w:type="pct"/>
            <w:vMerge w:val="restart"/>
            <w:tcBorders>
              <w:tl2br w:val="nil"/>
              <w:tr2bl w:val="nil"/>
            </w:tcBorders>
            <w:shd w:val="clear" w:color="auto" w:fill="auto"/>
            <w:vAlign w:val="center"/>
          </w:tcPr>
          <w:p w14:paraId="72FDBD1F">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管线长度</w:t>
            </w:r>
          </w:p>
        </w:tc>
      </w:tr>
      <w:tr w14:paraId="17458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4" w:type="pct"/>
            <w:vMerge w:val="continue"/>
            <w:tcBorders>
              <w:tl2br w:val="nil"/>
              <w:tr2bl w:val="nil"/>
            </w:tcBorders>
            <w:shd w:val="clear" w:color="auto" w:fill="auto"/>
            <w:vAlign w:val="center"/>
          </w:tcPr>
          <w:p w14:paraId="0370FC5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p>
        </w:tc>
        <w:tc>
          <w:tcPr>
            <w:tcW w:w="1468" w:type="pct"/>
            <w:tcBorders>
              <w:tl2br w:val="nil"/>
              <w:tr2bl w:val="nil"/>
            </w:tcBorders>
            <w:shd w:val="clear" w:color="auto" w:fill="auto"/>
            <w:vAlign w:val="center"/>
          </w:tcPr>
          <w:p w14:paraId="73C5891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起点坐标（各井位）</w:t>
            </w:r>
          </w:p>
        </w:tc>
        <w:tc>
          <w:tcPr>
            <w:tcW w:w="1470" w:type="pct"/>
            <w:tcBorders>
              <w:tl2br w:val="nil"/>
              <w:tr2bl w:val="nil"/>
            </w:tcBorders>
            <w:shd w:val="clear" w:color="auto" w:fill="auto"/>
            <w:vAlign w:val="center"/>
          </w:tcPr>
          <w:p w14:paraId="6F753FA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终点坐标（莫109转油站）</w:t>
            </w:r>
          </w:p>
        </w:tc>
        <w:tc>
          <w:tcPr>
            <w:tcW w:w="896" w:type="pct"/>
            <w:vMerge w:val="continue"/>
            <w:tcBorders>
              <w:tl2br w:val="nil"/>
              <w:tr2bl w:val="nil"/>
            </w:tcBorders>
            <w:shd w:val="clear" w:color="auto" w:fill="auto"/>
            <w:vAlign w:val="center"/>
          </w:tcPr>
          <w:p w14:paraId="135EFE9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olor w:val="auto"/>
                <w:sz w:val="21"/>
                <w:szCs w:val="21"/>
                <w:u w:val="none"/>
                <w:lang w:val="en-US" w:eastAsia="zh-CN"/>
              </w:rPr>
            </w:pPr>
          </w:p>
        </w:tc>
      </w:tr>
      <w:tr w14:paraId="032CD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4" w:type="pct"/>
            <w:tcBorders>
              <w:tl2br w:val="nil"/>
              <w:tr2bl w:val="nil"/>
            </w:tcBorders>
            <w:shd w:val="clear" w:color="auto" w:fill="auto"/>
            <w:vAlign w:val="center"/>
          </w:tcPr>
          <w:p w14:paraId="648C42E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MBHW6006井采气管道</w:t>
            </w:r>
          </w:p>
        </w:tc>
        <w:tc>
          <w:tcPr>
            <w:tcW w:w="1468" w:type="pct"/>
            <w:tcBorders>
              <w:tl2br w:val="nil"/>
              <w:tr2bl w:val="nil"/>
            </w:tcBorders>
            <w:shd w:val="clear" w:color="auto" w:fill="auto"/>
            <w:noWrap/>
            <w:vAlign w:val="center"/>
          </w:tcPr>
          <w:p w14:paraId="5C667D4E">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东经86°</w:t>
            </w:r>
            <w:r>
              <w:rPr>
                <w:rFonts w:hint="eastAsia" w:ascii="宋体" w:hAnsi="宋体" w:eastAsia="宋体" w:cs="宋体"/>
                <w:color w:val="auto"/>
                <w:sz w:val="21"/>
                <w:szCs w:val="21"/>
                <w:u w:val="none"/>
                <w:lang w:val="en-US" w:eastAsia="zh-CN"/>
              </w:rPr>
              <w:t>36</w:t>
            </w:r>
            <w:r>
              <w:rPr>
                <w:rFonts w:hint="default" w:ascii="宋体" w:hAnsi="宋体" w:eastAsia="宋体" w:cs="宋体"/>
                <w:color w:val="auto"/>
                <w:sz w:val="21"/>
                <w:szCs w:val="21"/>
                <w:u w:val="none"/>
                <w:lang w:val="en-US" w:eastAsia="zh-CN"/>
              </w:rPr>
              <w:t>'</w:t>
            </w:r>
            <w:r>
              <w:rPr>
                <w:rFonts w:hint="eastAsia" w:ascii="宋体" w:hAnsi="宋体" w:eastAsia="宋体" w:cs="宋体"/>
                <w:color w:val="auto"/>
                <w:sz w:val="21"/>
                <w:szCs w:val="21"/>
                <w:u w:val="none"/>
                <w:lang w:val="en-US" w:eastAsia="zh-CN"/>
              </w:rPr>
              <w:t>44.562</w:t>
            </w:r>
            <w:r>
              <w:rPr>
                <w:rFonts w:hint="default" w:ascii="宋体" w:hAnsi="宋体" w:eastAsia="宋体" w:cs="宋体"/>
                <w:color w:val="auto"/>
                <w:sz w:val="21"/>
                <w:szCs w:val="21"/>
                <w:u w:val="none"/>
                <w:lang w:val="en-US" w:eastAsia="zh-CN"/>
              </w:rPr>
              <w:t>"</w:t>
            </w:r>
          </w:p>
          <w:p w14:paraId="2C79C29E">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北纬45°6'</w:t>
            </w:r>
            <w:r>
              <w:rPr>
                <w:rFonts w:hint="eastAsia" w:ascii="宋体" w:hAnsi="宋体" w:eastAsia="宋体" w:cs="宋体"/>
                <w:color w:val="auto"/>
                <w:sz w:val="21"/>
                <w:szCs w:val="21"/>
                <w:u w:val="none"/>
                <w:lang w:val="en-US" w:eastAsia="zh-CN"/>
              </w:rPr>
              <w:t>12.424</w:t>
            </w:r>
            <w:r>
              <w:rPr>
                <w:rFonts w:hint="default" w:ascii="宋体" w:hAnsi="宋体" w:eastAsia="宋体" w:cs="宋体"/>
                <w:color w:val="auto"/>
                <w:sz w:val="21"/>
                <w:szCs w:val="21"/>
                <w:u w:val="none"/>
                <w:lang w:val="en-US" w:eastAsia="zh-CN"/>
              </w:rPr>
              <w:t>"</w:t>
            </w:r>
          </w:p>
        </w:tc>
        <w:tc>
          <w:tcPr>
            <w:tcW w:w="1470" w:type="pct"/>
            <w:tcBorders>
              <w:tl2br w:val="nil"/>
              <w:tr2bl w:val="nil"/>
            </w:tcBorders>
            <w:shd w:val="clear" w:color="auto" w:fill="auto"/>
            <w:noWrap/>
            <w:vAlign w:val="center"/>
          </w:tcPr>
          <w:p w14:paraId="7804AE84">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东经86°</w:t>
            </w:r>
            <w:r>
              <w:rPr>
                <w:rFonts w:hint="eastAsia" w:ascii="宋体" w:hAnsi="宋体" w:eastAsia="宋体" w:cs="宋体"/>
                <w:color w:val="auto"/>
                <w:sz w:val="21"/>
                <w:szCs w:val="21"/>
                <w:u w:val="none"/>
                <w:lang w:val="en-US" w:eastAsia="zh-CN"/>
              </w:rPr>
              <w:t>36</w:t>
            </w:r>
            <w:r>
              <w:rPr>
                <w:rFonts w:hint="default" w:ascii="宋体" w:hAnsi="宋体" w:eastAsia="宋体" w:cs="宋体"/>
                <w:color w:val="auto"/>
                <w:sz w:val="21"/>
                <w:szCs w:val="21"/>
                <w:u w:val="none"/>
                <w:lang w:val="en-US" w:eastAsia="zh-CN"/>
              </w:rPr>
              <w:t>'</w:t>
            </w:r>
            <w:r>
              <w:rPr>
                <w:rFonts w:hint="eastAsia" w:ascii="宋体" w:hAnsi="宋体" w:eastAsia="宋体" w:cs="宋体"/>
                <w:color w:val="auto"/>
                <w:sz w:val="21"/>
                <w:szCs w:val="21"/>
                <w:u w:val="none"/>
                <w:lang w:val="en-US" w:eastAsia="zh-CN"/>
              </w:rPr>
              <w:t>19.735</w:t>
            </w:r>
            <w:r>
              <w:rPr>
                <w:rFonts w:hint="default" w:ascii="宋体" w:hAnsi="宋体" w:eastAsia="宋体" w:cs="宋体"/>
                <w:color w:val="auto"/>
                <w:sz w:val="21"/>
                <w:szCs w:val="21"/>
                <w:u w:val="none"/>
                <w:lang w:val="en-US" w:eastAsia="zh-CN"/>
              </w:rPr>
              <w:t>"</w:t>
            </w:r>
          </w:p>
          <w:p w14:paraId="72A07CBE">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北纬45°6'</w:t>
            </w:r>
            <w:r>
              <w:rPr>
                <w:rFonts w:hint="eastAsia" w:ascii="宋体" w:hAnsi="宋体" w:eastAsia="宋体" w:cs="宋体"/>
                <w:color w:val="auto"/>
                <w:sz w:val="21"/>
                <w:szCs w:val="21"/>
                <w:u w:val="none"/>
                <w:lang w:val="en-US" w:eastAsia="zh-CN"/>
              </w:rPr>
              <w:t>48.096</w:t>
            </w:r>
            <w:r>
              <w:rPr>
                <w:rFonts w:hint="default" w:ascii="宋体" w:hAnsi="宋体" w:eastAsia="宋体" w:cs="宋体"/>
                <w:color w:val="auto"/>
                <w:sz w:val="21"/>
                <w:szCs w:val="21"/>
                <w:u w:val="none"/>
                <w:lang w:val="en-US" w:eastAsia="zh-CN"/>
              </w:rPr>
              <w:t>"</w:t>
            </w:r>
          </w:p>
        </w:tc>
        <w:tc>
          <w:tcPr>
            <w:tcW w:w="896" w:type="pct"/>
            <w:tcBorders>
              <w:tl2br w:val="nil"/>
              <w:tr2bl w:val="nil"/>
            </w:tcBorders>
            <w:shd w:val="clear" w:color="auto" w:fill="auto"/>
            <w:noWrap/>
            <w:vAlign w:val="center"/>
          </w:tcPr>
          <w:p w14:paraId="0A731F27">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1.5km</w:t>
            </w:r>
          </w:p>
        </w:tc>
      </w:tr>
      <w:tr w14:paraId="172C1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4" w:type="pct"/>
            <w:tcBorders>
              <w:tl2br w:val="nil"/>
              <w:tr2bl w:val="nil"/>
            </w:tcBorders>
            <w:shd w:val="clear" w:color="auto" w:fill="auto"/>
            <w:vAlign w:val="center"/>
          </w:tcPr>
          <w:p w14:paraId="7358876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MBHW6008井采气管道</w:t>
            </w:r>
          </w:p>
        </w:tc>
        <w:tc>
          <w:tcPr>
            <w:tcW w:w="1468" w:type="pct"/>
            <w:tcBorders>
              <w:tl2br w:val="nil"/>
              <w:tr2bl w:val="nil"/>
            </w:tcBorders>
            <w:shd w:val="clear" w:color="auto" w:fill="auto"/>
            <w:noWrap/>
            <w:vAlign w:val="center"/>
          </w:tcPr>
          <w:p w14:paraId="09740339">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东经86°</w:t>
            </w:r>
            <w:r>
              <w:rPr>
                <w:rFonts w:hint="eastAsia" w:ascii="宋体" w:hAnsi="宋体" w:eastAsia="宋体" w:cs="宋体"/>
                <w:color w:val="auto"/>
                <w:sz w:val="21"/>
                <w:szCs w:val="21"/>
                <w:u w:val="none"/>
                <w:lang w:val="en-US" w:eastAsia="zh-CN"/>
              </w:rPr>
              <w:t>38</w:t>
            </w:r>
            <w:r>
              <w:rPr>
                <w:rFonts w:hint="default" w:ascii="宋体" w:hAnsi="宋体" w:eastAsia="宋体" w:cs="宋体"/>
                <w:color w:val="auto"/>
                <w:sz w:val="21"/>
                <w:szCs w:val="21"/>
                <w:u w:val="none"/>
                <w:lang w:val="en-US" w:eastAsia="zh-CN"/>
              </w:rPr>
              <w:t>'</w:t>
            </w:r>
            <w:r>
              <w:rPr>
                <w:rFonts w:hint="eastAsia" w:ascii="宋体" w:hAnsi="宋体" w:eastAsia="宋体" w:cs="宋体"/>
                <w:color w:val="auto"/>
                <w:sz w:val="21"/>
                <w:szCs w:val="21"/>
                <w:u w:val="none"/>
                <w:lang w:val="en-US" w:eastAsia="zh-CN"/>
              </w:rPr>
              <w:t>25.734</w:t>
            </w:r>
            <w:r>
              <w:rPr>
                <w:rFonts w:hint="default" w:ascii="宋体" w:hAnsi="宋体" w:eastAsia="宋体" w:cs="宋体"/>
                <w:color w:val="auto"/>
                <w:sz w:val="21"/>
                <w:szCs w:val="21"/>
                <w:u w:val="none"/>
                <w:lang w:val="en-US" w:eastAsia="zh-CN"/>
              </w:rPr>
              <w:t>"</w:t>
            </w:r>
          </w:p>
          <w:p w14:paraId="440FC3B6">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北纬45°</w:t>
            </w:r>
            <w:r>
              <w:rPr>
                <w:rFonts w:hint="eastAsia" w:ascii="宋体" w:hAnsi="宋体" w:eastAsia="宋体" w:cs="宋体"/>
                <w:color w:val="auto"/>
                <w:sz w:val="21"/>
                <w:szCs w:val="21"/>
                <w:u w:val="none"/>
                <w:lang w:val="en-US" w:eastAsia="zh-CN"/>
              </w:rPr>
              <w:t>7</w:t>
            </w:r>
            <w:r>
              <w:rPr>
                <w:rFonts w:hint="default" w:ascii="宋体" w:hAnsi="宋体" w:eastAsia="宋体" w:cs="宋体"/>
                <w:color w:val="auto"/>
                <w:sz w:val="21"/>
                <w:szCs w:val="21"/>
                <w:u w:val="none"/>
                <w:lang w:val="en-US" w:eastAsia="zh-CN"/>
              </w:rPr>
              <w:t>'</w:t>
            </w:r>
            <w:r>
              <w:rPr>
                <w:rFonts w:hint="eastAsia" w:ascii="宋体" w:hAnsi="宋体" w:eastAsia="宋体" w:cs="宋体"/>
                <w:color w:val="auto"/>
                <w:sz w:val="21"/>
                <w:szCs w:val="21"/>
                <w:u w:val="none"/>
                <w:lang w:val="en-US" w:eastAsia="zh-CN"/>
              </w:rPr>
              <w:t>34.944</w:t>
            </w:r>
            <w:r>
              <w:rPr>
                <w:rFonts w:hint="default" w:ascii="宋体" w:hAnsi="宋体" w:eastAsia="宋体" w:cs="宋体"/>
                <w:color w:val="auto"/>
                <w:sz w:val="21"/>
                <w:szCs w:val="21"/>
                <w:u w:val="none"/>
                <w:lang w:val="en-US" w:eastAsia="zh-CN"/>
              </w:rPr>
              <w:t>"</w:t>
            </w:r>
          </w:p>
        </w:tc>
        <w:tc>
          <w:tcPr>
            <w:tcW w:w="1470" w:type="pct"/>
            <w:tcBorders>
              <w:tl2br w:val="nil"/>
              <w:tr2bl w:val="nil"/>
            </w:tcBorders>
            <w:shd w:val="clear" w:color="auto" w:fill="auto"/>
            <w:noWrap/>
            <w:vAlign w:val="center"/>
          </w:tcPr>
          <w:p w14:paraId="1FF34AB7">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东经86°</w:t>
            </w:r>
            <w:r>
              <w:rPr>
                <w:rFonts w:hint="eastAsia" w:ascii="宋体" w:hAnsi="宋体" w:eastAsia="宋体" w:cs="宋体"/>
                <w:color w:val="auto"/>
                <w:sz w:val="21"/>
                <w:szCs w:val="21"/>
                <w:u w:val="none"/>
                <w:lang w:val="en-US" w:eastAsia="zh-CN"/>
              </w:rPr>
              <w:t>36</w:t>
            </w:r>
            <w:r>
              <w:rPr>
                <w:rFonts w:hint="default" w:ascii="宋体" w:hAnsi="宋体" w:eastAsia="宋体" w:cs="宋体"/>
                <w:color w:val="auto"/>
                <w:sz w:val="21"/>
                <w:szCs w:val="21"/>
                <w:u w:val="none"/>
                <w:lang w:val="en-US" w:eastAsia="zh-CN"/>
              </w:rPr>
              <w:t>'</w:t>
            </w:r>
            <w:r>
              <w:rPr>
                <w:rFonts w:hint="eastAsia" w:ascii="宋体" w:hAnsi="宋体" w:eastAsia="宋体" w:cs="宋体"/>
                <w:color w:val="auto"/>
                <w:sz w:val="21"/>
                <w:szCs w:val="21"/>
                <w:u w:val="none"/>
                <w:lang w:val="en-US" w:eastAsia="zh-CN"/>
              </w:rPr>
              <w:t>19.735</w:t>
            </w:r>
            <w:r>
              <w:rPr>
                <w:rFonts w:hint="default" w:ascii="宋体" w:hAnsi="宋体" w:eastAsia="宋体" w:cs="宋体"/>
                <w:color w:val="auto"/>
                <w:sz w:val="21"/>
                <w:szCs w:val="21"/>
                <w:u w:val="none"/>
                <w:lang w:val="en-US" w:eastAsia="zh-CN"/>
              </w:rPr>
              <w:t>"</w:t>
            </w:r>
          </w:p>
          <w:p w14:paraId="30AB7251">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北纬45°6'</w:t>
            </w:r>
            <w:r>
              <w:rPr>
                <w:rFonts w:hint="eastAsia" w:ascii="宋体" w:hAnsi="宋体" w:eastAsia="宋体" w:cs="宋体"/>
                <w:color w:val="auto"/>
                <w:sz w:val="21"/>
                <w:szCs w:val="21"/>
                <w:u w:val="none"/>
                <w:lang w:val="en-US" w:eastAsia="zh-CN"/>
              </w:rPr>
              <w:t>48.096</w:t>
            </w:r>
            <w:r>
              <w:rPr>
                <w:rFonts w:hint="default" w:ascii="宋体" w:hAnsi="宋体" w:eastAsia="宋体" w:cs="宋体"/>
                <w:color w:val="auto"/>
                <w:sz w:val="21"/>
                <w:szCs w:val="21"/>
                <w:u w:val="none"/>
                <w:lang w:val="en-US" w:eastAsia="zh-CN"/>
              </w:rPr>
              <w:t>"</w:t>
            </w:r>
          </w:p>
        </w:tc>
        <w:tc>
          <w:tcPr>
            <w:tcW w:w="896" w:type="pct"/>
            <w:tcBorders>
              <w:tl2br w:val="nil"/>
              <w:tr2bl w:val="nil"/>
            </w:tcBorders>
            <w:shd w:val="clear" w:color="auto" w:fill="auto"/>
            <w:noWrap/>
            <w:vAlign w:val="center"/>
          </w:tcPr>
          <w:p w14:paraId="4C8F3D4C">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4.0km</w:t>
            </w:r>
          </w:p>
        </w:tc>
      </w:tr>
      <w:tr w14:paraId="4108B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4" w:type="pct"/>
            <w:tcBorders>
              <w:tl2br w:val="nil"/>
              <w:tr2bl w:val="nil"/>
            </w:tcBorders>
            <w:shd w:val="clear" w:color="auto" w:fill="auto"/>
            <w:vAlign w:val="center"/>
          </w:tcPr>
          <w:p w14:paraId="14F3B7A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MBHW6009井采气管道</w:t>
            </w:r>
          </w:p>
        </w:tc>
        <w:tc>
          <w:tcPr>
            <w:tcW w:w="1468" w:type="pct"/>
            <w:tcBorders>
              <w:tl2br w:val="nil"/>
              <w:tr2bl w:val="nil"/>
            </w:tcBorders>
            <w:shd w:val="clear" w:color="auto" w:fill="auto"/>
            <w:noWrap/>
            <w:vAlign w:val="center"/>
          </w:tcPr>
          <w:p w14:paraId="243851B9">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东经86°37'22.756"</w:t>
            </w:r>
          </w:p>
          <w:p w14:paraId="09BAB4DB">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北纬45°6'53.918"</w:t>
            </w:r>
          </w:p>
        </w:tc>
        <w:tc>
          <w:tcPr>
            <w:tcW w:w="1470" w:type="pct"/>
            <w:tcBorders>
              <w:tl2br w:val="nil"/>
              <w:tr2bl w:val="nil"/>
            </w:tcBorders>
            <w:shd w:val="clear" w:color="auto" w:fill="auto"/>
            <w:noWrap/>
            <w:vAlign w:val="center"/>
          </w:tcPr>
          <w:p w14:paraId="4171A7E4">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东经86°</w:t>
            </w:r>
            <w:r>
              <w:rPr>
                <w:rFonts w:hint="eastAsia" w:ascii="宋体" w:hAnsi="宋体" w:eastAsia="宋体" w:cs="宋体"/>
                <w:color w:val="auto"/>
                <w:sz w:val="21"/>
                <w:szCs w:val="21"/>
                <w:u w:val="none"/>
                <w:lang w:val="en-US" w:eastAsia="zh-CN"/>
              </w:rPr>
              <w:t>36</w:t>
            </w:r>
            <w:r>
              <w:rPr>
                <w:rFonts w:hint="default" w:ascii="宋体" w:hAnsi="宋体" w:eastAsia="宋体" w:cs="宋体"/>
                <w:color w:val="auto"/>
                <w:sz w:val="21"/>
                <w:szCs w:val="21"/>
                <w:u w:val="none"/>
                <w:lang w:val="en-US" w:eastAsia="zh-CN"/>
              </w:rPr>
              <w:t>'</w:t>
            </w:r>
            <w:r>
              <w:rPr>
                <w:rFonts w:hint="eastAsia" w:ascii="宋体" w:hAnsi="宋体" w:eastAsia="宋体" w:cs="宋体"/>
                <w:color w:val="auto"/>
                <w:sz w:val="21"/>
                <w:szCs w:val="21"/>
                <w:u w:val="none"/>
                <w:lang w:val="en-US" w:eastAsia="zh-CN"/>
              </w:rPr>
              <w:t>19.735</w:t>
            </w:r>
            <w:r>
              <w:rPr>
                <w:rFonts w:hint="default" w:ascii="宋体" w:hAnsi="宋体" w:eastAsia="宋体" w:cs="宋体"/>
                <w:color w:val="auto"/>
                <w:sz w:val="21"/>
                <w:szCs w:val="21"/>
                <w:u w:val="none"/>
                <w:lang w:val="en-US" w:eastAsia="zh-CN"/>
              </w:rPr>
              <w:t>"</w:t>
            </w:r>
          </w:p>
          <w:p w14:paraId="166455F8">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北纬45°6'</w:t>
            </w:r>
            <w:r>
              <w:rPr>
                <w:rFonts w:hint="eastAsia" w:ascii="宋体" w:hAnsi="宋体" w:eastAsia="宋体" w:cs="宋体"/>
                <w:color w:val="auto"/>
                <w:sz w:val="21"/>
                <w:szCs w:val="21"/>
                <w:u w:val="none"/>
                <w:lang w:val="en-US" w:eastAsia="zh-CN"/>
              </w:rPr>
              <w:t>48.096</w:t>
            </w:r>
            <w:r>
              <w:rPr>
                <w:rFonts w:hint="default" w:ascii="宋体" w:hAnsi="宋体" w:eastAsia="宋体" w:cs="宋体"/>
                <w:color w:val="auto"/>
                <w:sz w:val="21"/>
                <w:szCs w:val="21"/>
                <w:u w:val="none"/>
                <w:lang w:val="en-US" w:eastAsia="zh-CN"/>
              </w:rPr>
              <w:t>"</w:t>
            </w:r>
          </w:p>
        </w:tc>
        <w:tc>
          <w:tcPr>
            <w:tcW w:w="896" w:type="pct"/>
            <w:tcBorders>
              <w:tl2br w:val="nil"/>
              <w:tr2bl w:val="nil"/>
            </w:tcBorders>
            <w:shd w:val="clear" w:color="auto" w:fill="auto"/>
            <w:noWrap/>
            <w:vAlign w:val="center"/>
          </w:tcPr>
          <w:p w14:paraId="538B72C5">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1.9km</w:t>
            </w:r>
          </w:p>
        </w:tc>
      </w:tr>
    </w:tbl>
    <w:p w14:paraId="019783DA">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6 公</w:t>
      </w:r>
      <w:r>
        <w:rPr>
          <w:rFonts w:hint="default" w:ascii="黑体" w:hAnsi="黑体" w:eastAsia="黑体" w:cs="黑体"/>
          <w:b/>
          <w:color w:val="auto"/>
          <w:kern w:val="0"/>
          <w:sz w:val="24"/>
          <w:szCs w:val="24"/>
          <w:highlight w:val="none"/>
          <w:u w:val="none"/>
          <w:lang w:val="en-US" w:eastAsia="zh-CN"/>
        </w:rPr>
        <w:t>辅工程</w:t>
      </w:r>
    </w:p>
    <w:p w14:paraId="346440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2"/>
          <w:u w:val="none"/>
        </w:rPr>
      </w:pPr>
      <w:r>
        <w:rPr>
          <w:rFonts w:hint="default" w:ascii="Times New Roman" w:hAnsi="Times New Roman" w:cs="Times New Roman"/>
          <w:color w:val="auto"/>
          <w:spacing w:val="0"/>
          <w:sz w:val="24"/>
          <w:szCs w:val="22"/>
          <w:u w:val="none"/>
        </w:rPr>
        <w:t>公辅工程包括</w:t>
      </w:r>
      <w:r>
        <w:rPr>
          <w:rFonts w:hint="eastAsia" w:cs="Times New Roman"/>
          <w:color w:val="auto"/>
          <w:spacing w:val="0"/>
          <w:sz w:val="24"/>
          <w:szCs w:val="22"/>
          <w:u w:val="none"/>
          <w:lang w:eastAsia="zh-CN"/>
        </w:rPr>
        <w:t>：</w:t>
      </w:r>
      <w:r>
        <w:rPr>
          <w:rFonts w:hint="eastAsia" w:cs="Times New Roman"/>
          <w:color w:val="auto"/>
          <w:spacing w:val="0"/>
          <w:sz w:val="24"/>
          <w:szCs w:val="22"/>
          <w:u w:val="none"/>
          <w:lang w:val="en-US" w:eastAsia="zh-CN"/>
        </w:rPr>
        <w:t>供电工程、仪表自动化、通信工程、防腐与保温、消防工程</w:t>
      </w:r>
      <w:r>
        <w:rPr>
          <w:rFonts w:hint="default" w:ascii="Times New Roman" w:hAnsi="Times New Roman" w:cs="Times New Roman"/>
          <w:color w:val="auto"/>
          <w:spacing w:val="0"/>
          <w:sz w:val="24"/>
          <w:szCs w:val="22"/>
          <w:u w:val="none"/>
        </w:rPr>
        <w:t>。</w:t>
      </w:r>
    </w:p>
    <w:p w14:paraId="7510221F">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35" w:name="_Toc23039"/>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3</w:t>
      </w:r>
      <w:r>
        <w:rPr>
          <w:rFonts w:hint="default" w:ascii="宋体" w:hAnsi="宋体" w:eastAsia="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eastAsia="宋体" w:cs="宋体"/>
          <w:color w:val="auto"/>
          <w:u w:val="none"/>
          <w:lang w:val="en-US" w:eastAsia="zh-CN"/>
        </w:rPr>
        <w:t>.</w:t>
      </w:r>
      <w:bookmarkEnd w:id="235"/>
      <w:r>
        <w:rPr>
          <w:rFonts w:hint="eastAsia" w:ascii="宋体" w:hAnsi="宋体" w:eastAsia="宋体" w:cs="宋体"/>
          <w:color w:val="auto"/>
          <w:u w:val="none"/>
          <w:lang w:val="en-US" w:eastAsia="zh-CN"/>
        </w:rPr>
        <w:t>1 供配电</w:t>
      </w:r>
    </w:p>
    <w:p w14:paraId="5025128B">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r>
        <w:rPr>
          <w:rFonts w:hint="eastAsia" w:ascii="宋体" w:hAnsi="宋体" w:eastAsia="宋体" w:cs="宋体"/>
          <w:color w:val="auto"/>
          <w:sz w:val="24"/>
          <w:u w:val="none"/>
          <w:lang w:eastAsia="zh-CN"/>
        </w:rPr>
        <w:t>莫116 35kV变电站现有3路35kV电源,1路引自石西110kV变电站，1路引自莫北35kV变电站，1路引自盆五35kV变电站，变电站内设2台6.3MVA主变，最大供电能力11.34MW。35kV侧电气主接线采用单母线分段接线，规划进出线3回，建成3回。10kV侧电气主接线采用单母线分段接线，建成出线10回，目前已用7回，3回备用。已建10kV架空线路可以满足本工程新增负荷的供电要求。</w:t>
      </w:r>
    </w:p>
    <w:p w14:paraId="5D3AB5D1">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r>
        <w:rPr>
          <w:rFonts w:hint="eastAsia" w:ascii="宋体" w:hAnsi="宋体" w:eastAsia="宋体" w:cs="宋体"/>
          <w:color w:val="auto"/>
          <w:sz w:val="24"/>
          <w:u w:val="none"/>
          <w:lang w:eastAsia="zh-CN"/>
        </w:rPr>
        <w:t>本工程新建10kV架空线路“T”接自油区一线，“T”接处设接地短路故障指示器、一二次融合真空断路器及避雷器各1组，下设接地装置一组。导线采用JL/G1A-95/20，线路长度共计约为1km，线路档距为45～55m。10kV线路电杆主导杆型采用梢径190mm、长10m的锥形非预应力砼电杆，跨越杆采用梢径190mm、长12m的锥形非预应力砼电杆。</w:t>
      </w:r>
    </w:p>
    <w:p w14:paraId="38BBD9C0">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u w:val="none"/>
        </w:rPr>
      </w:pPr>
      <w:r>
        <w:rPr>
          <w:rFonts w:hint="eastAsia" w:ascii="宋体" w:hAnsi="宋体" w:eastAsia="宋体" w:cs="宋体"/>
          <w:color w:val="auto"/>
          <w:sz w:val="24"/>
          <w:u w:val="none"/>
          <w:lang w:eastAsia="zh-CN"/>
        </w:rPr>
        <w:t>在每座单井架设1座160kVA杆架式变电站，变压器负载率53%，杆架式变电站高压侧设跌落式熔断器及避雷器组保护。变电站下设1只动力配电箱给采气井场用电设备供电。</w:t>
      </w:r>
    </w:p>
    <w:p w14:paraId="678E7677">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36" w:name="_Toc8942"/>
      <w:r>
        <w:rPr>
          <w:rFonts w:hint="eastAsia" w:ascii="宋体" w:hAnsi="宋体" w:eastAsia="宋体" w:cs="宋体"/>
          <w:color w:val="auto"/>
          <w:u w:val="none"/>
          <w:lang w:val="en-US" w:eastAsia="zh-CN"/>
        </w:rPr>
        <w:t>3.3.</w:t>
      </w:r>
      <w:r>
        <w:rPr>
          <w:rFonts w:hint="eastAsia" w:ascii="宋体" w:hAnsi="宋体" w:cs="宋体"/>
          <w:color w:val="auto"/>
          <w:u w:val="none"/>
          <w:lang w:val="en-US" w:eastAsia="zh-CN"/>
        </w:rPr>
        <w:t>6</w:t>
      </w:r>
      <w:r>
        <w:rPr>
          <w:rFonts w:hint="eastAsia" w:ascii="宋体" w:hAnsi="宋体" w:eastAsia="宋体" w:cs="宋体"/>
          <w:color w:val="auto"/>
          <w:u w:val="none"/>
          <w:lang w:val="en-US" w:eastAsia="zh-CN"/>
        </w:rPr>
        <w:t xml:space="preserve">.2 </w:t>
      </w:r>
      <w:r>
        <w:rPr>
          <w:rFonts w:hint="default" w:ascii="宋体" w:hAnsi="宋体" w:eastAsia="宋体" w:cs="宋体"/>
          <w:color w:val="auto"/>
          <w:u w:val="none"/>
          <w:lang w:val="en-US" w:eastAsia="zh-CN"/>
        </w:rPr>
        <w:t>仪表自动化</w:t>
      </w:r>
    </w:p>
    <w:p w14:paraId="0B9DC5AC">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2"/>
        <w:jc w:val="left"/>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u w:val="none"/>
        </w:rPr>
        <w:t>本次工程采用先进、适宜的计算机测控技术对井、站生产过程进行集中监测、控制和管理，完成主要工艺参数的数据采集、重要工艺过程的自动控制和关键生产设备的联锁保护，满足生产过程监控和管理的需要。</w:t>
      </w:r>
    </w:p>
    <w:p w14:paraId="26B68EE2">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2"/>
        <w:jc w:val="left"/>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u w:val="none"/>
        </w:rPr>
        <w:t>新建采气井场实现“无人值守、远程监控、故障巡检”的自控水平。</w:t>
      </w:r>
    </w:p>
    <w:p w14:paraId="2C6C183B">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3.</w:t>
      </w:r>
      <w:bookmarkEnd w:id="236"/>
      <w:r>
        <w:rPr>
          <w:rFonts w:hint="eastAsia" w:ascii="宋体" w:hAnsi="宋体" w:cs="宋体"/>
          <w:color w:val="auto"/>
          <w:u w:val="none"/>
          <w:lang w:val="en-US" w:eastAsia="zh-CN"/>
        </w:rPr>
        <w:t>6</w:t>
      </w:r>
      <w:r>
        <w:rPr>
          <w:rFonts w:hint="eastAsia" w:ascii="宋体" w:hAnsi="宋体" w:eastAsia="宋体" w:cs="宋体"/>
          <w:color w:val="auto"/>
          <w:u w:val="none"/>
          <w:lang w:val="en-US" w:eastAsia="zh-CN"/>
        </w:rPr>
        <w:t>.3 通信</w:t>
      </w:r>
    </w:p>
    <w:p w14:paraId="7F619345">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u w:val="none"/>
        </w:rPr>
        <w:t>井口采用“无人值守、定期巡检、远程控制”的模式。新建各单井均通过新建光缆和光纤以太网传输设备，将各井场自控数据及视频数据上传至莫7-莫11处理站（与莫109转油站合建）后，在通过已建光缆链路上传至石西油田作业区调控中心。</w:t>
      </w:r>
    </w:p>
    <w:p w14:paraId="04A0EDD2">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3.3.</w:t>
      </w:r>
      <w:r>
        <w:rPr>
          <w:rFonts w:hint="eastAsia" w:ascii="宋体" w:hAnsi="宋体" w:cs="宋体"/>
          <w:color w:val="auto"/>
          <w:u w:val="none"/>
          <w:lang w:val="en-US" w:eastAsia="zh-CN"/>
        </w:rPr>
        <w:t>6</w:t>
      </w:r>
      <w:r>
        <w:rPr>
          <w:rFonts w:hint="eastAsia" w:ascii="宋体" w:hAnsi="宋体" w:eastAsia="宋体" w:cs="宋体"/>
          <w:color w:val="auto"/>
          <w:u w:val="none"/>
          <w:lang w:val="en-US" w:eastAsia="zh-CN"/>
        </w:rPr>
        <w:t xml:space="preserve">.4 </w:t>
      </w:r>
      <w:r>
        <w:rPr>
          <w:rFonts w:hint="default" w:ascii="宋体" w:hAnsi="宋体" w:eastAsia="宋体" w:cs="宋体"/>
          <w:color w:val="auto"/>
          <w:u w:val="none"/>
          <w:lang w:val="en-US" w:eastAsia="zh-CN"/>
        </w:rPr>
        <w:t>防腐</w:t>
      </w:r>
      <w:r>
        <w:rPr>
          <w:rFonts w:hint="eastAsia" w:ascii="宋体" w:hAnsi="宋体" w:eastAsia="宋体" w:cs="宋体"/>
          <w:color w:val="auto"/>
          <w:u w:val="none"/>
          <w:lang w:val="en-US" w:eastAsia="zh-CN"/>
        </w:rPr>
        <w:t>与保温</w:t>
      </w:r>
    </w:p>
    <w:p w14:paraId="4C735E7C">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b w:val="0"/>
          <w:color w:val="auto"/>
          <w:kern w:val="2"/>
          <w:sz w:val="24"/>
          <w:szCs w:val="24"/>
          <w:u w:val="none"/>
          <w:lang w:val="en-US" w:eastAsia="zh-CN" w:bidi="ar-SA"/>
        </w:rPr>
      </w:pPr>
      <w:r>
        <w:rPr>
          <w:rFonts w:hint="eastAsia" w:ascii="宋体" w:hAnsi="宋体" w:eastAsia="宋体" w:cs="宋体"/>
          <w:b w:val="0"/>
          <w:color w:val="auto"/>
          <w:kern w:val="2"/>
          <w:sz w:val="24"/>
          <w:szCs w:val="24"/>
          <w:u w:val="none"/>
          <w:lang w:val="en-US" w:eastAsia="zh-CN" w:bidi="ar-SA"/>
        </w:rPr>
        <w:t>（1）</w:t>
      </w:r>
      <w:r>
        <w:rPr>
          <w:rFonts w:hint="eastAsia" w:ascii="宋体" w:hAnsi="宋体" w:eastAsia="宋体" w:cs="宋体"/>
          <w:b w:val="0"/>
          <w:color w:val="auto"/>
          <w:spacing w:val="-6"/>
          <w:kern w:val="2"/>
          <w:sz w:val="24"/>
          <w:szCs w:val="24"/>
          <w:u w:val="none"/>
          <w:lang w:val="en-US" w:eastAsia="zh-CN" w:bidi="ar-SA"/>
        </w:rPr>
        <w:t>保温管道外壁：无溶剂环氧防腐涂料，涂敷二道，防腐层干膜厚度≥300μm。</w:t>
      </w:r>
    </w:p>
    <w:p w14:paraId="211D4E26">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b w:val="0"/>
          <w:color w:val="auto"/>
          <w:kern w:val="2"/>
          <w:sz w:val="24"/>
          <w:szCs w:val="24"/>
          <w:u w:val="none"/>
          <w:lang w:val="en-US" w:eastAsia="zh-CN" w:bidi="ar-SA"/>
        </w:rPr>
      </w:pPr>
      <w:r>
        <w:rPr>
          <w:rFonts w:hint="eastAsia" w:ascii="宋体" w:hAnsi="宋体" w:eastAsia="宋体" w:cs="宋体"/>
          <w:b w:val="0"/>
          <w:color w:val="auto"/>
          <w:kern w:val="2"/>
          <w:sz w:val="24"/>
          <w:szCs w:val="24"/>
          <w:u w:val="none"/>
          <w:lang w:val="en-US" w:eastAsia="zh-CN" w:bidi="ar-SA"/>
        </w:rPr>
        <w:t>（2）地面不保温管道外壁：二道环氧富锌底漆（60μm）-二道环氧云铁中间漆（100μm）-二道交联氟碳面漆（80μm），防腐层干膜厚度≥240μm。</w:t>
      </w:r>
    </w:p>
    <w:p w14:paraId="22E86840">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b w:val="0"/>
          <w:color w:val="auto"/>
          <w:kern w:val="2"/>
          <w:sz w:val="24"/>
          <w:szCs w:val="24"/>
          <w:u w:val="none"/>
          <w:lang w:val="en-US" w:eastAsia="zh-CN" w:bidi="ar-SA"/>
        </w:rPr>
      </w:pPr>
      <w:r>
        <w:rPr>
          <w:rFonts w:hint="eastAsia" w:ascii="宋体" w:hAnsi="宋体" w:eastAsia="宋体" w:cs="宋体"/>
          <w:b w:val="0"/>
          <w:color w:val="auto"/>
          <w:kern w:val="2"/>
          <w:sz w:val="24"/>
          <w:szCs w:val="24"/>
          <w:u w:val="none"/>
          <w:lang w:val="en-US" w:eastAsia="zh-CN" w:bidi="ar-SA"/>
        </w:rPr>
        <w:t>（3）埋保温管道外壁：防腐层采用熔结环氧粉末一次成膜结构，防腐层厚度≥300μm；保温层采用聚氨酯泡沫塑料，厚度≥50mm，保温管轴向偏心量±3mm；管防护层采用聚乙烯专用料，厚度≥1.4mm。采用“一步法”成型工艺。</w:t>
      </w:r>
    </w:p>
    <w:p w14:paraId="1481F42F">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cs="Times New Roman"/>
          <w:b w:val="0"/>
          <w:color w:val="auto"/>
          <w:kern w:val="2"/>
          <w:sz w:val="24"/>
          <w:szCs w:val="24"/>
          <w:u w:val="none"/>
          <w:lang w:val="en-US" w:eastAsia="zh-CN" w:bidi="ar-SA"/>
        </w:rPr>
      </w:pPr>
      <w:r>
        <w:rPr>
          <w:rFonts w:hint="eastAsia" w:ascii="宋体" w:hAnsi="宋体" w:eastAsia="宋体" w:cs="宋体"/>
          <w:b w:val="0"/>
          <w:color w:val="auto"/>
          <w:kern w:val="2"/>
          <w:sz w:val="24"/>
          <w:szCs w:val="24"/>
          <w:u w:val="none"/>
          <w:lang w:val="en-US" w:eastAsia="zh-CN" w:bidi="ar-SA"/>
        </w:rPr>
        <w:t>（4）碳钢管道表面进行喷（抛）射除锈。表面处理的最低要求应达到Sa2.5级，锚纹深度宜为40μm～80μm。</w:t>
      </w:r>
    </w:p>
    <w:p w14:paraId="2E4C8031">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37" w:name="_Toc31203"/>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3</w:t>
      </w:r>
      <w:r>
        <w:rPr>
          <w:rFonts w:hint="default" w:ascii="宋体" w:hAnsi="宋体" w:eastAsia="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eastAsia="宋体" w:cs="宋体"/>
          <w:color w:val="auto"/>
          <w:u w:val="none"/>
          <w:lang w:val="en-US" w:eastAsia="zh-CN"/>
        </w:rPr>
        <w:t>.</w:t>
      </w:r>
      <w:bookmarkEnd w:id="237"/>
      <w:r>
        <w:rPr>
          <w:rFonts w:hint="eastAsia" w:ascii="宋体" w:hAnsi="宋体" w:eastAsia="宋体" w:cs="宋体"/>
          <w:color w:val="auto"/>
          <w:u w:val="none"/>
          <w:lang w:val="en-US" w:eastAsia="zh-CN"/>
        </w:rPr>
        <w:t>5 消防工程</w:t>
      </w:r>
    </w:p>
    <w:p w14:paraId="4C140122">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2"/>
        <w:jc w:val="left"/>
        <w:textAlignment w:val="auto"/>
        <w:rPr>
          <w:rFonts w:hint="eastAsia"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单座井场设置5具手提式磷酸铵盐干粉火器.</w:t>
      </w:r>
    </w:p>
    <w:p w14:paraId="2354E616">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2"/>
        <w:jc w:val="left"/>
        <w:textAlignment w:val="auto"/>
        <w:rPr>
          <w:rFonts w:hint="default" w:ascii="Times New Roman" w:hAnsi="Times New Roman" w:eastAsia="宋体" w:cs="Times New Roman"/>
          <w:b w:val="0"/>
          <w:color w:val="auto"/>
          <w:kern w:val="2"/>
          <w:sz w:val="24"/>
          <w:szCs w:val="24"/>
          <w:u w:val="none"/>
          <w:lang w:val="en-US" w:eastAsia="zh-CN" w:bidi="ar-SA"/>
        </w:rPr>
      </w:pPr>
      <w:r>
        <w:rPr>
          <w:rFonts w:hint="eastAsia" w:ascii="宋体" w:hAnsi="宋体" w:eastAsia="宋体" w:cs="宋体"/>
          <w:color w:val="auto"/>
          <w:sz w:val="24"/>
          <w:u w:val="none"/>
        </w:rPr>
        <w:t>应急抢险救援中心消防四大队位于古尔班通古特沙漠腹地</w:t>
      </w:r>
      <w:r>
        <w:rPr>
          <w:rFonts w:hint="eastAsia" w:ascii="宋体" w:hAnsi="宋体" w:cs="宋体"/>
          <w:color w:val="auto"/>
          <w:sz w:val="24"/>
          <w:u w:val="none"/>
          <w:lang w:eastAsia="zh-CN"/>
        </w:rPr>
        <w:t>，</w:t>
      </w:r>
      <w:r>
        <w:rPr>
          <w:rFonts w:hint="eastAsia" w:ascii="宋体" w:hAnsi="宋体" w:cs="宋体"/>
          <w:color w:val="auto"/>
          <w:sz w:val="24"/>
          <w:u w:val="none"/>
          <w:lang w:val="en-US" w:eastAsia="zh-CN"/>
        </w:rPr>
        <w:t>石西油田作业区生活公寓</w:t>
      </w:r>
      <w:r>
        <w:rPr>
          <w:rFonts w:hint="eastAsia" w:ascii="宋体" w:hAnsi="宋体" w:eastAsia="宋体" w:cs="宋体"/>
          <w:color w:val="auto"/>
          <w:sz w:val="24"/>
          <w:u w:val="none"/>
        </w:rPr>
        <w:t>，</w:t>
      </w:r>
      <w:r>
        <w:rPr>
          <w:rFonts w:hint="eastAsia" w:ascii="宋体" w:hAnsi="宋体" w:cs="宋体"/>
          <w:color w:val="auto"/>
          <w:sz w:val="24"/>
          <w:u w:val="none"/>
          <w:lang w:val="en-US" w:eastAsia="zh-CN"/>
        </w:rPr>
        <w:t>与本项目直线距离约38km。</w:t>
      </w:r>
      <w:r>
        <w:rPr>
          <w:rFonts w:hint="eastAsia" w:ascii="宋体" w:hAnsi="宋体" w:eastAsia="宋体" w:cs="宋体"/>
          <w:color w:val="auto"/>
          <w:sz w:val="24"/>
          <w:u w:val="none"/>
        </w:rPr>
        <w:t>有干部员工73人，有消防车12辆，其中泡沫消防车8辆，载泡沫液59吨，清水90吨，抢险救援器材335件套。满足接警到达时间要求。</w:t>
      </w:r>
    </w:p>
    <w:p w14:paraId="6498036B">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7 </w:t>
      </w:r>
      <w:r>
        <w:rPr>
          <w:rFonts w:hint="default" w:ascii="黑体" w:hAnsi="黑体" w:eastAsia="黑体" w:cs="黑体"/>
          <w:b/>
          <w:color w:val="auto"/>
          <w:kern w:val="0"/>
          <w:sz w:val="24"/>
          <w:szCs w:val="24"/>
          <w:highlight w:val="none"/>
          <w:u w:val="none"/>
          <w:lang w:val="en-US" w:eastAsia="zh-CN"/>
        </w:rPr>
        <w:t>依托工程</w:t>
      </w:r>
    </w:p>
    <w:p w14:paraId="6981DFFA">
      <w:pPr>
        <w:pStyle w:val="61"/>
        <w:keepNext w:val="0"/>
        <w:keepLines w:val="0"/>
        <w:pageBreakBefore w:val="0"/>
        <w:widowControl/>
        <w:kinsoku/>
        <w:wordWrap/>
        <w:overflowPunct/>
        <w:topLinePunct w:val="0"/>
        <w:autoSpaceDE/>
        <w:autoSpaceDN/>
        <w:bidi w:val="0"/>
        <w:adjustRightInd/>
        <w:snapToGrid/>
        <w:spacing w:line="480" w:lineRule="exact"/>
        <w:textAlignment w:val="auto"/>
        <w:rPr>
          <w:rFonts w:hint="eastAsia" w:cs="Times New Roman"/>
          <w:color w:val="auto"/>
          <w:u w:val="none"/>
          <w:lang w:val="en-US" w:eastAsia="zh-CN"/>
        </w:rPr>
      </w:pPr>
      <w:r>
        <w:rPr>
          <w:rFonts w:hint="eastAsia" w:cs="Times New Roman"/>
          <w:color w:val="auto"/>
          <w:u w:val="none"/>
          <w:lang w:val="en-US" w:eastAsia="zh-CN"/>
        </w:rPr>
        <w:t>本工程采出物通过新建采气管道输送至莫109转油站，经计量后进入两相分离器，</w:t>
      </w:r>
      <w:r>
        <w:rPr>
          <w:rFonts w:hint="eastAsia" w:ascii="宋体" w:hAnsi="宋体" w:cs="宋体"/>
          <w:color w:val="auto"/>
          <w:sz w:val="24"/>
          <w:szCs w:val="24"/>
          <w:u w:val="none"/>
          <w:lang w:val="en-US" w:eastAsia="zh-CN"/>
        </w:rPr>
        <w:t>分离</w:t>
      </w:r>
      <w:r>
        <w:rPr>
          <w:rFonts w:hint="eastAsia" w:cs="Times New Roman"/>
          <w:color w:val="auto"/>
          <w:u w:val="none"/>
          <w:lang w:val="en-US" w:eastAsia="zh-CN"/>
        </w:rPr>
        <w:t>出的天然气增压去</w:t>
      </w:r>
      <w:r>
        <w:rPr>
          <w:rFonts w:hint="eastAsia" w:ascii="Times New Roman" w:hAnsi="Times New Roman" w:eastAsia="宋体" w:cs="Times New Roman"/>
          <w:snapToGrid w:val="0"/>
          <w:color w:val="auto"/>
          <w:kern w:val="0"/>
          <w:sz w:val="24"/>
          <w:szCs w:val="24"/>
          <w:highlight w:val="none"/>
          <w:u w:val="none"/>
        </w:rPr>
        <w:t>莫7~莫11天然气处理系统</w:t>
      </w:r>
      <w:r>
        <w:rPr>
          <w:rFonts w:hint="eastAsia" w:cs="Times New Roman"/>
          <w:color w:val="auto"/>
          <w:u w:val="none"/>
          <w:lang w:val="en-US" w:eastAsia="zh-CN"/>
        </w:rPr>
        <w:t>处理后，外输至彩-石-克管网，液相接入莫109转油站—莫北转油站外输油管线，依托莫北转油站采出水处理系统处理。</w:t>
      </w:r>
      <w:r>
        <w:rPr>
          <w:rFonts w:hint="eastAsia" w:ascii="Times New Roman" w:hAnsi="Times New Roman" w:eastAsia="宋体" w:cs="Times New Roman"/>
          <w:snapToGrid w:val="0"/>
          <w:color w:val="auto"/>
          <w:kern w:val="0"/>
          <w:sz w:val="24"/>
          <w:szCs w:val="24"/>
          <w:highlight w:val="none"/>
          <w:u w:val="none"/>
        </w:rPr>
        <w:t>莫7~莫11天然气处理系统</w:t>
      </w:r>
      <w:r>
        <w:rPr>
          <w:rFonts w:hint="eastAsia" w:cs="Times New Roman"/>
          <w:color w:val="auto"/>
          <w:u w:val="none"/>
          <w:lang w:val="en-US" w:eastAsia="zh-CN"/>
        </w:rPr>
        <w:t>分离出的凝析油以及天然气低温分离出来凝液</w:t>
      </w:r>
      <w:r>
        <w:rPr>
          <w:rFonts w:hint="eastAsia" w:ascii="Times New Roman" w:hAnsi="Times New Roman" w:eastAsia="宋体" w:cs="Times New Roman"/>
          <w:snapToGrid w:val="0"/>
          <w:color w:val="auto"/>
          <w:kern w:val="0"/>
          <w:sz w:val="24"/>
          <w:szCs w:val="24"/>
          <w:highlight w:val="none"/>
          <w:u w:val="none"/>
        </w:rPr>
        <w:t>进入重沸器和稳定塔稳定后进入轻烃罐，装车</w:t>
      </w:r>
      <w:r>
        <w:rPr>
          <w:rFonts w:hint="eastAsia" w:cs="Times New Roman"/>
          <w:color w:val="auto"/>
          <w:u w:val="none"/>
          <w:lang w:val="en-US" w:eastAsia="zh-CN"/>
        </w:rPr>
        <w:t>外运。</w:t>
      </w:r>
    </w:p>
    <w:p w14:paraId="1CD6D1A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38" w:name="_Toc21260"/>
      <w:r>
        <w:rPr>
          <w:rFonts w:hint="eastAsia" w:ascii="宋体" w:hAnsi="宋体" w:eastAsia="宋体" w:cs="宋体"/>
          <w:color w:val="auto"/>
          <w:u w:val="none"/>
          <w:lang w:val="en-US" w:eastAsia="zh-CN"/>
        </w:rPr>
        <w:t>3.3.</w:t>
      </w:r>
      <w:r>
        <w:rPr>
          <w:rFonts w:hint="eastAsia" w:ascii="宋体" w:hAnsi="宋体" w:cs="宋体"/>
          <w:color w:val="auto"/>
          <w:u w:val="none"/>
          <w:lang w:val="en-US" w:eastAsia="zh-CN"/>
        </w:rPr>
        <w:t>7</w:t>
      </w:r>
      <w:r>
        <w:rPr>
          <w:rFonts w:hint="eastAsia" w:ascii="宋体" w:hAnsi="宋体" w:eastAsia="宋体" w:cs="宋体"/>
          <w:color w:val="auto"/>
          <w:u w:val="none"/>
          <w:lang w:val="en-US" w:eastAsia="zh-CN"/>
        </w:rPr>
        <w:t>.1 莫109转油站</w:t>
      </w:r>
    </w:p>
    <w:p w14:paraId="321EB7FC">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2"/>
          <w:sz w:val="24"/>
          <w:szCs w:val="24"/>
          <w:u w:val="none"/>
          <w:lang w:val="en-US" w:eastAsia="zh-CN" w:bidi="ar-SA"/>
        </w:rPr>
        <w:t>莫109转油站目前包括由莫109转油站和莫7-莫11天然气处理站两部分。莫109转油站建于2007年，莫7-莫11处理站建于2006年，全站承担着莫109井区和和莫116井区的原油转输、天然气增压、气田气处理外输、清水处理和注水等任务。</w:t>
      </w:r>
    </w:p>
    <w:p w14:paraId="41F47CE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bCs/>
          <w:snapToGrid w:val="0"/>
          <w:color w:val="auto"/>
          <w:sz w:val="24"/>
          <w:szCs w:val="22"/>
          <w:highlight w:val="none"/>
          <w:u w:val="none"/>
          <w:lang w:val="en-US" w:eastAsia="zh-CN" w:bidi="ar-SA"/>
        </w:rPr>
        <w:t>莫7-莫11天然气处理站建设内容包含在《莫7-莫11井区开发建设项目环境影响报告表》中，已于20</w:t>
      </w:r>
      <w:r>
        <w:rPr>
          <w:rFonts w:hint="eastAsia" w:cs="Times New Roman"/>
          <w:bCs/>
          <w:snapToGrid w:val="0"/>
          <w:color w:val="auto"/>
          <w:sz w:val="24"/>
          <w:szCs w:val="22"/>
          <w:highlight w:val="none"/>
          <w:u w:val="none"/>
          <w:lang w:val="en-US" w:eastAsia="zh-CN" w:bidi="ar-SA"/>
        </w:rPr>
        <w:t>08</w:t>
      </w:r>
      <w:r>
        <w:rPr>
          <w:rFonts w:hint="eastAsia" w:ascii="Times New Roman" w:hAnsi="Times New Roman" w:eastAsia="宋体" w:cs="Times New Roman"/>
          <w:bCs/>
          <w:snapToGrid w:val="0"/>
          <w:color w:val="auto"/>
          <w:sz w:val="24"/>
          <w:szCs w:val="22"/>
          <w:highlight w:val="none"/>
          <w:u w:val="none"/>
          <w:lang w:val="en-US" w:eastAsia="zh-CN" w:bidi="ar-SA"/>
        </w:rPr>
        <w:t>年取得批复（新环监建函〔2008〕03号），并于201</w:t>
      </w:r>
      <w:r>
        <w:rPr>
          <w:rFonts w:hint="eastAsia" w:cs="Times New Roman"/>
          <w:bCs/>
          <w:snapToGrid w:val="0"/>
          <w:color w:val="auto"/>
          <w:sz w:val="24"/>
          <w:szCs w:val="22"/>
          <w:highlight w:val="none"/>
          <w:u w:val="none"/>
          <w:lang w:val="en-US" w:eastAsia="zh-CN" w:bidi="ar-SA"/>
        </w:rPr>
        <w:t>0</w:t>
      </w:r>
      <w:r>
        <w:rPr>
          <w:rFonts w:hint="eastAsia" w:ascii="Times New Roman" w:hAnsi="Times New Roman" w:eastAsia="宋体" w:cs="Times New Roman"/>
          <w:bCs/>
          <w:snapToGrid w:val="0"/>
          <w:color w:val="auto"/>
          <w:sz w:val="24"/>
          <w:szCs w:val="22"/>
          <w:highlight w:val="none"/>
          <w:u w:val="none"/>
          <w:lang w:val="en-US" w:eastAsia="zh-CN" w:bidi="ar-SA"/>
        </w:rPr>
        <w:t>年12月</w:t>
      </w:r>
      <w:r>
        <w:rPr>
          <w:rFonts w:hint="eastAsia" w:cs="Times New Roman"/>
          <w:bCs/>
          <w:snapToGrid w:val="0"/>
          <w:color w:val="auto"/>
          <w:sz w:val="24"/>
          <w:szCs w:val="22"/>
          <w:highlight w:val="none"/>
          <w:u w:val="none"/>
          <w:lang w:val="en-US" w:eastAsia="zh-CN" w:bidi="ar-SA"/>
        </w:rPr>
        <w:t>通过原新疆维吾尔自治区环境保护厅</w:t>
      </w:r>
      <w:r>
        <w:rPr>
          <w:rFonts w:hint="eastAsia" w:ascii="Times New Roman" w:hAnsi="Times New Roman" w:eastAsia="宋体" w:cs="Times New Roman"/>
          <w:bCs/>
          <w:snapToGrid w:val="0"/>
          <w:color w:val="auto"/>
          <w:sz w:val="24"/>
          <w:szCs w:val="22"/>
          <w:highlight w:val="none"/>
          <w:u w:val="none"/>
          <w:lang w:val="en-US" w:eastAsia="zh-CN" w:bidi="ar-SA"/>
        </w:rPr>
        <w:t>验收。</w:t>
      </w:r>
    </w:p>
    <w:p w14:paraId="2CD2B7D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
          <w:bCs/>
          <w:snapToGrid w:val="0"/>
          <w:color w:val="auto"/>
          <w:kern w:val="0"/>
          <w:sz w:val="24"/>
          <w:szCs w:val="24"/>
          <w:highlight w:val="none"/>
          <w:u w:val="none"/>
          <w:lang w:eastAsia="zh-CN"/>
        </w:rPr>
      </w:pPr>
      <w:r>
        <w:rPr>
          <w:rFonts w:hint="eastAsia" w:cs="Times New Roman"/>
          <w:b/>
          <w:bCs/>
          <w:snapToGrid w:val="0"/>
          <w:color w:val="auto"/>
          <w:kern w:val="0"/>
          <w:sz w:val="24"/>
          <w:szCs w:val="24"/>
          <w:highlight w:val="none"/>
          <w:u w:val="none"/>
          <w:lang w:eastAsia="zh-CN"/>
        </w:rPr>
        <w:t>（</w:t>
      </w:r>
      <w:r>
        <w:rPr>
          <w:rFonts w:hint="eastAsia" w:cs="Times New Roman"/>
          <w:b/>
          <w:bCs/>
          <w:snapToGrid w:val="0"/>
          <w:color w:val="auto"/>
          <w:kern w:val="0"/>
          <w:sz w:val="24"/>
          <w:szCs w:val="24"/>
          <w:highlight w:val="none"/>
          <w:u w:val="none"/>
          <w:lang w:val="en-US" w:eastAsia="zh-CN"/>
        </w:rPr>
        <w:t>1</w:t>
      </w:r>
      <w:r>
        <w:rPr>
          <w:rFonts w:hint="eastAsia" w:cs="Times New Roman"/>
          <w:b/>
          <w:bCs/>
          <w:snapToGrid w:val="0"/>
          <w:color w:val="auto"/>
          <w:kern w:val="0"/>
          <w:sz w:val="24"/>
          <w:szCs w:val="24"/>
          <w:highlight w:val="none"/>
          <w:u w:val="none"/>
          <w:lang w:eastAsia="zh-CN"/>
        </w:rPr>
        <w:t>）莫109转油站</w:t>
      </w:r>
    </w:p>
    <w:p w14:paraId="084DE14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snapToGrid w:val="0"/>
          <w:color w:val="auto"/>
          <w:kern w:val="0"/>
          <w:sz w:val="24"/>
          <w:szCs w:val="24"/>
          <w:highlight w:val="none"/>
          <w:u w:val="none"/>
        </w:rPr>
      </w:pPr>
      <w:r>
        <w:rPr>
          <w:rFonts w:hint="eastAsia" w:ascii="Times New Roman" w:hAnsi="Times New Roman" w:eastAsia="宋体" w:cs="Times New Roman"/>
          <w:snapToGrid w:val="0"/>
          <w:color w:val="auto"/>
          <w:kern w:val="0"/>
          <w:sz w:val="24"/>
          <w:szCs w:val="24"/>
          <w:highlight w:val="none"/>
          <w:u w:val="none"/>
        </w:rPr>
        <w:t>莫109转油站设计转油能力30×10</w:t>
      </w:r>
      <w:r>
        <w:rPr>
          <w:rFonts w:hint="eastAsia" w:ascii="Times New Roman" w:hAnsi="Times New Roman" w:eastAsia="宋体" w:cs="Times New Roman"/>
          <w:snapToGrid w:val="0"/>
          <w:color w:val="auto"/>
          <w:kern w:val="0"/>
          <w:sz w:val="24"/>
          <w:szCs w:val="24"/>
          <w:highlight w:val="none"/>
          <w:u w:val="none"/>
          <w:vertAlign w:val="superscript"/>
        </w:rPr>
        <w:t>4</w:t>
      </w:r>
      <w:r>
        <w:rPr>
          <w:rFonts w:hint="eastAsia" w:cs="Times New Roman"/>
          <w:snapToGrid w:val="0"/>
          <w:color w:val="auto"/>
          <w:kern w:val="0"/>
          <w:sz w:val="24"/>
          <w:szCs w:val="24"/>
          <w:highlight w:val="none"/>
          <w:u w:val="none"/>
          <w:lang w:val="en-US" w:eastAsia="zh-CN"/>
        </w:rPr>
        <w:t>t/a</w:t>
      </w:r>
      <w:r>
        <w:rPr>
          <w:rFonts w:hint="eastAsia" w:ascii="Times New Roman" w:hAnsi="Times New Roman" w:eastAsia="宋体" w:cs="Times New Roman"/>
          <w:snapToGrid w:val="0"/>
          <w:color w:val="auto"/>
          <w:kern w:val="0"/>
          <w:sz w:val="24"/>
          <w:szCs w:val="24"/>
          <w:highlight w:val="none"/>
          <w:u w:val="none"/>
        </w:rPr>
        <w:t>；伴生气处理能力20×10</w:t>
      </w:r>
      <w:r>
        <w:rPr>
          <w:rFonts w:hint="eastAsia" w:ascii="Times New Roman" w:hAnsi="Times New Roman" w:eastAsia="宋体" w:cs="Times New Roman"/>
          <w:snapToGrid w:val="0"/>
          <w:color w:val="auto"/>
          <w:kern w:val="0"/>
          <w:sz w:val="24"/>
          <w:szCs w:val="24"/>
          <w:highlight w:val="none"/>
          <w:u w:val="none"/>
          <w:vertAlign w:val="superscript"/>
        </w:rPr>
        <w:t>4</w:t>
      </w:r>
      <w:r>
        <w:rPr>
          <w:rFonts w:hint="eastAsia" w:ascii="Times New Roman" w:hAnsi="Times New Roman" w:eastAsia="宋体" w:cs="Times New Roman"/>
          <w:snapToGrid w:val="0"/>
          <w:color w:val="auto"/>
          <w:kern w:val="0"/>
          <w:sz w:val="24"/>
          <w:szCs w:val="24"/>
          <w:highlight w:val="none"/>
          <w:u w:val="none"/>
        </w:rPr>
        <w:t>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/d；注水能力3000m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w:t>
      </w:r>
    </w:p>
    <w:p w14:paraId="6F52CB6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snapToGrid w:val="0"/>
          <w:color w:val="auto"/>
          <w:kern w:val="0"/>
          <w:sz w:val="24"/>
          <w:szCs w:val="24"/>
          <w:highlight w:val="none"/>
          <w:u w:val="none"/>
        </w:rPr>
      </w:pPr>
      <w:r>
        <w:rPr>
          <w:rFonts w:hint="eastAsia" w:ascii="Times New Roman" w:hAnsi="Times New Roman" w:eastAsia="宋体" w:cs="Times New Roman"/>
          <w:snapToGrid w:val="0"/>
          <w:color w:val="auto"/>
          <w:kern w:val="0"/>
          <w:sz w:val="24"/>
          <w:szCs w:val="24"/>
          <w:highlight w:val="none"/>
          <w:u w:val="none"/>
        </w:rPr>
        <w:t>井区来液进入两相分离器进行气液分离，原油经过相变炉加热后</w:t>
      </w:r>
      <w:r>
        <w:rPr>
          <w:rFonts w:hint="eastAsia" w:ascii="Times New Roman" w:hAnsi="Times New Roman" w:eastAsia="宋体" w:cs="Times New Roman"/>
          <w:snapToGrid w:val="0"/>
          <w:color w:val="auto"/>
          <w:kern w:val="0"/>
          <w:sz w:val="24"/>
          <w:szCs w:val="24"/>
          <w:highlight w:val="none"/>
          <w:u w:val="none"/>
          <w:lang w:eastAsia="zh-CN"/>
        </w:rPr>
        <w:t>，</w:t>
      </w:r>
      <w:r>
        <w:rPr>
          <w:rFonts w:hint="eastAsia" w:ascii="Times New Roman" w:hAnsi="Times New Roman" w:eastAsia="宋体" w:cs="Times New Roman"/>
          <w:snapToGrid w:val="0"/>
          <w:color w:val="auto"/>
          <w:kern w:val="0"/>
          <w:sz w:val="24"/>
          <w:szCs w:val="24"/>
          <w:highlight w:val="none"/>
          <w:u w:val="none"/>
        </w:rPr>
        <w:t>进入</w:t>
      </w:r>
      <w:r>
        <w:rPr>
          <w:rFonts w:hint="eastAsia" w:cs="Times New Roman"/>
          <w:snapToGrid w:val="0"/>
          <w:color w:val="auto"/>
          <w:kern w:val="0"/>
          <w:sz w:val="24"/>
          <w:szCs w:val="24"/>
          <w:highlight w:val="none"/>
          <w:u w:val="none"/>
          <w:lang w:val="en-US" w:eastAsia="zh-CN"/>
        </w:rPr>
        <w:t>缓冲</w:t>
      </w:r>
      <w:r>
        <w:rPr>
          <w:rFonts w:hint="eastAsia" w:ascii="Times New Roman" w:hAnsi="Times New Roman" w:eastAsia="宋体" w:cs="Times New Roman"/>
          <w:snapToGrid w:val="0"/>
          <w:color w:val="auto"/>
          <w:kern w:val="0"/>
          <w:sz w:val="24"/>
          <w:szCs w:val="24"/>
          <w:highlight w:val="none"/>
          <w:u w:val="none"/>
        </w:rPr>
        <w:t>罐，</w:t>
      </w:r>
      <w:r>
        <w:rPr>
          <w:rFonts w:hint="eastAsia" w:cs="Times New Roman"/>
          <w:snapToGrid w:val="0"/>
          <w:color w:val="auto"/>
          <w:kern w:val="0"/>
          <w:sz w:val="24"/>
          <w:szCs w:val="24"/>
          <w:highlight w:val="none"/>
          <w:u w:val="none"/>
          <w:lang w:val="en-US" w:eastAsia="zh-CN"/>
        </w:rPr>
        <w:t>通过</w:t>
      </w:r>
      <w:r>
        <w:rPr>
          <w:rFonts w:hint="eastAsia" w:ascii="Times New Roman" w:hAnsi="Times New Roman" w:eastAsia="宋体" w:cs="Times New Roman"/>
          <w:snapToGrid w:val="0"/>
          <w:color w:val="auto"/>
          <w:kern w:val="0"/>
          <w:sz w:val="24"/>
          <w:szCs w:val="24"/>
          <w:highlight w:val="none"/>
          <w:u w:val="none"/>
        </w:rPr>
        <w:t>外输泵增压外输至莫北转油站。两相分离器分离后的天然气进入除油器除液，去莫7~莫11天然气</w:t>
      </w:r>
      <w:r>
        <w:rPr>
          <w:rFonts w:hint="eastAsia" w:cs="Times New Roman"/>
          <w:snapToGrid w:val="0"/>
          <w:color w:val="auto"/>
          <w:kern w:val="0"/>
          <w:sz w:val="24"/>
          <w:szCs w:val="24"/>
          <w:highlight w:val="none"/>
          <w:u w:val="none"/>
          <w:lang w:val="en-US" w:eastAsia="zh-CN"/>
        </w:rPr>
        <w:t>处理系统</w:t>
      </w:r>
      <w:r>
        <w:rPr>
          <w:rFonts w:hint="eastAsia" w:ascii="Times New Roman" w:hAnsi="Times New Roman" w:eastAsia="宋体" w:cs="Times New Roman"/>
          <w:snapToGrid w:val="0"/>
          <w:color w:val="auto"/>
          <w:kern w:val="0"/>
          <w:sz w:val="24"/>
          <w:szCs w:val="24"/>
          <w:highlight w:val="none"/>
          <w:u w:val="none"/>
        </w:rPr>
        <w:t>。</w:t>
      </w:r>
    </w:p>
    <w:p w14:paraId="34F68FB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
          <w:bCs/>
          <w:snapToGrid w:val="0"/>
          <w:color w:val="auto"/>
          <w:kern w:val="0"/>
          <w:sz w:val="24"/>
          <w:szCs w:val="24"/>
          <w:highlight w:val="none"/>
          <w:u w:val="none"/>
          <w:lang w:eastAsia="zh-CN"/>
        </w:rPr>
      </w:pPr>
      <w:r>
        <w:rPr>
          <w:rFonts w:hint="eastAsia" w:cs="Times New Roman"/>
          <w:b/>
          <w:bCs/>
          <w:snapToGrid w:val="0"/>
          <w:color w:val="auto"/>
          <w:kern w:val="0"/>
          <w:sz w:val="24"/>
          <w:szCs w:val="24"/>
          <w:highlight w:val="none"/>
          <w:u w:val="none"/>
          <w:lang w:eastAsia="zh-CN"/>
        </w:rPr>
        <w:t>（</w:t>
      </w:r>
      <w:r>
        <w:rPr>
          <w:rFonts w:hint="eastAsia" w:cs="Times New Roman"/>
          <w:b/>
          <w:bCs/>
          <w:snapToGrid w:val="0"/>
          <w:color w:val="auto"/>
          <w:kern w:val="0"/>
          <w:sz w:val="24"/>
          <w:szCs w:val="24"/>
          <w:highlight w:val="none"/>
          <w:u w:val="none"/>
          <w:lang w:val="en-US" w:eastAsia="zh-CN"/>
        </w:rPr>
        <w:t>2</w:t>
      </w:r>
      <w:r>
        <w:rPr>
          <w:rFonts w:hint="eastAsia" w:cs="Times New Roman"/>
          <w:b/>
          <w:bCs/>
          <w:snapToGrid w:val="0"/>
          <w:color w:val="auto"/>
          <w:kern w:val="0"/>
          <w:sz w:val="24"/>
          <w:szCs w:val="24"/>
          <w:highlight w:val="none"/>
          <w:u w:val="none"/>
          <w:lang w:eastAsia="zh-CN"/>
        </w:rPr>
        <w:t>）莫7~莫11天然气处理系统</w:t>
      </w:r>
    </w:p>
    <w:p w14:paraId="30B5180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snapToGrid w:val="0"/>
          <w:color w:val="auto"/>
          <w:kern w:val="0"/>
          <w:sz w:val="24"/>
          <w:szCs w:val="24"/>
          <w:highlight w:val="none"/>
          <w:u w:val="none"/>
        </w:rPr>
      </w:pPr>
      <w:r>
        <w:rPr>
          <w:rFonts w:hint="eastAsia" w:ascii="Times New Roman" w:hAnsi="Times New Roman" w:eastAsia="宋体" w:cs="Times New Roman"/>
          <w:snapToGrid w:val="0"/>
          <w:color w:val="auto"/>
          <w:kern w:val="0"/>
          <w:sz w:val="24"/>
          <w:szCs w:val="24"/>
          <w:highlight w:val="none"/>
          <w:u w:val="none"/>
        </w:rPr>
        <w:t>2009年，莫7~莫11天然气处理系统并入莫109转油站，油田伴生气经增压后进入莫7~莫11天然气系统处理后外输。天然气系统设计处理能力22×10</w:t>
      </w:r>
      <w:r>
        <w:rPr>
          <w:rFonts w:hint="eastAsia" w:ascii="Times New Roman" w:hAnsi="Times New Roman" w:eastAsia="宋体" w:cs="Times New Roman"/>
          <w:snapToGrid w:val="0"/>
          <w:color w:val="auto"/>
          <w:kern w:val="0"/>
          <w:sz w:val="24"/>
          <w:szCs w:val="24"/>
          <w:highlight w:val="none"/>
          <w:u w:val="none"/>
          <w:vertAlign w:val="superscript"/>
        </w:rPr>
        <w:t>4</w:t>
      </w:r>
      <w:r>
        <w:rPr>
          <w:rFonts w:hint="eastAsia" w:ascii="Times New Roman" w:hAnsi="Times New Roman" w:eastAsia="宋体" w:cs="Times New Roman"/>
          <w:snapToGrid w:val="0"/>
          <w:color w:val="auto"/>
          <w:kern w:val="0"/>
          <w:sz w:val="24"/>
          <w:szCs w:val="24"/>
          <w:highlight w:val="none"/>
          <w:u w:val="none"/>
        </w:rPr>
        <w:t>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/d，目前实际处理气量约3×10</w:t>
      </w:r>
      <w:r>
        <w:rPr>
          <w:rFonts w:hint="eastAsia" w:ascii="Times New Roman" w:hAnsi="Times New Roman" w:eastAsia="宋体" w:cs="Times New Roman"/>
          <w:snapToGrid w:val="0"/>
          <w:color w:val="auto"/>
          <w:kern w:val="0"/>
          <w:sz w:val="24"/>
          <w:szCs w:val="24"/>
          <w:highlight w:val="none"/>
          <w:u w:val="none"/>
          <w:vertAlign w:val="superscript"/>
        </w:rPr>
        <w:t>4</w:t>
      </w:r>
      <w:r>
        <w:rPr>
          <w:rFonts w:hint="eastAsia" w:ascii="Times New Roman" w:hAnsi="Times New Roman" w:eastAsia="宋体" w:cs="Times New Roman"/>
          <w:snapToGrid w:val="0"/>
          <w:color w:val="auto"/>
          <w:kern w:val="0"/>
          <w:sz w:val="24"/>
          <w:szCs w:val="24"/>
          <w:highlight w:val="none"/>
          <w:u w:val="none"/>
        </w:rPr>
        <w:t>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w:t>
      </w:r>
    </w:p>
    <w:p w14:paraId="0B5BDE3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snapToGrid w:val="0"/>
          <w:color w:val="auto"/>
          <w:kern w:val="0"/>
          <w:sz w:val="24"/>
          <w:szCs w:val="24"/>
          <w:highlight w:val="none"/>
          <w:u w:val="none"/>
        </w:rPr>
      </w:pPr>
      <w:r>
        <w:rPr>
          <w:rFonts w:hint="eastAsia" w:ascii="Times New Roman" w:hAnsi="Times New Roman" w:eastAsia="宋体" w:cs="Times New Roman"/>
          <w:snapToGrid w:val="0"/>
          <w:color w:val="auto"/>
          <w:kern w:val="0"/>
          <w:sz w:val="24"/>
          <w:szCs w:val="24"/>
          <w:highlight w:val="none"/>
          <w:u w:val="none"/>
        </w:rPr>
        <w:t>天然气处理流程：气井来气（增压后的伴生气）经计量后进入生产分离器，经过气液分离并注入乙二醇后进入气气换热器，换热后经过节流阀节流后进入低温分离器，气液分离器后的天然气进入气气换热器再换热，最后外输至彩-石-克管网；生产分离器、低温分离器分离出的液相进入油水分离器，分离后的轻烃进入重沸器和稳定塔稳定后进入轻烃罐，并通过装车系统拉运至下游销售。天然气外输压力3-3.5MPa，节流前压力7~7.5MPa。</w:t>
      </w:r>
    </w:p>
    <w:p w14:paraId="14C8A95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snapToGrid w:val="0"/>
          <w:color w:val="auto"/>
          <w:kern w:val="0"/>
          <w:sz w:val="24"/>
          <w:szCs w:val="24"/>
          <w:highlight w:val="none"/>
          <w:u w:val="none"/>
          <w:lang w:val="en-US" w:eastAsia="zh-CN"/>
        </w:rPr>
      </w:pPr>
      <w:r>
        <w:rPr>
          <w:rFonts w:hint="eastAsia" w:ascii="Times New Roman" w:hAnsi="Times New Roman" w:eastAsia="宋体" w:cs="Times New Roman"/>
          <w:snapToGrid w:val="0"/>
          <w:color w:val="auto"/>
          <w:kern w:val="0"/>
          <w:sz w:val="24"/>
          <w:szCs w:val="24"/>
          <w:highlight w:val="none"/>
          <w:u w:val="none"/>
        </w:rPr>
        <w:t>莫109转油站</w:t>
      </w:r>
      <w:r>
        <w:rPr>
          <w:rFonts w:hint="eastAsia" w:cs="Times New Roman"/>
          <w:snapToGrid w:val="0"/>
          <w:color w:val="auto"/>
          <w:kern w:val="0"/>
          <w:sz w:val="24"/>
          <w:szCs w:val="24"/>
          <w:highlight w:val="none"/>
          <w:u w:val="none"/>
          <w:lang w:val="en-US" w:eastAsia="zh-CN"/>
        </w:rPr>
        <w:t>工艺流程，见图3.3-7。</w:t>
      </w:r>
    </w:p>
    <w:p w14:paraId="707D7D7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snapToGrid w:val="0"/>
          <w:color w:val="auto"/>
          <w:kern w:val="0"/>
          <w:sz w:val="24"/>
          <w:szCs w:val="24"/>
          <w:highlight w:val="none"/>
          <w:u w:val="none"/>
        </w:rPr>
      </w:pPr>
      <w:r>
        <w:rPr>
          <w:color w:val="auto"/>
          <w:u w:val="none"/>
        </w:rPr>
        <w:drawing>
          <wp:inline distT="0" distB="0" distL="114300" distR="114300">
            <wp:extent cx="5263515" cy="1965325"/>
            <wp:effectExtent l="0" t="0" r="13335"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9"/>
                    <a:stretch>
                      <a:fillRect/>
                    </a:stretch>
                  </pic:blipFill>
                  <pic:spPr>
                    <a:xfrm>
                      <a:off x="0" y="0"/>
                      <a:ext cx="5263515" cy="1965325"/>
                    </a:xfrm>
                    <a:prstGeom prst="rect">
                      <a:avLst/>
                    </a:prstGeom>
                    <a:noFill/>
                    <a:ln>
                      <a:noFill/>
                    </a:ln>
                  </pic:spPr>
                </pic:pic>
              </a:graphicData>
            </a:graphic>
          </wp:inline>
        </w:drawing>
      </w:r>
    </w:p>
    <w:p w14:paraId="580578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snapToGrid w:val="0"/>
          <w:color w:val="auto"/>
          <w:kern w:val="0"/>
          <w:sz w:val="24"/>
          <w:szCs w:val="24"/>
          <w:highlight w:val="none"/>
          <w:u w:val="none"/>
        </w:rPr>
      </w:pPr>
      <w:r>
        <w:rPr>
          <w:rFonts w:hint="eastAsia" w:ascii="黑体" w:hAnsi="黑体" w:eastAsia="黑体" w:cs="黑体"/>
          <w:b w:val="0"/>
          <w:bCs/>
          <w:color w:val="auto"/>
          <w:kern w:val="2"/>
          <w:sz w:val="24"/>
          <w:szCs w:val="24"/>
          <w:u w:val="none"/>
          <w:lang w:val="en-US" w:eastAsia="zh-CN" w:bidi="ar-SA"/>
        </w:rPr>
        <w:t>图</w:t>
      </w:r>
      <w:r>
        <w:rPr>
          <w:rFonts w:hint="default" w:ascii="黑体" w:hAnsi="黑体" w:eastAsia="黑体" w:cs="黑体"/>
          <w:b w:val="0"/>
          <w:bCs/>
          <w:color w:val="auto"/>
          <w:kern w:val="2"/>
          <w:sz w:val="24"/>
          <w:szCs w:val="24"/>
          <w:u w:val="none"/>
          <w:lang w:val="en-US" w:eastAsia="zh-CN" w:bidi="ar-SA"/>
        </w:rPr>
        <w:t>3.</w:t>
      </w:r>
      <w:r>
        <w:rPr>
          <w:rFonts w:hint="eastAsia" w:ascii="黑体" w:hAnsi="黑体" w:eastAsia="黑体" w:cs="黑体"/>
          <w:b w:val="0"/>
          <w:bCs/>
          <w:color w:val="auto"/>
          <w:kern w:val="2"/>
          <w:sz w:val="24"/>
          <w:szCs w:val="24"/>
          <w:u w:val="none"/>
          <w:lang w:val="en-US" w:eastAsia="zh-CN" w:bidi="ar-SA"/>
        </w:rPr>
        <w:t>3</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7  </w:t>
      </w:r>
      <w:r>
        <w:rPr>
          <w:rFonts w:hint="default" w:ascii="黑体" w:hAnsi="黑体" w:eastAsia="黑体" w:cs="黑体"/>
          <w:b w:val="0"/>
          <w:bCs/>
          <w:color w:val="auto"/>
          <w:kern w:val="2"/>
          <w:sz w:val="24"/>
          <w:szCs w:val="24"/>
          <w:u w:val="none"/>
          <w:lang w:val="en-US" w:eastAsia="zh-CN" w:bidi="ar-SA"/>
        </w:rPr>
        <w:t>莫109转油站工艺流程图</w:t>
      </w:r>
      <w:r>
        <w:rPr>
          <w:color w:val="auto"/>
          <w:u w:val="none"/>
        </w:rPr>
        <w:drawing>
          <wp:inline distT="0" distB="0" distL="114300" distR="114300">
            <wp:extent cx="5127625" cy="2564130"/>
            <wp:effectExtent l="0" t="0" r="15875" b="7620"/>
            <wp:docPr id="1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pic:cNvPicPr>
                      <a:picLocks noChangeAspect="1"/>
                    </pic:cNvPicPr>
                  </pic:nvPicPr>
                  <pic:blipFill>
                    <a:blip r:embed="rId40"/>
                    <a:stretch>
                      <a:fillRect/>
                    </a:stretch>
                  </pic:blipFill>
                  <pic:spPr>
                    <a:xfrm>
                      <a:off x="0" y="0"/>
                      <a:ext cx="5127625" cy="2564130"/>
                    </a:xfrm>
                    <a:prstGeom prst="rect">
                      <a:avLst/>
                    </a:prstGeom>
                    <a:noFill/>
                    <a:ln>
                      <a:noFill/>
                    </a:ln>
                  </pic:spPr>
                </pic:pic>
              </a:graphicData>
            </a:graphic>
          </wp:inline>
        </w:drawing>
      </w:r>
    </w:p>
    <w:p w14:paraId="3EC26A23">
      <w:pPr>
        <w:pStyle w:val="56"/>
        <w:keepNext w:val="0"/>
        <w:keepLines/>
        <w:pageBreakBefore w:val="0"/>
        <w:widowControl w:val="0"/>
        <w:kinsoku/>
        <w:wordWrap/>
        <w:overflowPunct/>
        <w:topLinePunct w:val="0"/>
        <w:autoSpaceDE/>
        <w:autoSpaceDN/>
        <w:bidi w:val="0"/>
        <w:adjustRightInd w:val="0"/>
        <w:snapToGrid w:val="0"/>
        <w:spacing w:before="157" w:beforeLines="50"/>
        <w:jc w:val="center"/>
        <w:textAlignment w:val="auto"/>
        <w:outlineLvl w:val="3"/>
        <w:rPr>
          <w:rFonts w:hint="eastAsia" w:ascii="宋体" w:hAnsi="宋体" w:eastAsia="宋体" w:cs="宋体"/>
          <w:color w:val="auto"/>
          <w:u w:val="none"/>
          <w:lang w:val="en-US" w:eastAsia="zh-CN"/>
        </w:rPr>
      </w:pPr>
      <w:r>
        <w:rPr>
          <w:rFonts w:hint="eastAsia" w:ascii="黑体" w:hAnsi="黑体" w:eastAsia="黑体" w:cs="黑体"/>
          <w:b w:val="0"/>
          <w:bCs/>
          <w:color w:val="auto"/>
          <w:kern w:val="2"/>
          <w:sz w:val="24"/>
          <w:szCs w:val="24"/>
          <w:u w:val="none"/>
          <w:lang w:val="en-US" w:eastAsia="zh-CN" w:bidi="ar-SA"/>
        </w:rPr>
        <w:t>图</w:t>
      </w:r>
      <w:r>
        <w:rPr>
          <w:rFonts w:hint="default" w:ascii="黑体" w:hAnsi="黑体" w:eastAsia="黑体" w:cs="黑体"/>
          <w:b w:val="0"/>
          <w:bCs/>
          <w:color w:val="auto"/>
          <w:kern w:val="2"/>
          <w:sz w:val="24"/>
          <w:szCs w:val="24"/>
          <w:u w:val="none"/>
          <w:lang w:val="en-US" w:eastAsia="zh-CN" w:bidi="ar-SA"/>
        </w:rPr>
        <w:t>3.</w:t>
      </w:r>
      <w:r>
        <w:rPr>
          <w:rFonts w:hint="eastAsia" w:ascii="黑体" w:hAnsi="黑体" w:eastAsia="黑体" w:cs="黑体"/>
          <w:b w:val="0"/>
          <w:bCs/>
          <w:color w:val="auto"/>
          <w:kern w:val="2"/>
          <w:sz w:val="24"/>
          <w:szCs w:val="24"/>
          <w:u w:val="none"/>
          <w:lang w:val="en-US" w:eastAsia="zh-CN" w:bidi="ar-SA"/>
        </w:rPr>
        <w:t>3</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7  </w:t>
      </w:r>
      <w:r>
        <w:rPr>
          <w:rFonts w:hint="default" w:ascii="黑体" w:hAnsi="黑体" w:eastAsia="黑体" w:cs="黑体"/>
          <w:b w:val="0"/>
          <w:bCs/>
          <w:color w:val="auto"/>
          <w:kern w:val="2"/>
          <w:sz w:val="24"/>
          <w:szCs w:val="24"/>
          <w:u w:val="none"/>
          <w:lang w:val="en-US" w:eastAsia="zh-CN" w:bidi="ar-SA"/>
        </w:rPr>
        <w:t>莫7～莫11天然气处理系统工艺流程图</w:t>
      </w:r>
    </w:p>
    <w:p w14:paraId="6883AAD7">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3.3.</w:t>
      </w:r>
      <w:r>
        <w:rPr>
          <w:rFonts w:hint="eastAsia" w:ascii="宋体" w:hAnsi="宋体" w:cs="宋体"/>
          <w:color w:val="auto"/>
          <w:u w:val="none"/>
          <w:lang w:val="en-US" w:eastAsia="zh-CN"/>
        </w:rPr>
        <w:t xml:space="preserve">7.2 </w:t>
      </w:r>
      <w:r>
        <w:rPr>
          <w:rFonts w:hint="eastAsia" w:ascii="宋体" w:hAnsi="宋体" w:eastAsia="宋体" w:cs="宋体"/>
          <w:color w:val="auto"/>
          <w:u w:val="none"/>
          <w:lang w:val="en-US" w:eastAsia="zh-CN"/>
        </w:rPr>
        <w:t>莫北转油站</w:t>
      </w:r>
    </w:p>
    <w:p w14:paraId="0BAEA39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
          <w:bCs/>
          <w:snapToGrid w:val="0"/>
          <w:color w:val="auto"/>
          <w:sz w:val="24"/>
          <w:szCs w:val="22"/>
          <w:highlight w:val="none"/>
          <w:u w:val="none"/>
          <w:lang w:val="en-US" w:eastAsia="zh-CN" w:bidi="ar-SA"/>
        </w:rPr>
      </w:pPr>
      <w:r>
        <w:rPr>
          <w:rFonts w:hint="eastAsia" w:cs="Times New Roman"/>
          <w:b/>
          <w:bCs/>
          <w:snapToGrid w:val="0"/>
          <w:color w:val="auto"/>
          <w:sz w:val="24"/>
          <w:szCs w:val="22"/>
          <w:highlight w:val="none"/>
          <w:u w:val="none"/>
          <w:lang w:val="en-US" w:eastAsia="zh-CN" w:bidi="ar-SA"/>
        </w:rPr>
        <w:t>（1）莫北转油站</w:t>
      </w:r>
    </w:p>
    <w:p w14:paraId="63CBE14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Cs/>
          <w:snapToGrid w:val="0"/>
          <w:color w:val="auto"/>
          <w:sz w:val="24"/>
          <w:szCs w:val="22"/>
          <w:highlight w:val="none"/>
          <w:u w:val="none"/>
          <w:lang w:val="en-US" w:eastAsia="zh-CN" w:bidi="ar-SA"/>
        </w:rPr>
      </w:pPr>
      <w:r>
        <w:rPr>
          <w:rFonts w:hint="eastAsia" w:ascii="Times New Roman" w:hAnsi="Times New Roman" w:eastAsia="宋体" w:cs="Times New Roman"/>
          <w:bCs/>
          <w:snapToGrid w:val="0"/>
          <w:color w:val="auto"/>
          <w:sz w:val="24"/>
          <w:szCs w:val="22"/>
          <w:highlight w:val="none"/>
          <w:u w:val="none"/>
          <w:lang w:val="en-US" w:eastAsia="zh-CN" w:bidi="ar-SA"/>
        </w:rPr>
        <w:t>莫北转油站始建于2001年，分别于2002年、2012年进行了改扩建，站内设有原油转输系统和天然气生产系统，主要功能是转运整个莫北油气田所产原油、气田气以及伴生气，处理后油和伴生气输至石西联合处理站，气田气输至彩石克管网。</w:t>
      </w:r>
    </w:p>
    <w:p w14:paraId="7585071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Cs/>
          <w:snapToGrid w:val="0"/>
          <w:color w:val="auto"/>
          <w:sz w:val="24"/>
          <w:szCs w:val="22"/>
          <w:highlight w:val="none"/>
          <w:u w:val="none"/>
          <w:lang w:val="en-US" w:eastAsia="zh-CN" w:bidi="ar-SA"/>
        </w:rPr>
      </w:pPr>
      <w:r>
        <w:rPr>
          <w:rFonts w:hint="eastAsia" w:ascii="Times New Roman" w:hAnsi="Times New Roman" w:eastAsia="宋体" w:cs="Times New Roman"/>
          <w:bCs/>
          <w:snapToGrid w:val="0"/>
          <w:color w:val="auto"/>
          <w:sz w:val="24"/>
          <w:szCs w:val="22"/>
          <w:highlight w:val="none"/>
          <w:u w:val="none"/>
          <w:lang w:val="en-US" w:eastAsia="zh-CN" w:bidi="ar-SA"/>
        </w:rPr>
        <w:t>莫北转油站建设内容包含在《莫北转油站油水处理系统改造完善工程环境影响报告书》中，已于2016年5月取得批复（新环函〔2016〕560号 ），并于2019年12月完成自主验收工作。</w:t>
      </w:r>
    </w:p>
    <w:p w14:paraId="2F55787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snapToGrid w:val="0"/>
          <w:color w:val="auto"/>
          <w:kern w:val="0"/>
          <w:sz w:val="24"/>
          <w:szCs w:val="24"/>
          <w:highlight w:val="none"/>
          <w:u w:val="none"/>
          <w:lang w:bidi="zh-CN"/>
        </w:rPr>
      </w:pPr>
      <w:r>
        <w:rPr>
          <w:rFonts w:hint="eastAsia" w:ascii="Times New Roman" w:hAnsi="Times New Roman" w:eastAsia="宋体" w:cs="Times New Roman"/>
          <w:b/>
          <w:snapToGrid w:val="0"/>
          <w:color w:val="auto"/>
          <w:kern w:val="0"/>
          <w:sz w:val="24"/>
          <w:szCs w:val="24"/>
          <w:highlight w:val="none"/>
          <w:u w:val="none"/>
        </w:rPr>
        <w:t>（2）莫北转油站</w:t>
      </w:r>
      <w:r>
        <w:rPr>
          <w:rFonts w:ascii="Times New Roman" w:hAnsi="Times New Roman" w:eastAsia="宋体" w:cs="Times New Roman"/>
          <w:b/>
          <w:snapToGrid w:val="0"/>
          <w:color w:val="auto"/>
          <w:kern w:val="0"/>
          <w:sz w:val="24"/>
          <w:szCs w:val="24"/>
          <w:highlight w:val="none"/>
          <w:u w:val="none"/>
          <w:lang w:bidi="zh-CN"/>
        </w:rPr>
        <w:t>采出水处理系统</w:t>
      </w:r>
    </w:p>
    <w:p w14:paraId="09E244D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bCs/>
          <w:color w:val="auto"/>
          <w:kern w:val="0"/>
          <w:sz w:val="24"/>
          <w:szCs w:val="24"/>
          <w:highlight w:val="none"/>
          <w:u w:val="none"/>
        </w:rPr>
      </w:pPr>
      <w:r>
        <w:rPr>
          <w:rFonts w:ascii="Times New Roman" w:hAnsi="Times New Roman" w:eastAsia="宋体" w:cs="Times New Roman"/>
          <w:bCs/>
          <w:color w:val="auto"/>
          <w:kern w:val="0"/>
          <w:sz w:val="24"/>
          <w:szCs w:val="24"/>
          <w:highlight w:val="none"/>
          <w:u w:val="none"/>
        </w:rPr>
        <w:t>莫北转油站于2016 年建设一套处理规模为 1500m</w:t>
      </w:r>
      <w:r>
        <w:rPr>
          <w:rFonts w:ascii="Times New Roman" w:hAnsi="Times New Roman" w:eastAsia="宋体" w:cs="Times New Roman"/>
          <w:bCs/>
          <w:color w:val="auto"/>
          <w:kern w:val="0"/>
          <w:sz w:val="24"/>
          <w:szCs w:val="24"/>
          <w:highlight w:val="none"/>
          <w:u w:val="none"/>
          <w:vertAlign w:val="superscript"/>
        </w:rPr>
        <w:t>3</w:t>
      </w:r>
      <w:r>
        <w:rPr>
          <w:rFonts w:ascii="Times New Roman" w:hAnsi="Times New Roman" w:eastAsia="宋体" w:cs="Times New Roman"/>
          <w:bCs/>
          <w:color w:val="auto"/>
          <w:kern w:val="0"/>
          <w:sz w:val="24"/>
          <w:szCs w:val="24"/>
          <w:highlight w:val="none"/>
          <w:u w:val="none"/>
        </w:rPr>
        <w:t>/d的采出水处理装置，采用SGOT工艺，</w:t>
      </w:r>
      <w:r>
        <w:rPr>
          <w:rFonts w:hint="eastAsia" w:ascii="Times New Roman" w:hAnsi="Times New Roman" w:eastAsia="宋体" w:cs="Times New Roman"/>
          <w:bCs/>
          <w:color w:val="auto"/>
          <w:kern w:val="0"/>
          <w:sz w:val="24"/>
          <w:szCs w:val="24"/>
          <w:highlight w:val="none"/>
          <w:u w:val="none"/>
        </w:rPr>
        <w:t>油气</w:t>
      </w:r>
      <w:r>
        <w:rPr>
          <w:rFonts w:ascii="Times New Roman" w:hAnsi="Times New Roman" w:eastAsia="宋体" w:cs="Times New Roman"/>
          <w:bCs/>
          <w:color w:val="auto"/>
          <w:kern w:val="0"/>
          <w:sz w:val="24"/>
          <w:szCs w:val="24"/>
          <w:highlight w:val="none"/>
          <w:u w:val="none"/>
        </w:rPr>
        <w:t>预脱水系统来水进入SGOT双旋流除油器进行物理除油，除油器可去除大部分水体中的油。出水进入缓冲水罐，经泵提升后进入SGOT速沉器，在速沉器中投加絮凝剂、助凝剂，药剂与污水反应后出水进入SGOT过滤器，经过滤后出水进注水系统进行回注生产。</w:t>
      </w:r>
    </w:p>
    <w:p w14:paraId="488C976C">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bCs/>
          <w:color w:val="auto"/>
          <w:kern w:val="0"/>
          <w:sz w:val="24"/>
          <w:szCs w:val="24"/>
          <w:highlight w:val="none"/>
          <w:u w:val="none"/>
        </w:rPr>
      </w:pPr>
      <w:r>
        <w:rPr>
          <w:rFonts w:ascii="Times New Roman" w:hAnsi="Times New Roman" w:eastAsia="宋体" w:cs="Times New Roman"/>
          <w:bCs/>
          <w:color w:val="auto"/>
          <w:kern w:val="0"/>
          <w:sz w:val="24"/>
          <w:szCs w:val="24"/>
          <w:highlight w:val="none"/>
          <w:u w:val="none"/>
        </w:rPr>
        <w:t>采出水处理工艺流程</w:t>
      </w:r>
      <w:r>
        <w:rPr>
          <w:rFonts w:hint="eastAsia" w:ascii="Times New Roman" w:hAnsi="Times New Roman" w:eastAsia="宋体" w:cs="Times New Roman"/>
          <w:bCs/>
          <w:color w:val="auto"/>
          <w:kern w:val="0"/>
          <w:sz w:val="24"/>
          <w:szCs w:val="24"/>
          <w:highlight w:val="none"/>
          <w:u w:val="none"/>
          <w:lang w:eastAsia="zh-CN"/>
        </w:rPr>
        <w:t>，</w:t>
      </w:r>
      <w:r>
        <w:rPr>
          <w:rFonts w:ascii="Times New Roman" w:hAnsi="Times New Roman" w:eastAsia="宋体" w:cs="Times New Roman"/>
          <w:bCs/>
          <w:color w:val="auto"/>
          <w:kern w:val="0"/>
          <w:sz w:val="24"/>
          <w:szCs w:val="24"/>
          <w:highlight w:val="none"/>
          <w:u w:val="none"/>
        </w:rPr>
        <w:t>见图</w:t>
      </w:r>
      <w:r>
        <w:rPr>
          <w:rFonts w:hint="eastAsia" w:ascii="Times New Roman" w:hAnsi="Times New Roman" w:eastAsia="宋体" w:cs="Times New Roman"/>
          <w:bCs/>
          <w:color w:val="auto"/>
          <w:kern w:val="0"/>
          <w:sz w:val="24"/>
          <w:szCs w:val="24"/>
          <w:highlight w:val="none"/>
          <w:u w:val="none"/>
          <w:lang w:val="en-US" w:eastAsia="zh-CN"/>
        </w:rPr>
        <w:t>3.3-</w:t>
      </w:r>
      <w:r>
        <w:rPr>
          <w:rFonts w:hint="eastAsia" w:cs="Times New Roman"/>
          <w:bCs/>
          <w:color w:val="auto"/>
          <w:kern w:val="0"/>
          <w:sz w:val="24"/>
          <w:szCs w:val="24"/>
          <w:highlight w:val="none"/>
          <w:u w:val="none"/>
          <w:lang w:val="en-US" w:eastAsia="zh-CN"/>
        </w:rPr>
        <w:t>8</w:t>
      </w:r>
      <w:r>
        <w:rPr>
          <w:rFonts w:hint="eastAsia" w:ascii="Times New Roman" w:hAnsi="Times New Roman" w:eastAsia="宋体" w:cs="Times New Roman"/>
          <w:bCs/>
          <w:color w:val="auto"/>
          <w:kern w:val="0"/>
          <w:sz w:val="24"/>
          <w:szCs w:val="24"/>
          <w:highlight w:val="none"/>
          <w:u w:val="none"/>
        </w:rPr>
        <w:t>。</w:t>
      </w:r>
    </w:p>
    <w:p w14:paraId="47F268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snapToGrid w:val="0"/>
          <w:color w:val="auto"/>
          <w:kern w:val="0"/>
          <w:sz w:val="24"/>
          <w:szCs w:val="24"/>
          <w:highlight w:val="none"/>
          <w:u w:val="none"/>
        </w:rPr>
      </w:pPr>
      <w:r>
        <w:rPr>
          <w:rFonts w:hint="eastAsia" w:ascii="黑体" w:hAnsi="黑体" w:eastAsia="黑体" w:cs="黑体"/>
          <w:b w:val="0"/>
          <w:bCs/>
          <w:color w:val="auto"/>
          <w:kern w:val="2"/>
          <w:sz w:val="24"/>
          <w:szCs w:val="24"/>
          <w:u w:val="none"/>
          <w:lang w:val="en-US" w:eastAsia="zh-CN" w:bidi="ar-SA"/>
        </w:rPr>
        <w:drawing>
          <wp:anchor distT="0" distB="0" distL="114300" distR="114300" simplePos="0" relativeHeight="251696128" behindDoc="0" locked="0" layoutInCell="1" allowOverlap="1">
            <wp:simplePos x="0" y="0"/>
            <wp:positionH relativeFrom="column">
              <wp:posOffset>1905</wp:posOffset>
            </wp:positionH>
            <wp:positionV relativeFrom="paragraph">
              <wp:posOffset>24765</wp:posOffset>
            </wp:positionV>
            <wp:extent cx="5480685" cy="1928495"/>
            <wp:effectExtent l="9525" t="9525" r="15240" b="24130"/>
            <wp:wrapTopAndBottom/>
            <wp:docPr id="61" name="图片 10"/>
            <wp:cNvGraphicFramePr/>
            <a:graphic xmlns:a="http://schemas.openxmlformats.org/drawingml/2006/main">
              <a:graphicData uri="http://schemas.openxmlformats.org/drawingml/2006/picture">
                <pic:pic xmlns:pic="http://schemas.openxmlformats.org/drawingml/2006/picture">
                  <pic:nvPicPr>
                    <pic:cNvPr id="61" name="图片 10"/>
                    <pic:cNvPicPr/>
                  </pic:nvPicPr>
                  <pic:blipFill>
                    <a:blip r:embed="rId41"/>
                    <a:srcRect/>
                    <a:stretch>
                      <a:fillRect/>
                    </a:stretch>
                  </pic:blipFill>
                  <pic:spPr>
                    <a:xfrm>
                      <a:off x="0" y="0"/>
                      <a:ext cx="5480685" cy="1928495"/>
                    </a:xfrm>
                    <a:prstGeom prst="rect">
                      <a:avLst/>
                    </a:prstGeom>
                    <a:noFill/>
                    <a:ln w="9525">
                      <a:solidFill>
                        <a:schemeClr val="tx1"/>
                      </a:solidFill>
                      <a:miter lim="800000"/>
                      <a:headEnd/>
                      <a:tailEnd/>
                    </a:ln>
                  </pic:spPr>
                </pic:pic>
              </a:graphicData>
            </a:graphic>
          </wp:anchor>
        </w:drawing>
      </w:r>
      <w:r>
        <w:rPr>
          <w:rFonts w:hint="eastAsia" w:ascii="黑体" w:hAnsi="黑体" w:eastAsia="黑体" w:cs="黑体"/>
          <w:b w:val="0"/>
          <w:bCs/>
          <w:color w:val="auto"/>
          <w:kern w:val="2"/>
          <w:sz w:val="24"/>
          <w:szCs w:val="24"/>
          <w:u w:val="none"/>
          <w:lang w:val="zh-CN" w:eastAsia="zh-CN" w:bidi="ar-SA"/>
        </w:rPr>
        <w:t>图</w:t>
      </w:r>
      <w:r>
        <w:rPr>
          <w:rFonts w:hint="eastAsia" w:ascii="黑体" w:hAnsi="黑体" w:eastAsia="黑体" w:cs="黑体"/>
          <w:b w:val="0"/>
          <w:bCs/>
          <w:color w:val="auto"/>
          <w:kern w:val="2"/>
          <w:sz w:val="24"/>
          <w:szCs w:val="24"/>
          <w:u w:val="none"/>
          <w:lang w:val="en-US" w:eastAsia="zh-CN" w:bidi="ar-SA"/>
        </w:rPr>
        <w:t xml:space="preserve">3.3-8  </w:t>
      </w:r>
      <w:r>
        <w:rPr>
          <w:rFonts w:hint="eastAsia" w:ascii="黑体" w:hAnsi="黑体" w:eastAsia="黑体" w:cs="黑体"/>
          <w:b w:val="0"/>
          <w:bCs/>
          <w:color w:val="auto"/>
          <w:kern w:val="2"/>
          <w:sz w:val="24"/>
          <w:szCs w:val="24"/>
          <w:u w:val="none"/>
          <w:lang w:val="zh-CN" w:eastAsia="zh-CN" w:bidi="ar-SA"/>
        </w:rPr>
        <w:t>采出水处理流程框图</w:t>
      </w:r>
    </w:p>
    <w:bookmarkEnd w:id="238"/>
    <w:p w14:paraId="4B9A580C">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39" w:name="_Toc9243"/>
      <w:bookmarkStart w:id="240" w:name="_Toc109382919"/>
      <w:bookmarkStart w:id="241" w:name="_Toc13897"/>
      <w:r>
        <w:rPr>
          <w:rFonts w:hint="eastAsia" w:ascii="宋体" w:hAnsi="宋体" w:eastAsia="宋体" w:cs="宋体"/>
          <w:color w:val="auto"/>
          <w:u w:val="none"/>
          <w:lang w:val="en-US" w:eastAsia="zh-CN"/>
        </w:rPr>
        <w:t>3.3.</w:t>
      </w:r>
      <w:r>
        <w:rPr>
          <w:rFonts w:hint="eastAsia" w:ascii="宋体" w:hAnsi="宋体" w:cs="宋体"/>
          <w:color w:val="auto"/>
          <w:u w:val="none"/>
          <w:lang w:val="en-US" w:eastAsia="zh-CN"/>
        </w:rPr>
        <w:t>7</w:t>
      </w:r>
      <w:r>
        <w:rPr>
          <w:rFonts w:hint="eastAsia" w:ascii="宋体" w:hAnsi="宋体" w:eastAsia="宋体" w:cs="宋体"/>
          <w:color w:val="auto"/>
          <w:u w:val="none"/>
          <w:lang w:val="en-US" w:eastAsia="zh-CN"/>
        </w:rPr>
        <w:t>.</w:t>
      </w:r>
      <w:r>
        <w:rPr>
          <w:rFonts w:hint="eastAsia" w:ascii="宋体" w:hAnsi="宋体" w:cs="宋体"/>
          <w:color w:val="auto"/>
          <w:u w:val="none"/>
          <w:lang w:val="en-US" w:eastAsia="zh-CN"/>
        </w:rPr>
        <w:t xml:space="preserve">3 </w:t>
      </w:r>
      <w:r>
        <w:rPr>
          <w:rFonts w:hint="eastAsia" w:ascii="宋体" w:hAnsi="宋体" w:eastAsia="宋体" w:cs="宋体"/>
          <w:color w:val="auto"/>
          <w:u w:val="none"/>
          <w:lang w:val="en-US" w:eastAsia="zh-CN"/>
        </w:rPr>
        <w:t>依托可行性</w:t>
      </w:r>
    </w:p>
    <w:p w14:paraId="46089A5E">
      <w:pPr>
        <w:pStyle w:val="61"/>
        <w:keepNext w:val="0"/>
        <w:keepLines w:val="0"/>
        <w:pageBreakBefore w:val="0"/>
        <w:widowControl/>
        <w:kinsoku/>
        <w:wordWrap/>
        <w:overflowPunct/>
        <w:topLinePunct w:val="0"/>
        <w:autoSpaceDE/>
        <w:autoSpaceDN/>
        <w:bidi w:val="0"/>
        <w:adjustRightInd/>
        <w:snapToGrid/>
        <w:spacing w:line="480" w:lineRule="exact"/>
        <w:textAlignment w:val="auto"/>
        <w:rPr>
          <w:rFonts w:hint="eastAsia" w:eastAsia="宋体" w:cs="Times New Roman"/>
          <w:color w:val="auto"/>
          <w:u w:val="none"/>
          <w:lang w:val="en-US" w:eastAsia="zh-CN"/>
        </w:rPr>
      </w:pPr>
      <w:r>
        <w:rPr>
          <w:rFonts w:hint="eastAsia" w:cs="Times New Roman"/>
          <w:color w:val="auto"/>
          <w:u w:val="none"/>
          <w:lang w:val="en-US" w:eastAsia="zh-CN"/>
        </w:rPr>
        <w:t>本工程天然气依托</w:t>
      </w:r>
      <w:r>
        <w:rPr>
          <w:rFonts w:hint="eastAsia" w:ascii="Times New Roman" w:hAnsi="Times New Roman" w:eastAsia="宋体" w:cs="Times New Roman"/>
          <w:snapToGrid w:val="0"/>
          <w:color w:val="auto"/>
          <w:kern w:val="0"/>
          <w:sz w:val="24"/>
          <w:szCs w:val="24"/>
          <w:highlight w:val="none"/>
          <w:u w:val="none"/>
        </w:rPr>
        <w:t>莫7~莫11天然气处理系统</w:t>
      </w:r>
      <w:r>
        <w:rPr>
          <w:rFonts w:hint="eastAsia" w:eastAsia="宋体" w:cs="Times New Roman"/>
          <w:snapToGrid w:val="0"/>
          <w:color w:val="auto"/>
          <w:kern w:val="0"/>
          <w:sz w:val="24"/>
          <w:szCs w:val="24"/>
          <w:highlight w:val="none"/>
          <w:u w:val="none"/>
          <w:lang w:val="en-US" w:eastAsia="zh-CN"/>
        </w:rPr>
        <w:t>处理；</w:t>
      </w:r>
      <w:r>
        <w:rPr>
          <w:rFonts w:hint="eastAsia" w:cs="Times New Roman"/>
          <w:snapToGrid w:val="0"/>
          <w:color w:val="auto"/>
          <w:kern w:val="0"/>
          <w:sz w:val="24"/>
          <w:szCs w:val="24"/>
          <w:highlight w:val="none"/>
          <w:u w:val="none"/>
          <w:lang w:eastAsia="zh-CN"/>
        </w:rPr>
        <w:t>采出水依托</w:t>
      </w:r>
      <w:r>
        <w:rPr>
          <w:rFonts w:hint="eastAsia" w:cs="Times New Roman"/>
          <w:color w:val="auto"/>
          <w:u w:val="none"/>
          <w:lang w:val="en-US" w:eastAsia="zh-CN"/>
        </w:rPr>
        <w:t>莫北转油站采出水处理系统</w:t>
      </w:r>
      <w:r>
        <w:rPr>
          <w:rFonts w:hint="eastAsia" w:cs="Times New Roman"/>
          <w:snapToGrid w:val="0"/>
          <w:color w:val="auto"/>
          <w:kern w:val="0"/>
          <w:sz w:val="24"/>
          <w:szCs w:val="24"/>
          <w:highlight w:val="none"/>
          <w:u w:val="none"/>
          <w:lang w:eastAsia="zh-CN"/>
        </w:rPr>
        <w:t>处理。</w:t>
      </w:r>
    </w:p>
    <w:p w14:paraId="68AB387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snapToGrid w:val="0"/>
          <w:color w:val="auto"/>
          <w:kern w:val="0"/>
          <w:sz w:val="24"/>
          <w:szCs w:val="24"/>
          <w:highlight w:val="none"/>
          <w:u w:val="none"/>
          <w:lang w:val="en-US" w:eastAsia="zh-CN"/>
        </w:rPr>
      </w:pP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1</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天然气处理系统依托可行性</w:t>
      </w:r>
    </w:p>
    <w:p w14:paraId="434A849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snapToGrid w:val="0"/>
          <w:color w:val="auto"/>
          <w:kern w:val="0"/>
          <w:sz w:val="24"/>
          <w:szCs w:val="24"/>
          <w:highlight w:val="none"/>
          <w:u w:val="none"/>
        </w:rPr>
      </w:pPr>
      <w:r>
        <w:rPr>
          <w:rFonts w:hint="eastAsia" w:ascii="Times New Roman" w:hAnsi="Times New Roman" w:eastAsia="宋体" w:cs="Times New Roman"/>
          <w:snapToGrid w:val="0"/>
          <w:color w:val="auto"/>
          <w:kern w:val="0"/>
          <w:sz w:val="24"/>
          <w:szCs w:val="24"/>
          <w:highlight w:val="none"/>
          <w:u w:val="none"/>
        </w:rPr>
        <w:t>莫7~莫11天然气处理系统设计处理规模为</w:t>
      </w:r>
      <w:r>
        <w:rPr>
          <w:rFonts w:hint="eastAsia" w:cs="Times New Roman"/>
          <w:snapToGrid w:val="0"/>
          <w:color w:val="auto"/>
          <w:kern w:val="0"/>
          <w:sz w:val="24"/>
          <w:szCs w:val="24"/>
          <w:highlight w:val="none"/>
          <w:u w:val="none"/>
          <w:lang w:val="en-US" w:eastAsia="zh-CN"/>
        </w:rPr>
        <w:t>22</w:t>
      </w:r>
      <w:r>
        <w:rPr>
          <w:rFonts w:hint="eastAsia" w:ascii="Times New Roman" w:hAnsi="Times New Roman" w:eastAsia="宋体" w:cs="Times New Roman"/>
          <w:snapToGrid w:val="0"/>
          <w:color w:val="auto"/>
          <w:kern w:val="0"/>
          <w:sz w:val="24"/>
          <w:szCs w:val="24"/>
          <w:highlight w:val="none"/>
          <w:u w:val="none"/>
        </w:rPr>
        <w:t>×10</w:t>
      </w:r>
      <w:r>
        <w:rPr>
          <w:rFonts w:hint="eastAsia" w:ascii="Times New Roman" w:hAnsi="Times New Roman" w:eastAsia="宋体" w:cs="Times New Roman"/>
          <w:snapToGrid w:val="0"/>
          <w:color w:val="auto"/>
          <w:kern w:val="0"/>
          <w:sz w:val="24"/>
          <w:szCs w:val="24"/>
          <w:highlight w:val="none"/>
          <w:u w:val="none"/>
          <w:vertAlign w:val="superscript"/>
        </w:rPr>
        <w:t>4</w:t>
      </w:r>
      <w:r>
        <w:rPr>
          <w:rFonts w:hint="eastAsia" w:ascii="Times New Roman" w:hAnsi="Times New Roman" w:eastAsia="宋体" w:cs="Times New Roman"/>
          <w:snapToGrid w:val="0"/>
          <w:color w:val="auto"/>
          <w:kern w:val="0"/>
          <w:sz w:val="24"/>
          <w:szCs w:val="24"/>
          <w:highlight w:val="none"/>
          <w:u w:val="none"/>
        </w:rPr>
        <w:t>Nm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/d。目前实际处理量为</w:t>
      </w:r>
      <w:r>
        <w:rPr>
          <w:rFonts w:hint="eastAsia" w:cs="Times New Roman"/>
          <w:snapToGrid w:val="0"/>
          <w:color w:val="auto"/>
          <w:kern w:val="0"/>
          <w:sz w:val="24"/>
          <w:szCs w:val="24"/>
          <w:highlight w:val="none"/>
          <w:u w:val="none"/>
          <w:lang w:val="en-US" w:eastAsia="zh-CN"/>
        </w:rPr>
        <w:t>3</w:t>
      </w:r>
      <w:r>
        <w:rPr>
          <w:rFonts w:hint="eastAsia" w:ascii="Times New Roman" w:hAnsi="Times New Roman" w:eastAsia="宋体" w:cs="Times New Roman"/>
          <w:snapToGrid w:val="0"/>
          <w:color w:val="auto"/>
          <w:kern w:val="0"/>
          <w:sz w:val="24"/>
          <w:szCs w:val="24"/>
          <w:highlight w:val="none"/>
          <w:u w:val="none"/>
        </w:rPr>
        <w:t>×10</w:t>
      </w:r>
      <w:r>
        <w:rPr>
          <w:rFonts w:hint="eastAsia" w:ascii="Times New Roman" w:hAnsi="Times New Roman" w:eastAsia="宋体" w:cs="Times New Roman"/>
          <w:snapToGrid w:val="0"/>
          <w:color w:val="auto"/>
          <w:kern w:val="0"/>
          <w:sz w:val="24"/>
          <w:szCs w:val="24"/>
          <w:highlight w:val="none"/>
          <w:u w:val="none"/>
          <w:vertAlign w:val="superscript"/>
        </w:rPr>
        <w:t>4</w:t>
      </w:r>
      <w:r>
        <w:rPr>
          <w:rFonts w:hint="eastAsia" w:ascii="Times New Roman" w:hAnsi="Times New Roman" w:eastAsia="宋体" w:cs="Times New Roman"/>
          <w:snapToGrid w:val="0"/>
          <w:color w:val="auto"/>
          <w:kern w:val="0"/>
          <w:sz w:val="24"/>
          <w:szCs w:val="24"/>
          <w:highlight w:val="none"/>
          <w:u w:val="none"/>
        </w:rPr>
        <w:t>Nm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富余量约为19</w:t>
      </w:r>
      <w:r>
        <w:rPr>
          <w:rFonts w:hint="eastAsia" w:ascii="Times New Roman" w:hAnsi="Times New Roman" w:eastAsia="宋体" w:cs="Times New Roman"/>
          <w:snapToGrid w:val="0"/>
          <w:color w:val="auto"/>
          <w:kern w:val="0"/>
          <w:sz w:val="24"/>
          <w:szCs w:val="24"/>
          <w:highlight w:val="none"/>
          <w:u w:val="none"/>
        </w:rPr>
        <w:t>×10</w:t>
      </w:r>
      <w:r>
        <w:rPr>
          <w:rFonts w:hint="eastAsia" w:ascii="Times New Roman" w:hAnsi="Times New Roman" w:eastAsia="宋体" w:cs="Times New Roman"/>
          <w:snapToGrid w:val="0"/>
          <w:color w:val="auto"/>
          <w:kern w:val="0"/>
          <w:sz w:val="24"/>
          <w:szCs w:val="24"/>
          <w:highlight w:val="none"/>
          <w:u w:val="none"/>
          <w:vertAlign w:val="superscript"/>
        </w:rPr>
        <w:t>4</w:t>
      </w:r>
      <w:r>
        <w:rPr>
          <w:rFonts w:hint="eastAsia" w:ascii="Times New Roman" w:hAnsi="Times New Roman" w:eastAsia="宋体" w:cs="Times New Roman"/>
          <w:snapToGrid w:val="0"/>
          <w:color w:val="auto"/>
          <w:kern w:val="0"/>
          <w:sz w:val="24"/>
          <w:szCs w:val="24"/>
          <w:highlight w:val="none"/>
          <w:u w:val="none"/>
        </w:rPr>
        <w:t>Nm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w:t>
      </w:r>
      <w:r>
        <w:rPr>
          <w:rFonts w:hint="eastAsia" w:cs="Times New Roman"/>
          <w:snapToGrid w:val="0"/>
          <w:color w:val="auto"/>
          <w:kern w:val="0"/>
          <w:sz w:val="24"/>
          <w:szCs w:val="24"/>
          <w:highlight w:val="none"/>
          <w:u w:val="none"/>
          <w:lang w:val="en-US" w:eastAsia="zh-CN"/>
        </w:rPr>
        <w:t>本工程新增产气量5.15</w:t>
      </w:r>
      <w:r>
        <w:rPr>
          <w:rFonts w:hint="eastAsia" w:ascii="Times New Roman" w:hAnsi="Times New Roman" w:eastAsia="宋体" w:cs="Times New Roman"/>
          <w:snapToGrid w:val="0"/>
          <w:color w:val="auto"/>
          <w:kern w:val="0"/>
          <w:sz w:val="24"/>
          <w:szCs w:val="24"/>
          <w:highlight w:val="none"/>
          <w:u w:val="none"/>
        </w:rPr>
        <w:t>×10</w:t>
      </w:r>
      <w:r>
        <w:rPr>
          <w:rFonts w:hint="eastAsia" w:ascii="Times New Roman" w:hAnsi="Times New Roman" w:eastAsia="宋体" w:cs="Times New Roman"/>
          <w:snapToGrid w:val="0"/>
          <w:color w:val="auto"/>
          <w:kern w:val="0"/>
          <w:sz w:val="24"/>
          <w:szCs w:val="24"/>
          <w:highlight w:val="none"/>
          <w:u w:val="none"/>
          <w:vertAlign w:val="superscript"/>
        </w:rPr>
        <w:t>4</w:t>
      </w:r>
      <w:r>
        <w:rPr>
          <w:rFonts w:hint="eastAsia" w:ascii="Times New Roman" w:hAnsi="Times New Roman" w:eastAsia="宋体" w:cs="Times New Roman"/>
          <w:snapToGrid w:val="0"/>
          <w:color w:val="auto"/>
          <w:kern w:val="0"/>
          <w:sz w:val="24"/>
          <w:szCs w:val="24"/>
          <w:highlight w:val="none"/>
          <w:u w:val="none"/>
        </w:rPr>
        <w:t>Nm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依托可行</w:t>
      </w:r>
      <w:r>
        <w:rPr>
          <w:rFonts w:hint="eastAsia" w:ascii="Times New Roman" w:hAnsi="Times New Roman" w:eastAsia="宋体" w:cs="Times New Roman"/>
          <w:snapToGrid w:val="0"/>
          <w:color w:val="auto"/>
          <w:kern w:val="0"/>
          <w:sz w:val="24"/>
          <w:szCs w:val="24"/>
          <w:highlight w:val="none"/>
          <w:u w:val="none"/>
        </w:rPr>
        <w:t>。</w:t>
      </w:r>
    </w:p>
    <w:p w14:paraId="0C2C27D6">
      <w:pPr>
        <w:widowControl/>
        <w:spacing w:line="360" w:lineRule="auto"/>
        <w:ind w:firstLine="480" w:firstLineChars="200"/>
        <w:jc w:val="both"/>
        <w:rPr>
          <w:rFonts w:hint="default" w:ascii="Times New Roman" w:hAnsi="Times New Roman" w:eastAsia="宋体" w:cs="Times New Roman"/>
          <w:snapToGrid w:val="0"/>
          <w:color w:val="auto"/>
          <w:kern w:val="0"/>
          <w:sz w:val="24"/>
          <w:szCs w:val="24"/>
          <w:highlight w:val="none"/>
          <w:u w:val="none"/>
          <w:lang w:val="en-US" w:eastAsia="zh-CN"/>
        </w:rPr>
      </w:pP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2</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采出水处理依托可行性</w:t>
      </w:r>
    </w:p>
    <w:p w14:paraId="0688BD4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snapToGrid w:val="0"/>
          <w:color w:val="auto"/>
          <w:kern w:val="0"/>
          <w:sz w:val="24"/>
          <w:szCs w:val="24"/>
          <w:highlight w:val="none"/>
          <w:u w:val="none"/>
        </w:rPr>
      </w:pPr>
      <w:r>
        <w:rPr>
          <w:rFonts w:hint="eastAsia" w:ascii="Times New Roman" w:hAnsi="Times New Roman" w:eastAsia="宋体" w:cs="Times New Roman"/>
          <w:snapToGrid w:val="0"/>
          <w:color w:val="auto"/>
          <w:kern w:val="0"/>
          <w:sz w:val="24"/>
          <w:szCs w:val="24"/>
          <w:highlight w:val="none"/>
          <w:u w:val="none"/>
        </w:rPr>
        <w:t>莫北转油站</w:t>
      </w:r>
      <w:r>
        <w:rPr>
          <w:rFonts w:hint="eastAsia" w:cs="Times New Roman"/>
          <w:snapToGrid w:val="0"/>
          <w:color w:val="auto"/>
          <w:kern w:val="0"/>
          <w:sz w:val="24"/>
          <w:szCs w:val="24"/>
          <w:highlight w:val="none"/>
          <w:u w:val="none"/>
          <w:lang w:val="en-US" w:eastAsia="zh-CN"/>
        </w:rPr>
        <w:t>采出水处理系统设计</w:t>
      </w:r>
      <w:r>
        <w:rPr>
          <w:rFonts w:hint="eastAsia" w:ascii="Times New Roman" w:hAnsi="Times New Roman" w:eastAsia="宋体" w:cs="Times New Roman"/>
          <w:snapToGrid w:val="0"/>
          <w:color w:val="auto"/>
          <w:kern w:val="0"/>
          <w:sz w:val="24"/>
          <w:szCs w:val="24"/>
          <w:highlight w:val="none"/>
          <w:u w:val="none"/>
        </w:rPr>
        <w:t>规模为 1500m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/d，目前转油站采出水量约</w:t>
      </w:r>
      <w:r>
        <w:rPr>
          <w:rFonts w:hint="eastAsia" w:eastAsia="宋体" w:cs="Times New Roman"/>
          <w:snapToGrid w:val="0"/>
          <w:color w:val="auto"/>
          <w:kern w:val="0"/>
          <w:sz w:val="24"/>
          <w:szCs w:val="24"/>
          <w:highlight w:val="none"/>
          <w:u w:val="none"/>
          <w:lang w:val="en-US" w:eastAsia="zh-CN"/>
        </w:rPr>
        <w:t>500-600</w:t>
      </w:r>
      <w:r>
        <w:rPr>
          <w:rFonts w:hint="eastAsia" w:ascii="Times New Roman" w:hAnsi="Times New Roman" w:eastAsia="宋体" w:cs="Times New Roman"/>
          <w:snapToGrid w:val="0"/>
          <w:color w:val="auto"/>
          <w:kern w:val="0"/>
          <w:sz w:val="24"/>
          <w:szCs w:val="24"/>
          <w:highlight w:val="none"/>
          <w:u w:val="none"/>
        </w:rPr>
        <w:t>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富余量约为900</w:t>
      </w:r>
      <w:r>
        <w:rPr>
          <w:rFonts w:hint="eastAsia" w:ascii="Times New Roman" w:hAnsi="Times New Roman" w:eastAsia="宋体" w:cs="Times New Roman"/>
          <w:snapToGrid w:val="0"/>
          <w:color w:val="auto"/>
          <w:kern w:val="0"/>
          <w:sz w:val="24"/>
          <w:szCs w:val="24"/>
          <w:highlight w:val="none"/>
          <w:u w:val="none"/>
        </w:rPr>
        <w:t>m</w:t>
      </w:r>
      <w:r>
        <w:rPr>
          <w:rFonts w:hint="eastAsia" w:ascii="Times New Roman" w:hAnsi="Times New Roman" w:eastAsia="宋体" w:cs="Times New Roman"/>
          <w:snapToGrid w:val="0"/>
          <w:color w:val="auto"/>
          <w:kern w:val="0"/>
          <w:sz w:val="24"/>
          <w:szCs w:val="24"/>
          <w:highlight w:val="none"/>
          <w:u w:val="none"/>
          <w:vertAlign w:val="superscript"/>
        </w:rPr>
        <w:t>3</w:t>
      </w:r>
      <w:r>
        <w:rPr>
          <w:rFonts w:hint="eastAsia" w:ascii="Times New Roman" w:hAnsi="Times New Roman" w:eastAsia="宋体" w:cs="Times New Roman"/>
          <w:snapToGrid w:val="0"/>
          <w:color w:val="auto"/>
          <w:kern w:val="0"/>
          <w:sz w:val="24"/>
          <w:szCs w:val="24"/>
          <w:highlight w:val="none"/>
          <w:u w:val="none"/>
        </w:rPr>
        <w:t>/d</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本工程新部署的3口采气井，</w:t>
      </w:r>
      <w:r>
        <w:rPr>
          <w:rFonts w:hint="default" w:ascii="Times New Roman" w:hAnsi="Times New Roman" w:eastAsia="宋体" w:cs="Times New Roman"/>
          <w:color w:val="auto"/>
          <w:sz w:val="24"/>
          <w:szCs w:val="24"/>
          <w:highlight w:val="none"/>
          <w:u w:val="none"/>
          <w:lang w:val="en-US" w:eastAsia="zh-CN"/>
        </w:rPr>
        <w:t>根据方案预测</w:t>
      </w:r>
      <w:r>
        <w:rPr>
          <w:rFonts w:hint="eastAsia" w:eastAsia="宋体" w:cs="Times New Roman"/>
          <w:color w:val="auto"/>
          <w:sz w:val="24"/>
          <w:szCs w:val="24"/>
          <w:highlight w:val="none"/>
          <w:u w:val="none"/>
          <w:lang w:val="en-US" w:eastAsia="zh-CN"/>
        </w:rPr>
        <w:t>，</w:t>
      </w:r>
      <w:r>
        <w:rPr>
          <w:rFonts w:hint="eastAsia" w:cs="Times New Roman"/>
          <w:snapToGrid w:val="0"/>
          <w:color w:val="auto"/>
          <w:kern w:val="0"/>
          <w:sz w:val="24"/>
          <w:szCs w:val="24"/>
          <w:highlight w:val="none"/>
          <w:u w:val="none"/>
          <w:lang w:val="en-US" w:eastAsia="zh-CN"/>
        </w:rPr>
        <w:t>最大产水量2.41</w:t>
      </w:r>
      <w:r>
        <w:rPr>
          <w:rFonts w:hint="eastAsia" w:ascii="Times New Roman" w:hAnsi="Times New Roman" w:eastAsia="宋体" w:cs="Times New Roman"/>
          <w:snapToGrid w:val="0"/>
          <w:color w:val="auto"/>
          <w:kern w:val="0"/>
          <w:sz w:val="24"/>
          <w:szCs w:val="24"/>
          <w:highlight w:val="none"/>
          <w:u w:val="none"/>
        </w:rPr>
        <w:t>×10</w:t>
      </w:r>
      <w:r>
        <w:rPr>
          <w:rFonts w:hint="eastAsia" w:ascii="Times New Roman" w:hAnsi="Times New Roman" w:eastAsia="宋体" w:cs="Times New Roman"/>
          <w:snapToGrid w:val="0"/>
          <w:color w:val="auto"/>
          <w:kern w:val="0"/>
          <w:sz w:val="24"/>
          <w:szCs w:val="24"/>
          <w:highlight w:val="none"/>
          <w:u w:val="none"/>
          <w:vertAlign w:val="superscript"/>
        </w:rPr>
        <w:t>4</w:t>
      </w:r>
      <w:r>
        <w:rPr>
          <w:rFonts w:hint="eastAsia" w:ascii="Times New Roman" w:hAnsi="Times New Roman" w:eastAsia="宋体" w:cs="Times New Roman"/>
          <w:snapToGrid w:val="0"/>
          <w:color w:val="auto"/>
          <w:kern w:val="0"/>
          <w:sz w:val="24"/>
          <w:szCs w:val="24"/>
          <w:highlight w:val="none"/>
          <w:u w:val="none"/>
        </w:rPr>
        <w:t>t/a</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73</w:t>
      </w:r>
      <w:r>
        <w:rPr>
          <w:rFonts w:hint="eastAsia" w:ascii="Times New Roman" w:hAnsi="Times New Roman" w:eastAsia="宋体" w:cs="Times New Roman"/>
          <w:snapToGrid w:val="0"/>
          <w:color w:val="auto"/>
          <w:kern w:val="0"/>
          <w:sz w:val="24"/>
          <w:szCs w:val="24"/>
          <w:highlight w:val="none"/>
          <w:u w:val="none"/>
        </w:rPr>
        <w:t>t/</w:t>
      </w:r>
      <w:r>
        <w:rPr>
          <w:rFonts w:hint="eastAsia" w:cs="Times New Roman"/>
          <w:snapToGrid w:val="0"/>
          <w:color w:val="auto"/>
          <w:kern w:val="0"/>
          <w:sz w:val="24"/>
          <w:szCs w:val="24"/>
          <w:highlight w:val="none"/>
          <w:u w:val="none"/>
          <w:lang w:val="en-US" w:eastAsia="zh-CN"/>
        </w:rPr>
        <w:t>d</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依托可行</w:t>
      </w:r>
      <w:r>
        <w:rPr>
          <w:rFonts w:hint="eastAsia" w:ascii="Times New Roman" w:hAnsi="Times New Roman" w:eastAsia="宋体" w:cs="Times New Roman"/>
          <w:snapToGrid w:val="0"/>
          <w:color w:val="auto"/>
          <w:kern w:val="0"/>
          <w:sz w:val="24"/>
          <w:szCs w:val="24"/>
          <w:highlight w:val="none"/>
          <w:u w:val="none"/>
        </w:rPr>
        <w:t>。</w:t>
      </w:r>
    </w:p>
    <w:p w14:paraId="03C43D1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snapToGrid w:val="0"/>
          <w:color w:val="auto"/>
          <w:kern w:val="0"/>
          <w:sz w:val="24"/>
          <w:szCs w:val="24"/>
          <w:highlight w:val="none"/>
          <w:u w:val="none"/>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ascii="Times New Roman" w:hAnsi="Times New Roman" w:eastAsia="宋体" w:cs="Times New Roman"/>
          <w:snapToGrid w:val="0"/>
          <w:color w:val="auto"/>
          <w:kern w:val="0"/>
          <w:sz w:val="24"/>
          <w:szCs w:val="24"/>
          <w:highlight w:val="none"/>
          <w:u w:val="none"/>
        </w:rPr>
        <w:t>本工程与依托工程位置关系图见图3.3-</w:t>
      </w:r>
      <w:r>
        <w:rPr>
          <w:rFonts w:hint="eastAsia" w:cs="Times New Roman"/>
          <w:snapToGrid w:val="0"/>
          <w:color w:val="auto"/>
          <w:kern w:val="0"/>
          <w:sz w:val="24"/>
          <w:szCs w:val="24"/>
          <w:highlight w:val="none"/>
          <w:u w:val="none"/>
          <w:lang w:val="en-US" w:eastAsia="zh-CN"/>
        </w:rPr>
        <w:t>9</w:t>
      </w:r>
      <w:r>
        <w:rPr>
          <w:rFonts w:hint="eastAsia" w:ascii="Times New Roman" w:hAnsi="Times New Roman" w:eastAsia="宋体" w:cs="Times New Roman"/>
          <w:snapToGrid w:val="0"/>
          <w:color w:val="auto"/>
          <w:kern w:val="0"/>
          <w:sz w:val="24"/>
          <w:szCs w:val="24"/>
          <w:highlight w:val="none"/>
          <w:u w:val="none"/>
        </w:rPr>
        <w:t>。</w:t>
      </w:r>
    </w:p>
    <w:p w14:paraId="4B29DEC7">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宋体" w:cs="Times New Roman"/>
          <w:snapToGrid w:val="0"/>
          <w:color w:val="auto"/>
          <w:kern w:val="0"/>
          <w:sz w:val="24"/>
          <w:szCs w:val="24"/>
          <w:highlight w:val="none"/>
          <w:u w:val="none"/>
          <w:lang w:eastAsia="zh-CN"/>
        </w:rPr>
        <w:sectPr>
          <w:pgSz w:w="16838" w:h="11906" w:orient="landscape"/>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AndChars" w:linePitch="312" w:charSpace="0"/>
        </w:sectPr>
      </w:pPr>
      <w:r>
        <w:rPr>
          <w:rFonts w:hint="eastAsia" w:ascii="Times New Roman" w:hAnsi="Times New Roman" w:eastAsia="宋体" w:cs="Times New Roman"/>
          <w:snapToGrid w:val="0"/>
          <w:color w:val="auto"/>
          <w:kern w:val="0"/>
          <w:sz w:val="24"/>
          <w:szCs w:val="24"/>
          <w:highlight w:val="none"/>
          <w:u w:val="none"/>
          <w:lang w:eastAsia="zh-CN"/>
        </w:rPr>
        <w:drawing>
          <wp:anchor distT="0" distB="0" distL="114300" distR="114300" simplePos="0" relativeHeight="251718656" behindDoc="0" locked="0" layoutInCell="1" allowOverlap="1">
            <wp:simplePos x="0" y="0"/>
            <wp:positionH relativeFrom="column">
              <wp:posOffset>542925</wp:posOffset>
            </wp:positionH>
            <wp:positionV relativeFrom="paragraph">
              <wp:posOffset>75565</wp:posOffset>
            </wp:positionV>
            <wp:extent cx="8693150" cy="6144260"/>
            <wp:effectExtent l="0" t="0" r="12700" b="8890"/>
            <wp:wrapTopAndBottom/>
            <wp:docPr id="110" name="图片 110" descr="依托工程位置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依托工程位置关系"/>
                    <pic:cNvPicPr>
                      <a:picLocks noChangeAspect="1"/>
                    </pic:cNvPicPr>
                  </pic:nvPicPr>
                  <pic:blipFill>
                    <a:blip r:embed="rId42"/>
                    <a:stretch>
                      <a:fillRect/>
                    </a:stretch>
                  </pic:blipFill>
                  <pic:spPr>
                    <a:xfrm>
                      <a:off x="0" y="0"/>
                      <a:ext cx="8693150" cy="6144260"/>
                    </a:xfrm>
                    <a:prstGeom prst="rect">
                      <a:avLst/>
                    </a:prstGeom>
                  </pic:spPr>
                </pic:pic>
              </a:graphicData>
            </a:graphic>
          </wp:anchor>
        </w:drawing>
      </w:r>
      <w:r>
        <w:rPr>
          <w:rFonts w:hint="eastAsia" w:ascii="黑体" w:hAnsi="黑体" w:eastAsia="黑体" w:cs="黑体"/>
          <w:b w:val="0"/>
          <w:bCs/>
          <w:color w:val="auto"/>
          <w:kern w:val="2"/>
          <w:sz w:val="24"/>
          <w:szCs w:val="24"/>
          <w:u w:val="none"/>
          <w:lang w:val="zh-CN" w:eastAsia="zh-CN" w:bidi="ar-SA"/>
        </w:rPr>
        <w:t>图</w:t>
      </w:r>
      <w:r>
        <w:rPr>
          <w:rFonts w:hint="eastAsia" w:ascii="黑体" w:hAnsi="黑体" w:eastAsia="黑体" w:cs="黑体"/>
          <w:b w:val="0"/>
          <w:bCs/>
          <w:color w:val="auto"/>
          <w:kern w:val="2"/>
          <w:sz w:val="24"/>
          <w:szCs w:val="24"/>
          <w:u w:val="none"/>
          <w:lang w:val="en-US" w:eastAsia="zh-CN" w:bidi="ar-SA"/>
        </w:rPr>
        <w:t xml:space="preserve">3.3-9  </w:t>
      </w:r>
      <w:r>
        <w:rPr>
          <w:rFonts w:hint="eastAsia" w:ascii="黑体" w:hAnsi="黑体" w:eastAsia="黑体" w:cs="黑体"/>
          <w:b w:val="0"/>
          <w:bCs/>
          <w:color w:val="auto"/>
          <w:kern w:val="2"/>
          <w:sz w:val="24"/>
          <w:szCs w:val="24"/>
          <w:u w:val="none"/>
          <w:lang w:val="zh-CN" w:eastAsia="zh-CN" w:bidi="ar-SA"/>
        </w:rPr>
        <w:t>本工程与依托工程位置关系图</w:t>
      </w:r>
    </w:p>
    <w:p w14:paraId="7A713ED7">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242" w:name="_Toc1737"/>
      <w:r>
        <w:rPr>
          <w:rFonts w:hint="default" w:ascii="黑体" w:hAnsi="黑体" w:eastAsia="黑体" w:cs="黑体"/>
          <w:color w:val="auto"/>
          <w:sz w:val="28"/>
          <w:szCs w:val="28"/>
          <w:u w:val="none"/>
          <w:lang w:val="en-US" w:eastAsia="zh-CN"/>
        </w:rPr>
        <w:t>3.</w:t>
      </w:r>
      <w:r>
        <w:rPr>
          <w:rFonts w:hint="eastAsia" w:ascii="黑体" w:hAnsi="黑体" w:eastAsia="黑体" w:cs="黑体"/>
          <w:color w:val="auto"/>
          <w:sz w:val="28"/>
          <w:szCs w:val="28"/>
          <w:u w:val="none"/>
          <w:lang w:val="en-US" w:eastAsia="zh-CN"/>
        </w:rPr>
        <w:t xml:space="preserve">4 </w:t>
      </w:r>
      <w:r>
        <w:rPr>
          <w:rFonts w:hint="default" w:ascii="黑体" w:hAnsi="黑体" w:eastAsia="黑体" w:cs="黑体"/>
          <w:color w:val="auto"/>
          <w:sz w:val="28"/>
          <w:szCs w:val="28"/>
          <w:u w:val="none"/>
          <w:lang w:val="en-US" w:eastAsia="zh-CN"/>
        </w:rPr>
        <w:t>工程分析</w:t>
      </w:r>
      <w:bookmarkEnd w:id="239"/>
      <w:bookmarkEnd w:id="240"/>
      <w:bookmarkEnd w:id="241"/>
      <w:bookmarkEnd w:id="242"/>
    </w:p>
    <w:p w14:paraId="0956345A">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243" w:name="_Toc66979812"/>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主要生产工艺过程</w:t>
      </w:r>
    </w:p>
    <w:p w14:paraId="22B4A6E4">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44" w:name="_Toc25534"/>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4</w:t>
      </w:r>
      <w:r>
        <w:rPr>
          <w:rFonts w:hint="default" w:ascii="宋体" w:hAnsi="宋体" w:eastAsia="宋体" w:cs="宋体"/>
          <w:color w:val="auto"/>
          <w:u w:val="none"/>
          <w:lang w:val="en-US" w:eastAsia="zh-CN"/>
        </w:rPr>
        <w:t>.1.1</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施工期</w:t>
      </w:r>
      <w:bookmarkEnd w:id="244"/>
    </w:p>
    <w:p w14:paraId="6C54F7BC">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bookmarkStart w:id="245" w:name="_Toc8970"/>
      <w:bookmarkStart w:id="246" w:name="_Toc17526"/>
      <w:bookmarkStart w:id="247" w:name="_Toc14116"/>
      <w:bookmarkStart w:id="248" w:name="_Toc19549"/>
      <w:bookmarkStart w:id="249" w:name="_Toc23533"/>
      <w:bookmarkStart w:id="250" w:name="_Toc2453"/>
      <w:bookmarkStart w:id="251" w:name="_Toc8258"/>
      <w:r>
        <w:rPr>
          <w:rFonts w:hint="eastAsia" w:ascii="宋体" w:hAnsi="宋体" w:eastAsia="宋体" w:cs="宋体"/>
          <w:color w:val="auto"/>
          <w:sz w:val="24"/>
          <w:u w:val="none"/>
          <w:lang w:eastAsia="zh-CN"/>
        </w:rPr>
        <w:t>（</w:t>
      </w:r>
      <w:r>
        <w:rPr>
          <w:rFonts w:hint="eastAsia" w:ascii="宋体" w:hAnsi="宋体" w:eastAsia="宋体" w:cs="宋体"/>
          <w:color w:val="auto"/>
          <w:sz w:val="24"/>
          <w:u w:val="none"/>
          <w:lang w:val="en-US" w:eastAsia="zh-CN"/>
        </w:rPr>
        <w:t>1</w:t>
      </w:r>
      <w:r>
        <w:rPr>
          <w:rFonts w:hint="eastAsia" w:ascii="宋体" w:hAnsi="宋体" w:eastAsia="宋体" w:cs="宋体"/>
          <w:color w:val="auto"/>
          <w:sz w:val="24"/>
          <w:u w:val="none"/>
          <w:lang w:eastAsia="zh-CN"/>
        </w:rPr>
        <w:t>）钻</w:t>
      </w:r>
      <w:r>
        <w:rPr>
          <w:rFonts w:hint="default" w:ascii="宋体" w:hAnsi="宋体" w:eastAsia="宋体" w:cs="宋体"/>
          <w:color w:val="auto"/>
          <w:sz w:val="24"/>
          <w:u w:val="none"/>
          <w:lang w:eastAsia="zh-CN"/>
        </w:rPr>
        <w:t>井</w:t>
      </w:r>
    </w:p>
    <w:p w14:paraId="4F23E21F">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r>
        <w:rPr>
          <w:rFonts w:hint="eastAsia" w:ascii="宋体" w:hAnsi="宋体" w:eastAsia="宋体" w:cs="宋体"/>
          <w:color w:val="auto"/>
          <w:sz w:val="24"/>
          <w:u w:val="none"/>
          <w:lang w:eastAsia="zh-CN"/>
        </w:rPr>
        <w:t>本工程新钻采</w:t>
      </w:r>
      <w:r>
        <w:rPr>
          <w:rFonts w:hint="eastAsia" w:ascii="宋体" w:hAnsi="宋体" w:eastAsia="宋体" w:cs="宋体"/>
          <w:color w:val="auto"/>
          <w:sz w:val="24"/>
          <w:u w:val="none"/>
          <w:lang w:val="en-US" w:eastAsia="zh-CN"/>
        </w:rPr>
        <w:t>气</w:t>
      </w:r>
      <w:r>
        <w:rPr>
          <w:rFonts w:hint="eastAsia" w:ascii="宋体" w:hAnsi="宋体" w:eastAsia="宋体" w:cs="宋体"/>
          <w:color w:val="auto"/>
          <w:sz w:val="24"/>
          <w:u w:val="none"/>
          <w:lang w:eastAsia="zh-CN"/>
        </w:rPr>
        <w:t>井</w:t>
      </w:r>
      <w:r>
        <w:rPr>
          <w:rFonts w:hint="eastAsia" w:ascii="宋体" w:hAnsi="宋体" w:eastAsia="宋体" w:cs="宋体"/>
          <w:color w:val="auto"/>
          <w:sz w:val="24"/>
          <w:u w:val="none"/>
          <w:lang w:val="en-US" w:eastAsia="zh-CN"/>
        </w:rPr>
        <w:t>3</w:t>
      </w:r>
      <w:r>
        <w:rPr>
          <w:rFonts w:hint="eastAsia" w:ascii="宋体" w:hAnsi="宋体" w:eastAsia="宋体" w:cs="宋体"/>
          <w:color w:val="auto"/>
          <w:sz w:val="24"/>
          <w:u w:val="none"/>
          <w:lang w:eastAsia="zh-CN"/>
        </w:rPr>
        <w:t>口（MBHW6006井、MBHW6008井、MBHW6009井），钻井</w:t>
      </w:r>
      <w:r>
        <w:rPr>
          <w:rFonts w:hint="eastAsia" w:ascii="宋体" w:hAnsi="宋体" w:eastAsia="宋体" w:cs="宋体"/>
          <w:color w:val="auto"/>
          <w:sz w:val="24"/>
          <w:u w:val="none"/>
          <w:lang w:val="en-US" w:eastAsia="zh-CN"/>
        </w:rPr>
        <w:t>总</w:t>
      </w:r>
      <w:r>
        <w:rPr>
          <w:rFonts w:hint="eastAsia" w:ascii="宋体" w:hAnsi="宋体" w:eastAsia="宋体" w:cs="宋体"/>
          <w:color w:val="auto"/>
          <w:sz w:val="24"/>
          <w:u w:val="none"/>
          <w:lang w:eastAsia="zh-CN"/>
        </w:rPr>
        <w:t>进尺</w:t>
      </w:r>
      <w:r>
        <w:rPr>
          <w:rFonts w:hint="eastAsia" w:ascii="宋体" w:hAnsi="宋体" w:eastAsia="宋体" w:cs="宋体"/>
          <w:color w:val="auto"/>
          <w:sz w:val="24"/>
          <w:u w:val="none"/>
          <w:lang w:val="en-US" w:eastAsia="zh-CN"/>
        </w:rPr>
        <w:t>16830</w:t>
      </w:r>
      <w:r>
        <w:rPr>
          <w:rFonts w:hint="eastAsia" w:ascii="宋体" w:hAnsi="宋体" w:eastAsia="宋体" w:cs="宋体"/>
          <w:color w:val="auto"/>
          <w:sz w:val="24"/>
          <w:u w:val="none"/>
          <w:lang w:eastAsia="zh-CN"/>
        </w:rPr>
        <w:t>m，单井钻井周期为</w:t>
      </w:r>
      <w:r>
        <w:rPr>
          <w:rFonts w:hint="eastAsia" w:ascii="宋体" w:hAnsi="宋体" w:eastAsia="宋体" w:cs="宋体"/>
          <w:color w:val="auto"/>
          <w:sz w:val="24"/>
          <w:u w:val="none"/>
          <w:lang w:val="en-US" w:eastAsia="zh-CN"/>
        </w:rPr>
        <w:t>90</w:t>
      </w:r>
      <w:r>
        <w:rPr>
          <w:rFonts w:hint="eastAsia" w:ascii="宋体" w:hAnsi="宋体" w:eastAsia="宋体" w:cs="宋体"/>
          <w:color w:val="auto"/>
          <w:sz w:val="24"/>
          <w:u w:val="none"/>
          <w:lang w:eastAsia="zh-CN"/>
        </w:rPr>
        <w:t>天。</w:t>
      </w:r>
    </w:p>
    <w:p w14:paraId="0EAF6B38">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r>
        <w:rPr>
          <w:rFonts w:hint="eastAsia" w:ascii="宋体" w:hAnsi="宋体" w:eastAsia="宋体" w:cs="宋体"/>
          <w:color w:val="auto"/>
          <w:sz w:val="24"/>
          <w:u w:val="none"/>
          <w:lang w:eastAsia="zh-CN"/>
        </w:rPr>
        <w:t>工艺包括钻前准备、钻井、固井（下套管、注水泥）、测井、录井和完井等过程。</w:t>
      </w:r>
    </w:p>
    <w:p w14:paraId="28DA3F16">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1）钻前工程</w:t>
      </w:r>
    </w:p>
    <w:p w14:paraId="521EF620">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①井场建设</w:t>
      </w:r>
    </w:p>
    <w:p w14:paraId="29BF0346">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eastAsia="zh-CN"/>
        </w:rPr>
        <w:t>根据井场平面布置图，首先对井场进行初步平整，然后采用挖掘机进行应急池、放喷池等池体开挖作业，并利用应急池、放喷池等的挖方进行填方作业，对场地进行平整。场地平整作业结束后，进行设备基础、池体防渗层的建设。</w:t>
      </w:r>
      <w:r>
        <w:rPr>
          <w:rFonts w:hint="eastAsia" w:ascii="宋体" w:hAnsi="宋体" w:eastAsia="宋体" w:cs="宋体"/>
          <w:color w:val="auto"/>
          <w:sz w:val="24"/>
          <w:u w:val="none"/>
          <w:lang w:val="en-US" w:eastAsia="zh-CN"/>
        </w:rPr>
        <w:t>本工程井场设置临时堆土场区，覆盖防尘网或者防尘布，配合定期洒水等措施，防止风蚀起尘；临时堆土场区四周布设不低于堆放物高度的围挡物挡土，避免造成水土流失。</w:t>
      </w:r>
    </w:p>
    <w:p w14:paraId="5EA2AEFD">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eastAsia" w:ascii="宋体" w:hAnsi="宋体" w:eastAsia="宋体" w:cs="宋体"/>
          <w:color w:val="auto"/>
          <w:sz w:val="24"/>
          <w:u w:val="none"/>
          <w:lang w:val="en-US" w:eastAsia="zh-CN"/>
        </w:rPr>
        <w:t>②</w:t>
      </w:r>
      <w:r>
        <w:rPr>
          <w:rFonts w:hint="default" w:ascii="宋体" w:hAnsi="宋体" w:eastAsia="宋体" w:cs="宋体"/>
          <w:color w:val="auto"/>
          <w:sz w:val="24"/>
          <w:u w:val="none"/>
          <w:lang w:eastAsia="zh-CN"/>
        </w:rPr>
        <w:t>设备搬运及安装</w:t>
      </w:r>
    </w:p>
    <w:p w14:paraId="25A432F7">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进场道路及井场修建完成后，由运输车辆将各类设备逐步运至井场，并按井场平面布置所示位置进行安装，通过检查满足钻井要求时开始进行钻井工程。</w:t>
      </w:r>
    </w:p>
    <w:p w14:paraId="5A6DA145">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u w:val="none"/>
        </w:rPr>
      </w:pPr>
      <w:r>
        <w:rPr>
          <w:rFonts w:hint="default" w:ascii="宋体" w:hAnsi="宋体" w:eastAsia="宋体" w:cs="宋体"/>
          <w:color w:val="auto"/>
          <w:sz w:val="24"/>
          <w:u w:val="none"/>
          <w:lang w:eastAsia="zh-CN"/>
        </w:rPr>
        <w:t>钻前工程施工过程及产污环节见图</w:t>
      </w:r>
      <w:r>
        <w:rPr>
          <w:rFonts w:hint="default" w:ascii="宋体" w:hAnsi="宋体" w:eastAsia="宋体" w:cs="宋体"/>
          <w:color w:val="auto"/>
          <w:sz w:val="24"/>
          <w:u w:val="none"/>
          <w:lang w:val="en-US" w:eastAsia="zh-CN"/>
        </w:rPr>
        <w:t>3.</w:t>
      </w:r>
      <w:r>
        <w:rPr>
          <w:rFonts w:hint="eastAsia" w:ascii="宋体" w:hAnsi="宋体" w:eastAsia="宋体" w:cs="宋体"/>
          <w:color w:val="auto"/>
          <w:sz w:val="24"/>
          <w:u w:val="none"/>
          <w:lang w:val="en-US" w:eastAsia="zh-CN"/>
        </w:rPr>
        <w:t>4</w:t>
      </w:r>
      <w:r>
        <w:rPr>
          <w:rFonts w:hint="default" w:ascii="宋体" w:hAnsi="宋体" w:eastAsia="宋体" w:cs="宋体"/>
          <w:color w:val="auto"/>
          <w:sz w:val="24"/>
          <w:u w:val="none"/>
          <w:lang w:val="en-US" w:eastAsia="zh-CN"/>
        </w:rPr>
        <w:t>-1</w:t>
      </w:r>
      <w:r>
        <w:rPr>
          <w:rFonts w:hint="default" w:ascii="宋体" w:hAnsi="宋体" w:eastAsia="宋体" w:cs="宋体"/>
          <w:color w:val="auto"/>
          <w:sz w:val="24"/>
          <w:u w:val="none"/>
          <w:lang w:eastAsia="zh-CN"/>
        </w:rPr>
        <w:t>。</w:t>
      </w:r>
    </w:p>
    <w:p w14:paraId="7886898C">
      <w:pPr>
        <w:pStyle w:val="136"/>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highlight w:val="none"/>
          <w:u w:val="none"/>
        </w:rPr>
        <mc:AlternateContent>
          <mc:Choice Requires="wpc">
            <w:drawing>
              <wp:inline distT="0" distB="0" distL="114300" distR="114300">
                <wp:extent cx="5457825" cy="1221740"/>
                <wp:effectExtent l="0" t="0" r="9525" b="0"/>
                <wp:docPr id="90" name="画布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 name="矩形 69"/>
                        <wps:cNvSpPr/>
                        <wps:spPr>
                          <a:xfrm>
                            <a:off x="1600835" y="76835"/>
                            <a:ext cx="1742440" cy="288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CD78585">
                              <w:pPr>
                                <w:jc w:val="center"/>
                                <w:rPr>
                                  <w:rFonts w:hint="eastAsia"/>
                                  <w:sz w:val="18"/>
                                  <w:szCs w:val="18"/>
                                </w:rPr>
                              </w:pPr>
                              <w:r>
                                <w:rPr>
                                  <w:rFonts w:hint="eastAsia"/>
                                  <w:sz w:val="18"/>
                                  <w:szCs w:val="18"/>
                                </w:rPr>
                                <w:t>扬尘、尾气、噪声、建筑垃圾</w:t>
                              </w:r>
                            </w:p>
                          </w:txbxContent>
                        </wps:txbx>
                        <wps:bodyPr upright="1"/>
                      </wps:wsp>
                      <wps:wsp>
                        <wps:cNvPr id="70" name="矩形 70"/>
                        <wps:cNvSpPr/>
                        <wps:spPr>
                          <a:xfrm>
                            <a:off x="1276350" y="829310"/>
                            <a:ext cx="11239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D1A1FA">
                              <w:pPr>
                                <w:jc w:val="center"/>
                                <w:rPr>
                                  <w:rFonts w:hint="eastAsia"/>
                                  <w:szCs w:val="21"/>
                                </w:rPr>
                              </w:pPr>
                              <w:r>
                                <w:rPr>
                                  <w:rFonts w:hint="eastAsia"/>
                                  <w:szCs w:val="21"/>
                                </w:rPr>
                                <w:t>井场平整、清理</w:t>
                              </w:r>
                            </w:p>
                          </w:txbxContent>
                        </wps:txbx>
                        <wps:bodyPr upright="1"/>
                      </wps:wsp>
                      <wps:wsp>
                        <wps:cNvPr id="71" name="矩形 71"/>
                        <wps:cNvSpPr/>
                        <wps:spPr>
                          <a:xfrm>
                            <a:off x="5715" y="826135"/>
                            <a:ext cx="104203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640634">
                              <w:pPr>
                                <w:jc w:val="center"/>
                                <w:rPr>
                                  <w:rFonts w:hint="eastAsia"/>
                                  <w:szCs w:val="21"/>
                                </w:rPr>
                              </w:pPr>
                              <w:r>
                                <w:rPr>
                                  <w:rFonts w:hint="eastAsia"/>
                                  <w:szCs w:val="21"/>
                                </w:rPr>
                                <w:t>进场道路建设</w:t>
                              </w:r>
                            </w:p>
                          </w:txbxContent>
                        </wps:txbx>
                        <wps:bodyPr upright="1"/>
                      </wps:wsp>
                      <wps:wsp>
                        <wps:cNvPr id="72" name="直接箭头连接符 72"/>
                        <wps:cNvCnPr/>
                        <wps:spPr>
                          <a:xfrm>
                            <a:off x="1047750" y="974725"/>
                            <a:ext cx="228600" cy="3175"/>
                          </a:xfrm>
                          <a:prstGeom prst="straightConnector1">
                            <a:avLst/>
                          </a:prstGeom>
                          <a:ln w="9525" cap="flat" cmpd="sng">
                            <a:solidFill>
                              <a:srgbClr val="000000"/>
                            </a:solidFill>
                            <a:prstDash val="solid"/>
                            <a:headEnd type="none" w="med" len="med"/>
                            <a:tailEnd type="triangle" w="med" len="med"/>
                          </a:ln>
                        </wps:spPr>
                        <wps:bodyPr/>
                      </wps:wsp>
                      <wps:wsp>
                        <wps:cNvPr id="73" name="矩形 73"/>
                        <wps:cNvSpPr/>
                        <wps:spPr>
                          <a:xfrm>
                            <a:off x="2628900" y="829310"/>
                            <a:ext cx="7715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72A5FC">
                              <w:pPr>
                                <w:jc w:val="center"/>
                                <w:rPr>
                                  <w:rFonts w:hint="eastAsia"/>
                                  <w:szCs w:val="21"/>
                                </w:rPr>
                              </w:pPr>
                              <w:r>
                                <w:rPr>
                                  <w:rFonts w:hint="eastAsia"/>
                                  <w:szCs w:val="21"/>
                                </w:rPr>
                                <w:t>池体开挖</w:t>
                              </w:r>
                            </w:p>
                          </w:txbxContent>
                        </wps:txbx>
                        <wps:bodyPr upright="1"/>
                      </wps:wsp>
                      <wps:wsp>
                        <wps:cNvPr id="74" name="矩形 74"/>
                        <wps:cNvSpPr/>
                        <wps:spPr>
                          <a:xfrm>
                            <a:off x="3629025" y="833755"/>
                            <a:ext cx="18002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E273EC">
                              <w:pPr>
                                <w:jc w:val="center"/>
                                <w:rPr>
                                  <w:rFonts w:hint="eastAsia"/>
                                  <w:szCs w:val="21"/>
                                </w:rPr>
                              </w:pPr>
                              <w:r>
                                <w:rPr>
                                  <w:rFonts w:hint="eastAsia"/>
                                  <w:szCs w:val="21"/>
                                </w:rPr>
                                <w:t>设备基础及池体防渗层建设</w:t>
                              </w:r>
                            </w:p>
                          </w:txbxContent>
                        </wps:txbx>
                        <wps:bodyPr upright="1"/>
                      </wps:wsp>
                      <wps:wsp>
                        <wps:cNvPr id="75" name="直接箭头连接符 75"/>
                        <wps:cNvCnPr/>
                        <wps:spPr>
                          <a:xfrm>
                            <a:off x="2400300" y="977900"/>
                            <a:ext cx="228600" cy="635"/>
                          </a:xfrm>
                          <a:prstGeom prst="straightConnector1">
                            <a:avLst/>
                          </a:prstGeom>
                          <a:ln w="9525" cap="flat" cmpd="sng">
                            <a:solidFill>
                              <a:srgbClr val="000000"/>
                            </a:solidFill>
                            <a:prstDash val="solid"/>
                            <a:headEnd type="none" w="med" len="med"/>
                            <a:tailEnd type="triangle" w="med" len="med"/>
                          </a:ln>
                        </wps:spPr>
                        <wps:bodyPr/>
                      </wps:wsp>
                      <wps:wsp>
                        <wps:cNvPr id="77" name="直接箭头连接符 77"/>
                        <wps:cNvCnPr/>
                        <wps:spPr>
                          <a:xfrm>
                            <a:off x="3400425" y="977900"/>
                            <a:ext cx="228600" cy="4445"/>
                          </a:xfrm>
                          <a:prstGeom prst="straightConnector1">
                            <a:avLst/>
                          </a:prstGeom>
                          <a:ln w="9525" cap="flat" cmpd="sng">
                            <a:solidFill>
                              <a:srgbClr val="000000"/>
                            </a:solidFill>
                            <a:prstDash val="solid"/>
                            <a:headEnd type="none" w="med" len="med"/>
                            <a:tailEnd type="triangle" w="med" len="med"/>
                          </a:ln>
                        </wps:spPr>
                        <wps:bodyPr/>
                      </wps:wsp>
                      <wps:wsp>
                        <wps:cNvPr id="78" name="肘形连接符 78"/>
                        <wps:cNvCnPr/>
                        <wps:spPr>
                          <a:xfrm rot="-5400000">
                            <a:off x="1176655" y="-469265"/>
                            <a:ext cx="461010" cy="1945005"/>
                          </a:xfrm>
                          <a:prstGeom prst="bentConnector3">
                            <a:avLst>
                              <a:gd name="adj1" fmla="val 50000"/>
                            </a:avLst>
                          </a:prstGeom>
                          <a:ln w="9525" cap="flat" cmpd="sng">
                            <a:solidFill>
                              <a:srgbClr val="000000"/>
                            </a:solidFill>
                            <a:prstDash val="dash"/>
                            <a:miter/>
                            <a:headEnd type="none" w="med" len="med"/>
                            <a:tailEnd type="triangle" w="med" len="med"/>
                          </a:ln>
                        </wps:spPr>
                        <wps:bodyPr/>
                      </wps:wsp>
                      <wps:wsp>
                        <wps:cNvPr id="87" name="肘形连接符 87"/>
                        <wps:cNvCnPr/>
                        <wps:spPr>
                          <a:xfrm rot="-5400000">
                            <a:off x="1830705" y="187960"/>
                            <a:ext cx="464185" cy="633730"/>
                          </a:xfrm>
                          <a:prstGeom prst="bentConnector3">
                            <a:avLst>
                              <a:gd name="adj1" fmla="val 49931"/>
                            </a:avLst>
                          </a:prstGeom>
                          <a:ln w="9525" cap="flat" cmpd="sng">
                            <a:solidFill>
                              <a:srgbClr val="000000"/>
                            </a:solidFill>
                            <a:prstDash val="dash"/>
                            <a:miter/>
                            <a:headEnd type="none" w="med" len="med"/>
                            <a:tailEnd type="triangle" w="med" len="med"/>
                          </a:ln>
                        </wps:spPr>
                        <wps:bodyPr/>
                      </wps:wsp>
                      <wps:wsp>
                        <wps:cNvPr id="88" name="肘形连接符 88"/>
                        <wps:cNvCnPr/>
                        <wps:spPr>
                          <a:xfrm rot="5400000" flipH="1">
                            <a:off x="2419350" y="233680"/>
                            <a:ext cx="464185" cy="542925"/>
                          </a:xfrm>
                          <a:prstGeom prst="bentConnector3">
                            <a:avLst>
                              <a:gd name="adj1" fmla="val 49931"/>
                            </a:avLst>
                          </a:prstGeom>
                          <a:ln w="9525" cap="flat" cmpd="sng">
                            <a:solidFill>
                              <a:srgbClr val="000000"/>
                            </a:solidFill>
                            <a:prstDash val="dash"/>
                            <a:miter/>
                            <a:headEnd type="none" w="med" len="med"/>
                            <a:tailEnd type="triangle" w="med" len="med"/>
                          </a:ln>
                        </wps:spPr>
                        <wps:bodyPr/>
                      </wps:wsp>
                      <wps:wsp>
                        <wps:cNvPr id="89" name="肘形连接符 89"/>
                        <wps:cNvCnPr/>
                        <wps:spPr>
                          <a:xfrm rot="5400000" flipH="1">
                            <a:off x="3266440" y="-429260"/>
                            <a:ext cx="468630" cy="2057400"/>
                          </a:xfrm>
                          <a:prstGeom prst="bentConnector3">
                            <a:avLst>
                              <a:gd name="adj1" fmla="val 50000"/>
                            </a:avLst>
                          </a:prstGeom>
                          <a:ln w="9525" cap="flat" cmpd="sng">
                            <a:solidFill>
                              <a:srgbClr val="000000"/>
                            </a:solidFill>
                            <a:prstDash val="dash"/>
                            <a:miter/>
                            <a:headEnd type="none" w="med" len="med"/>
                            <a:tailEnd type="triangle" w="med" len="med"/>
                          </a:ln>
                        </wps:spPr>
                        <wps:bodyPr/>
                      </wps:wsp>
                    </wpc:wpc>
                  </a:graphicData>
                </a:graphic>
              </wp:inline>
            </w:drawing>
          </mc:Choice>
          <mc:Fallback>
            <w:pict>
              <v:group id="_x0000_s1026" o:spid="_x0000_s1026" o:spt="203" style="height:96.2pt;width:429.75pt;" coordsize="5457825,1221740" editas="canvas" o:gfxdata="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JRzEOfWAAAABQEAAA8AAAAAAAAAAQAgAAAA&#10;IgAAAGRycy9kb3ducmV2LnhtbFBLAQIUABQAAAAIAIdO4kC0Ovg38gQAALMeAAAOAAAAAAAAAAEA&#10;IAAAACUBAABkcnMvZTJvRG9jLnhtbFBLBQYAAAAABgAGAFkBAACJCAAAAAA=&#10;">
                <o:lock v:ext="edit" aspectratio="f"/>
                <v:shape id="_x0000_s1026" o:spid="_x0000_s1026" style="position:absolute;left:0;top:0;height:1221740;width:5457825;" filled="f" stroked="f" coordsize="21600,21600" o:gfxdata="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CUcxDn1gAAAAUBAAAPAAAAAAAAAAEAIAAAACIA&#10;AABkcnMvZG93bnJldi54bWxQSwECFAAUAAAACACHTuJAo8PNm7cEAAAuHgAADgAAAAAAAAABACAA&#10;AAAlAQAAZHJzL2Uyb0RvYy54bWxQSwUGAAAAAAYABgBZAQAATggAAAAA&#10;">
                  <v:fill on="f" focussize="0,0"/>
                  <v:stroke on="f"/>
                  <v:imagedata o:title=""/>
                  <o:lock v:ext="edit" aspectratio="t"/>
                </v:shape>
                <v:rect id="_x0000_s1026" o:spid="_x0000_s1026" o:spt="1" style="position:absolute;left:1600835;top:76835;height:288290;width:1742440;" fillcolor="#FFFFFF" filled="t" stroked="t" coordsize="21600,21600" o:gfxdata="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6t1hNUAAAAFAQAADwAAAAAAAAABACAAAAAi&#10;AAAAZHJzL2Rvd25yZXYueG1sUEsBAhQAFAAAAAgAh07iQNN0pl4NAgAANAQAAA4AAAAAAAAAAQAg&#10;AAAAJAEAAGRycy9lMm9Eb2MueG1sUEsFBgAAAAAGAAYAWQEAAKMFAAAAAA==&#10;">
                  <v:fill on="t" focussize="0,0"/>
                  <v:stroke color="#000000" joinstyle="miter" dashstyle="dash"/>
                  <v:imagedata o:title=""/>
                  <o:lock v:ext="edit" aspectratio="f"/>
                  <v:textbox>
                    <w:txbxContent>
                      <w:p w14:paraId="5CD78585">
                        <w:pPr>
                          <w:jc w:val="center"/>
                          <w:rPr>
                            <w:rFonts w:hint="eastAsia"/>
                            <w:sz w:val="18"/>
                            <w:szCs w:val="18"/>
                          </w:rPr>
                        </w:pPr>
                        <w:r>
                          <w:rPr>
                            <w:rFonts w:hint="eastAsia"/>
                            <w:sz w:val="18"/>
                            <w:szCs w:val="18"/>
                          </w:rPr>
                          <w:t>扬尘、尾气、噪声、建筑垃圾</w:t>
                        </w:r>
                      </w:p>
                    </w:txbxContent>
                  </v:textbox>
                </v:rect>
                <v:rect id="_x0000_s1026" o:spid="_x0000_s1026" o:spt="1" style="position:absolute;left:1276350;top:829310;height:297180;width:1123950;" fillcolor="#FFFFFF" filled="t" stroked="t" coordsize="21600,21600" o:gfxdata="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ETCjLVAAAABQEAAA8AAAAAAAAAAQAgAAAA&#10;IgAAAGRycy9kb3ducmV2LnhtbFBLAQIUABQAAAAIAIdO4kCZVa1TDgIAADYEAAAOAAAAAAAAAAEA&#10;IAAAACQBAABkcnMvZTJvRG9jLnhtbFBLBQYAAAAABgAGAFkBAACkBQAAAAA=&#10;">
                  <v:fill on="t" focussize="0,0"/>
                  <v:stroke color="#000000" joinstyle="miter"/>
                  <v:imagedata o:title=""/>
                  <o:lock v:ext="edit" aspectratio="f"/>
                  <v:textbox>
                    <w:txbxContent>
                      <w:p w14:paraId="0AD1A1FA">
                        <w:pPr>
                          <w:jc w:val="center"/>
                          <w:rPr>
                            <w:rFonts w:hint="eastAsia"/>
                            <w:szCs w:val="21"/>
                          </w:rPr>
                        </w:pPr>
                        <w:r>
                          <w:rPr>
                            <w:rFonts w:hint="eastAsia"/>
                            <w:szCs w:val="21"/>
                          </w:rPr>
                          <w:t>井场平整、清理</w:t>
                        </w:r>
                      </w:p>
                    </w:txbxContent>
                  </v:textbox>
                </v:rect>
                <v:rect id="_x0000_s1026" o:spid="_x0000_s1026" o:spt="1" style="position:absolute;left:5715;top:826135;height:297180;width:1042035;" fillcolor="#FFFFFF" filled="t" stroked="t" coordsize="21600,21600" o:gfxdata="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Ewoy1QAAAAUBAAAPAAAAAAAAAAEAIAAAACIA&#10;AABkcnMvZG93bnJldi54bWxQSwECFAAUAAAACACHTuJApNOgWAwCAAAzBAAADgAAAAAAAAABACAA&#10;AAAkAQAAZHJzL2Uyb0RvYy54bWxQSwUGAAAAAAYABgBZAQAAogUAAAAA&#10;">
                  <v:fill on="t" focussize="0,0"/>
                  <v:stroke color="#000000" joinstyle="miter"/>
                  <v:imagedata o:title=""/>
                  <o:lock v:ext="edit" aspectratio="f"/>
                  <v:textbox>
                    <w:txbxContent>
                      <w:p w14:paraId="5F640634">
                        <w:pPr>
                          <w:jc w:val="center"/>
                          <w:rPr>
                            <w:rFonts w:hint="eastAsia"/>
                            <w:szCs w:val="21"/>
                          </w:rPr>
                        </w:pPr>
                        <w:r>
                          <w:rPr>
                            <w:rFonts w:hint="eastAsia"/>
                            <w:szCs w:val="21"/>
                          </w:rPr>
                          <w:t>进场道路建设</w:t>
                        </w:r>
                      </w:p>
                    </w:txbxContent>
                  </v:textbox>
                </v:rect>
                <v:shape id="_x0000_s1026" o:spid="_x0000_s1026" o:spt="32" type="#_x0000_t32" style="position:absolute;left:1047750;top:974725;height:3175;width:228600;" filled="f" stroked="t" coordsize="21600,21600" o:gfxdata="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2/3gtcAAAAFAQAADwAAAAAA&#10;AAABACAAAAAiAAAAZHJzL2Rvd25yZXYueG1sUEsBAhQAFAAAAAgAh07iQICtIIAUAgAA/wMAAA4A&#10;AAAAAAAAAQAgAAAAJgEAAGRycy9lMm9Eb2MueG1sUEsFBgAAAAAGAAYAWQEAAKwFAAAAAA==&#10;">
                  <v:fill on="f" focussize="0,0"/>
                  <v:stroke color="#000000" joinstyle="round" endarrow="block"/>
                  <v:imagedata o:title=""/>
                  <o:lock v:ext="edit" aspectratio="f"/>
                </v:shape>
                <v:rect id="_x0000_s1026" o:spid="_x0000_s1026" o:spt="1" style="position:absolute;left:2628900;top:829310;height:297180;width:771525;" fillcolor="#FFFFFF" filled="t" stroked="t" coordsize="21600,21600" o:gfxdata="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ETCjLVAAAABQEAAA8AAAAAAAAAAQAgAAAA&#10;IgAAAGRycy9kb3ducmV2LnhtbFBLAQIUABQAAAAIAIdO4kDDZnpdDgIAADUEAAAOAAAAAAAAAAEA&#10;IAAAACQBAABkcnMvZTJvRG9jLnhtbFBLBQYAAAAABgAGAFkBAACkBQAAAAA=&#10;">
                  <v:fill on="t" focussize="0,0"/>
                  <v:stroke color="#000000" joinstyle="miter"/>
                  <v:imagedata o:title=""/>
                  <o:lock v:ext="edit" aspectratio="f"/>
                  <v:textbox>
                    <w:txbxContent>
                      <w:p w14:paraId="7972A5FC">
                        <w:pPr>
                          <w:jc w:val="center"/>
                          <w:rPr>
                            <w:rFonts w:hint="eastAsia"/>
                            <w:szCs w:val="21"/>
                          </w:rPr>
                        </w:pPr>
                        <w:r>
                          <w:rPr>
                            <w:rFonts w:hint="eastAsia"/>
                            <w:szCs w:val="21"/>
                          </w:rPr>
                          <w:t>池体开挖</w:t>
                        </w:r>
                      </w:p>
                    </w:txbxContent>
                  </v:textbox>
                </v:rect>
                <v:rect id="_x0000_s1026" o:spid="_x0000_s1026" o:spt="1" style="position:absolute;left:3629025;top:833755;height:297180;width:1800225;" fillcolor="#FFFFFF" filled="t" stroked="t" coordsize="21600,21600" o:gfxdata="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RMKMtUAAAAFAQAADwAAAAAAAAABACAAAAAi&#10;AAAAZHJzL2Rvd25yZXYueG1sUEsBAhQAFAAAAAgAh07iQGUuiO0NAgAANgQAAA4AAAAAAAAAAQAg&#10;AAAAJAEAAGRycy9lMm9Eb2MueG1sUEsFBgAAAAAGAAYAWQEAAKMFAAAAAA==&#10;">
                  <v:fill on="t" focussize="0,0"/>
                  <v:stroke color="#000000" joinstyle="miter"/>
                  <v:imagedata o:title=""/>
                  <o:lock v:ext="edit" aspectratio="f"/>
                  <v:textbox>
                    <w:txbxContent>
                      <w:p w14:paraId="09E273EC">
                        <w:pPr>
                          <w:jc w:val="center"/>
                          <w:rPr>
                            <w:rFonts w:hint="eastAsia"/>
                            <w:szCs w:val="21"/>
                          </w:rPr>
                        </w:pPr>
                        <w:r>
                          <w:rPr>
                            <w:rFonts w:hint="eastAsia"/>
                            <w:szCs w:val="21"/>
                          </w:rPr>
                          <w:t>设备基础及池体防渗层建设</w:t>
                        </w:r>
                      </w:p>
                    </w:txbxContent>
                  </v:textbox>
                </v:rect>
                <v:shape id="_x0000_s1026" o:spid="_x0000_s1026" o:spt="32" type="#_x0000_t32" style="position:absolute;left:2400300;top:977900;height:635;width:228600;" filled="f" stroked="t" coordsize="21600,21600" o:gfxdata="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2/3gtcAAAAFAQAADwAAAAAAAAAB&#10;ACAAAAAiAAAAZHJzL2Rvd25yZXYueG1sUEsBAhQAFAAAAAgAh07iQMRZvGQRAgAA/gMAAA4AAAAA&#10;AAAAAQAgAAAAJgEAAGRycy9lMm9Eb2MueG1sUEsFBgAAAAAGAAYAWQEAAKkFAAAAAA==&#10;">
                  <v:fill on="f" focussize="0,0"/>
                  <v:stroke color="#000000" joinstyle="round" endarrow="block"/>
                  <v:imagedata o:title=""/>
                  <o:lock v:ext="edit" aspectratio="f"/>
                </v:shape>
                <v:shape id="_x0000_s1026" o:spid="_x0000_s1026" o:spt="32" type="#_x0000_t32" style="position:absolute;left:3400425;top:977900;height:4445;width:228600;" filled="f" stroked="t" coordsize="21600,21600" o:gfxdata="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Nv94LXAAAABQEAAA8AAAAAAAAA&#10;AQAgAAAAIgAAAGRycy9kb3ducmV2LnhtbFBLAQIUABQAAAAIAIdO4kB/QGKiEgIAAP8DAAAOAAAA&#10;AAAAAAEAIAAAACYBAABkcnMvZTJvRG9jLnhtbFBLBQYAAAAABgAGAFkBAACqBQAAAAA=&#10;">
                  <v:fill on="f" focussize="0,0"/>
                  <v:stroke color="#000000" joinstyle="round" endarrow="block"/>
                  <v:imagedata o:title=""/>
                  <o:lock v:ext="edit" aspectratio="f"/>
                </v:shape>
                <v:shape id="_x0000_s1026" o:spid="_x0000_s1026" o:spt="34" type="#_x0000_t34" style="position:absolute;left:1176655;top:-469265;height:1945005;width:461010;rotation:-5898240f;" filled="f" stroked="t" coordsize="21600,21600" o:gfxdata="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64W6G1wAAAAUBAAAPAAAAAAAAAAEAIAAAACIAAABkcnMvZG93bnJl&#10;di54bWxQSwECFAAUAAAACACHTuJAQ/nJhzcCAAA+BAAADgAAAAAAAAABACAAAAAmAQAAZHJzL2Uy&#10;b0RvYy54bWxQSwUGAAAAAAYABgBZAQAAzwUAAAAA&#10;" adj="10800">
                  <v:fill on="f" focussize="0,0"/>
                  <v:stroke color="#000000" joinstyle="miter" dashstyle="dash" endarrow="block"/>
                  <v:imagedata o:title=""/>
                  <o:lock v:ext="edit" aspectratio="f"/>
                </v:shape>
                <v:shape id="_x0000_s1026" o:spid="_x0000_s1026" o:spt="34" type="#_x0000_t34" style="position:absolute;left:1830705;top:187960;height:633730;width:464185;rotation:-5898240f;" filled="f" stroked="t" coordsize="21600,21600" o:gfxdata="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rVd7F1gAAAAUBAAAPAAAAAAAAAAEAIAAAACIAAABkcnMvZG93bnJldi54&#10;bWxQSwECFAAUAAAACACHTuJAiHYDCjUCAAA8BAAADgAAAAAAAAABACAAAAAlAQAAZHJzL2Uyb0Rv&#10;Yy54bWxQSwUGAAAAAAYABgBZAQAAzAUAAAAA&#10;" adj="10785">
                  <v:fill on="f" focussize="0,0"/>
                  <v:stroke color="#000000" joinstyle="miter" dashstyle="dash" endarrow="block"/>
                  <v:imagedata o:title=""/>
                  <o:lock v:ext="edit" aspectratio="f"/>
                </v:shape>
                <v:shape id="_x0000_s1026" o:spid="_x0000_s1026" o:spt="34" type="#_x0000_t34" style="position:absolute;left:2419350;top:233680;flip:x;height:542925;width:464185;rotation:-5898240f;" filled="f" stroked="t" coordsize="21600,21600" o:gfxdata="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J3NjtQAAAAFAQAADwAAAAAAAAABACAAAAAiAAAAZHJzL2Rv&#10;d25yZXYueG1sUEsBAhQAFAAAAAgAh07iQABPHgA+AgAARQQAAA4AAAAAAAAAAQAgAAAAIwEAAGRy&#10;cy9lMm9Eb2MueG1sUEsFBgAAAAAGAAYAWQEAANMFAAAAAA==&#10;" adj="10785">
                  <v:fill on="f" focussize="0,0"/>
                  <v:stroke color="#000000" joinstyle="miter" dashstyle="dash" endarrow="block"/>
                  <v:imagedata o:title=""/>
                  <o:lock v:ext="edit" aspectratio="f"/>
                </v:shape>
                <v:shape id="_x0000_s1026" o:spid="_x0000_s1026" o:spt="34" type="#_x0000_t34" style="position:absolute;left:3266440;top:-429260;flip:x;height:2057400;width:468630;rotation:-5898240f;" filled="f" stroked="t" coordsize="21600,21600" o:gfxdata="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4fgfDVAAAABQEAAA8AAAAAAAAAAQAgAAAAIgAAAGRycy9k&#10;b3ducmV2LnhtbFBLAQIUABQAAAAIAIdO4kD/Odj5PgIAAEcEAAAOAAAAAAAAAAEAIAAAACQBAABk&#10;cnMvZTJvRG9jLnhtbFBLBQYAAAAABgAGAFkBAADUBQAAAAA=&#10;" adj="10800">
                  <v:fill on="f" focussize="0,0"/>
                  <v:stroke color="#000000" joinstyle="miter" dashstyle="dash" endarrow="block"/>
                  <v:imagedata o:title=""/>
                  <o:lock v:ext="edit" aspectratio="f"/>
                </v:shape>
                <w10:wrap type="none"/>
                <w10:anchorlock/>
              </v:group>
            </w:pict>
          </mc:Fallback>
        </mc:AlternateContent>
      </w:r>
      <w:r>
        <w:rPr>
          <w:rFonts w:hint="default" w:ascii="黑体" w:hAnsi="黑体" w:eastAsia="黑体" w:cs="黑体"/>
          <w:b w:val="0"/>
          <w:bCs/>
          <w:color w:val="auto"/>
          <w:kern w:val="2"/>
          <w:sz w:val="24"/>
          <w:szCs w:val="24"/>
          <w:u w:val="none"/>
          <w:lang w:val="zh-CN" w:eastAsia="zh-CN" w:bidi="ar-SA"/>
        </w:rPr>
        <w:t>图</w:t>
      </w:r>
      <w:r>
        <w:rPr>
          <w:rFonts w:hint="default" w:ascii="黑体" w:hAnsi="黑体" w:eastAsia="黑体" w:cs="黑体"/>
          <w:b w:val="0"/>
          <w:bCs/>
          <w:color w:val="auto"/>
          <w:kern w:val="2"/>
          <w:sz w:val="24"/>
          <w:szCs w:val="24"/>
          <w:u w:val="none"/>
          <w:lang w:val="en-US" w:eastAsia="zh-CN" w:bidi="ar-SA"/>
        </w:rPr>
        <w:t>3.</w:t>
      </w:r>
      <w:r>
        <w:rPr>
          <w:rFonts w:hint="eastAsia" w:ascii="黑体" w:hAnsi="黑体" w:eastAsia="黑体" w:cs="黑体"/>
          <w:b w:val="0"/>
          <w:bCs/>
          <w:color w:val="auto"/>
          <w:kern w:val="2"/>
          <w:sz w:val="24"/>
          <w:szCs w:val="24"/>
          <w:u w:val="none"/>
          <w:lang w:val="en-US" w:eastAsia="zh-CN" w:bidi="ar-SA"/>
        </w:rPr>
        <w:t>4</w:t>
      </w:r>
      <w:r>
        <w:rPr>
          <w:rFonts w:hint="default" w:ascii="黑体" w:hAnsi="黑体" w:eastAsia="黑体" w:cs="黑体"/>
          <w:b w:val="0"/>
          <w:bCs/>
          <w:color w:val="auto"/>
          <w:kern w:val="2"/>
          <w:sz w:val="24"/>
          <w:szCs w:val="24"/>
          <w:u w:val="none"/>
          <w:lang w:val="en-US" w:eastAsia="zh-CN" w:bidi="ar-SA"/>
        </w:rPr>
        <w:t>-1</w:t>
      </w:r>
      <w:r>
        <w:rPr>
          <w:rFonts w:hint="default" w:ascii="黑体" w:hAnsi="黑体" w:eastAsia="黑体" w:cs="黑体"/>
          <w:b w:val="0"/>
          <w:bCs/>
          <w:color w:val="auto"/>
          <w:kern w:val="2"/>
          <w:sz w:val="24"/>
          <w:szCs w:val="24"/>
          <w:u w:val="none"/>
          <w:lang w:val="zh-CN" w:eastAsia="zh-CN" w:bidi="ar-SA"/>
        </w:rPr>
        <w:t xml:space="preserve">  钻前工程施工过程及产污环节示意图</w:t>
      </w:r>
    </w:p>
    <w:p w14:paraId="1911D045">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2）钻井工程</w:t>
      </w:r>
    </w:p>
    <w:p w14:paraId="4F055255">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正常钻井作业时动力主要由柴油机和发电机提供，通过钻机、转盘，带动钻杆切削</w:t>
      </w:r>
      <w:r>
        <w:rPr>
          <w:rFonts w:hint="default" w:ascii="宋体" w:hAnsi="宋体" w:eastAsia="宋体" w:cs="宋体"/>
          <w:color w:val="auto"/>
          <w:sz w:val="24"/>
          <w:u w:val="none"/>
          <w:lang w:val="en-US" w:eastAsia="zh-CN"/>
        </w:rPr>
        <w:t>油层</w:t>
      </w:r>
      <w:r>
        <w:rPr>
          <w:rFonts w:hint="default" w:ascii="宋体" w:hAnsi="宋体" w:eastAsia="宋体" w:cs="宋体"/>
          <w:color w:val="auto"/>
          <w:sz w:val="24"/>
          <w:u w:val="none"/>
          <w:lang w:eastAsia="zh-CN"/>
        </w:rPr>
        <w:t>，同时由泥浆泵经钻杆将泥浆注入井筒冲刷井底，将切削下的岩屑不断带至地面，整个过程循环进行，使井不断加深，直至目的井深。钻井中途需要停钻，以便起下钻具更换钻头、下套管、固井、替换洗井液和检修设备。</w:t>
      </w:r>
    </w:p>
    <w:p w14:paraId="1FBBB430">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highlight w:val="none"/>
          <w:u w:val="none"/>
        </w:rPr>
      </w:pPr>
      <w:r>
        <w:rPr>
          <w:rFonts w:hint="default" w:ascii="宋体" w:hAnsi="宋体" w:eastAsia="宋体" w:cs="宋体"/>
          <w:color w:val="auto"/>
          <w:sz w:val="24"/>
          <w:u w:val="none"/>
          <w:lang w:eastAsia="zh-CN"/>
        </w:rPr>
        <w:t>在钻井时，泥浆自井口径钻杆、钻头至井底，携带井底的岩屑上返地面，经泥浆固相控制系统除去岩屑后循环使用（参见图3.</w:t>
      </w:r>
      <w:r>
        <w:rPr>
          <w:rFonts w:hint="eastAsia" w:ascii="宋体" w:hAnsi="宋体" w:eastAsia="宋体" w:cs="宋体"/>
          <w:color w:val="auto"/>
          <w:sz w:val="24"/>
          <w:u w:val="none"/>
          <w:lang w:val="en-US" w:eastAsia="zh-CN"/>
        </w:rPr>
        <w:t>4</w:t>
      </w:r>
      <w:r>
        <w:rPr>
          <w:rFonts w:hint="default" w:ascii="宋体" w:hAnsi="宋体" w:eastAsia="宋体" w:cs="宋体"/>
          <w:color w:val="auto"/>
          <w:sz w:val="24"/>
          <w:u w:val="none"/>
          <w:lang w:eastAsia="zh-CN"/>
        </w:rPr>
        <w:t>-</w:t>
      </w:r>
      <w:r>
        <w:rPr>
          <w:rFonts w:hint="eastAsia" w:ascii="宋体" w:hAnsi="宋体" w:eastAsia="宋体" w:cs="宋体"/>
          <w:color w:val="auto"/>
          <w:sz w:val="24"/>
          <w:u w:val="none"/>
          <w:lang w:val="en-US" w:eastAsia="zh-CN"/>
        </w:rPr>
        <w:t>2</w:t>
      </w:r>
      <w:r>
        <w:rPr>
          <w:rFonts w:hint="default" w:ascii="宋体" w:hAnsi="宋体" w:eastAsia="宋体" w:cs="宋体"/>
          <w:color w:val="auto"/>
          <w:sz w:val="24"/>
          <w:u w:val="none"/>
          <w:lang w:eastAsia="zh-CN"/>
        </w:rPr>
        <w:t>）。</w:t>
      </w:r>
    </w:p>
    <w:p w14:paraId="671B9E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snapToGrid w:val="0"/>
          <w:color w:val="auto"/>
          <w:sz w:val="21"/>
          <w:szCs w:val="21"/>
          <w:highlight w:val="none"/>
          <w:u w:val="none"/>
        </w:rPr>
      </w:pPr>
      <w:r>
        <w:rPr>
          <w:rFonts w:hint="default" w:ascii="黑体" w:hAnsi="黑体" w:eastAsia="黑体" w:cs="黑体"/>
          <w:b w:val="0"/>
          <w:bCs/>
          <w:color w:val="auto"/>
          <w:kern w:val="2"/>
          <w:sz w:val="24"/>
          <w:szCs w:val="24"/>
          <w:u w:val="none"/>
          <w:lang w:val="zh-CN" w:eastAsia="zh-CN" w:bidi="ar-SA"/>
        </w:rPr>
        <mc:AlternateContent>
          <mc:Choice Requires="wpg">
            <w:drawing>
              <wp:anchor distT="0" distB="0" distL="114300" distR="114300" simplePos="0" relativeHeight="251661312" behindDoc="0" locked="0" layoutInCell="1" allowOverlap="1">
                <wp:simplePos x="0" y="0"/>
                <wp:positionH relativeFrom="column">
                  <wp:posOffset>145415</wp:posOffset>
                </wp:positionH>
                <wp:positionV relativeFrom="paragraph">
                  <wp:posOffset>6985</wp:posOffset>
                </wp:positionV>
                <wp:extent cx="4958080" cy="1768475"/>
                <wp:effectExtent l="5080" t="5080" r="0" b="17145"/>
                <wp:wrapTopAndBottom/>
                <wp:docPr id="215" name="组合 215"/>
                <wp:cNvGraphicFramePr/>
                <a:graphic xmlns:a="http://schemas.openxmlformats.org/drawingml/2006/main">
                  <a:graphicData uri="http://schemas.microsoft.com/office/word/2010/wordprocessingGroup">
                    <wpg:wgp>
                      <wpg:cNvGrpSpPr>
                        <a:grpSpLocks noRot="1"/>
                      </wpg:cNvGrpSpPr>
                      <wpg:grpSpPr>
                        <a:xfrm>
                          <a:off x="0" y="0"/>
                          <a:ext cx="4958080" cy="1768475"/>
                          <a:chOff x="-135" y="0"/>
                          <a:chExt cx="7158" cy="2324"/>
                        </a:xfrm>
                        <a:effectLst/>
                      </wpg:grpSpPr>
                      <wps:wsp>
                        <wps:cNvPr id="216" name="文本框 185"/>
                        <wps:cNvSpPr txBox="1">
                          <a:spLocks noChangeArrowheads="1"/>
                        </wps:cNvSpPr>
                        <wps:spPr bwMode="auto">
                          <a:xfrm>
                            <a:off x="-135" y="273"/>
                            <a:ext cx="870" cy="2051"/>
                          </a:xfrm>
                          <a:prstGeom prst="rect">
                            <a:avLst/>
                          </a:prstGeom>
                          <a:noFill/>
                          <a:ln w="9525">
                            <a:solidFill>
                              <a:srgbClr val="000000"/>
                            </a:solidFill>
                            <a:miter lim="800000"/>
                          </a:ln>
                          <a:effectLst/>
                        </wps:spPr>
                        <wps:txbx>
                          <w:txbxContent>
                            <w:p w14:paraId="62625701">
                              <w:pPr>
                                <w:ind w:firstLine="420" w:firstLineChars="200"/>
                              </w:pPr>
                              <w:r>
                                <w:rPr>
                                  <w:rFonts w:hint="eastAsia"/>
                                </w:rPr>
                                <w:t>井筒</w:t>
                              </w:r>
                            </w:p>
                          </w:txbxContent>
                        </wps:txbx>
                        <wps:bodyPr rot="0" vert="eaVert" wrap="square" lIns="91440" tIns="45720" rIns="91440" bIns="45720" anchor="t" anchorCtr="0" upright="1">
                          <a:noAutofit/>
                        </wps:bodyPr>
                      </wps:wsp>
                      <wps:wsp>
                        <wps:cNvPr id="217" name="直线 186"/>
                        <wps:cNvCnPr/>
                        <wps:spPr bwMode="auto">
                          <a:xfrm>
                            <a:off x="575" y="492"/>
                            <a:ext cx="720" cy="0"/>
                          </a:xfrm>
                          <a:prstGeom prst="line">
                            <a:avLst/>
                          </a:prstGeom>
                          <a:noFill/>
                          <a:ln w="9525">
                            <a:solidFill>
                              <a:srgbClr val="000000"/>
                            </a:solidFill>
                            <a:round/>
                            <a:tailEnd type="stealth" w="sm" len="lg"/>
                          </a:ln>
                          <a:effectLst/>
                        </wps:spPr>
                        <wps:bodyPr/>
                      </wps:wsp>
                      <wps:wsp>
                        <wps:cNvPr id="218" name="直线 187"/>
                        <wps:cNvCnPr/>
                        <wps:spPr bwMode="auto">
                          <a:xfrm>
                            <a:off x="559" y="1900"/>
                            <a:ext cx="727" cy="0"/>
                          </a:xfrm>
                          <a:prstGeom prst="line">
                            <a:avLst/>
                          </a:prstGeom>
                          <a:noFill/>
                          <a:ln w="9525">
                            <a:solidFill>
                              <a:srgbClr val="000000"/>
                            </a:solidFill>
                            <a:round/>
                            <a:headEnd type="stealth" w="sm" len="lg"/>
                          </a:ln>
                          <a:effectLst/>
                        </wps:spPr>
                        <wps:bodyPr/>
                      </wps:wsp>
                      <wps:wsp>
                        <wps:cNvPr id="219" name="文本框 188"/>
                        <wps:cNvSpPr txBox="1">
                          <a:spLocks noChangeArrowheads="1"/>
                        </wps:cNvSpPr>
                        <wps:spPr bwMode="auto">
                          <a:xfrm>
                            <a:off x="1295" y="244"/>
                            <a:ext cx="1620" cy="468"/>
                          </a:xfrm>
                          <a:prstGeom prst="rect">
                            <a:avLst/>
                          </a:prstGeom>
                          <a:noFill/>
                          <a:ln w="9525">
                            <a:solidFill>
                              <a:srgbClr val="000000"/>
                            </a:solidFill>
                            <a:miter lim="800000"/>
                          </a:ln>
                          <a:effectLst/>
                        </wps:spPr>
                        <wps:txbx>
                          <w:txbxContent>
                            <w:p w14:paraId="2DF33F53">
                              <w:pPr>
                                <w:jc w:val="center"/>
                              </w:pPr>
                              <w:r>
                                <w:rPr>
                                  <w:rFonts w:hint="eastAsia"/>
                                </w:rPr>
                                <w:t>钻井液出口</w:t>
                              </w:r>
                            </w:p>
                          </w:txbxContent>
                        </wps:txbx>
                        <wps:bodyPr rot="0" vert="horz" wrap="square" lIns="91440" tIns="45720" rIns="91440" bIns="45720" anchor="t" anchorCtr="0" upright="1">
                          <a:noAutofit/>
                        </wps:bodyPr>
                      </wps:wsp>
                      <wps:wsp>
                        <wps:cNvPr id="220" name="文本框 189"/>
                        <wps:cNvSpPr txBox="1">
                          <a:spLocks noChangeArrowheads="1"/>
                        </wps:cNvSpPr>
                        <wps:spPr bwMode="auto">
                          <a:xfrm>
                            <a:off x="1294" y="1668"/>
                            <a:ext cx="1620" cy="468"/>
                          </a:xfrm>
                          <a:prstGeom prst="rect">
                            <a:avLst/>
                          </a:prstGeom>
                          <a:noFill/>
                          <a:ln w="9525">
                            <a:solidFill>
                              <a:srgbClr val="000000"/>
                            </a:solidFill>
                            <a:miter lim="800000"/>
                          </a:ln>
                          <a:effectLst/>
                        </wps:spPr>
                        <wps:txbx>
                          <w:txbxContent>
                            <w:p w14:paraId="37ACFEBA">
                              <w:pPr>
                                <w:jc w:val="center"/>
                              </w:pPr>
                              <w:r>
                                <w:rPr>
                                  <w:rFonts w:hint="eastAsia"/>
                                </w:rPr>
                                <w:t>钻井液进口</w:t>
                              </w:r>
                            </w:p>
                          </w:txbxContent>
                        </wps:txbx>
                        <wps:bodyPr rot="0" vert="horz" wrap="square" lIns="91440" tIns="45720" rIns="91440" bIns="45720" anchor="t" anchorCtr="0" upright="1">
                          <a:noAutofit/>
                        </wps:bodyPr>
                      </wps:wsp>
                      <wps:wsp>
                        <wps:cNvPr id="221" name="直线 190"/>
                        <wps:cNvCnPr/>
                        <wps:spPr bwMode="auto">
                          <a:xfrm>
                            <a:off x="2915" y="476"/>
                            <a:ext cx="720" cy="0"/>
                          </a:xfrm>
                          <a:prstGeom prst="line">
                            <a:avLst/>
                          </a:prstGeom>
                          <a:noFill/>
                          <a:ln w="9525">
                            <a:solidFill>
                              <a:srgbClr val="000000"/>
                            </a:solidFill>
                            <a:round/>
                            <a:tailEnd type="stealth" w="sm" len="lg"/>
                          </a:ln>
                          <a:effectLst/>
                        </wps:spPr>
                        <wps:bodyPr/>
                      </wps:wsp>
                      <wps:wsp>
                        <wps:cNvPr id="222" name="直线 191"/>
                        <wps:cNvCnPr/>
                        <wps:spPr bwMode="auto">
                          <a:xfrm>
                            <a:off x="2935" y="1916"/>
                            <a:ext cx="720" cy="0"/>
                          </a:xfrm>
                          <a:prstGeom prst="line">
                            <a:avLst/>
                          </a:prstGeom>
                          <a:noFill/>
                          <a:ln w="9525">
                            <a:solidFill>
                              <a:srgbClr val="000000"/>
                            </a:solidFill>
                            <a:round/>
                            <a:headEnd type="stealth" w="sm" len="lg"/>
                          </a:ln>
                          <a:effectLst/>
                        </wps:spPr>
                        <wps:bodyPr/>
                      </wps:wsp>
                      <wps:wsp>
                        <wps:cNvPr id="223" name="文本框 192"/>
                        <wps:cNvSpPr txBox="1">
                          <a:spLocks noChangeArrowheads="1"/>
                        </wps:cNvSpPr>
                        <wps:spPr bwMode="auto">
                          <a:xfrm>
                            <a:off x="3651" y="241"/>
                            <a:ext cx="2340" cy="468"/>
                          </a:xfrm>
                          <a:prstGeom prst="rect">
                            <a:avLst/>
                          </a:prstGeom>
                          <a:noFill/>
                          <a:ln w="9525">
                            <a:solidFill>
                              <a:srgbClr val="000000"/>
                            </a:solidFill>
                            <a:miter lim="800000"/>
                          </a:ln>
                          <a:effectLst/>
                        </wps:spPr>
                        <wps:txbx>
                          <w:txbxContent>
                            <w:p w14:paraId="3994F52F">
                              <w:r>
                                <w:rPr>
                                  <w:rFonts w:hint="eastAsia"/>
                                </w:rPr>
                                <w:t>钻井液固相控制系统</w:t>
                              </w:r>
                            </w:p>
                          </w:txbxContent>
                        </wps:txbx>
                        <wps:bodyPr rot="0" vert="horz" wrap="square" lIns="91440" tIns="45720" rIns="91440" bIns="45720" anchor="t" anchorCtr="0" upright="1">
                          <a:noAutofit/>
                        </wps:bodyPr>
                      </wps:wsp>
                      <wps:wsp>
                        <wps:cNvPr id="17" name="直线 193"/>
                        <wps:cNvCnPr/>
                        <wps:spPr bwMode="auto">
                          <a:xfrm>
                            <a:off x="4095" y="728"/>
                            <a:ext cx="0" cy="312"/>
                          </a:xfrm>
                          <a:prstGeom prst="line">
                            <a:avLst/>
                          </a:prstGeom>
                          <a:noFill/>
                          <a:ln w="9525">
                            <a:solidFill>
                              <a:srgbClr val="000000"/>
                            </a:solidFill>
                            <a:round/>
                            <a:tailEnd type="stealth" w="sm" len="lg"/>
                          </a:ln>
                          <a:effectLst/>
                        </wps:spPr>
                        <wps:bodyPr/>
                      </wps:wsp>
                      <wps:wsp>
                        <wps:cNvPr id="63" name="文本框 194"/>
                        <wps:cNvSpPr txBox="1">
                          <a:spLocks noChangeArrowheads="1"/>
                        </wps:cNvSpPr>
                        <wps:spPr bwMode="auto">
                          <a:xfrm>
                            <a:off x="3719" y="1683"/>
                            <a:ext cx="1080" cy="468"/>
                          </a:xfrm>
                          <a:prstGeom prst="rect">
                            <a:avLst/>
                          </a:prstGeom>
                          <a:noFill/>
                          <a:ln w="9525">
                            <a:solidFill>
                              <a:srgbClr val="000000"/>
                            </a:solidFill>
                            <a:miter lim="800000"/>
                          </a:ln>
                          <a:effectLst/>
                        </wps:spPr>
                        <wps:txbx>
                          <w:txbxContent>
                            <w:p w14:paraId="5F2B29E8">
                              <w:r>
                                <w:rPr>
                                  <w:rFonts w:hint="eastAsia"/>
                                </w:rPr>
                                <w:t>泥浆泵</w:t>
                              </w:r>
                            </w:p>
                          </w:txbxContent>
                        </wps:txbx>
                        <wps:bodyPr rot="0" vert="horz" wrap="square" lIns="91440" tIns="45720" rIns="91440" bIns="45720" anchor="t" anchorCtr="0" upright="1">
                          <a:noAutofit/>
                        </wps:bodyPr>
                      </wps:wsp>
                      <wps:wsp>
                        <wps:cNvPr id="64" name="直线 195"/>
                        <wps:cNvCnPr/>
                        <wps:spPr bwMode="auto">
                          <a:xfrm>
                            <a:off x="4095" y="1384"/>
                            <a:ext cx="0" cy="296"/>
                          </a:xfrm>
                          <a:prstGeom prst="line">
                            <a:avLst/>
                          </a:prstGeom>
                          <a:noFill/>
                          <a:ln w="9525">
                            <a:solidFill>
                              <a:srgbClr val="000000"/>
                            </a:solidFill>
                            <a:round/>
                            <a:tailEnd type="stealth" w="sm" len="lg"/>
                          </a:ln>
                          <a:effectLst/>
                        </wps:spPr>
                        <wps:bodyPr/>
                      </wps:wsp>
                      <wps:wsp>
                        <wps:cNvPr id="66" name="文本框 196"/>
                        <wps:cNvSpPr txBox="1">
                          <a:spLocks noChangeArrowheads="1"/>
                        </wps:cNvSpPr>
                        <wps:spPr bwMode="auto">
                          <a:xfrm>
                            <a:off x="3651" y="1008"/>
                            <a:ext cx="1080" cy="468"/>
                          </a:xfrm>
                          <a:prstGeom prst="rect">
                            <a:avLst/>
                          </a:prstGeom>
                          <a:noFill/>
                          <a:ln>
                            <a:noFill/>
                          </a:ln>
                          <a:effectLst/>
                        </wps:spPr>
                        <wps:txbx>
                          <w:txbxContent>
                            <w:p w14:paraId="72C0338D">
                              <w:r>
                                <w:rPr>
                                  <w:rFonts w:hint="eastAsia"/>
                                </w:rPr>
                                <w:t>钻井液</w:t>
                              </w:r>
                            </w:p>
                          </w:txbxContent>
                        </wps:txbx>
                        <wps:bodyPr rot="0" vert="horz" wrap="square" lIns="91440" tIns="45720" rIns="91440" bIns="45720" anchor="t" anchorCtr="0" upright="1">
                          <a:noAutofit/>
                        </wps:bodyPr>
                      </wps:wsp>
                      <wps:wsp>
                        <wps:cNvPr id="100" name="直线 197"/>
                        <wps:cNvCnPr/>
                        <wps:spPr bwMode="auto">
                          <a:xfrm>
                            <a:off x="5255" y="744"/>
                            <a:ext cx="0" cy="936"/>
                          </a:xfrm>
                          <a:prstGeom prst="line">
                            <a:avLst/>
                          </a:prstGeom>
                          <a:noFill/>
                          <a:ln w="9525">
                            <a:solidFill>
                              <a:srgbClr val="000000"/>
                            </a:solidFill>
                            <a:round/>
                            <a:tailEnd type="stealth" w="sm" len="lg"/>
                          </a:ln>
                          <a:effectLst/>
                        </wps:spPr>
                        <wps:bodyPr/>
                      </wps:wsp>
                      <wps:wsp>
                        <wps:cNvPr id="101" name="文本框 198"/>
                        <wps:cNvSpPr txBox="1">
                          <a:spLocks noChangeArrowheads="1"/>
                        </wps:cNvSpPr>
                        <wps:spPr bwMode="auto">
                          <a:xfrm>
                            <a:off x="4931" y="1680"/>
                            <a:ext cx="864" cy="468"/>
                          </a:xfrm>
                          <a:prstGeom prst="rect">
                            <a:avLst/>
                          </a:prstGeom>
                          <a:noFill/>
                          <a:ln>
                            <a:noFill/>
                          </a:ln>
                          <a:effectLst/>
                        </wps:spPr>
                        <wps:txbx>
                          <w:txbxContent>
                            <w:p w14:paraId="04F16781">
                              <w:r>
                                <w:rPr>
                                  <w:rFonts w:hint="eastAsia"/>
                                </w:rPr>
                                <w:t>岩屑</w:t>
                              </w:r>
                            </w:p>
                          </w:txbxContent>
                        </wps:txbx>
                        <wps:bodyPr rot="0" vert="horz" wrap="square" lIns="91440" tIns="45720" rIns="91440" bIns="45720" anchor="t" anchorCtr="0" upright="1">
                          <a:noAutofit/>
                        </wps:bodyPr>
                      </wps:wsp>
                      <wps:wsp>
                        <wps:cNvPr id="102" name="直线 199"/>
                        <wps:cNvCnPr/>
                        <wps:spPr bwMode="auto">
                          <a:xfrm>
                            <a:off x="5571" y="1900"/>
                            <a:ext cx="356" cy="0"/>
                          </a:xfrm>
                          <a:prstGeom prst="line">
                            <a:avLst/>
                          </a:prstGeom>
                          <a:noFill/>
                          <a:ln w="9525">
                            <a:solidFill>
                              <a:srgbClr val="000000"/>
                            </a:solidFill>
                            <a:round/>
                            <a:tailEnd type="stealth" w="sm" len="lg"/>
                          </a:ln>
                          <a:effectLst/>
                        </wps:spPr>
                        <wps:bodyPr/>
                      </wps:wsp>
                      <wps:wsp>
                        <wps:cNvPr id="67" name="文本框 200"/>
                        <wps:cNvSpPr txBox="1">
                          <a:spLocks noChangeArrowheads="1"/>
                        </wps:cNvSpPr>
                        <wps:spPr bwMode="auto">
                          <a:xfrm>
                            <a:off x="5879" y="1696"/>
                            <a:ext cx="1006" cy="468"/>
                          </a:xfrm>
                          <a:prstGeom prst="rect">
                            <a:avLst/>
                          </a:prstGeom>
                          <a:noFill/>
                          <a:ln>
                            <a:noFill/>
                          </a:ln>
                          <a:effectLst/>
                        </wps:spPr>
                        <wps:txbx>
                          <w:txbxContent>
                            <w:p w14:paraId="19B54368">
                              <w:r>
                                <w:rPr>
                                  <w:rFonts w:hint="eastAsia"/>
                                </w:rPr>
                                <w:t>收集</w:t>
                              </w:r>
                            </w:p>
                          </w:txbxContent>
                        </wps:txbx>
                        <wps:bodyPr rot="0" vert="horz" wrap="square" lIns="91440" tIns="45720" rIns="91440" bIns="45720" anchor="t" anchorCtr="0" upright="1">
                          <a:noAutofit/>
                        </wps:bodyPr>
                      </wps:wsp>
                      <wps:wsp>
                        <wps:cNvPr id="104" name="直线 201"/>
                        <wps:cNvCnPr/>
                        <wps:spPr bwMode="auto">
                          <a:xfrm>
                            <a:off x="6011" y="460"/>
                            <a:ext cx="720" cy="0"/>
                          </a:xfrm>
                          <a:prstGeom prst="line">
                            <a:avLst/>
                          </a:prstGeom>
                          <a:noFill/>
                          <a:ln w="9525">
                            <a:solidFill>
                              <a:srgbClr val="000000"/>
                            </a:solidFill>
                            <a:round/>
                            <a:headEnd type="stealth" w="sm" len="lg"/>
                          </a:ln>
                          <a:effectLst/>
                        </wps:spPr>
                        <wps:bodyPr/>
                      </wps:wsp>
                      <wps:wsp>
                        <wps:cNvPr id="105" name="文本框 202"/>
                        <wps:cNvSpPr txBox="1">
                          <a:spLocks noChangeArrowheads="1"/>
                        </wps:cNvSpPr>
                        <wps:spPr bwMode="auto">
                          <a:xfrm>
                            <a:off x="6123" y="44"/>
                            <a:ext cx="900" cy="468"/>
                          </a:xfrm>
                          <a:prstGeom prst="rect">
                            <a:avLst/>
                          </a:prstGeom>
                          <a:noFill/>
                          <a:ln>
                            <a:noFill/>
                          </a:ln>
                          <a:effectLst/>
                        </wps:spPr>
                        <wps:txbx>
                          <w:txbxContent>
                            <w:p w14:paraId="65B65A9C">
                              <w:r>
                                <w:rPr>
                                  <w:rFonts w:hint="eastAsia"/>
                                </w:rPr>
                                <w:t>加料</w:t>
                              </w:r>
                            </w:p>
                          </w:txbxContent>
                        </wps:txbx>
                        <wps:bodyPr rot="0" vert="horz" wrap="square" lIns="91440" tIns="45720" rIns="91440" bIns="45720" anchor="t" anchorCtr="0" upright="1">
                          <a:noAutofit/>
                        </wps:bodyPr>
                      </wps:wsp>
                      <wps:wsp>
                        <wps:cNvPr id="106" name="文本框 203"/>
                        <wps:cNvSpPr txBox="1">
                          <a:spLocks noChangeArrowheads="1"/>
                        </wps:cNvSpPr>
                        <wps:spPr bwMode="auto">
                          <a:xfrm>
                            <a:off x="1115" y="0"/>
                            <a:ext cx="1980" cy="2324"/>
                          </a:xfrm>
                          <a:prstGeom prst="rect">
                            <a:avLst/>
                          </a:prstGeom>
                          <a:noFill/>
                          <a:ln w="9525">
                            <a:solidFill>
                              <a:srgbClr val="000000"/>
                            </a:solidFill>
                            <a:prstDash val="dash"/>
                            <a:miter lim="800000"/>
                          </a:ln>
                          <a:effectLst/>
                        </wps:spPr>
                        <wps:txbx>
                          <w:txbxContent>
                            <w:p w14:paraId="34A9A077"/>
                            <w:p w14:paraId="66CB5860"/>
                            <w:p w14:paraId="65695506"/>
                            <w:p w14:paraId="7242DEA3">
                              <w:pPr>
                                <w:rPr>
                                  <w:rFonts w:hint="eastAsia" w:eastAsia="宋体"/>
                                  <w:lang w:val="en-US" w:eastAsia="zh-CN"/>
                                </w:rPr>
                              </w:pPr>
                              <w:r>
                                <w:rPr>
                                  <w:rFonts w:hint="eastAsia"/>
                                  <w:lang w:val="en-US" w:eastAsia="zh-CN"/>
                                </w:rPr>
                                <w:t>井口</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1.45pt;margin-top:0.55pt;height:139.25pt;width:390.4pt;mso-wrap-distance-bottom:0pt;mso-wrap-distance-top:0pt;z-index:251661312;mso-width-relative:page;mso-height-relative:page;" coordorigin="-135,0" coordsize="7158,2324" o:gfxdata="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">
                <o:lock v:ext="edit" rotation="t" aspectratio="f"/>
                <v:shape id="文本框 185" o:spid="_x0000_s1026" o:spt="202" type="#_x0000_t202" style="position:absolute;left:-135;top:273;height:2051;width:870;" filled="f" stroked="t" coordsize="21600,21600" o:gfxdata="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Ix72/&#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style="layout-flow:vertical-ideographic;">
                    <w:txbxContent>
                      <w:p w14:paraId="62625701">
                        <w:pPr>
                          <w:ind w:firstLine="420" w:firstLineChars="200"/>
                        </w:pPr>
                        <w:r>
                          <w:rPr>
                            <w:rFonts w:hint="eastAsia"/>
                          </w:rPr>
                          <w:t>井筒</w:t>
                        </w:r>
                      </w:p>
                    </w:txbxContent>
                  </v:textbox>
                </v:shape>
                <v:line id="直线 186" o:spid="_x0000_s1026" o:spt="20" style="position:absolute;left:575;top:492;height:0;width:720;" filled="f" stroked="t" coordsize="21600,21600" o:gfxdata="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xhuC8AAAA&#10;3AAAAA8AAAAAAAAAAQAgAAAAIgAAAGRycy9kb3ducmV2LnhtbFBLAQIUABQAAAAIAIdO4kAzLwWe&#10;OwAAADkAAAAQAAAAAAAAAAEAIAAAAAsBAABkcnMvc2hhcGV4bWwueG1sUEsFBgAAAAAGAAYAWwEA&#10;ALUDAAAAAA==&#10;">
                  <v:fill on="f" focussize="0,0"/>
                  <v:stroke color="#000000" joinstyle="round" endarrow="classic" endarrowwidth="narrow" endarrowlength="long"/>
                  <v:imagedata o:title=""/>
                  <o:lock v:ext="edit" aspectratio="f"/>
                </v:line>
                <v:line id="直线 187" o:spid="_x0000_s1026" o:spt="20" style="position:absolute;left:559;top:1900;height:0;width:727;" filled="f" stroked="t" coordsize="21600,21600" o:gfxdata="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aAA74A&#10;AADcAAAADwAAAAAAAAABACAAAAAiAAAAZHJzL2Rvd25yZXYueG1sUEsBAhQAFAAAAAgAh07iQDMv&#10;BZ47AAAAOQAAABAAAAAAAAAAAQAgAAAADQEAAGRycy9zaGFwZXhtbC54bWxQSwUGAAAAAAYABgBb&#10;AQAAtwMAAAAA&#10;">
                  <v:fill on="f" focussize="0,0"/>
                  <v:stroke color="#000000" joinstyle="round" startarrow="classic" startarrowwidth="narrow" startarrowlength="long"/>
                  <v:imagedata o:title=""/>
                  <o:lock v:ext="edit" aspectratio="f"/>
                </v:line>
                <v:shape id="文本框 188" o:spid="_x0000_s1026" o:spt="202" type="#_x0000_t202" style="position:absolute;left:1295;top:244;height:468;width:1620;" filled="f" stroked="t" coordsize="21600,21600" o:gfxdata="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YP5S/&#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2DF33F53">
                        <w:pPr>
                          <w:jc w:val="center"/>
                        </w:pPr>
                        <w:r>
                          <w:rPr>
                            <w:rFonts w:hint="eastAsia"/>
                          </w:rPr>
                          <w:t>钻井液出口</w:t>
                        </w:r>
                      </w:p>
                    </w:txbxContent>
                  </v:textbox>
                </v:shape>
                <v:shape id="文本框 189" o:spid="_x0000_s1026" o:spt="202" type="#_x0000_t202" style="position:absolute;left:1294;top:1668;height:468;width:1620;" filled="f" stroked="t" coordsize="21600,21600" o:gfxdata="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jly0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14:paraId="37ACFEBA">
                        <w:pPr>
                          <w:jc w:val="center"/>
                        </w:pPr>
                        <w:r>
                          <w:rPr>
                            <w:rFonts w:hint="eastAsia"/>
                          </w:rPr>
                          <w:t>钻井液进口</w:t>
                        </w:r>
                      </w:p>
                    </w:txbxContent>
                  </v:textbox>
                </v:shape>
                <v:line id="直线 190" o:spid="_x0000_s1026" o:spt="20" style="position:absolute;left:2915;top:476;height:0;width:720;" filled="f" stroked="t" coordsize="21600,21600" o:gfxdata="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4cbK8AAAA&#10;3AAAAA8AAAAAAAAAAQAgAAAAIgAAAGRycy9kb3ducmV2LnhtbFBLAQIUABQAAAAIAIdO4kAzLwWe&#10;OwAAADkAAAAQAAAAAAAAAAEAIAAAAAsBAABkcnMvc2hhcGV4bWwueG1sUEsFBgAAAAAGAAYAWwEA&#10;ALUDAAAAAA==&#10;">
                  <v:fill on="f" focussize="0,0"/>
                  <v:stroke color="#000000" joinstyle="round" endarrow="classic" endarrowwidth="narrow" endarrowlength="long"/>
                  <v:imagedata o:title=""/>
                  <o:lock v:ext="edit" aspectratio="f"/>
                </v:line>
                <v:line id="直线 191" o:spid="_x0000_s1026" o:spt="20" style="position:absolute;left:2935;top:1916;height:0;width:720;" filled="f" stroked="t" coordsize="21600,21600" o:gfxdata="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ifVS/&#10;AAAA3AAAAA8AAAAAAAAAAQAgAAAAIgAAAGRycy9kb3ducmV2LnhtbFBLAQIUABQAAAAIAIdO4kAz&#10;LwWeOwAAADkAAAAQAAAAAAAAAAEAIAAAAA4BAABkcnMvc2hhcGV4bWwueG1sUEsFBgAAAAAGAAYA&#10;WwEAALgDAAAAAA==&#10;">
                  <v:fill on="f" focussize="0,0"/>
                  <v:stroke color="#000000" joinstyle="round" startarrow="classic" startarrowwidth="narrow" startarrowlength="long"/>
                  <v:imagedata o:title=""/>
                  <o:lock v:ext="edit" aspectratio="f"/>
                </v:line>
                <v:shape id="文本框 192" o:spid="_x0000_s1026" o:spt="202" type="#_x0000_t202" style="position:absolute;left:3651;top:241;height:468;width:2340;" filled="f" stroked="t" coordsize="21600,21600" o:gfxdata="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cwsO/&#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3994F52F">
                        <w:r>
                          <w:rPr>
                            <w:rFonts w:hint="eastAsia"/>
                          </w:rPr>
                          <w:t>钻井液固相控制系统</w:t>
                        </w:r>
                      </w:p>
                    </w:txbxContent>
                  </v:textbox>
                </v:shape>
                <v:line id="直线 193" o:spid="_x0000_s1026" o:spt="20" style="position:absolute;left:4095;top:728;height:312;width:0;" filled="f" stroked="t" coordsize="21600,21600" o:gfxdata="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u+Bu5AAAA2wAA&#10;AA8AAAAAAAAAAQAgAAAAIgAAAGRycy9kb3ducmV2LnhtbFBLAQIUABQAAAAIAIdO4kAzLwWeOwAA&#10;ADkAAAAQAAAAAAAAAAEAIAAAAAgBAABkcnMvc2hhcGV4bWwueG1sUEsFBgAAAAAGAAYAWwEAALID&#10;AAAAAA==&#10;">
                  <v:fill on="f" focussize="0,0"/>
                  <v:stroke color="#000000" joinstyle="round" endarrow="classic" endarrowwidth="narrow" endarrowlength="long"/>
                  <v:imagedata o:title=""/>
                  <o:lock v:ext="edit" aspectratio="f"/>
                </v:line>
                <v:shape id="文本框 194" o:spid="_x0000_s1026" o:spt="202" type="#_x0000_t202" style="position:absolute;left:3719;top:1683;height:468;width:1080;" filled="f" stroked="t" coordsize="21600,21600" o:gfxdata="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0A/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14:paraId="5F2B29E8">
                        <w:r>
                          <w:rPr>
                            <w:rFonts w:hint="eastAsia"/>
                          </w:rPr>
                          <w:t>泥浆泵</w:t>
                        </w:r>
                      </w:p>
                    </w:txbxContent>
                  </v:textbox>
                </v:shape>
                <v:line id="直线 195" o:spid="_x0000_s1026" o:spt="20" style="position:absolute;left:4095;top:1384;height:296;width:0;" filled="f" stroked="t" coordsize="21600,21600" o:gfxdata="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oVEbsAAADb&#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shape id="文本框 196" o:spid="_x0000_s1026" o:spt="202" type="#_x0000_t202" style="position:absolute;left:3651;top:1008;height:468;width:1080;"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2C0338D">
                        <w:r>
                          <w:rPr>
                            <w:rFonts w:hint="eastAsia"/>
                          </w:rPr>
                          <w:t>钻井液</w:t>
                        </w:r>
                      </w:p>
                    </w:txbxContent>
                  </v:textbox>
                </v:shape>
                <v:line id="直线 197" o:spid="_x0000_s1026" o:spt="20" style="position:absolute;left:5255;top:744;height:936;width:0;" filled="f" stroked="t" coordsize="21600,21600" o:gfxdata="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Ok1vQAA&#10;ANwAAAAPAAAAAAAAAAEAIAAAACIAAABkcnMvZG93bnJldi54bWxQSwECFAAUAAAACACHTuJAMy8F&#10;njsAAAA5AAAAEAAAAAAAAAABACAAAAAMAQAAZHJzL3NoYXBleG1sLnhtbFBLBQYAAAAABgAGAFsB&#10;AAC2AwAAAAA=&#10;">
                  <v:fill on="f" focussize="0,0"/>
                  <v:stroke color="#000000" joinstyle="round" endarrow="classic" endarrowwidth="narrow" endarrowlength="long"/>
                  <v:imagedata o:title=""/>
                  <o:lock v:ext="edit" aspectratio="f"/>
                </v:line>
                <v:shape id="文本框 198" o:spid="_x0000_s1026" o:spt="202" type="#_x0000_t202" style="position:absolute;left:4931;top:1680;height:468;width:864;" filled="f" stroked="f" coordsize="21600,21600"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4F16781">
                        <w:r>
                          <w:rPr>
                            <w:rFonts w:hint="eastAsia"/>
                          </w:rPr>
                          <w:t>岩屑</w:t>
                        </w:r>
                      </w:p>
                    </w:txbxContent>
                  </v:textbox>
                </v:shape>
                <v:line id="直线 199" o:spid="_x0000_s1026" o:spt="20" style="position:absolute;left:5571;top:1900;height:0;width:356;" filled="f" stroked="t" coordsize="21600,21600" o:gfxdata="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OtLZugAAANwA&#10;AAAPAAAAAAAAAAEAIAAAACIAAABkcnMvZG93bnJldi54bWxQSwECFAAUAAAACACHTuJAMy8FnjsA&#10;AAA5AAAAEAAAAAAAAAABACAAAAAJAQAAZHJzL3NoYXBleG1sLnhtbFBLBQYAAAAABgAGAFsBAACz&#10;AwAAAAA=&#10;">
                  <v:fill on="f" focussize="0,0"/>
                  <v:stroke color="#000000" joinstyle="round" endarrow="classic" endarrowwidth="narrow" endarrowlength="long"/>
                  <v:imagedata o:title=""/>
                  <o:lock v:ext="edit" aspectratio="f"/>
                </v:line>
                <v:shape id="文本框 200" o:spid="_x0000_s1026" o:spt="202" type="#_x0000_t202" style="position:absolute;left:5879;top:1696;height:468;width:1006;" filled="f" stroked="f" coordsize="21600,21600" o:gfxdata="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G3/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9B54368">
                        <w:r>
                          <w:rPr>
                            <w:rFonts w:hint="eastAsia"/>
                          </w:rPr>
                          <w:t>收集</w:t>
                        </w:r>
                      </w:p>
                    </w:txbxContent>
                  </v:textbox>
                </v:shape>
                <v:line id="直线 201" o:spid="_x0000_s1026" o:spt="20" style="position:absolute;left:6011;top:460;height:0;width:720;" filled="f" stroked="t" coordsize="21600,21600" o:gfxdata="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Xfae/&#10;AAAA3AAAAA8AAAAAAAAAAQAgAAAAIgAAAGRycy9kb3ducmV2LnhtbFBLAQIUABQAAAAIAIdO4kAz&#10;LwWeOwAAADkAAAAQAAAAAAAAAAEAIAAAAA4BAABkcnMvc2hhcGV4bWwueG1sUEsFBgAAAAAGAAYA&#10;WwEAALgDAAAAAA==&#10;">
                  <v:fill on="f" focussize="0,0"/>
                  <v:stroke color="#000000" joinstyle="round" startarrow="classic" startarrowwidth="narrow" startarrowlength="long"/>
                  <v:imagedata o:title=""/>
                  <o:lock v:ext="edit" aspectratio="f"/>
                </v:line>
                <v:shape id="文本框 202" o:spid="_x0000_s1026" o:spt="202" type="#_x0000_t202" style="position:absolute;left:6123;top:44;height:468;width:900;"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5B65A9C">
                        <w:r>
                          <w:rPr>
                            <w:rFonts w:hint="eastAsia"/>
                          </w:rPr>
                          <w:t>加料</w:t>
                        </w:r>
                      </w:p>
                    </w:txbxContent>
                  </v:textbox>
                </v:shape>
                <v:shape id="文本框 203" o:spid="_x0000_s1026" o:spt="202" type="#_x0000_t202" style="position:absolute;left:1115;top:0;height:2324;width:1980;" filled="f" stroked="t" coordsize="21600,21600" o:gfxdata="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JmopvQAA&#10;ANwAAAAPAAAAAAAAAAEAIAAAACIAAABkcnMvZG93bnJldi54bWxQSwECFAAUAAAACACHTuJAMy8F&#10;njsAAAA5AAAAEAAAAAAAAAABACAAAAAMAQAAZHJzL3NoYXBleG1sLnhtbFBLBQYAAAAABgAGAFsB&#10;AAC2AwAAAAA=&#10;">
                  <v:fill on="f" focussize="0,0"/>
                  <v:stroke color="#000000" miterlimit="8" joinstyle="miter" dashstyle="dash"/>
                  <v:imagedata o:title=""/>
                  <o:lock v:ext="edit" aspectratio="f"/>
                  <v:textbox>
                    <w:txbxContent>
                      <w:p w14:paraId="34A9A077"/>
                      <w:p w14:paraId="66CB5860"/>
                      <w:p w14:paraId="65695506"/>
                      <w:p w14:paraId="7242DEA3">
                        <w:pPr>
                          <w:rPr>
                            <w:rFonts w:hint="eastAsia" w:eastAsia="宋体"/>
                            <w:lang w:val="en-US" w:eastAsia="zh-CN"/>
                          </w:rPr>
                        </w:pPr>
                        <w:r>
                          <w:rPr>
                            <w:rFonts w:hint="eastAsia"/>
                            <w:lang w:val="en-US" w:eastAsia="zh-CN"/>
                          </w:rPr>
                          <w:t>井口</w:t>
                        </w:r>
                      </w:p>
                    </w:txbxContent>
                  </v:textbox>
                </v:shape>
                <w10:wrap type="topAndBottom"/>
              </v:group>
            </w:pict>
          </mc:Fallback>
        </mc:AlternateContent>
      </w:r>
      <w:r>
        <w:rPr>
          <w:rFonts w:hint="default" w:ascii="黑体" w:hAnsi="黑体" w:eastAsia="黑体" w:cs="黑体"/>
          <w:b w:val="0"/>
          <w:bCs/>
          <w:color w:val="auto"/>
          <w:kern w:val="2"/>
          <w:sz w:val="24"/>
          <w:szCs w:val="24"/>
          <w:u w:val="none"/>
          <w:lang w:val="zh-CN" w:eastAsia="zh-CN" w:bidi="ar-SA"/>
        </w:rPr>
        <w:t>图3.</w:t>
      </w:r>
      <w:r>
        <w:rPr>
          <w:rFonts w:hint="eastAsia" w:ascii="黑体" w:hAnsi="黑体" w:eastAsia="黑体" w:cs="黑体"/>
          <w:b w:val="0"/>
          <w:bCs/>
          <w:color w:val="auto"/>
          <w:kern w:val="2"/>
          <w:sz w:val="24"/>
          <w:szCs w:val="24"/>
          <w:u w:val="none"/>
          <w:lang w:val="en-US" w:eastAsia="zh-CN" w:bidi="ar-SA"/>
        </w:rPr>
        <w:t>4-2</w:t>
      </w:r>
      <w:r>
        <w:rPr>
          <w:rFonts w:hint="default" w:ascii="黑体" w:hAnsi="黑体" w:eastAsia="黑体" w:cs="黑体"/>
          <w:b w:val="0"/>
          <w:bCs/>
          <w:color w:val="auto"/>
          <w:kern w:val="2"/>
          <w:sz w:val="24"/>
          <w:szCs w:val="24"/>
          <w:u w:val="none"/>
          <w:lang w:val="zh-CN" w:eastAsia="zh-CN" w:bidi="ar-SA"/>
        </w:rPr>
        <w:t>钻井液循环示意图</w:t>
      </w:r>
    </w:p>
    <w:p w14:paraId="7166926A">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在钻井过程中，根据钻头磨损情况、地层情况、井深设计及控制要求等需更换钻具而进行起下钻操作。钻杆、钻铤等钻具粘附少量的钻井液和钻屑，这部分固体废物排往井场泥浆罐内。</w:t>
      </w:r>
    </w:p>
    <w:p w14:paraId="4D0B68D1">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钻井工程施工过程及产污环节见图3.4-3。</w:t>
      </w:r>
    </w:p>
    <w:p w14:paraId="308CCA5F">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3）固井</w:t>
      </w:r>
    </w:p>
    <w:p w14:paraId="53D0343D">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采用多层套管，水泥返高地面方式进行固井。在完成最后一个井段的钻井和固井后，实施完井作业，如果因未钻获油藏等原因而需弃井时，则封堵井眼，切除地面以下1m内的套管头。</w:t>
      </w:r>
    </w:p>
    <w:p w14:paraId="41E56B76">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4）</w:t>
      </w:r>
      <w:r>
        <w:rPr>
          <w:rFonts w:hint="default" w:ascii="宋体" w:hAnsi="宋体" w:eastAsia="宋体" w:cs="宋体"/>
          <w:color w:val="auto"/>
          <w:sz w:val="24"/>
          <w:u w:val="none"/>
          <w:lang w:eastAsia="zh-CN"/>
        </w:rPr>
        <w:t>测井</w:t>
      </w:r>
    </w:p>
    <w:p w14:paraId="1677BB67">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在钻井过程中需利用电测、声波幅度测进或使用测井仪等方法，测定井斜和固井质量，判断油气层位置等，以便及时采取相应措施，保证钻井质量，即为测井作业。</w:t>
      </w:r>
    </w:p>
    <w:p w14:paraId="15D5B5F8">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测井就是在钻井过程中及钻井完成以后，利用测量地层电阻、自然电位、声波、声幅及放射性等方式确定含油层位，检查固井质量并确定射孔层位等。</w:t>
      </w:r>
    </w:p>
    <w:p w14:paraId="5844D9FF">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5</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录井</w:t>
      </w:r>
    </w:p>
    <w:p w14:paraId="699904EC">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录井</w:t>
      </w:r>
      <w:r>
        <w:rPr>
          <w:rFonts w:hint="default" w:ascii="宋体" w:hAnsi="宋体" w:eastAsia="宋体" w:cs="宋体"/>
          <w:color w:val="auto"/>
          <w:sz w:val="24"/>
          <w:u w:val="none"/>
          <w:lang w:val="en-US" w:eastAsia="zh-CN"/>
        </w:rPr>
        <w:t>主要</w:t>
      </w:r>
      <w:r>
        <w:rPr>
          <w:rFonts w:hint="default" w:ascii="宋体" w:hAnsi="宋体" w:eastAsia="宋体" w:cs="宋体"/>
          <w:color w:val="auto"/>
          <w:sz w:val="24"/>
          <w:u w:val="none"/>
          <w:lang w:eastAsia="zh-CN"/>
        </w:rPr>
        <w:t>是用岩矿分析、地球物理、地球化学等方法，观察、采集、收集、记录、分析随钻过程中的固体、液体、气体等井筒返出物信息，以此建立录井地质剖面、发现油气显示、评价油气层，并为石油</w:t>
      </w:r>
      <w:r>
        <w:rPr>
          <w:rFonts w:hint="default" w:ascii="宋体" w:hAnsi="宋体" w:eastAsia="宋体" w:cs="宋体"/>
          <w:color w:val="auto"/>
          <w:sz w:val="24"/>
          <w:u w:val="none"/>
          <w:lang w:val="en-US" w:eastAsia="zh-CN"/>
        </w:rPr>
        <w:t>天然气开采</w:t>
      </w:r>
      <w:r>
        <w:rPr>
          <w:rFonts w:hint="default" w:ascii="宋体" w:hAnsi="宋体" w:eastAsia="宋体" w:cs="宋体"/>
          <w:color w:val="auto"/>
          <w:sz w:val="24"/>
          <w:u w:val="none"/>
          <w:lang w:eastAsia="zh-CN"/>
        </w:rPr>
        <w:t>工程（钻井工程、其它工程）提供钻井信息服务的过程。</w:t>
      </w:r>
    </w:p>
    <w:p w14:paraId="16374924">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6</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完井</w:t>
      </w:r>
    </w:p>
    <w:p w14:paraId="3CFB1CF1">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eastAsia="zh-CN"/>
        </w:rPr>
        <w:t>完井后清理井场，随即可开展采</w:t>
      </w:r>
      <w:r>
        <w:rPr>
          <w:rFonts w:hint="eastAsia" w:ascii="宋体" w:hAnsi="宋体" w:eastAsia="宋体" w:cs="宋体"/>
          <w:color w:val="auto"/>
          <w:sz w:val="24"/>
          <w:u w:val="none"/>
          <w:lang w:val="en-US" w:eastAsia="zh-CN"/>
        </w:rPr>
        <w:t>气</w:t>
      </w:r>
      <w:r>
        <w:rPr>
          <w:rFonts w:hint="default" w:ascii="宋体" w:hAnsi="宋体" w:eastAsia="宋体" w:cs="宋体"/>
          <w:color w:val="auto"/>
          <w:sz w:val="24"/>
          <w:u w:val="none"/>
          <w:lang w:eastAsia="zh-CN"/>
        </w:rPr>
        <w:t>生产或试采。完井后要清运井场废弃物，恢复地貌，做到工完料尽场地清。</w:t>
      </w:r>
    </w:p>
    <w:bookmarkEnd w:id="245"/>
    <w:bookmarkEnd w:id="246"/>
    <w:bookmarkEnd w:id="247"/>
    <w:bookmarkEnd w:id="248"/>
    <w:bookmarkEnd w:id="249"/>
    <w:bookmarkEnd w:id="250"/>
    <w:bookmarkEnd w:id="251"/>
    <w:p w14:paraId="7088D589">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bookmarkStart w:id="252" w:name="_Toc4248"/>
      <w:bookmarkStart w:id="253" w:name="_Toc22637"/>
      <w:bookmarkStart w:id="254" w:name="_Toc9844"/>
      <w:bookmarkStart w:id="255" w:name="_Toc22849"/>
      <w:bookmarkStart w:id="256" w:name="_Toc12508"/>
      <w:bookmarkStart w:id="257" w:name="_Toc11004"/>
      <w:r>
        <w:rPr>
          <w:rFonts w:hint="eastAsia" w:ascii="宋体" w:hAnsi="宋体" w:eastAsia="宋体" w:cs="宋体"/>
          <w:color w:val="auto"/>
          <w:sz w:val="24"/>
          <w:u w:val="none"/>
          <w:lang w:eastAsia="zh-CN"/>
        </w:rPr>
        <w:t>（</w:t>
      </w:r>
      <w:r>
        <w:rPr>
          <w:rFonts w:hint="eastAsia" w:ascii="宋体" w:hAnsi="宋体" w:eastAsia="宋体" w:cs="宋体"/>
          <w:color w:val="auto"/>
          <w:sz w:val="24"/>
          <w:u w:val="none"/>
          <w:lang w:val="en-US" w:eastAsia="zh-CN"/>
        </w:rPr>
        <w:t>2</w:t>
      </w:r>
      <w:r>
        <w:rPr>
          <w:rFonts w:hint="eastAsia" w:ascii="宋体" w:hAnsi="宋体" w:eastAsia="宋体" w:cs="宋体"/>
          <w:color w:val="auto"/>
          <w:sz w:val="24"/>
          <w:u w:val="none"/>
          <w:lang w:eastAsia="zh-CN"/>
        </w:rPr>
        <w:t>）储层改造工程</w:t>
      </w:r>
    </w:p>
    <w:p w14:paraId="55BEDD44">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r>
        <w:rPr>
          <w:rFonts w:hint="eastAsia" w:ascii="宋体" w:hAnsi="宋体" w:eastAsia="宋体" w:cs="宋体"/>
          <w:color w:val="auto"/>
          <w:sz w:val="24"/>
          <w:u w:val="none"/>
          <w:lang w:eastAsia="zh-CN"/>
        </w:rPr>
        <w:t>储层改造工程主要包括射孔、压裂以及后续的测试放喷等。</w:t>
      </w:r>
    </w:p>
    <w:p w14:paraId="5202AE74">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1）压裂工艺</w:t>
      </w:r>
    </w:p>
    <w:p w14:paraId="30DA7D57">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采用固井桥塞+多簇射孔分段压裂工艺</w:t>
      </w:r>
    </w:p>
    <w:p w14:paraId="7AC587E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①施工排量：单段2簇井段6m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/min~8m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/min，单段3簇井段施工排量10.0m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/min~12.0m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w:t>
      </w:r>
    </w:p>
    <w:p w14:paraId="688DA11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②前置液比例：15%（超低前置试验）~40%左右（常规泵注）。</w:t>
      </w:r>
    </w:p>
    <w:p w14:paraId="1AB4C06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③平均砂比：10%~15%左右，最高砂浓度300kg/m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~400kg/m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w:t>
      </w:r>
    </w:p>
    <w:p w14:paraId="30589B9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④液砂比：主方案平均20m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左右；备用方案平均15m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左右。</w:t>
      </w:r>
    </w:p>
    <w:p w14:paraId="5F5C19AD">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⑤泵注工艺：前置段塞+冻胶携砂泵注工艺；根据实施情况择机试验超低前置+冻胶连续携砂泵注工艺。</w:t>
      </w:r>
    </w:p>
    <w:p w14:paraId="37211830">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2）射孔工艺</w:t>
      </w:r>
    </w:p>
    <w:p w14:paraId="226BB06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首段采用连续油管射孔，其余段采用电缆泵送桥塞射孔联作工艺，井口配套电缆防喷装置。</w:t>
      </w:r>
    </w:p>
    <w:p w14:paraId="172AFE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通过储层特征及力学分析，储层平面存在一定的应力非均质性。为实现段内的充分压开，需采用限流压裂促使各簇充分进液。分析不同孔眼间的应力差情况、孔眼数目和孔眼摩阻关系，当排量8m3/min时，如射孔孔眼直径10mm，为克服3MPa的应力非均质性，保证所有孔眼同时吸液，确保各簇充分压开，有效孔眼数应≤27个。当排量12m</w:t>
      </w:r>
      <w:r>
        <w:rPr>
          <w:rFonts w:hint="eastAsia" w:cs="Times New Roman"/>
          <w:color w:val="auto"/>
          <w:sz w:val="24"/>
          <w:szCs w:val="24"/>
          <w:u w:val="none"/>
          <w:vertAlign w:val="superscript"/>
          <w:lang w:val="en-US" w:eastAsia="zh-CN"/>
        </w:rPr>
        <w:t>3</w:t>
      </w:r>
      <w:r>
        <w:rPr>
          <w:rFonts w:hint="eastAsia" w:cs="Times New Roman"/>
          <w:color w:val="auto"/>
          <w:sz w:val="24"/>
          <w:szCs w:val="24"/>
          <w:u w:val="none"/>
          <w:lang w:val="en-US" w:eastAsia="zh-CN"/>
        </w:rPr>
        <w:t>/min时，如射孔孔眼直径10mm，为克服3MPa的应力非均质性，保证所有孔眼同时吸液，确保各簇充分压开，有效孔眼数应≤41个。</w:t>
      </w:r>
    </w:p>
    <w:p w14:paraId="481B0E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1）射孔方式：首段采用连续油管传输射孔，其余井段采用电缆泵送桥塞射孔联作工艺射孔，井口配套电缆防喷装置。</w:t>
      </w:r>
    </w:p>
    <w:p w14:paraId="690C9E6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2）射孔枪弹选型：89型射孔枪，首段采用深穿透射孔弹，其余井段采用等孔径射孔弹。</w:t>
      </w:r>
    </w:p>
    <w:p w14:paraId="72870C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cs="Times New Roman"/>
          <w:color w:val="auto"/>
          <w:sz w:val="24"/>
          <w:szCs w:val="24"/>
          <w:u w:val="none"/>
          <w:lang w:val="en-US" w:eastAsia="zh-CN"/>
        </w:rPr>
      </w:pPr>
      <w:r>
        <w:rPr>
          <w:rFonts w:hint="eastAsia" w:cs="Times New Roman"/>
          <w:color w:val="auto"/>
          <w:sz w:val="24"/>
          <w:szCs w:val="24"/>
          <w:u w:val="none"/>
          <w:lang w:val="en-US" w:eastAsia="zh-CN"/>
        </w:rPr>
        <w:t>3）射孔参数：首段射孔2簇，12孔/簇；其余井段射孔2~3簇，8~10孔/簇；相位角60°。</w:t>
      </w:r>
    </w:p>
    <w:p w14:paraId="2637EE95">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4）射孔液：首段射孔采用清水并添加4%KCl或防膨性能达到要求的其它防膨液，配方中需添加满足防水锁性能要求的防水锁剂，其余段射孔采用压裂液。</w:t>
      </w:r>
    </w:p>
    <w:p w14:paraId="52735F53">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r>
        <w:rPr>
          <w:rFonts w:hint="eastAsia" w:ascii="宋体" w:hAnsi="宋体" w:eastAsia="宋体" w:cs="宋体"/>
          <w:color w:val="auto"/>
          <w:sz w:val="24"/>
          <w:u w:val="none"/>
          <w:lang w:val="en-US" w:eastAsia="zh-CN"/>
        </w:rPr>
        <w:t>3）</w:t>
      </w:r>
      <w:r>
        <w:rPr>
          <w:rFonts w:hint="eastAsia" w:ascii="宋体" w:hAnsi="宋体" w:eastAsia="宋体" w:cs="宋体"/>
          <w:color w:val="auto"/>
          <w:sz w:val="24"/>
          <w:u w:val="none"/>
          <w:lang w:eastAsia="zh-CN"/>
        </w:rPr>
        <w:t>测试放喷</w:t>
      </w:r>
    </w:p>
    <w:p w14:paraId="63E0D3EB">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r>
        <w:rPr>
          <w:rFonts w:hint="eastAsia" w:ascii="宋体" w:hAnsi="宋体" w:eastAsia="宋体" w:cs="宋体"/>
          <w:color w:val="auto"/>
          <w:sz w:val="24"/>
          <w:u w:val="none"/>
          <w:lang w:eastAsia="zh-CN"/>
        </w:rPr>
        <w:t xml:space="preserve">测试放喷是对初步确定的油气水层进行直接测试，取得目的层产能、压力、温度和流体性质等资料的工艺过程，为储量计算和油气合理开发提供可靠数据。测试放喷采取防喷、导流等有效措施。 </w:t>
      </w:r>
    </w:p>
    <w:p w14:paraId="3C7C68B5">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eastAsia="zh-CN"/>
        </w:rPr>
      </w:pPr>
      <w:r>
        <w:rPr>
          <w:rFonts w:hint="eastAsia" w:ascii="宋体" w:hAnsi="宋体" w:eastAsia="宋体" w:cs="宋体"/>
          <w:color w:val="auto"/>
          <w:sz w:val="24"/>
          <w:u w:val="none"/>
          <w:lang w:eastAsia="zh-CN"/>
        </w:rPr>
        <w:t>测试放喷前安装井口放喷专用管线、各种计量设备、油气两相分离设备，计量罐、储液罐(油罐)、油气水进出口管线等设备。油气经井口装置节流、降压，进入油气计量分离器，分离后的液相通过管线输送至凝析油储罐，再由油罐车拉走；天然气通过管线输送至放喷池，放空时通过电点火装置点燃放空天然气。依据具体情况设定放喷时间，一般为1～2d。</w:t>
      </w:r>
    </w:p>
    <w:p w14:paraId="0249B937">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b w:val="0"/>
          <w:bCs w:val="0"/>
          <w:color w:val="auto"/>
          <w:kern w:val="0"/>
          <w:sz w:val="24"/>
          <w:szCs w:val="24"/>
          <w:highlight w:val="none"/>
          <w:u w:val="none"/>
        </w:rPr>
      </w:pPr>
      <w:r>
        <w:rPr>
          <w:rFonts w:hint="eastAsia" w:ascii="宋体" w:hAnsi="宋体" w:eastAsia="宋体" w:cs="宋体"/>
          <w:color w:val="auto"/>
          <w:sz w:val="24"/>
          <w:u w:val="none"/>
          <w:lang w:eastAsia="zh-CN"/>
        </w:rPr>
        <w:t>储层改造</w:t>
      </w:r>
      <w:r>
        <w:rPr>
          <w:rFonts w:hint="eastAsia" w:ascii="宋体" w:hAnsi="宋体" w:eastAsia="宋体" w:cs="宋体"/>
          <w:color w:val="auto"/>
          <w:sz w:val="24"/>
          <w:u w:val="none"/>
          <w:lang w:val="zh-CN" w:eastAsia="zh-CN"/>
        </w:rPr>
        <w:t>工程</w:t>
      </w:r>
      <w:r>
        <w:rPr>
          <w:rFonts w:hint="eastAsia" w:ascii="宋体" w:hAnsi="宋体" w:eastAsia="宋体" w:cs="宋体"/>
          <w:color w:val="auto"/>
          <w:sz w:val="24"/>
          <w:u w:val="none"/>
          <w:lang w:eastAsia="zh-CN"/>
        </w:rPr>
        <w:t>主要废气为压裂废气、放喷天然气燃烧产生的废气及施工机械尾气。废水主要为生活污水及压裂返排液，生活污水排入生活营地内防渗收集池，清运至乌尔禾区生活污水处理厂处理。压裂返排液采用专用废液收集罐收集，拉运至</w:t>
      </w:r>
      <w:r>
        <w:rPr>
          <w:rFonts w:hint="eastAsia" w:ascii="宋体" w:hAnsi="宋体" w:eastAsia="宋体" w:cs="宋体"/>
          <w:color w:val="auto"/>
          <w:sz w:val="24"/>
          <w:u w:val="none"/>
          <w:lang w:val="en-US" w:eastAsia="zh-CN"/>
        </w:rPr>
        <w:t>石西集中处理站</w:t>
      </w:r>
      <w:r>
        <w:rPr>
          <w:rFonts w:hint="eastAsia" w:ascii="宋体" w:hAnsi="宋体" w:eastAsia="宋体" w:cs="宋体"/>
          <w:color w:val="auto"/>
          <w:sz w:val="24"/>
          <w:u w:val="none"/>
          <w:lang w:eastAsia="zh-CN"/>
        </w:rPr>
        <w:t>处理。噪声为压裂车噪声及测试放喷高压气流噪声，通过定期检修施工设备、合理布置作业任务，避免局部噪声过高。固体废物为生活垃圾，定期送至乌尔禾区生活垃圾填埋场</w:t>
      </w:r>
      <w:r>
        <w:rPr>
          <w:rFonts w:hint="eastAsia" w:ascii="宋体" w:hAnsi="宋体" w:eastAsia="宋体" w:cs="宋体"/>
          <w:color w:val="auto"/>
          <w:sz w:val="24"/>
          <w:u w:val="none"/>
          <w:lang w:val="en-US" w:eastAsia="zh-CN"/>
        </w:rPr>
        <w:t>处置</w:t>
      </w:r>
      <w:r>
        <w:rPr>
          <w:rFonts w:hint="eastAsia" w:ascii="宋体" w:hAnsi="宋体" w:eastAsia="宋体" w:cs="宋体"/>
          <w:color w:val="auto"/>
          <w:sz w:val="24"/>
          <w:u w:val="none"/>
          <w:lang w:eastAsia="zh-CN"/>
        </w:rPr>
        <w:t>。</w:t>
      </w:r>
    </w:p>
    <w:p w14:paraId="517541F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b w:val="0"/>
          <w:bCs w:val="0"/>
          <w:color w:val="auto"/>
          <w:kern w:val="0"/>
          <w:sz w:val="24"/>
          <w:szCs w:val="24"/>
          <w:highlight w:val="none"/>
          <w:u w:val="none"/>
        </w:rPr>
      </w:pPr>
    </w:p>
    <w:p w14:paraId="0B736E3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b w:val="0"/>
          <w:bCs w:val="0"/>
          <w:color w:val="auto"/>
          <w:kern w:val="0"/>
          <w:sz w:val="24"/>
          <w:szCs w:val="24"/>
          <w:highlight w:val="none"/>
          <w:u w:val="none"/>
        </w:rPr>
      </w:pPr>
    </w:p>
    <w:p w14:paraId="5135FCA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b w:val="0"/>
          <w:bCs w:val="0"/>
          <w:color w:val="auto"/>
          <w:kern w:val="0"/>
          <w:sz w:val="24"/>
          <w:szCs w:val="24"/>
          <w:highlight w:val="none"/>
          <w:u w:val="none"/>
        </w:rPr>
      </w:pPr>
    </w:p>
    <w:p w14:paraId="5B23DBE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b w:val="0"/>
          <w:bCs w:val="0"/>
          <w:color w:val="auto"/>
          <w:kern w:val="0"/>
          <w:sz w:val="24"/>
          <w:szCs w:val="24"/>
          <w:highlight w:val="none"/>
          <w:u w:val="none"/>
        </w:rPr>
      </w:pPr>
    </w:p>
    <w:p w14:paraId="3CE0EEF9">
      <w:pPr>
        <w:pStyle w:val="83"/>
        <w:keepNext w:val="0"/>
        <w:keepLines w:val="0"/>
        <w:pageBreakBefore w:val="0"/>
        <w:widowControl/>
        <w:kinsoku/>
        <w:wordWrap/>
        <w:overflowPunct/>
        <w:topLinePunct w:val="0"/>
        <w:autoSpaceDE/>
        <w:autoSpaceDN/>
        <w:bidi w:val="0"/>
        <w:adjustRightInd w:val="0"/>
        <w:snapToGrid/>
        <w:spacing w:line="240" w:lineRule="auto"/>
        <w:ind w:left="0" w:leftChars="0" w:firstLine="0" w:firstLineChars="0"/>
        <w:jc w:val="center"/>
        <w:textAlignment w:val="baseline"/>
        <w:rPr>
          <w:rFonts w:hint="default" w:ascii="Times New Roman" w:hAnsi="Times New Roman" w:eastAsia="宋体" w:cs="Times New Roman"/>
          <w:b/>
          <w:snapToGrid w:val="0"/>
          <w:color w:val="auto"/>
          <w:kern w:val="2"/>
          <w:sz w:val="21"/>
          <w:szCs w:val="21"/>
          <w:highlight w:val="none"/>
          <w:u w:val="none"/>
          <w:lang w:val="en-US" w:eastAsia="zh-CN" w:bidi="ar-SA"/>
        </w:rPr>
      </w:pPr>
      <w:r>
        <w:rPr>
          <w:rFonts w:hint="default" w:ascii="Times New Roman" w:hAnsi="Times New Roman" w:eastAsia="宋体" w:cs="Times New Roman"/>
          <w:b/>
          <w:snapToGrid w:val="0"/>
          <w:color w:val="auto"/>
          <w:kern w:val="2"/>
          <w:sz w:val="21"/>
          <w:szCs w:val="21"/>
          <w:highlight w:val="none"/>
          <w:u w:val="none"/>
          <w:lang w:val="en-US" w:eastAsia="zh-CN" w:bidi="ar-SA"/>
        </w:rPr>
        <w:drawing>
          <wp:inline distT="0" distB="0" distL="114300" distR="114300">
            <wp:extent cx="5581015" cy="7956550"/>
            <wp:effectExtent l="0" t="0" r="635" b="6350"/>
            <wp:docPr id="68" name="图片 1" descr="90B1775F-5050-4791-80D5-18D6FE20B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90B1775F-5050-4791-80D5-18D6FE20B698"/>
                    <pic:cNvPicPr>
                      <a:picLocks noChangeAspect="1"/>
                    </pic:cNvPicPr>
                  </pic:nvPicPr>
                  <pic:blipFill>
                    <a:blip r:embed="rId43"/>
                    <a:stretch>
                      <a:fillRect/>
                    </a:stretch>
                  </pic:blipFill>
                  <pic:spPr>
                    <a:xfrm>
                      <a:off x="0" y="0"/>
                      <a:ext cx="5581015" cy="7956550"/>
                    </a:xfrm>
                    <a:prstGeom prst="rect">
                      <a:avLst/>
                    </a:prstGeom>
                    <a:noFill/>
                    <a:ln>
                      <a:noFill/>
                    </a:ln>
                  </pic:spPr>
                </pic:pic>
              </a:graphicData>
            </a:graphic>
          </wp:inline>
        </w:drawing>
      </w:r>
    </w:p>
    <w:p w14:paraId="49EE836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olor w:val="auto"/>
          <w:highlight w:val="none"/>
          <w:u w:val="none"/>
        </w:rPr>
      </w:pPr>
      <w:r>
        <w:rPr>
          <w:rFonts w:hint="default" w:ascii="黑体" w:hAnsi="黑体" w:eastAsia="黑体" w:cs="黑体"/>
          <w:b w:val="0"/>
          <w:bCs/>
          <w:color w:val="auto"/>
          <w:kern w:val="2"/>
          <w:sz w:val="24"/>
          <w:szCs w:val="24"/>
          <w:u w:val="none"/>
          <w:lang w:val="en-US" w:eastAsia="zh-CN" w:bidi="ar-SA"/>
        </w:rPr>
        <w:t>图3.</w:t>
      </w:r>
      <w:r>
        <w:rPr>
          <w:rFonts w:hint="eastAsia" w:ascii="黑体" w:hAnsi="黑体" w:eastAsia="黑体" w:cs="黑体"/>
          <w:b w:val="0"/>
          <w:bCs/>
          <w:color w:val="auto"/>
          <w:kern w:val="2"/>
          <w:sz w:val="24"/>
          <w:szCs w:val="24"/>
          <w:u w:val="none"/>
          <w:lang w:val="en-US" w:eastAsia="zh-CN" w:bidi="ar-SA"/>
        </w:rPr>
        <w:t>4-3钻前工程、钻井工程及储层改造工程工艺流程及污染物排放示意图</w:t>
      </w:r>
    </w:p>
    <w:p w14:paraId="0D5C3ACC">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p>
    <w:p w14:paraId="7947298A">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w:t>
      </w:r>
      <w:r>
        <w:rPr>
          <w:rFonts w:hint="eastAsia" w:ascii="宋体" w:hAnsi="宋体" w:eastAsia="宋体" w:cs="宋体"/>
          <w:color w:val="auto"/>
          <w:sz w:val="24"/>
          <w:u w:val="none"/>
          <w:lang w:val="en-US" w:eastAsia="zh-CN"/>
        </w:rPr>
        <w:t>3</w:t>
      </w:r>
      <w:r>
        <w:rPr>
          <w:rFonts w:hint="default" w:ascii="宋体" w:hAnsi="宋体" w:eastAsia="宋体" w:cs="宋体"/>
          <w:color w:val="auto"/>
          <w:sz w:val="24"/>
          <w:u w:val="none"/>
          <w:lang w:eastAsia="zh-CN"/>
        </w:rPr>
        <w:t>）管线敷设</w:t>
      </w:r>
      <w:bookmarkEnd w:id="252"/>
      <w:bookmarkEnd w:id="253"/>
      <w:bookmarkEnd w:id="254"/>
      <w:bookmarkEnd w:id="255"/>
      <w:bookmarkEnd w:id="256"/>
      <w:bookmarkEnd w:id="257"/>
    </w:p>
    <w:p w14:paraId="1F36BECF">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黑体" w:cs="Times New Roman"/>
          <w:color w:val="auto"/>
          <w:kern w:val="2"/>
          <w:sz w:val="24"/>
          <w:szCs w:val="24"/>
          <w:highlight w:val="none"/>
          <w:u w:val="none"/>
          <w:lang w:val="en-US" w:eastAsia="zh-CN" w:bidi="ar-SA"/>
        </w:rPr>
      </w:pPr>
      <w:r>
        <w:rPr>
          <w:rFonts w:hint="default" w:ascii="宋体" w:hAnsi="宋体" w:eastAsia="宋体" w:cs="宋体"/>
          <w:color w:val="auto"/>
          <w:sz w:val="24"/>
          <w:u w:val="none"/>
          <w:lang w:val="en-US" w:eastAsia="zh-CN"/>
        </w:rPr>
        <w:t>管线主要施工内容包括</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施工准备、管沟开挖及下管、管道连接与试压、连头、配套设备安装、收尾工序等。管道工程施工阶段工艺流程</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见图3.</w:t>
      </w:r>
      <w:r>
        <w:rPr>
          <w:rFonts w:hint="eastAsia" w:ascii="宋体" w:hAnsi="宋体" w:eastAsia="宋体" w:cs="宋体"/>
          <w:color w:val="auto"/>
          <w:sz w:val="24"/>
          <w:u w:val="none"/>
          <w:lang w:val="en-US" w:eastAsia="zh-CN"/>
        </w:rPr>
        <w:t>4</w:t>
      </w:r>
      <w:r>
        <w:rPr>
          <w:rFonts w:hint="default" w:ascii="宋体" w:hAnsi="宋体" w:eastAsia="宋体" w:cs="宋体"/>
          <w:color w:val="auto"/>
          <w:sz w:val="24"/>
          <w:u w:val="none"/>
          <w:lang w:val="en-US" w:eastAsia="zh-CN"/>
        </w:rPr>
        <w:t>-</w:t>
      </w:r>
      <w:r>
        <w:rPr>
          <w:rFonts w:hint="eastAsia" w:ascii="宋体" w:hAnsi="宋体" w:eastAsia="宋体" w:cs="宋体"/>
          <w:color w:val="auto"/>
          <w:sz w:val="24"/>
          <w:u w:val="none"/>
          <w:lang w:val="en-US" w:eastAsia="zh-CN"/>
        </w:rPr>
        <w:t>4</w:t>
      </w:r>
      <w:r>
        <w:rPr>
          <w:rFonts w:hint="default" w:ascii="宋体" w:hAnsi="宋体" w:eastAsia="宋体" w:cs="宋体"/>
          <w:color w:val="auto"/>
          <w:sz w:val="24"/>
          <w:u w:val="none"/>
          <w:lang w:val="en-US" w:eastAsia="zh-CN"/>
        </w:rPr>
        <w:t>。</w:t>
      </w:r>
    </w:p>
    <w:p w14:paraId="6DC3D8E0">
      <w:pPr>
        <w:widowControl/>
        <w:jc w:val="center"/>
        <w:rPr>
          <w:rFonts w:hint="default" w:ascii="Times New Roman" w:hAnsi="Times New Roman" w:eastAsia="宋体" w:cs="Times New Roman"/>
          <w:b/>
          <w:snapToGrid w:val="0"/>
          <w:color w:val="auto"/>
          <w:kern w:val="2"/>
          <w:sz w:val="21"/>
          <w:szCs w:val="21"/>
          <w:highlight w:val="none"/>
          <w:u w:val="none"/>
          <w:lang w:val="en-US" w:eastAsia="zh-CN" w:bidi="ar-SA"/>
        </w:rPr>
      </w:pPr>
      <w:r>
        <w:rPr>
          <w:color w:val="auto"/>
          <w:u w:val="none"/>
        </w:rPr>
        <w:drawing>
          <wp:inline distT="0" distB="0" distL="114300" distR="114300">
            <wp:extent cx="5269230" cy="1138555"/>
            <wp:effectExtent l="0" t="0" r="7620" b="4445"/>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44"/>
                    <a:stretch>
                      <a:fillRect/>
                    </a:stretch>
                  </pic:blipFill>
                  <pic:spPr>
                    <a:xfrm>
                      <a:off x="0" y="0"/>
                      <a:ext cx="5269230" cy="1138555"/>
                    </a:xfrm>
                    <a:prstGeom prst="rect">
                      <a:avLst/>
                    </a:prstGeom>
                    <a:noFill/>
                    <a:ln>
                      <a:noFill/>
                    </a:ln>
                  </pic:spPr>
                </pic:pic>
              </a:graphicData>
            </a:graphic>
          </wp:inline>
        </w:drawing>
      </w:r>
    </w:p>
    <w:p w14:paraId="417F67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snapToGrid w:val="0"/>
          <w:color w:val="auto"/>
          <w:kern w:val="2"/>
          <w:sz w:val="21"/>
          <w:szCs w:val="21"/>
          <w:highlight w:val="none"/>
          <w:u w:val="none"/>
          <w:lang w:val="en-US" w:eastAsia="zh-CN" w:bidi="ar-SA"/>
        </w:rPr>
      </w:pPr>
      <w:r>
        <w:rPr>
          <w:rFonts w:hint="default" w:ascii="黑体" w:hAnsi="黑体" w:eastAsia="黑体" w:cs="黑体"/>
          <w:b w:val="0"/>
          <w:bCs/>
          <w:color w:val="auto"/>
          <w:kern w:val="2"/>
          <w:sz w:val="24"/>
          <w:szCs w:val="24"/>
          <w:u w:val="none"/>
          <w:lang w:val="en-US" w:eastAsia="zh-CN" w:bidi="ar-SA"/>
        </w:rPr>
        <w:t>图3.</w:t>
      </w:r>
      <w:r>
        <w:rPr>
          <w:rFonts w:hint="eastAsia" w:ascii="黑体" w:hAnsi="黑体" w:eastAsia="黑体" w:cs="黑体"/>
          <w:b w:val="0"/>
          <w:bCs/>
          <w:color w:val="auto"/>
          <w:kern w:val="2"/>
          <w:sz w:val="24"/>
          <w:szCs w:val="24"/>
          <w:u w:val="none"/>
          <w:lang w:val="en-US" w:eastAsia="zh-CN" w:bidi="ar-SA"/>
        </w:rPr>
        <w:t>4</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4  </w:t>
      </w:r>
      <w:r>
        <w:rPr>
          <w:rFonts w:hint="default" w:ascii="黑体" w:hAnsi="黑体" w:eastAsia="黑体" w:cs="黑体"/>
          <w:b w:val="0"/>
          <w:bCs/>
          <w:color w:val="auto"/>
          <w:kern w:val="2"/>
          <w:sz w:val="24"/>
          <w:szCs w:val="24"/>
          <w:u w:val="none"/>
          <w:lang w:val="en-US" w:eastAsia="zh-CN" w:bidi="ar-SA"/>
        </w:rPr>
        <w:t>管道工程施工阶段工艺流程图</w:t>
      </w:r>
    </w:p>
    <w:p w14:paraId="34B9B5AC">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1）</w:t>
      </w:r>
      <w:r>
        <w:rPr>
          <w:rFonts w:hint="default" w:ascii="宋体" w:hAnsi="宋体" w:eastAsia="宋体" w:cs="宋体"/>
          <w:color w:val="auto"/>
          <w:sz w:val="24"/>
          <w:u w:val="none"/>
          <w:lang w:val="en-US" w:eastAsia="zh-CN"/>
        </w:rPr>
        <w:t>施工准备</w:t>
      </w:r>
    </w:p>
    <w:p w14:paraId="4B73E499">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施工前需对场地进行平整，设置施工车辆临时停放场地。施工期间根据不同管线沿设计的管线走向设置一定宽度的作业带并取管沟一侧作为挖方存放点，在合适地点设置车辆临时停放场地。</w:t>
      </w:r>
    </w:p>
    <w:p w14:paraId="30CAC058">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2）</w:t>
      </w:r>
      <w:r>
        <w:rPr>
          <w:rFonts w:hint="default" w:ascii="宋体" w:hAnsi="宋体" w:eastAsia="宋体" w:cs="宋体"/>
          <w:color w:val="auto"/>
          <w:sz w:val="24"/>
          <w:u w:val="none"/>
          <w:lang w:val="en-US" w:eastAsia="zh-CN"/>
        </w:rPr>
        <w:t>管沟开挖及下管</w:t>
      </w:r>
    </w:p>
    <w:p w14:paraId="6864022E">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开挖管沟前，应根据管道施工用地宽度清理其中的杂物，平整沟、坎，以便施工机具通行，同时清除管线中心线两侧以及附近斜坡上危及管道安全的崩塌堆积物。施工前应按照设计图纸要求及各个区域的地质情况向施工人员作好管沟断面开挖要求（开挖深度及边坡比）、堆土位置及技术要求等的交底工作。管沟开挖可采用机械开挖与人工开挖相结合的方式，有地下障碍物时，障碍物两侧5m范围内，应采用人工开挖。对于重要设施，开挖前应征得其管理方的同意，并应在其监督下开挖管沟</w:t>
      </w:r>
      <w:r>
        <w:rPr>
          <w:rFonts w:hint="eastAsia" w:ascii="宋体" w:hAnsi="宋体" w:eastAsia="宋体" w:cs="宋体"/>
          <w:color w:val="auto"/>
          <w:sz w:val="24"/>
          <w:u w:val="none"/>
          <w:lang w:val="en-US" w:eastAsia="zh-CN"/>
        </w:rPr>
        <w:t>，开挖深度1.8m</w:t>
      </w:r>
      <w:r>
        <w:rPr>
          <w:rFonts w:hint="default" w:ascii="宋体" w:hAnsi="宋体" w:eastAsia="宋体" w:cs="宋体"/>
          <w:color w:val="auto"/>
          <w:sz w:val="24"/>
          <w:u w:val="none"/>
          <w:lang w:val="en-US" w:eastAsia="zh-CN"/>
        </w:rPr>
        <w:t>。施工机械在纵坡上挖沟，必须根据坡度的大小、土壤的类别、性质及状态计算施工机械的稳定性，并采取相应的措施，确保安全操作。</w:t>
      </w:r>
    </w:p>
    <w:p w14:paraId="7212F749">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3）</w:t>
      </w:r>
      <w:r>
        <w:rPr>
          <w:rFonts w:hint="default" w:ascii="宋体" w:hAnsi="宋体" w:eastAsia="宋体" w:cs="宋体"/>
          <w:color w:val="auto"/>
          <w:sz w:val="24"/>
          <w:u w:val="none"/>
          <w:lang w:val="en-US" w:eastAsia="zh-CN"/>
        </w:rPr>
        <w:t>管道连接与试压</w:t>
      </w:r>
    </w:p>
    <w:p w14:paraId="094402EA">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本工程管线均采用无缝钢管，内防腐层采用熔结环氧粉末一次成膜结构；保温层采用聚氨酯泡沫塑料，均为分段式成品管线，拉运至现场，现场仅做焊接，无现场发泡保温、刷漆等工艺。</w:t>
      </w:r>
    </w:p>
    <w:p w14:paraId="64A45FC2">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管道连接在自然状态下进行，不得强迫对应，钢管焊接必须按规定进行坡口加工。管道在组焊或者连接前，对管内、管端进行清理，达到管内无砂、无尘，同时应对坡口及其内表面用手工或机械进行清理，清除管道边缘100mm范围内的油、漆、锈、毛刺等污物。焊接施工时，应根据连接件的材质，先进行试焊选择适当的焊条。</w:t>
      </w:r>
    </w:p>
    <w:p w14:paraId="7C30B1CA">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连接完成后的对管道采用压缩空气进行吹扫，保持管道内清洁。管线经过连接、防腐补口，进行注水试压。除输气管线强度试验及严密性试验使用空气为试验介质；其他集输管线强度试验及严密性试验均以中性洁净水为试验介质。</w:t>
      </w:r>
    </w:p>
    <w:p w14:paraId="7B2277C9">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4）</w:t>
      </w:r>
      <w:r>
        <w:rPr>
          <w:rFonts w:hint="default" w:ascii="宋体" w:hAnsi="宋体" w:eastAsia="宋体" w:cs="宋体"/>
          <w:color w:val="auto"/>
          <w:sz w:val="24"/>
          <w:u w:val="none"/>
          <w:lang w:val="en-US" w:eastAsia="zh-CN"/>
        </w:rPr>
        <w:t>井场配套设备安装及连头</w:t>
      </w:r>
    </w:p>
    <w:p w14:paraId="64332832">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将配套设备拉运至井场，并完成安装工作。管线施工完成后在井场将管线与采</w:t>
      </w:r>
      <w:r>
        <w:rPr>
          <w:rFonts w:hint="eastAsia" w:ascii="宋体" w:hAnsi="宋体" w:eastAsia="宋体" w:cs="宋体"/>
          <w:color w:val="auto"/>
          <w:sz w:val="24"/>
          <w:u w:val="none"/>
          <w:lang w:val="en-US" w:eastAsia="zh-CN"/>
        </w:rPr>
        <w:t>气</w:t>
      </w:r>
      <w:r>
        <w:rPr>
          <w:rFonts w:hint="default" w:ascii="宋体" w:hAnsi="宋体" w:eastAsia="宋体" w:cs="宋体"/>
          <w:color w:val="auto"/>
          <w:sz w:val="24"/>
          <w:u w:val="none"/>
          <w:lang w:val="en-US" w:eastAsia="zh-CN"/>
        </w:rPr>
        <w:t>树阀门连接，并安装RTU室等辅助设施；采出液通过单井集输管线输送至各对应接转站，然后再通过新建和已建集输管线输送至联合站处理。</w:t>
      </w:r>
    </w:p>
    <w:p w14:paraId="4D55E3F2">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5）</w:t>
      </w:r>
      <w:r>
        <w:rPr>
          <w:rFonts w:hint="default" w:ascii="宋体" w:hAnsi="宋体" w:eastAsia="宋体" w:cs="宋体"/>
          <w:color w:val="auto"/>
          <w:sz w:val="24"/>
          <w:u w:val="none"/>
          <w:lang w:val="en-US" w:eastAsia="zh-CN"/>
        </w:rPr>
        <w:t>收尾工作</w:t>
      </w:r>
    </w:p>
    <w:p w14:paraId="412A8C84">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收尾工作包括</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管沟回填、场地平整和临时场地恢复。管线连接成功并检验合格后进行管沟回填。对管沟实施土方回填，回填时分二次回填，回填土应与管沟自然土相似，首先距管壁300mm范围先用较小粒径的原土进行小回填，最大回填粒径不超过10mm，然后采用原土进行回填，管顶距自然地坪不小于1.2m且管沟回填土高出自然地面300mm，沿管线铺设方向形成垄，作为自管道上方土层自然沉降富裕量，且可以作为巡视管线的地表标志，剩余土方用于场地平整和临时施工场地土地恢复。第一次回填采用人工回填，第二次回填可采用机械回填，机械回填时，严禁施工机械碾压管道。管沟回填后，在管线沿线设置管道标识、里程桩、转角桩、标志桩、警示牌和警示带等标识。</w:t>
      </w:r>
    </w:p>
    <w:p w14:paraId="27BC380A">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w:t>
      </w:r>
      <w:r>
        <w:rPr>
          <w:rFonts w:hint="eastAsia" w:ascii="宋体" w:hAnsi="宋体" w:eastAsia="宋体" w:cs="宋体"/>
          <w:color w:val="auto"/>
          <w:sz w:val="24"/>
          <w:u w:val="none"/>
          <w:lang w:val="en-US" w:eastAsia="zh-CN"/>
        </w:rPr>
        <w:t>4</w:t>
      </w:r>
      <w:r>
        <w:rPr>
          <w:rFonts w:hint="default" w:ascii="宋体" w:hAnsi="宋体" w:eastAsia="宋体" w:cs="宋体"/>
          <w:color w:val="auto"/>
          <w:sz w:val="24"/>
          <w:u w:val="none"/>
          <w:lang w:val="en-US" w:eastAsia="zh-CN"/>
        </w:rPr>
        <w:t>）</w:t>
      </w:r>
      <w:r>
        <w:rPr>
          <w:rFonts w:hint="eastAsia" w:ascii="宋体" w:hAnsi="宋体" w:eastAsia="宋体" w:cs="宋体"/>
          <w:color w:val="auto"/>
          <w:sz w:val="24"/>
          <w:u w:val="none"/>
          <w:lang w:val="en-US" w:eastAsia="zh-CN"/>
        </w:rPr>
        <w:t>站</w:t>
      </w:r>
      <w:r>
        <w:rPr>
          <w:rFonts w:hint="default" w:ascii="宋体" w:hAnsi="宋体" w:eastAsia="宋体" w:cs="宋体"/>
          <w:color w:val="auto"/>
          <w:sz w:val="24"/>
          <w:u w:val="none"/>
          <w:lang w:val="en-US" w:eastAsia="zh-CN"/>
        </w:rPr>
        <w:t>场</w:t>
      </w:r>
      <w:r>
        <w:rPr>
          <w:rFonts w:hint="eastAsia" w:ascii="宋体" w:hAnsi="宋体" w:eastAsia="宋体" w:cs="宋体"/>
          <w:color w:val="auto"/>
          <w:sz w:val="24"/>
          <w:u w:val="none"/>
          <w:lang w:val="en-US" w:eastAsia="zh-CN"/>
        </w:rPr>
        <w:t>建设</w:t>
      </w:r>
    </w:p>
    <w:p w14:paraId="4A5A679D">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eastAsia" w:ascii="宋体" w:hAnsi="宋体" w:eastAsia="宋体" w:cs="宋体"/>
          <w:color w:val="auto"/>
          <w:sz w:val="24"/>
          <w:u w:val="none"/>
          <w:lang w:val="en-US" w:eastAsia="zh-CN"/>
        </w:rPr>
        <w:t>站</w:t>
      </w:r>
      <w:r>
        <w:rPr>
          <w:rFonts w:hint="default" w:ascii="宋体" w:hAnsi="宋体" w:eastAsia="宋体" w:cs="宋体"/>
          <w:color w:val="auto"/>
          <w:sz w:val="24"/>
          <w:u w:val="none"/>
          <w:lang w:eastAsia="zh-CN"/>
        </w:rPr>
        <w:t>场施工期内容主要为设备安装及管线连接。新增设备为成品外购，用施工车辆运至指定位置即可。首先需对占地进行平整，将各类设备拉运至场地，安装调试。</w:t>
      </w:r>
    </w:p>
    <w:p w14:paraId="5EA31A9D">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eastAsia="zh-CN"/>
        </w:rPr>
      </w:pPr>
      <w:r>
        <w:rPr>
          <w:rFonts w:hint="default" w:ascii="宋体" w:hAnsi="宋体" w:eastAsia="宋体" w:cs="宋体"/>
          <w:color w:val="auto"/>
          <w:sz w:val="24"/>
          <w:u w:val="none"/>
          <w:lang w:eastAsia="zh-CN"/>
        </w:rPr>
        <w:t>该过程废气污染源主要为施工车辆尾气，设备运输和装卸时产生的扬尘，通过洒水抑尘减少扬尘产生量；噪声污染源为施工机械产生的噪声；固体废物主要为</w:t>
      </w:r>
      <w:r>
        <w:rPr>
          <w:rFonts w:hint="eastAsia" w:ascii="宋体" w:hAnsi="宋体" w:eastAsia="宋体" w:cs="宋体"/>
          <w:color w:val="auto"/>
          <w:sz w:val="24"/>
          <w:u w:val="none"/>
          <w:lang w:val="en-US" w:eastAsia="zh-CN"/>
        </w:rPr>
        <w:t>施工人员</w:t>
      </w:r>
      <w:r>
        <w:rPr>
          <w:rFonts w:hint="default" w:ascii="宋体" w:hAnsi="宋体" w:eastAsia="宋体" w:cs="宋体"/>
          <w:color w:val="auto"/>
          <w:sz w:val="24"/>
          <w:u w:val="none"/>
          <w:lang w:eastAsia="zh-CN"/>
        </w:rPr>
        <w:t>生活垃圾及设备废弃包装等。</w:t>
      </w:r>
    </w:p>
    <w:p w14:paraId="714FC5A5">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宋体" w:hAnsi="宋体" w:eastAsia="宋体" w:cs="宋体"/>
          <w:color w:val="auto"/>
          <w:sz w:val="24"/>
          <w:u w:val="none"/>
          <w:lang w:eastAsia="zh-CN"/>
        </w:rPr>
        <w:t>站场建设流程及产污环节示意图</w:t>
      </w:r>
      <w:r>
        <w:rPr>
          <w:rFonts w:hint="eastAsia" w:ascii="宋体" w:hAnsi="宋体" w:eastAsia="宋体" w:cs="宋体"/>
          <w:color w:val="auto"/>
          <w:sz w:val="24"/>
          <w:u w:val="none"/>
          <w:lang w:eastAsia="zh-CN"/>
        </w:rPr>
        <w:t>，</w:t>
      </w:r>
      <w:r>
        <w:rPr>
          <w:rFonts w:hint="eastAsia" w:ascii="宋体" w:hAnsi="宋体" w:eastAsia="宋体" w:cs="宋体"/>
          <w:color w:val="auto"/>
          <w:sz w:val="24"/>
          <w:u w:val="none"/>
          <w:lang w:val="en-US" w:eastAsia="zh-CN"/>
        </w:rPr>
        <w:t>见图3.4-</w:t>
      </w:r>
      <w:r>
        <w:rPr>
          <w:rFonts w:hint="eastAsia" w:ascii="宋体" w:hAnsi="宋体" w:cs="宋体"/>
          <w:color w:val="auto"/>
          <w:sz w:val="24"/>
          <w:u w:val="none"/>
          <w:lang w:val="en-US" w:eastAsia="zh-CN"/>
        </w:rPr>
        <w:t>5</w:t>
      </w:r>
      <w:r>
        <w:rPr>
          <w:rFonts w:hint="eastAsia" w:ascii="宋体" w:hAnsi="宋体" w:eastAsia="宋体" w:cs="宋体"/>
          <w:color w:val="auto"/>
          <w:sz w:val="24"/>
          <w:u w:val="none"/>
          <w:lang w:val="en-US" w:eastAsia="zh-CN"/>
        </w:rPr>
        <w:t>。</w:t>
      </w:r>
      <w:r>
        <w:rPr>
          <w:rFonts w:hint="default" w:ascii="Times New Roman" w:hAnsi="Times New Roman" w:eastAsia="宋体" w:cs="Times New Roman"/>
          <w:color w:val="auto"/>
          <w:kern w:val="0"/>
          <w:sz w:val="24"/>
          <w:szCs w:val="24"/>
          <w:highlight w:val="none"/>
          <w:u w:val="none"/>
        </w:rPr>
        <w:t xml:space="preserve">   </w:t>
      </w:r>
    </w:p>
    <w:p w14:paraId="79F3E471">
      <w:pPr>
        <w:widowControl/>
        <w:spacing w:after="120" w:afterLines="0" w:afterAutospacing="0" w:line="360" w:lineRule="auto"/>
        <w:ind w:firstLine="0" w:firstLineChars="0"/>
        <w:jc w:val="center"/>
        <w:rPr>
          <w:rFonts w:ascii="Times New Roman" w:hAnsi="Times New Roman" w:eastAsia="黑体" w:cs="宋体"/>
          <w:b/>
          <w:color w:val="auto"/>
          <w:spacing w:val="0"/>
          <w:kern w:val="0"/>
          <w:sz w:val="21"/>
          <w:szCs w:val="24"/>
          <w:highlight w:val="none"/>
          <w:u w:val="none"/>
          <w:lang w:val="en-US" w:eastAsia="zh-CN" w:bidi="ar-SA"/>
        </w:rPr>
      </w:pPr>
      <w:r>
        <w:rPr>
          <w:color w:val="auto"/>
          <w:highlight w:val="none"/>
          <w:u w:val="none"/>
        </w:rPr>
        <w:drawing>
          <wp:inline distT="0" distB="0" distL="114300" distR="114300">
            <wp:extent cx="4347845" cy="1738630"/>
            <wp:effectExtent l="0" t="0" r="14605" b="1397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45"/>
                    <a:stretch>
                      <a:fillRect/>
                    </a:stretch>
                  </pic:blipFill>
                  <pic:spPr>
                    <a:xfrm>
                      <a:off x="0" y="0"/>
                      <a:ext cx="4347845" cy="1738630"/>
                    </a:xfrm>
                    <a:prstGeom prst="rect">
                      <a:avLst/>
                    </a:prstGeom>
                    <a:noFill/>
                    <a:ln>
                      <a:noFill/>
                    </a:ln>
                  </pic:spPr>
                </pic:pic>
              </a:graphicData>
            </a:graphic>
          </wp:inline>
        </w:drawing>
      </w:r>
    </w:p>
    <w:p w14:paraId="66AD97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szCs w:val="24"/>
          <w:highlight w:val="none"/>
          <w:u w:val="none"/>
          <w:lang w:eastAsia="zh-CN"/>
        </w:rPr>
      </w:pPr>
      <w:bookmarkStart w:id="258" w:name="_Toc169"/>
      <w:bookmarkStart w:id="259" w:name="_Toc31104"/>
      <w:r>
        <w:rPr>
          <w:rFonts w:hint="default" w:ascii="黑体" w:hAnsi="黑体" w:eastAsia="黑体" w:cs="黑体"/>
          <w:b w:val="0"/>
          <w:bCs/>
          <w:color w:val="auto"/>
          <w:kern w:val="2"/>
          <w:sz w:val="24"/>
          <w:szCs w:val="24"/>
          <w:u w:val="none"/>
          <w:lang w:val="en-US" w:eastAsia="zh-CN" w:bidi="ar-SA"/>
        </w:rPr>
        <w:t>图</w:t>
      </w:r>
      <w:r>
        <w:rPr>
          <w:rFonts w:hint="eastAsia" w:ascii="黑体" w:hAnsi="黑体" w:eastAsia="黑体" w:cs="黑体"/>
          <w:b w:val="0"/>
          <w:bCs/>
          <w:color w:val="auto"/>
          <w:kern w:val="2"/>
          <w:sz w:val="24"/>
          <w:szCs w:val="24"/>
          <w:u w:val="none"/>
          <w:lang w:val="en-US" w:eastAsia="zh-CN" w:bidi="ar-SA"/>
        </w:rPr>
        <w:t>3.4-5</w:t>
      </w:r>
      <w:r>
        <w:rPr>
          <w:rFonts w:hint="default" w:ascii="黑体" w:hAnsi="黑体" w:eastAsia="黑体" w:cs="黑体"/>
          <w:b w:val="0"/>
          <w:bCs/>
          <w:color w:val="auto"/>
          <w:kern w:val="2"/>
          <w:sz w:val="24"/>
          <w:szCs w:val="24"/>
          <w:u w:val="none"/>
          <w:lang w:val="en-US" w:eastAsia="zh-CN" w:bidi="ar-SA"/>
        </w:rPr>
        <w:t xml:space="preserve">   </w:t>
      </w:r>
      <w:r>
        <w:rPr>
          <w:rFonts w:hint="eastAsia" w:ascii="黑体" w:hAnsi="黑体" w:eastAsia="黑体" w:cs="黑体"/>
          <w:b w:val="0"/>
          <w:bCs/>
          <w:color w:val="auto"/>
          <w:kern w:val="2"/>
          <w:sz w:val="24"/>
          <w:szCs w:val="24"/>
          <w:u w:val="none"/>
          <w:lang w:val="en-US" w:eastAsia="zh-CN" w:bidi="ar-SA"/>
        </w:rPr>
        <w:t>站场</w:t>
      </w:r>
      <w:r>
        <w:rPr>
          <w:rFonts w:hint="default" w:ascii="黑体" w:hAnsi="黑体" w:eastAsia="黑体" w:cs="黑体"/>
          <w:b w:val="0"/>
          <w:bCs/>
          <w:color w:val="auto"/>
          <w:kern w:val="2"/>
          <w:sz w:val="24"/>
          <w:szCs w:val="24"/>
          <w:u w:val="none"/>
          <w:lang w:val="en-US" w:eastAsia="zh-CN" w:bidi="ar-SA"/>
        </w:rPr>
        <w:t>建设</w:t>
      </w:r>
      <w:r>
        <w:rPr>
          <w:rFonts w:hint="eastAsia" w:ascii="黑体" w:hAnsi="黑体" w:eastAsia="黑体" w:cs="黑体"/>
          <w:b w:val="0"/>
          <w:bCs/>
          <w:color w:val="auto"/>
          <w:kern w:val="2"/>
          <w:sz w:val="24"/>
          <w:szCs w:val="24"/>
          <w:u w:val="none"/>
          <w:lang w:val="en-US" w:eastAsia="zh-CN" w:bidi="ar-SA"/>
        </w:rPr>
        <w:t>流程</w:t>
      </w:r>
      <w:r>
        <w:rPr>
          <w:rFonts w:hint="default" w:ascii="黑体" w:hAnsi="黑体" w:eastAsia="黑体" w:cs="黑体"/>
          <w:b w:val="0"/>
          <w:bCs/>
          <w:color w:val="auto"/>
          <w:kern w:val="2"/>
          <w:sz w:val="24"/>
          <w:szCs w:val="24"/>
          <w:u w:val="none"/>
          <w:lang w:val="en-US" w:eastAsia="zh-CN" w:bidi="ar-SA"/>
        </w:rPr>
        <w:t>及产污环节示意图</w:t>
      </w:r>
      <w:bookmarkEnd w:id="258"/>
      <w:bookmarkEnd w:id="259"/>
    </w:p>
    <w:p w14:paraId="62C47970">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4</w:t>
      </w:r>
      <w:r>
        <w:rPr>
          <w:rFonts w:hint="default" w:ascii="宋体" w:hAnsi="宋体" w:eastAsia="宋体" w:cs="宋体"/>
          <w:color w:val="auto"/>
          <w:u w:val="none"/>
          <w:lang w:val="en-US" w:eastAsia="zh-CN"/>
        </w:rPr>
        <w:t>.1.2</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运营期</w:t>
      </w:r>
    </w:p>
    <w:p w14:paraId="00C29994">
      <w:pPr>
        <w:keepNext w:val="0"/>
        <w:keepLines w:val="0"/>
        <w:pageBreakBefore w:val="0"/>
        <w:widowControl/>
        <w:kinsoku/>
        <w:wordWrap/>
        <w:overflowPunct/>
        <w:topLinePunct w:val="0"/>
        <w:autoSpaceDE/>
        <w:autoSpaceDN/>
        <w:bidi w:val="0"/>
        <w:adjustRightInd/>
        <w:snapToGrid/>
        <w:spacing w:after="0" w:afterLines="0" w:afterAutospacing="0" w:line="480" w:lineRule="exact"/>
        <w:ind w:firstLine="480" w:firstLineChars="200"/>
        <w:textAlignment w:val="auto"/>
        <w:rPr>
          <w:rFonts w:hint="eastAsia" w:ascii="宋体" w:hAnsi="宋体" w:eastAsia="宋体" w:cs="宋体"/>
          <w:color w:val="auto"/>
          <w:spacing w:val="0"/>
          <w:kern w:val="0"/>
          <w:sz w:val="24"/>
          <w:szCs w:val="24"/>
          <w:u w:val="none"/>
          <w:lang w:val="en-US" w:eastAsia="zh-CN" w:bidi="ar-SA"/>
        </w:rPr>
      </w:pPr>
      <w:r>
        <w:rPr>
          <w:rFonts w:hint="eastAsia" w:ascii="宋体" w:hAnsi="宋体" w:eastAsia="宋体" w:cs="宋体"/>
          <w:color w:val="auto"/>
          <w:kern w:val="0"/>
          <w:sz w:val="24"/>
          <w:szCs w:val="24"/>
          <w:highlight w:val="none"/>
          <w:u w:val="none"/>
          <w:lang w:val="en-US" w:eastAsia="zh-CN"/>
        </w:rPr>
        <w:t>本工程均采用密闭集输工艺，</w:t>
      </w:r>
      <w:r>
        <w:rPr>
          <w:rFonts w:hint="eastAsia" w:ascii="宋体" w:hAnsi="宋体" w:eastAsia="宋体" w:cs="宋体"/>
          <w:color w:val="auto"/>
          <w:spacing w:val="0"/>
          <w:kern w:val="0"/>
          <w:sz w:val="24"/>
          <w:szCs w:val="24"/>
          <w:u w:val="none"/>
          <w:lang w:val="en-US" w:eastAsia="zh-CN" w:bidi="ar-SA"/>
        </w:rPr>
        <w:t>采用井口～莫109转油站的一级布站密闭加热集输工艺。新部署水平井分别通过新建单井管线输送至莫109转油站处理。</w:t>
      </w:r>
    </w:p>
    <w:p w14:paraId="304CBBFC">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lang w:val="en-US" w:eastAsia="zh-CN"/>
        </w:rPr>
        <w:t>运营期工艺流程及产污环节示意图，见图3.4-</w:t>
      </w:r>
      <w:r>
        <w:rPr>
          <w:rFonts w:hint="eastAsia" w:ascii="宋体" w:hAnsi="宋体" w:cs="宋体"/>
          <w:color w:val="auto"/>
          <w:kern w:val="0"/>
          <w:sz w:val="24"/>
          <w:szCs w:val="24"/>
          <w:highlight w:val="none"/>
          <w:u w:val="none"/>
          <w:lang w:val="en-US" w:eastAsia="zh-CN"/>
        </w:rPr>
        <w:t>6</w:t>
      </w:r>
      <w:r>
        <w:rPr>
          <w:rFonts w:hint="eastAsia" w:ascii="宋体" w:hAnsi="宋体" w:eastAsia="宋体" w:cs="宋体"/>
          <w:color w:val="auto"/>
          <w:kern w:val="0"/>
          <w:sz w:val="24"/>
          <w:szCs w:val="24"/>
          <w:highlight w:val="none"/>
          <w:u w:val="none"/>
          <w:lang w:val="en-US" w:eastAsia="zh-CN"/>
        </w:rPr>
        <w:t>。</w:t>
      </w:r>
    </w:p>
    <w:p w14:paraId="40FA05C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2"/>
          <w:sz w:val="24"/>
          <w:szCs w:val="22"/>
          <w:highlight w:val="none"/>
          <w:u w:val="none"/>
          <w:lang w:val="en-US" w:eastAsia="zh-CN" w:bidi="ar-SA"/>
        </w:rPr>
      </w:pPr>
      <w:r>
        <w:rPr>
          <w:rFonts w:hint="eastAsia" w:ascii="Times New Roman" w:hAnsi="Times New Roman" w:eastAsia="宋体" w:cs="Times New Roman"/>
          <w:color w:val="auto"/>
          <w:spacing w:val="4"/>
          <w:kern w:val="24"/>
          <w:sz w:val="24"/>
          <w:szCs w:val="22"/>
          <w:highlight w:val="none"/>
          <w:u w:val="none"/>
          <w:lang w:eastAsia="zh-CN"/>
        </w:rPr>
        <w:drawing>
          <wp:anchor distT="0" distB="0" distL="114300" distR="114300" simplePos="0" relativeHeight="251705344" behindDoc="0" locked="0" layoutInCell="1" allowOverlap="1">
            <wp:simplePos x="0" y="0"/>
            <wp:positionH relativeFrom="column">
              <wp:posOffset>0</wp:posOffset>
            </wp:positionH>
            <wp:positionV relativeFrom="paragraph">
              <wp:posOffset>60960</wp:posOffset>
            </wp:positionV>
            <wp:extent cx="5461000" cy="2040890"/>
            <wp:effectExtent l="0" t="0" r="6350" b="16510"/>
            <wp:wrapTopAndBottom/>
            <wp:docPr id="54" name="图片 54" descr="运营期工艺流程及产污环节图（莫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运营期工艺流程及产污环节图（莫116）"/>
                    <pic:cNvPicPr>
                      <a:picLocks noChangeAspect="1"/>
                    </pic:cNvPicPr>
                  </pic:nvPicPr>
                  <pic:blipFill>
                    <a:blip r:embed="rId46"/>
                    <a:stretch>
                      <a:fillRect/>
                    </a:stretch>
                  </pic:blipFill>
                  <pic:spPr>
                    <a:xfrm>
                      <a:off x="0" y="0"/>
                      <a:ext cx="5461000" cy="2040890"/>
                    </a:xfrm>
                    <a:prstGeom prst="rect">
                      <a:avLst/>
                    </a:prstGeom>
                  </pic:spPr>
                </pic:pic>
              </a:graphicData>
            </a:graphic>
          </wp:anchor>
        </w:drawing>
      </w:r>
      <w:r>
        <w:rPr>
          <w:rFonts w:hint="default" w:ascii="黑体" w:hAnsi="黑体" w:eastAsia="黑体" w:cs="黑体"/>
          <w:b w:val="0"/>
          <w:bCs/>
          <w:color w:val="auto"/>
          <w:kern w:val="2"/>
          <w:sz w:val="24"/>
          <w:szCs w:val="24"/>
          <w:u w:val="none"/>
          <w:lang w:val="en-US" w:eastAsia="zh-CN" w:bidi="ar-SA"/>
        </w:rPr>
        <w:t>图3.4-</w:t>
      </w:r>
      <w:r>
        <w:rPr>
          <w:rFonts w:hint="eastAsia" w:ascii="黑体" w:hAnsi="黑体" w:eastAsia="黑体" w:cs="黑体"/>
          <w:b w:val="0"/>
          <w:bCs/>
          <w:color w:val="auto"/>
          <w:kern w:val="2"/>
          <w:sz w:val="24"/>
          <w:szCs w:val="24"/>
          <w:u w:val="none"/>
          <w:lang w:val="en-US" w:eastAsia="zh-CN" w:bidi="ar-SA"/>
        </w:rPr>
        <w:t xml:space="preserve">6  </w:t>
      </w:r>
      <w:r>
        <w:rPr>
          <w:rFonts w:hint="default" w:ascii="黑体" w:hAnsi="黑体" w:eastAsia="黑体" w:cs="黑体"/>
          <w:b w:val="0"/>
          <w:bCs/>
          <w:color w:val="auto"/>
          <w:kern w:val="2"/>
          <w:sz w:val="24"/>
          <w:szCs w:val="24"/>
          <w:u w:val="none"/>
          <w:lang w:val="en-US" w:eastAsia="zh-CN" w:bidi="ar-SA"/>
        </w:rPr>
        <w:t>运营期工艺流程及产污环节示意图</w:t>
      </w:r>
    </w:p>
    <w:p w14:paraId="2406239B">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4</w:t>
      </w:r>
      <w:r>
        <w:rPr>
          <w:rFonts w:hint="default" w:ascii="宋体" w:hAnsi="宋体" w:eastAsia="宋体" w:cs="宋体"/>
          <w:color w:val="auto"/>
          <w:u w:val="none"/>
          <w:lang w:val="en-US" w:eastAsia="zh-CN"/>
        </w:rPr>
        <w:t>.1.3</w:t>
      </w:r>
      <w:r>
        <w:rPr>
          <w:rFonts w:hint="eastAsia" w:ascii="宋体" w:hAnsi="宋体" w:eastAsia="宋体" w:cs="宋体"/>
          <w:color w:val="auto"/>
          <w:u w:val="none"/>
          <w:lang w:val="en-US" w:eastAsia="zh-CN"/>
        </w:rPr>
        <w:t xml:space="preserve"> 退役期</w:t>
      </w:r>
    </w:p>
    <w:p w14:paraId="1BEC25B8">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随着开采的不断进行，其储量逐渐下降，最终井区将进入</w:t>
      </w:r>
      <w:r>
        <w:rPr>
          <w:rFonts w:hint="eastAsia" w:ascii="宋体" w:hAnsi="宋体" w:eastAsia="宋体" w:cs="宋体"/>
          <w:color w:val="auto"/>
          <w:sz w:val="24"/>
          <w:u w:val="none"/>
          <w:lang w:val="en-US" w:eastAsia="zh-CN"/>
        </w:rPr>
        <w:t>退役期</w:t>
      </w:r>
      <w:r>
        <w:rPr>
          <w:rFonts w:hint="default" w:ascii="宋体" w:hAnsi="宋体" w:eastAsia="宋体" w:cs="宋体"/>
          <w:color w:val="auto"/>
          <w:sz w:val="24"/>
          <w:u w:val="none"/>
          <w:lang w:val="en-US" w:eastAsia="zh-CN"/>
        </w:rPr>
        <w:t>。</w:t>
      </w:r>
    </w:p>
    <w:p w14:paraId="177115E1">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snapToGrid w:val="0"/>
          <w:color w:val="auto"/>
          <w:kern w:val="2"/>
          <w:sz w:val="24"/>
          <w:szCs w:val="24"/>
          <w:highlight w:val="none"/>
          <w:u w:val="none"/>
          <w:lang w:val="en-US" w:eastAsia="zh-CN" w:bidi="ar-SA"/>
        </w:rPr>
      </w:pPr>
      <w:r>
        <w:rPr>
          <w:rFonts w:hint="default" w:ascii="宋体" w:hAnsi="宋体" w:eastAsia="宋体" w:cs="宋体"/>
          <w:color w:val="auto"/>
          <w:sz w:val="24"/>
          <w:u w:val="none"/>
          <w:lang w:val="en-US" w:eastAsia="zh-CN"/>
        </w:rPr>
        <w:t>首先采用清水清洗注水通道，然后将固化堵剂和水泥浆从井口平推挤入油层并充满井筒、后凝固化，完成封层和封井。由于清洗后井筒中仍存在被油污、垢体和泥沙堵塞的区域，使固化堵剂和水泥浆无法进入这些区域，但是由于固化堵剂具有优良的胶结性能，且在凝固的过程中存在膨胀性，使该区域的堵塞物被挤压得更结实且能与固化堵剂胶合在一起，完成井筒的封固，使得地层的水在此井筒中无法形成窜流，达到了封井的目的。</w:t>
      </w:r>
    </w:p>
    <w:p w14:paraId="2DE203A5">
      <w:pPr>
        <w:rPr>
          <w:rFonts w:hint="default" w:ascii="Times New Roman" w:hAnsi="Times New Roman" w:eastAsia="宋体" w:cs="Times New Roman"/>
          <w:b/>
          <w:color w:val="auto"/>
          <w:kern w:val="2"/>
          <w:sz w:val="28"/>
          <w:szCs w:val="22"/>
          <w:highlight w:val="none"/>
          <w:u w:val="none"/>
          <w:lang w:val="en-US" w:eastAsia="zh-CN" w:bidi="ar-SA"/>
        </w:rPr>
      </w:pPr>
      <w:r>
        <w:rPr>
          <w:rFonts w:hint="default" w:ascii="Times New Roman" w:hAnsi="Times New Roman" w:eastAsia="宋体" w:cs="Times New Roman"/>
          <w:b/>
          <w:color w:val="auto"/>
          <w:kern w:val="2"/>
          <w:sz w:val="28"/>
          <w:szCs w:val="22"/>
          <w:highlight w:val="none"/>
          <w:u w:val="none"/>
          <w:lang w:val="en-US" w:eastAsia="zh-CN" w:bidi="ar-SA"/>
        </w:rPr>
        <w:br w:type="page"/>
      </w:r>
    </w:p>
    <w:p w14:paraId="7D2A828B">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影响因素及污染源构成</w:t>
      </w:r>
    </w:p>
    <w:p w14:paraId="7161E65B">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油气田</w:t>
      </w:r>
      <w:r>
        <w:rPr>
          <w:rFonts w:hint="default" w:ascii="宋体" w:hAnsi="宋体" w:eastAsia="宋体" w:cs="宋体"/>
          <w:color w:val="auto"/>
          <w:sz w:val="24"/>
          <w:u w:val="none"/>
          <w:lang w:val="en-US" w:eastAsia="zh-CN"/>
        </w:rPr>
        <w:t>建设可分为</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施工期、运营期和</w:t>
      </w:r>
      <w:r>
        <w:rPr>
          <w:rFonts w:hint="eastAsia" w:ascii="宋体" w:hAnsi="宋体" w:eastAsia="宋体" w:cs="宋体"/>
          <w:color w:val="auto"/>
          <w:sz w:val="24"/>
          <w:u w:val="none"/>
          <w:lang w:val="en-US" w:eastAsia="zh-CN"/>
        </w:rPr>
        <w:t>退役</w:t>
      </w:r>
      <w:r>
        <w:rPr>
          <w:rFonts w:hint="default" w:ascii="宋体" w:hAnsi="宋体" w:eastAsia="宋体" w:cs="宋体"/>
          <w:color w:val="auto"/>
          <w:sz w:val="24"/>
          <w:u w:val="none"/>
          <w:lang w:val="en-US" w:eastAsia="zh-CN"/>
        </w:rPr>
        <w:t>期三个阶段。</w:t>
      </w:r>
    </w:p>
    <w:p w14:paraId="236E5B6C">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施工建设期环境影响的特点是持续时间短，对地表的破坏性强，在地面建设结束后，可在一定时期消失；但如果污染防治和生态保护措施不当，可能持续很长时间，并且不可逆转，例如对生态环境的破坏。生产运营期环境影响持续时间长，并随着产能规模的增加而加大，贯穿于整个运营期。退役期后，如果封井和井场处置等措施得当，环境影响将很小；反之若出现封井不严，可能导致地下残余油水外溢等事故发生，产生局部环境污染。</w:t>
      </w:r>
    </w:p>
    <w:p w14:paraId="1B9B419F">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pacing w:val="4"/>
          <w:kern w:val="24"/>
          <w:sz w:val="24"/>
          <w:szCs w:val="22"/>
          <w:highlight w:val="none"/>
          <w:u w:val="none"/>
          <w:lang w:val="en-US" w:eastAsia="zh-CN" w:bidi="ar-SA"/>
        </w:rPr>
      </w:pPr>
      <w:r>
        <w:rPr>
          <w:rFonts w:hint="default" w:ascii="宋体" w:hAnsi="宋体" w:eastAsia="宋体" w:cs="宋体"/>
          <w:color w:val="auto"/>
          <w:sz w:val="24"/>
          <w:u w:val="none"/>
          <w:lang w:val="en-US" w:eastAsia="zh-CN"/>
        </w:rPr>
        <w:t>环境影响因素主要来源于钻井、储层改造、井场建设、管线敷设、采</w:t>
      </w:r>
      <w:r>
        <w:rPr>
          <w:rFonts w:hint="eastAsia" w:ascii="宋体" w:hAnsi="宋体" w:eastAsia="宋体" w:cs="宋体"/>
          <w:color w:val="auto"/>
          <w:sz w:val="24"/>
          <w:u w:val="none"/>
          <w:lang w:val="en-US" w:eastAsia="zh-CN"/>
        </w:rPr>
        <w:t>气</w:t>
      </w:r>
      <w:r>
        <w:rPr>
          <w:rFonts w:hint="default" w:ascii="宋体" w:hAnsi="宋体" w:eastAsia="宋体" w:cs="宋体"/>
          <w:color w:val="auto"/>
          <w:sz w:val="24"/>
          <w:u w:val="none"/>
          <w:lang w:val="en-US" w:eastAsia="zh-CN"/>
        </w:rPr>
        <w:t>、井下作业等工艺过程，影响结果包括非污染生态影响，以及排放的污染物质导致的环境污染。项目建设污染源构成见表3.</w:t>
      </w:r>
      <w:r>
        <w:rPr>
          <w:rFonts w:hint="eastAsia" w:ascii="宋体" w:hAnsi="宋体" w:eastAsia="宋体" w:cs="宋体"/>
          <w:color w:val="auto"/>
          <w:sz w:val="24"/>
          <w:u w:val="none"/>
          <w:lang w:val="en-US" w:eastAsia="zh-CN"/>
        </w:rPr>
        <w:t>4</w:t>
      </w:r>
      <w:r>
        <w:rPr>
          <w:rFonts w:hint="default" w:ascii="宋体" w:hAnsi="宋体" w:eastAsia="宋体" w:cs="宋体"/>
          <w:color w:val="auto"/>
          <w:sz w:val="24"/>
          <w:u w:val="none"/>
          <w:lang w:val="en-US" w:eastAsia="zh-CN"/>
        </w:rPr>
        <w:t>-1。</w:t>
      </w:r>
    </w:p>
    <w:p w14:paraId="166CFB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b/>
          <w:bCs/>
          <w:i w:val="0"/>
          <w:iCs w:val="0"/>
          <w:color w:val="auto"/>
          <w:kern w:val="0"/>
          <w:sz w:val="21"/>
          <w:szCs w:val="21"/>
          <w:u w:val="none"/>
          <w:lang w:val="en-US" w:eastAsia="zh-CN" w:bidi="ar"/>
        </w:rPr>
      </w:pPr>
      <w:r>
        <w:rPr>
          <w:rFonts w:hint="eastAsia" w:ascii="黑体" w:hAnsi="黑体" w:eastAsia="黑体" w:cs="黑体"/>
          <w:b w:val="0"/>
          <w:bCs/>
          <w:color w:val="auto"/>
          <w:kern w:val="2"/>
          <w:sz w:val="24"/>
          <w:szCs w:val="24"/>
          <w:u w:val="none"/>
          <w:lang w:val="en-US" w:eastAsia="zh-CN" w:bidi="ar-SA"/>
        </w:rPr>
        <w:t>表3.4-1   项目建设污染源构成</w:t>
      </w:r>
    </w:p>
    <w:tbl>
      <w:tblPr>
        <w:tblStyle w:val="3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11"/>
        <w:gridCol w:w="1714"/>
        <w:gridCol w:w="5409"/>
      </w:tblGrid>
      <w:tr w14:paraId="00D7E9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tcBorders>
              <w:tl2br w:val="nil"/>
              <w:tr2bl w:val="nil"/>
            </w:tcBorders>
            <w:noWrap w:val="0"/>
            <w:vAlign w:val="center"/>
          </w:tcPr>
          <w:p w14:paraId="461DE03C">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开发作业过程</w:t>
            </w:r>
          </w:p>
        </w:tc>
        <w:tc>
          <w:tcPr>
            <w:tcW w:w="970" w:type="pct"/>
            <w:tcBorders>
              <w:tl2br w:val="nil"/>
              <w:tr2bl w:val="nil"/>
            </w:tcBorders>
            <w:noWrap w:val="0"/>
            <w:vAlign w:val="center"/>
          </w:tcPr>
          <w:p w14:paraId="7ED4F29E">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主要污染物</w:t>
            </w:r>
          </w:p>
        </w:tc>
        <w:tc>
          <w:tcPr>
            <w:tcW w:w="3061" w:type="pct"/>
            <w:tcBorders>
              <w:tl2br w:val="nil"/>
              <w:tr2bl w:val="nil"/>
            </w:tcBorders>
            <w:noWrap w:val="0"/>
            <w:vAlign w:val="center"/>
          </w:tcPr>
          <w:p w14:paraId="1C6EEBF4">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污染源性质</w:t>
            </w:r>
          </w:p>
        </w:tc>
      </w:tr>
      <w:tr w14:paraId="1855B6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restart"/>
            <w:tcBorders>
              <w:tl2br w:val="nil"/>
              <w:tr2bl w:val="nil"/>
            </w:tcBorders>
            <w:noWrap w:val="0"/>
            <w:vAlign w:val="center"/>
          </w:tcPr>
          <w:p w14:paraId="5B30BAFE">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钻井</w:t>
            </w:r>
            <w:r>
              <w:rPr>
                <w:rFonts w:hint="eastAsia" w:ascii="宋体" w:hAnsi="宋体" w:eastAsia="宋体" w:cs="宋体"/>
                <w:color w:val="auto"/>
                <w:sz w:val="21"/>
                <w:szCs w:val="21"/>
                <w:highlight w:val="none"/>
                <w:u w:val="none"/>
                <w:lang w:val="en-US" w:eastAsia="zh-CN"/>
              </w:rPr>
              <w:t>、地面工程（井场</w:t>
            </w:r>
            <w:r>
              <w:rPr>
                <w:rFonts w:hint="eastAsia" w:ascii="宋体" w:hAnsi="宋体" w:cs="宋体"/>
                <w:color w:val="auto"/>
                <w:sz w:val="21"/>
                <w:szCs w:val="21"/>
                <w:highlight w:val="none"/>
                <w:u w:val="none"/>
                <w:lang w:val="en-US" w:eastAsia="zh-CN"/>
              </w:rPr>
              <w:t>、站场、</w:t>
            </w:r>
            <w:r>
              <w:rPr>
                <w:rFonts w:hint="eastAsia" w:ascii="宋体" w:hAnsi="宋体" w:eastAsia="宋体" w:cs="宋体"/>
                <w:color w:val="auto"/>
                <w:sz w:val="21"/>
                <w:szCs w:val="21"/>
                <w:highlight w:val="none"/>
                <w:u w:val="none"/>
                <w:lang w:val="en-US" w:eastAsia="zh-CN"/>
              </w:rPr>
              <w:t>管道敷设）</w:t>
            </w:r>
          </w:p>
        </w:tc>
        <w:tc>
          <w:tcPr>
            <w:tcW w:w="970" w:type="pct"/>
            <w:tcBorders>
              <w:tl2br w:val="nil"/>
              <w:tr2bl w:val="nil"/>
            </w:tcBorders>
            <w:noWrap w:val="0"/>
            <w:vAlign w:val="center"/>
          </w:tcPr>
          <w:p w14:paraId="663D6FD8">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钻井废水</w:t>
            </w:r>
          </w:p>
        </w:tc>
        <w:tc>
          <w:tcPr>
            <w:tcW w:w="3061" w:type="pct"/>
            <w:tcBorders>
              <w:tl2br w:val="nil"/>
              <w:tr2bl w:val="nil"/>
            </w:tcBorders>
            <w:noWrap w:val="0"/>
            <w:vAlign w:val="center"/>
          </w:tcPr>
          <w:p w14:paraId="675285DE">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临时性污染源，随作业结束而消除</w:t>
            </w:r>
          </w:p>
        </w:tc>
      </w:tr>
      <w:tr w14:paraId="7C72E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4A9205EA">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510DC954">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柴油机烟气</w:t>
            </w:r>
          </w:p>
        </w:tc>
        <w:tc>
          <w:tcPr>
            <w:tcW w:w="3061" w:type="pct"/>
            <w:tcBorders>
              <w:tl2br w:val="nil"/>
              <w:tr2bl w:val="nil"/>
            </w:tcBorders>
            <w:noWrap w:val="0"/>
            <w:vAlign w:val="center"/>
          </w:tcPr>
          <w:p w14:paraId="5E756C7A">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临时性污染源，随作业结束而消除</w:t>
            </w:r>
          </w:p>
        </w:tc>
      </w:tr>
      <w:tr w14:paraId="26410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3CA4C49B">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2789B588">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废弃钻井泥浆钻井岩屑</w:t>
            </w:r>
          </w:p>
        </w:tc>
        <w:tc>
          <w:tcPr>
            <w:tcW w:w="3061" w:type="pct"/>
            <w:tcBorders>
              <w:tl2br w:val="nil"/>
              <w:tr2bl w:val="nil"/>
            </w:tcBorders>
            <w:noWrap w:val="0"/>
            <w:vAlign w:val="center"/>
          </w:tcPr>
          <w:p w14:paraId="458709CB">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临时性污染源，作业结束后不再产生，但仍存在于环境中</w:t>
            </w:r>
          </w:p>
        </w:tc>
      </w:tr>
      <w:tr w14:paraId="37B7ED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13C37778">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0ECABE86">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噪声</w:t>
            </w:r>
          </w:p>
        </w:tc>
        <w:tc>
          <w:tcPr>
            <w:tcW w:w="3061" w:type="pct"/>
            <w:tcBorders>
              <w:tl2br w:val="nil"/>
              <w:tr2bl w:val="nil"/>
            </w:tcBorders>
            <w:noWrap w:val="0"/>
            <w:vAlign w:val="center"/>
          </w:tcPr>
          <w:p w14:paraId="70ADB953">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临时性污染源，随作业结束而消除</w:t>
            </w:r>
          </w:p>
        </w:tc>
      </w:tr>
      <w:tr w14:paraId="3373C4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70F94444">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79DB0D39">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占地</w:t>
            </w:r>
          </w:p>
        </w:tc>
        <w:tc>
          <w:tcPr>
            <w:tcW w:w="3061" w:type="pct"/>
            <w:tcBorders>
              <w:tl2br w:val="nil"/>
              <w:tr2bl w:val="nil"/>
            </w:tcBorders>
            <w:noWrap w:val="0"/>
            <w:vAlign w:val="center"/>
          </w:tcPr>
          <w:p w14:paraId="22CFEE6C">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生态影响</w:t>
            </w:r>
          </w:p>
        </w:tc>
      </w:tr>
      <w:tr w14:paraId="05EF7F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restart"/>
            <w:tcBorders>
              <w:tl2br w:val="nil"/>
              <w:tr2bl w:val="nil"/>
            </w:tcBorders>
            <w:noWrap w:val="0"/>
            <w:vAlign w:val="center"/>
          </w:tcPr>
          <w:p w14:paraId="448E0BBD">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储层改造</w:t>
            </w:r>
          </w:p>
        </w:tc>
        <w:tc>
          <w:tcPr>
            <w:tcW w:w="970" w:type="pct"/>
            <w:tcBorders>
              <w:tl2br w:val="nil"/>
              <w:tr2bl w:val="nil"/>
            </w:tcBorders>
            <w:noWrap w:val="0"/>
            <w:vAlign w:val="center"/>
          </w:tcPr>
          <w:p w14:paraId="79205D4B">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储层改造废气和测试放喷废气</w:t>
            </w:r>
          </w:p>
        </w:tc>
        <w:tc>
          <w:tcPr>
            <w:tcW w:w="3061" w:type="pct"/>
            <w:tcBorders>
              <w:tl2br w:val="nil"/>
              <w:tr2bl w:val="nil"/>
            </w:tcBorders>
            <w:noWrap w:val="0"/>
            <w:vAlign w:val="center"/>
          </w:tcPr>
          <w:p w14:paraId="511C6D5F">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临时性污染源，随作业结束而消除</w:t>
            </w:r>
          </w:p>
        </w:tc>
      </w:tr>
      <w:tr w14:paraId="4B49C4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6EC65127">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5269B722">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压裂返排液</w:t>
            </w:r>
          </w:p>
        </w:tc>
        <w:tc>
          <w:tcPr>
            <w:tcW w:w="3061" w:type="pct"/>
            <w:tcBorders>
              <w:tl2br w:val="nil"/>
              <w:tr2bl w:val="nil"/>
            </w:tcBorders>
            <w:noWrap w:val="0"/>
            <w:vAlign w:val="center"/>
          </w:tcPr>
          <w:p w14:paraId="3570D069">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间断性污染源</w:t>
            </w:r>
          </w:p>
        </w:tc>
      </w:tr>
      <w:tr w14:paraId="6DB094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04" w:hRule="atLeast"/>
        </w:trPr>
        <w:tc>
          <w:tcPr>
            <w:tcW w:w="968" w:type="pct"/>
            <w:vMerge w:val="continue"/>
            <w:tcBorders>
              <w:tl2br w:val="nil"/>
              <w:tr2bl w:val="nil"/>
            </w:tcBorders>
            <w:noWrap w:val="0"/>
            <w:vAlign w:val="center"/>
          </w:tcPr>
          <w:p w14:paraId="33CA8168">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523D7C3C">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噪声</w:t>
            </w:r>
          </w:p>
        </w:tc>
        <w:tc>
          <w:tcPr>
            <w:tcW w:w="3061" w:type="pct"/>
            <w:tcBorders>
              <w:tl2br w:val="nil"/>
              <w:tr2bl w:val="nil"/>
            </w:tcBorders>
            <w:noWrap w:val="0"/>
            <w:vAlign w:val="center"/>
          </w:tcPr>
          <w:p w14:paraId="2F96EF67">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间断性污染源</w:t>
            </w:r>
          </w:p>
        </w:tc>
      </w:tr>
      <w:tr w14:paraId="3A5265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restart"/>
            <w:tcBorders>
              <w:tl2br w:val="nil"/>
              <w:tr2bl w:val="nil"/>
            </w:tcBorders>
            <w:noWrap w:val="0"/>
            <w:vAlign w:val="center"/>
          </w:tcPr>
          <w:p w14:paraId="740F01C0">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井下作业</w:t>
            </w:r>
          </w:p>
        </w:tc>
        <w:tc>
          <w:tcPr>
            <w:tcW w:w="970" w:type="pct"/>
            <w:tcBorders>
              <w:tl2br w:val="nil"/>
              <w:tr2bl w:val="nil"/>
            </w:tcBorders>
            <w:noWrap w:val="0"/>
            <w:vAlign w:val="center"/>
          </w:tcPr>
          <w:p w14:paraId="4EF69988">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落地油</w:t>
            </w:r>
          </w:p>
        </w:tc>
        <w:tc>
          <w:tcPr>
            <w:tcW w:w="3061" w:type="pct"/>
            <w:tcBorders>
              <w:tl2br w:val="nil"/>
              <w:tr2bl w:val="nil"/>
            </w:tcBorders>
            <w:noWrap w:val="0"/>
            <w:vAlign w:val="center"/>
          </w:tcPr>
          <w:p w14:paraId="0BAD5447">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间断性污染源</w:t>
            </w:r>
          </w:p>
        </w:tc>
      </w:tr>
      <w:tr w14:paraId="37EA17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6162EB9C">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193BF82D">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修井废水、洗井废水、压裂液</w:t>
            </w:r>
          </w:p>
        </w:tc>
        <w:tc>
          <w:tcPr>
            <w:tcW w:w="3061" w:type="pct"/>
            <w:tcBorders>
              <w:tl2br w:val="nil"/>
              <w:tr2bl w:val="nil"/>
            </w:tcBorders>
            <w:noWrap w:val="0"/>
            <w:vAlign w:val="center"/>
          </w:tcPr>
          <w:p w14:paraId="62497DE4">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间断性污染源</w:t>
            </w:r>
          </w:p>
        </w:tc>
      </w:tr>
      <w:tr w14:paraId="68DF67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3CD11AD0">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19AF2CF3">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噪声</w:t>
            </w:r>
          </w:p>
        </w:tc>
        <w:tc>
          <w:tcPr>
            <w:tcW w:w="3061" w:type="pct"/>
            <w:tcBorders>
              <w:tl2br w:val="nil"/>
              <w:tr2bl w:val="nil"/>
            </w:tcBorders>
            <w:noWrap w:val="0"/>
            <w:vAlign w:val="center"/>
          </w:tcPr>
          <w:p w14:paraId="0D4A41C4">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间断性污染源</w:t>
            </w:r>
          </w:p>
        </w:tc>
      </w:tr>
      <w:tr w14:paraId="0853D2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restart"/>
            <w:tcBorders>
              <w:tl2br w:val="nil"/>
              <w:tr2bl w:val="nil"/>
            </w:tcBorders>
            <w:noWrap w:val="0"/>
            <w:vAlign w:val="center"/>
          </w:tcPr>
          <w:p w14:paraId="1192B907">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采</w:t>
            </w:r>
            <w:r>
              <w:rPr>
                <w:rFonts w:hint="eastAsia" w:ascii="宋体" w:hAnsi="宋体" w:cs="宋体"/>
                <w:color w:val="auto"/>
                <w:sz w:val="21"/>
                <w:szCs w:val="21"/>
                <w:highlight w:val="none"/>
                <w:u w:val="none"/>
                <w:lang w:val="en-US" w:eastAsia="zh-CN"/>
              </w:rPr>
              <w:t>气</w:t>
            </w:r>
            <w:r>
              <w:rPr>
                <w:rFonts w:hint="eastAsia" w:ascii="宋体" w:hAnsi="宋体" w:eastAsia="宋体" w:cs="宋体"/>
                <w:color w:val="auto"/>
                <w:sz w:val="21"/>
                <w:szCs w:val="21"/>
                <w:highlight w:val="none"/>
                <w:u w:val="none"/>
                <w:lang w:val="zh-CN"/>
              </w:rPr>
              <w:t>和油气集输</w:t>
            </w:r>
          </w:p>
        </w:tc>
        <w:tc>
          <w:tcPr>
            <w:tcW w:w="970" w:type="pct"/>
            <w:tcBorders>
              <w:tl2br w:val="nil"/>
              <w:tr2bl w:val="nil"/>
            </w:tcBorders>
            <w:noWrap w:val="0"/>
            <w:vAlign w:val="center"/>
          </w:tcPr>
          <w:p w14:paraId="1FA48810">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采</w:t>
            </w:r>
            <w:r>
              <w:rPr>
                <w:rFonts w:hint="eastAsia" w:ascii="宋体" w:hAnsi="宋体" w:cs="宋体"/>
                <w:color w:val="auto"/>
                <w:sz w:val="21"/>
                <w:szCs w:val="21"/>
                <w:highlight w:val="none"/>
                <w:u w:val="none"/>
                <w:lang w:val="en-US" w:eastAsia="zh-CN"/>
              </w:rPr>
              <w:t>气</w:t>
            </w:r>
            <w:r>
              <w:rPr>
                <w:rFonts w:hint="eastAsia" w:ascii="宋体" w:hAnsi="宋体" w:eastAsia="宋体" w:cs="宋体"/>
                <w:color w:val="auto"/>
                <w:sz w:val="21"/>
                <w:szCs w:val="21"/>
                <w:highlight w:val="none"/>
                <w:u w:val="none"/>
                <w:lang w:val="zh-CN"/>
              </w:rPr>
              <w:t>废水</w:t>
            </w:r>
          </w:p>
        </w:tc>
        <w:tc>
          <w:tcPr>
            <w:tcW w:w="3061" w:type="pct"/>
            <w:tcBorders>
              <w:tl2br w:val="nil"/>
              <w:tr2bl w:val="nil"/>
            </w:tcBorders>
            <w:noWrap w:val="0"/>
            <w:vAlign w:val="center"/>
          </w:tcPr>
          <w:p w14:paraId="32A48BB5">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持续性影响环境的污染源</w:t>
            </w:r>
          </w:p>
        </w:tc>
      </w:tr>
      <w:tr w14:paraId="62943E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49888DE6">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5BB2C466">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zh-CN"/>
              </w:rPr>
              <w:t>非甲烷总烃</w:t>
            </w:r>
            <w:r>
              <w:rPr>
                <w:rFonts w:hint="eastAsia" w:ascii="宋体" w:hAnsi="宋体" w:cs="宋体"/>
                <w:color w:val="auto"/>
                <w:sz w:val="21"/>
                <w:szCs w:val="21"/>
                <w:highlight w:val="none"/>
                <w:u w:val="none"/>
                <w:lang w:val="zh-CN"/>
              </w:rPr>
              <w:t>、</w:t>
            </w:r>
            <w:r>
              <w:rPr>
                <w:rFonts w:hint="eastAsia" w:ascii="宋体" w:hAnsi="宋体" w:cs="宋体"/>
                <w:color w:val="auto"/>
                <w:sz w:val="21"/>
                <w:szCs w:val="21"/>
                <w:highlight w:val="none"/>
                <w:u w:val="none"/>
                <w:lang w:val="en-US" w:eastAsia="zh-CN"/>
              </w:rPr>
              <w:t>硫化氢、温室气体</w:t>
            </w:r>
          </w:p>
        </w:tc>
        <w:tc>
          <w:tcPr>
            <w:tcW w:w="3061" w:type="pct"/>
            <w:tcBorders>
              <w:tl2br w:val="nil"/>
              <w:tr2bl w:val="nil"/>
            </w:tcBorders>
            <w:noWrap w:val="0"/>
            <w:vAlign w:val="center"/>
          </w:tcPr>
          <w:p w14:paraId="4D9B4073">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持续性影响环境的污染源</w:t>
            </w:r>
          </w:p>
        </w:tc>
      </w:tr>
      <w:tr w14:paraId="1EAAF4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33F803DC">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22224F9F">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废油泥砂、落地油</w:t>
            </w:r>
          </w:p>
        </w:tc>
        <w:tc>
          <w:tcPr>
            <w:tcW w:w="3061" w:type="pct"/>
            <w:tcBorders>
              <w:tl2br w:val="nil"/>
              <w:tr2bl w:val="nil"/>
            </w:tcBorders>
            <w:noWrap w:val="0"/>
            <w:vAlign w:val="center"/>
          </w:tcPr>
          <w:p w14:paraId="7EE7F666">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持续性影响环境的污染源</w:t>
            </w:r>
          </w:p>
        </w:tc>
      </w:tr>
      <w:tr w14:paraId="3BDD97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119BFDD3">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215B88BF">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噪声</w:t>
            </w:r>
          </w:p>
        </w:tc>
        <w:tc>
          <w:tcPr>
            <w:tcW w:w="3061" w:type="pct"/>
            <w:tcBorders>
              <w:tl2br w:val="nil"/>
              <w:tr2bl w:val="nil"/>
            </w:tcBorders>
            <w:noWrap w:val="0"/>
            <w:vAlign w:val="center"/>
          </w:tcPr>
          <w:p w14:paraId="401B68CD">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持续性影响环境的污染源</w:t>
            </w:r>
          </w:p>
        </w:tc>
      </w:tr>
      <w:tr w14:paraId="5DE55A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Pr>
        <w:tc>
          <w:tcPr>
            <w:tcW w:w="968" w:type="pct"/>
            <w:vMerge w:val="continue"/>
            <w:tcBorders>
              <w:tl2br w:val="nil"/>
              <w:tr2bl w:val="nil"/>
            </w:tcBorders>
            <w:noWrap w:val="0"/>
            <w:vAlign w:val="center"/>
          </w:tcPr>
          <w:p w14:paraId="598CF5A8">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p>
        </w:tc>
        <w:tc>
          <w:tcPr>
            <w:tcW w:w="970" w:type="pct"/>
            <w:tcBorders>
              <w:tl2br w:val="nil"/>
              <w:tr2bl w:val="nil"/>
            </w:tcBorders>
            <w:noWrap w:val="0"/>
            <w:vAlign w:val="center"/>
          </w:tcPr>
          <w:p w14:paraId="51A23DA2">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占地</w:t>
            </w:r>
          </w:p>
        </w:tc>
        <w:tc>
          <w:tcPr>
            <w:tcW w:w="3061" w:type="pct"/>
            <w:tcBorders>
              <w:tl2br w:val="nil"/>
              <w:tr2bl w:val="nil"/>
            </w:tcBorders>
            <w:noWrap w:val="0"/>
            <w:vAlign w:val="center"/>
          </w:tcPr>
          <w:p w14:paraId="2FA80B6B">
            <w:pPr>
              <w:keepNext w:val="0"/>
              <w:keepLines w:val="0"/>
              <w:pageBreakBefore w:val="0"/>
              <w:widowControl w:val="0"/>
              <w:kinsoku/>
              <w:wordWrap/>
              <w:overflowPunct/>
              <w:topLinePunct w:val="0"/>
              <w:autoSpaceDE/>
              <w:autoSpaceDN/>
              <w:bidi w:val="0"/>
              <w:adjustRightInd w:val="0"/>
              <w:snapToGrid w:val="0"/>
              <w:spacing w:line="350" w:lineRule="exact"/>
              <w:ind w:left="0" w:right="0"/>
              <w:jc w:val="center"/>
              <w:textAlignment w:val="baseline"/>
              <w:rPr>
                <w:rFonts w:hint="eastAsia" w:ascii="宋体" w:hAnsi="宋体" w:eastAsia="宋体" w:cs="宋体"/>
                <w:color w:val="auto"/>
                <w:sz w:val="21"/>
                <w:szCs w:val="21"/>
                <w:highlight w:val="none"/>
                <w:u w:val="none"/>
                <w:lang w:val="zh-CN"/>
              </w:rPr>
            </w:pPr>
            <w:r>
              <w:rPr>
                <w:rFonts w:hint="eastAsia" w:ascii="宋体" w:hAnsi="宋体" w:eastAsia="宋体" w:cs="宋体"/>
                <w:color w:val="auto"/>
                <w:sz w:val="21"/>
                <w:szCs w:val="21"/>
                <w:highlight w:val="none"/>
                <w:u w:val="none"/>
                <w:lang w:val="zh-CN"/>
              </w:rPr>
              <w:t>生态影响</w:t>
            </w:r>
          </w:p>
        </w:tc>
      </w:tr>
    </w:tbl>
    <w:p w14:paraId="3759692E">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3 </w:t>
      </w:r>
      <w:r>
        <w:rPr>
          <w:rFonts w:hint="default" w:ascii="黑体" w:hAnsi="黑体" w:eastAsia="黑体" w:cs="黑体"/>
          <w:b/>
          <w:color w:val="auto"/>
          <w:kern w:val="0"/>
          <w:sz w:val="24"/>
          <w:szCs w:val="24"/>
          <w:highlight w:val="none"/>
          <w:u w:val="none"/>
          <w:lang w:val="en-US" w:eastAsia="zh-CN"/>
        </w:rPr>
        <w:t>施工期生态影响及污染源分析</w:t>
      </w:r>
    </w:p>
    <w:p w14:paraId="5EC9F0FC">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pacing w:val="0"/>
          <w:u w:val="none"/>
        </w:rPr>
      </w:pPr>
      <w:r>
        <w:rPr>
          <w:rFonts w:hint="default" w:ascii="宋体" w:hAnsi="宋体" w:eastAsia="宋体" w:cs="宋体"/>
          <w:color w:val="auto"/>
          <w:sz w:val="24"/>
          <w:u w:val="none"/>
          <w:lang w:val="en-US" w:eastAsia="zh-CN"/>
        </w:rPr>
        <w:t>工程施工内容主要包括</w:t>
      </w:r>
      <w:r>
        <w:rPr>
          <w:rFonts w:hint="eastAsia" w:ascii="宋体" w:hAnsi="宋体" w:eastAsia="宋体" w:cs="宋体"/>
          <w:color w:val="auto"/>
          <w:sz w:val="24"/>
          <w:u w:val="none"/>
          <w:lang w:val="en-US" w:eastAsia="zh-CN"/>
        </w:rPr>
        <w:t>钻井工程、管线工程</w:t>
      </w:r>
      <w:r>
        <w:rPr>
          <w:rFonts w:hint="default" w:ascii="宋体" w:hAnsi="宋体" w:eastAsia="宋体" w:cs="宋体"/>
          <w:color w:val="auto"/>
          <w:sz w:val="24"/>
          <w:u w:val="none"/>
          <w:lang w:val="en-US" w:eastAsia="zh-CN"/>
        </w:rPr>
        <w:t>、设备安装、覆土回填等，施工过程中占用土地，对地表植被及土壤环境造成一定的扰动。同时施工期间将产生</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废气、废水、噪声、固废等，对区域大气环境、声环境产生一定的影响。</w:t>
      </w:r>
    </w:p>
    <w:p w14:paraId="6710072A">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60" w:name="_Toc10183"/>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4</w:t>
      </w:r>
      <w:r>
        <w:rPr>
          <w:rFonts w:hint="default" w:ascii="宋体" w:hAnsi="宋体" w:eastAsia="宋体" w:cs="宋体"/>
          <w:color w:val="auto"/>
          <w:u w:val="none"/>
          <w:lang w:val="en-US" w:eastAsia="zh-CN"/>
        </w:rPr>
        <w:t>.</w:t>
      </w:r>
      <w:r>
        <w:rPr>
          <w:rFonts w:hint="eastAsia" w:ascii="宋体" w:hAnsi="宋体" w:eastAsia="宋体" w:cs="宋体"/>
          <w:color w:val="auto"/>
          <w:u w:val="none"/>
          <w:lang w:val="en-US" w:eastAsia="zh-CN"/>
        </w:rPr>
        <w:t>3</w:t>
      </w:r>
      <w:r>
        <w:rPr>
          <w:rFonts w:hint="default" w:ascii="宋体" w:hAnsi="宋体" w:eastAsia="宋体" w:cs="宋体"/>
          <w:color w:val="auto"/>
          <w:u w:val="none"/>
          <w:lang w:val="en-US" w:eastAsia="zh-CN"/>
        </w:rPr>
        <w:t>.1</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生态影响因素</w:t>
      </w:r>
      <w:bookmarkEnd w:id="260"/>
    </w:p>
    <w:p w14:paraId="5D5FF5ED">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生态影响主要体现在</w:t>
      </w:r>
      <w:r>
        <w:rPr>
          <w:rFonts w:hint="eastAsia" w:ascii="宋体" w:hAnsi="宋体" w:eastAsia="宋体" w:cs="宋体"/>
          <w:color w:val="auto"/>
          <w:sz w:val="24"/>
          <w:u w:val="none"/>
          <w:lang w:val="en-US" w:eastAsia="zh-CN"/>
        </w:rPr>
        <w:t>：井场、站场、</w:t>
      </w:r>
      <w:r>
        <w:rPr>
          <w:rFonts w:hint="default" w:ascii="宋体" w:hAnsi="宋体" w:eastAsia="宋体" w:cs="宋体"/>
          <w:color w:val="auto"/>
          <w:sz w:val="24"/>
          <w:u w:val="none"/>
          <w:lang w:val="en-US" w:eastAsia="zh-CN"/>
        </w:rPr>
        <w:t>管线建设阶段，如</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占用土地、施工对地表植被的影响、土壤扰动等。</w:t>
      </w:r>
    </w:p>
    <w:p w14:paraId="06B8B14C">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占用土地包括</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临时占地和永久占地，将暂时或永久改变土地原有使用功能。临时占地包括管线施工便道的临时占地，施工结束后临时占地可恢复原有使用功能。永久占地主要为采</w:t>
      </w:r>
      <w:r>
        <w:rPr>
          <w:rFonts w:hint="eastAsia" w:ascii="宋体" w:hAnsi="宋体" w:eastAsia="宋体" w:cs="宋体"/>
          <w:color w:val="auto"/>
          <w:sz w:val="24"/>
          <w:u w:val="none"/>
          <w:lang w:val="en-US" w:eastAsia="zh-CN"/>
        </w:rPr>
        <w:t>气</w:t>
      </w:r>
      <w:r>
        <w:rPr>
          <w:rFonts w:hint="default" w:ascii="宋体" w:hAnsi="宋体" w:eastAsia="宋体" w:cs="宋体"/>
          <w:color w:val="auto"/>
          <w:sz w:val="24"/>
          <w:u w:val="none"/>
          <w:lang w:val="en-US" w:eastAsia="zh-CN"/>
        </w:rPr>
        <w:t>井场的永久占地。</w:t>
      </w:r>
    </w:p>
    <w:p w14:paraId="0B024AC4">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sz w:val="24"/>
          <w:u w:val="none"/>
          <w:lang w:val="en-US" w:eastAsia="zh-CN"/>
        </w:rPr>
      </w:pPr>
      <w:r>
        <w:rPr>
          <w:rFonts w:hint="default" w:ascii="宋体" w:hAnsi="宋体" w:eastAsia="宋体" w:cs="宋体"/>
          <w:color w:val="auto"/>
          <w:sz w:val="24"/>
          <w:u w:val="none"/>
          <w:lang w:val="en-US" w:eastAsia="zh-CN"/>
        </w:rPr>
        <w:t>地面工程施工作业包括</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井场</w:t>
      </w:r>
      <w:r>
        <w:rPr>
          <w:rFonts w:hint="eastAsia" w:ascii="宋体" w:hAnsi="宋体" w:eastAsia="宋体" w:cs="宋体"/>
          <w:color w:val="auto"/>
          <w:sz w:val="24"/>
          <w:u w:val="none"/>
          <w:lang w:val="en-US" w:eastAsia="zh-CN"/>
        </w:rPr>
        <w:t>、站场场地平整、</w:t>
      </w:r>
      <w:r>
        <w:rPr>
          <w:rFonts w:hint="default" w:ascii="宋体" w:hAnsi="宋体" w:eastAsia="宋体" w:cs="宋体"/>
          <w:color w:val="auto"/>
          <w:sz w:val="24"/>
          <w:u w:val="none"/>
          <w:lang w:val="en-US" w:eastAsia="zh-CN"/>
        </w:rPr>
        <w:t>管线敷设等，施工作业直接破坏了地面植被，造成了土壤扰动，容易导致水土流失。</w:t>
      </w:r>
    </w:p>
    <w:p w14:paraId="28C97256">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eastAsiaTheme="minorEastAsia"/>
          <w:color w:val="auto"/>
          <w:kern w:val="24"/>
          <w:sz w:val="24"/>
          <w:szCs w:val="24"/>
          <w:u w:val="none"/>
        </w:rPr>
      </w:pPr>
      <w:r>
        <w:rPr>
          <w:rFonts w:hint="default" w:ascii="宋体" w:hAnsi="宋体" w:eastAsia="宋体" w:cs="宋体"/>
          <w:color w:val="auto"/>
          <w:sz w:val="24"/>
          <w:u w:val="none"/>
          <w:lang w:val="en-US" w:eastAsia="zh-CN"/>
        </w:rPr>
        <w:t>根据估算，本工程总占地面积</w:t>
      </w:r>
      <w:r>
        <w:rPr>
          <w:rFonts w:hint="eastAsia" w:ascii="宋体" w:hAnsi="宋体" w:eastAsia="宋体" w:cs="宋体"/>
          <w:color w:val="auto"/>
          <w:sz w:val="24"/>
          <w:u w:val="none"/>
          <w:lang w:val="en-US" w:eastAsia="zh-CN"/>
        </w:rPr>
        <w:t>约16.15</w:t>
      </w:r>
      <w:r>
        <w:rPr>
          <w:rFonts w:hint="default" w:ascii="宋体" w:hAnsi="宋体" w:eastAsia="宋体" w:cs="宋体"/>
          <w:color w:val="auto"/>
          <w:sz w:val="24"/>
          <w:u w:val="none"/>
          <w:lang w:val="en-US" w:eastAsia="zh-CN"/>
        </w:rPr>
        <w:t>hm</w:t>
      </w:r>
      <w:r>
        <w:rPr>
          <w:rFonts w:hint="default" w:ascii="宋体" w:hAnsi="宋体" w:eastAsia="宋体" w:cs="宋体"/>
          <w:color w:val="auto"/>
          <w:sz w:val="24"/>
          <w:u w:val="none"/>
          <w:vertAlign w:val="superscript"/>
          <w:lang w:val="en-US" w:eastAsia="zh-CN"/>
        </w:rPr>
        <w:t>2</w:t>
      </w:r>
      <w:r>
        <w:rPr>
          <w:rFonts w:hint="default" w:ascii="宋体" w:hAnsi="宋体" w:eastAsia="宋体" w:cs="宋体"/>
          <w:color w:val="auto"/>
          <w:sz w:val="24"/>
          <w:u w:val="none"/>
          <w:lang w:val="en-US" w:eastAsia="zh-CN"/>
        </w:rPr>
        <w:t>，其中</w:t>
      </w:r>
      <w:r>
        <w:rPr>
          <w:rFonts w:hint="eastAsia" w:ascii="宋体" w:hAnsi="宋体" w:eastAsia="宋体" w:cs="宋体"/>
          <w:color w:val="auto"/>
          <w:sz w:val="24"/>
          <w:u w:val="none"/>
          <w:lang w:val="en-US" w:eastAsia="zh-CN"/>
        </w:rPr>
        <w:t>：</w:t>
      </w:r>
      <w:r>
        <w:rPr>
          <w:rFonts w:hint="default" w:ascii="宋体" w:hAnsi="宋体" w:eastAsia="宋体" w:cs="宋体"/>
          <w:color w:val="auto"/>
          <w:sz w:val="24"/>
          <w:u w:val="none"/>
          <w:lang w:val="en-US" w:eastAsia="zh-CN"/>
        </w:rPr>
        <w:t>永久性占地面积</w:t>
      </w:r>
      <w:r>
        <w:rPr>
          <w:rFonts w:hint="eastAsia" w:ascii="宋体" w:hAnsi="宋体" w:eastAsia="宋体" w:cs="宋体"/>
          <w:color w:val="auto"/>
          <w:sz w:val="24"/>
          <w:u w:val="none"/>
          <w:lang w:val="en-US" w:eastAsia="zh-CN"/>
        </w:rPr>
        <w:t>约2.21</w:t>
      </w:r>
      <w:r>
        <w:rPr>
          <w:rFonts w:hint="default" w:ascii="宋体" w:hAnsi="宋体" w:eastAsia="宋体" w:cs="宋体"/>
          <w:color w:val="auto"/>
          <w:sz w:val="24"/>
          <w:u w:val="none"/>
          <w:lang w:val="en-US" w:eastAsia="zh-CN"/>
        </w:rPr>
        <w:t>hm</w:t>
      </w:r>
      <w:r>
        <w:rPr>
          <w:rFonts w:hint="default" w:ascii="宋体" w:hAnsi="宋体" w:eastAsia="宋体" w:cs="宋体"/>
          <w:color w:val="auto"/>
          <w:sz w:val="24"/>
          <w:u w:val="none"/>
          <w:vertAlign w:val="superscript"/>
          <w:lang w:val="en-US" w:eastAsia="zh-CN"/>
        </w:rPr>
        <w:t>2</w:t>
      </w:r>
      <w:r>
        <w:rPr>
          <w:rFonts w:hint="default" w:ascii="宋体" w:hAnsi="宋体" w:eastAsia="宋体" w:cs="宋体"/>
          <w:color w:val="auto"/>
          <w:sz w:val="24"/>
          <w:u w:val="none"/>
          <w:lang w:val="en-US" w:eastAsia="zh-CN"/>
        </w:rPr>
        <w:t>，临时占地面积</w:t>
      </w:r>
      <w:r>
        <w:rPr>
          <w:rFonts w:hint="eastAsia" w:ascii="宋体" w:hAnsi="宋体" w:eastAsia="宋体" w:cs="宋体"/>
          <w:color w:val="auto"/>
          <w:sz w:val="24"/>
          <w:u w:val="none"/>
          <w:lang w:val="en-US" w:eastAsia="zh-CN"/>
        </w:rPr>
        <w:t>约13.94</w:t>
      </w:r>
      <w:r>
        <w:rPr>
          <w:rFonts w:hint="default" w:ascii="宋体" w:hAnsi="宋体" w:eastAsia="宋体" w:cs="宋体"/>
          <w:color w:val="auto"/>
          <w:sz w:val="24"/>
          <w:u w:val="none"/>
          <w:lang w:val="en-US" w:eastAsia="zh-CN"/>
        </w:rPr>
        <w:t>hm</w:t>
      </w:r>
      <w:r>
        <w:rPr>
          <w:rFonts w:hint="default" w:ascii="宋体" w:hAnsi="宋体" w:eastAsia="宋体" w:cs="宋体"/>
          <w:color w:val="auto"/>
          <w:sz w:val="24"/>
          <w:u w:val="none"/>
          <w:vertAlign w:val="superscript"/>
          <w:lang w:val="en-US" w:eastAsia="zh-CN"/>
        </w:rPr>
        <w:t>2</w:t>
      </w:r>
      <w:r>
        <w:rPr>
          <w:rFonts w:hint="default" w:ascii="宋体" w:hAnsi="宋体" w:eastAsia="宋体" w:cs="宋体"/>
          <w:color w:val="auto"/>
          <w:sz w:val="24"/>
          <w:u w:val="none"/>
          <w:lang w:val="en-US" w:eastAsia="zh-CN"/>
        </w:rPr>
        <w:t>，工程占地类型为沙地，见表3.</w:t>
      </w:r>
      <w:r>
        <w:rPr>
          <w:rFonts w:hint="eastAsia" w:ascii="宋体" w:hAnsi="宋体" w:eastAsia="宋体" w:cs="宋体"/>
          <w:color w:val="auto"/>
          <w:sz w:val="24"/>
          <w:u w:val="none"/>
          <w:lang w:val="en-US" w:eastAsia="zh-CN"/>
        </w:rPr>
        <w:t>4</w:t>
      </w:r>
      <w:r>
        <w:rPr>
          <w:rFonts w:hint="default" w:ascii="宋体" w:hAnsi="宋体" w:eastAsia="宋体" w:cs="宋体"/>
          <w:color w:val="auto"/>
          <w:sz w:val="24"/>
          <w:u w:val="none"/>
          <w:lang w:val="en-US" w:eastAsia="zh-CN"/>
        </w:rPr>
        <w:t>-2。</w:t>
      </w:r>
    </w:p>
    <w:p w14:paraId="7AA476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color w:val="auto"/>
          <w:sz w:val="21"/>
          <w:szCs w:val="21"/>
          <w:u w:val="none"/>
        </w:rPr>
      </w:pPr>
      <w:r>
        <w:rPr>
          <w:rFonts w:hint="eastAsia" w:ascii="黑体" w:hAnsi="黑体" w:eastAsia="黑体" w:cs="黑体"/>
          <w:b w:val="0"/>
          <w:bCs/>
          <w:color w:val="auto"/>
          <w:kern w:val="2"/>
          <w:sz w:val="24"/>
          <w:szCs w:val="24"/>
          <w:u w:val="none"/>
          <w:lang w:val="en-US" w:eastAsia="zh-CN" w:bidi="ar-SA"/>
        </w:rPr>
        <w:t>表3.4-2  占地面积统计表</w:t>
      </w:r>
    </w:p>
    <w:tbl>
      <w:tblPr>
        <w:tblStyle w:val="3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1189"/>
        <w:gridCol w:w="1080"/>
        <w:gridCol w:w="1229"/>
        <w:gridCol w:w="1088"/>
        <w:gridCol w:w="3559"/>
      </w:tblGrid>
      <w:tr w14:paraId="53796F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87" w:type="pct"/>
            <w:vMerge w:val="restart"/>
            <w:tcBorders>
              <w:tl2br w:val="nil"/>
              <w:tr2bl w:val="nil"/>
            </w:tcBorders>
            <w:vAlign w:val="center"/>
          </w:tcPr>
          <w:p w14:paraId="14AFC62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序号</w:t>
            </w:r>
          </w:p>
        </w:tc>
        <w:tc>
          <w:tcPr>
            <w:tcW w:w="673" w:type="pct"/>
            <w:vMerge w:val="restart"/>
            <w:tcBorders>
              <w:tl2br w:val="nil"/>
              <w:tr2bl w:val="nil"/>
            </w:tcBorders>
            <w:vAlign w:val="center"/>
          </w:tcPr>
          <w:p w14:paraId="54E4808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建设项目</w:t>
            </w:r>
          </w:p>
        </w:tc>
        <w:tc>
          <w:tcPr>
            <w:tcW w:w="1923" w:type="pct"/>
            <w:gridSpan w:val="3"/>
            <w:tcBorders>
              <w:tl2br w:val="nil"/>
              <w:tr2bl w:val="nil"/>
            </w:tcBorders>
            <w:vAlign w:val="center"/>
          </w:tcPr>
          <w:p w14:paraId="061E075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面积（hm</w:t>
            </w:r>
            <w:r>
              <w:rPr>
                <w:rFonts w:hint="eastAsia" w:ascii="宋体" w:hAnsi="宋体" w:eastAsia="宋体" w:cs="宋体"/>
                <w:color w:val="auto"/>
                <w:sz w:val="21"/>
                <w:szCs w:val="21"/>
                <w:u w:val="none"/>
                <w:vertAlign w:val="superscript"/>
              </w:rPr>
              <w:t>2</w:t>
            </w:r>
            <w:r>
              <w:rPr>
                <w:rFonts w:hint="eastAsia" w:ascii="宋体" w:hAnsi="宋体" w:eastAsia="宋体" w:cs="宋体"/>
                <w:color w:val="auto"/>
                <w:sz w:val="21"/>
                <w:szCs w:val="21"/>
                <w:u w:val="none"/>
              </w:rPr>
              <w:t>）</w:t>
            </w:r>
          </w:p>
        </w:tc>
        <w:tc>
          <w:tcPr>
            <w:tcW w:w="2015" w:type="pct"/>
            <w:vMerge w:val="restart"/>
            <w:tcBorders>
              <w:tl2br w:val="nil"/>
              <w:tr2bl w:val="nil"/>
            </w:tcBorders>
            <w:vAlign w:val="center"/>
          </w:tcPr>
          <w:p w14:paraId="5918E55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备注</w:t>
            </w:r>
          </w:p>
        </w:tc>
      </w:tr>
      <w:tr w14:paraId="4B342B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87" w:type="pct"/>
            <w:vMerge w:val="continue"/>
            <w:tcBorders>
              <w:tl2br w:val="nil"/>
              <w:tr2bl w:val="nil"/>
            </w:tcBorders>
            <w:vAlign w:val="center"/>
          </w:tcPr>
          <w:p w14:paraId="41D6732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p>
        </w:tc>
        <w:tc>
          <w:tcPr>
            <w:tcW w:w="673" w:type="pct"/>
            <w:vMerge w:val="continue"/>
            <w:tcBorders>
              <w:tl2br w:val="nil"/>
              <w:tr2bl w:val="nil"/>
            </w:tcBorders>
            <w:vAlign w:val="center"/>
          </w:tcPr>
          <w:p w14:paraId="41BC982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p>
        </w:tc>
        <w:tc>
          <w:tcPr>
            <w:tcW w:w="611" w:type="pct"/>
            <w:tcBorders>
              <w:tl2br w:val="nil"/>
              <w:tr2bl w:val="nil"/>
            </w:tcBorders>
            <w:vAlign w:val="center"/>
          </w:tcPr>
          <w:p w14:paraId="0EF1097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永久占地</w:t>
            </w:r>
          </w:p>
        </w:tc>
        <w:tc>
          <w:tcPr>
            <w:tcW w:w="696" w:type="pct"/>
            <w:tcBorders>
              <w:tl2br w:val="nil"/>
              <w:tr2bl w:val="nil"/>
            </w:tcBorders>
            <w:vAlign w:val="center"/>
          </w:tcPr>
          <w:p w14:paraId="21556AA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临时占地</w:t>
            </w:r>
          </w:p>
        </w:tc>
        <w:tc>
          <w:tcPr>
            <w:tcW w:w="616" w:type="pct"/>
            <w:tcBorders>
              <w:tl2br w:val="nil"/>
              <w:tr2bl w:val="nil"/>
            </w:tcBorders>
            <w:vAlign w:val="center"/>
          </w:tcPr>
          <w:p w14:paraId="48F1C48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总占地</w:t>
            </w:r>
          </w:p>
        </w:tc>
        <w:tc>
          <w:tcPr>
            <w:tcW w:w="2015" w:type="pct"/>
            <w:vMerge w:val="continue"/>
            <w:tcBorders>
              <w:tl2br w:val="nil"/>
              <w:tr2bl w:val="nil"/>
            </w:tcBorders>
            <w:vAlign w:val="center"/>
          </w:tcPr>
          <w:p w14:paraId="0CCF47F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p>
        </w:tc>
      </w:tr>
      <w:tr w14:paraId="38309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87" w:type="pct"/>
            <w:tcBorders>
              <w:tl2br w:val="nil"/>
              <w:tr2bl w:val="nil"/>
            </w:tcBorders>
            <w:vAlign w:val="center"/>
          </w:tcPr>
          <w:p w14:paraId="0F5C4C9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1</w:t>
            </w:r>
          </w:p>
        </w:tc>
        <w:tc>
          <w:tcPr>
            <w:tcW w:w="673" w:type="pct"/>
            <w:tcBorders>
              <w:tl2br w:val="nil"/>
              <w:tr2bl w:val="nil"/>
            </w:tcBorders>
            <w:vAlign w:val="center"/>
          </w:tcPr>
          <w:p w14:paraId="29D5C13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井场</w:t>
            </w:r>
          </w:p>
        </w:tc>
        <w:tc>
          <w:tcPr>
            <w:tcW w:w="611" w:type="pct"/>
            <w:tcBorders>
              <w:tl2br w:val="nil"/>
              <w:tr2bl w:val="nil"/>
            </w:tcBorders>
            <w:vAlign w:val="center"/>
          </w:tcPr>
          <w:p w14:paraId="5BA0F3B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0.225</w:t>
            </w:r>
          </w:p>
        </w:tc>
        <w:tc>
          <w:tcPr>
            <w:tcW w:w="696" w:type="pct"/>
            <w:tcBorders>
              <w:tl2br w:val="nil"/>
              <w:tr2bl w:val="nil"/>
            </w:tcBorders>
            <w:vAlign w:val="center"/>
          </w:tcPr>
          <w:p w14:paraId="332D716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3.975</w:t>
            </w:r>
          </w:p>
        </w:tc>
        <w:tc>
          <w:tcPr>
            <w:tcW w:w="616" w:type="pct"/>
            <w:tcBorders>
              <w:tl2br w:val="nil"/>
              <w:tr2bl w:val="nil"/>
            </w:tcBorders>
            <w:vAlign w:val="center"/>
          </w:tcPr>
          <w:p w14:paraId="54AF607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4.2</w:t>
            </w:r>
          </w:p>
        </w:tc>
        <w:tc>
          <w:tcPr>
            <w:tcW w:w="2015" w:type="pct"/>
            <w:tcBorders>
              <w:tl2br w:val="nil"/>
              <w:tr2bl w:val="nil"/>
            </w:tcBorders>
            <w:vAlign w:val="center"/>
          </w:tcPr>
          <w:p w14:paraId="71AAB41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highlight w:val="none"/>
                <w:u w:val="none"/>
                <w:lang w:val="en-US" w:eastAsia="zh-CN"/>
              </w:rPr>
              <w:t>新钻井3口，</w:t>
            </w:r>
            <w:r>
              <w:rPr>
                <w:rFonts w:hint="eastAsia" w:ascii="宋体" w:hAnsi="宋体" w:eastAsia="宋体" w:cs="宋体"/>
                <w:color w:val="auto"/>
                <w:sz w:val="21"/>
                <w:szCs w:val="21"/>
                <w:highlight w:val="none"/>
                <w:u w:val="none"/>
                <w:lang w:val="en-US" w:eastAsia="zh-CN"/>
              </w:rPr>
              <w:t>单井永久占地30m×25m</w:t>
            </w:r>
            <w:r>
              <w:rPr>
                <w:rFonts w:hint="eastAsia" w:ascii="宋体" w:hAnsi="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lang w:val="en-US" w:eastAsia="zh-CN"/>
              </w:rPr>
              <w:t>临时占地100m×1</w:t>
            </w:r>
            <w:r>
              <w:rPr>
                <w:rFonts w:hint="eastAsia" w:ascii="宋体" w:hAnsi="宋体" w:cs="宋体"/>
                <w:color w:val="auto"/>
                <w:sz w:val="21"/>
                <w:szCs w:val="21"/>
                <w:highlight w:val="none"/>
                <w:u w:val="none"/>
                <w:lang w:val="en-US" w:eastAsia="zh-CN"/>
              </w:rPr>
              <w:t>40</w:t>
            </w:r>
            <w:r>
              <w:rPr>
                <w:rFonts w:hint="eastAsia" w:ascii="宋体" w:hAnsi="宋体" w:eastAsia="宋体" w:cs="宋体"/>
                <w:color w:val="auto"/>
                <w:sz w:val="21"/>
                <w:szCs w:val="21"/>
                <w:highlight w:val="none"/>
                <w:u w:val="none"/>
                <w:lang w:val="en-US" w:eastAsia="zh-CN"/>
              </w:rPr>
              <w:t>m，临时占地已扣除永久占地范围</w:t>
            </w:r>
            <w:r>
              <w:rPr>
                <w:rFonts w:hint="eastAsia" w:ascii="宋体" w:hAnsi="宋体" w:cs="宋体"/>
                <w:color w:val="auto"/>
                <w:sz w:val="21"/>
                <w:szCs w:val="21"/>
                <w:highlight w:val="none"/>
                <w:u w:val="none"/>
                <w:lang w:val="en-US" w:eastAsia="zh-CN"/>
              </w:rPr>
              <w:t>。占地类型：沙地。</w:t>
            </w:r>
          </w:p>
        </w:tc>
      </w:tr>
      <w:tr w14:paraId="64963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87" w:type="pct"/>
            <w:tcBorders>
              <w:tl2br w:val="nil"/>
              <w:tr2bl w:val="nil"/>
            </w:tcBorders>
            <w:vAlign w:val="center"/>
          </w:tcPr>
          <w:p w14:paraId="32046A0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2</w:t>
            </w:r>
          </w:p>
        </w:tc>
        <w:tc>
          <w:tcPr>
            <w:tcW w:w="673" w:type="pct"/>
            <w:tcBorders>
              <w:tl2br w:val="nil"/>
              <w:tr2bl w:val="nil"/>
            </w:tcBorders>
            <w:vAlign w:val="center"/>
          </w:tcPr>
          <w:p w14:paraId="6101B12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放喷管线</w:t>
            </w:r>
          </w:p>
        </w:tc>
        <w:tc>
          <w:tcPr>
            <w:tcW w:w="611" w:type="pct"/>
            <w:tcBorders>
              <w:tl2br w:val="nil"/>
              <w:tr2bl w:val="nil"/>
            </w:tcBorders>
            <w:vAlign w:val="center"/>
          </w:tcPr>
          <w:p w14:paraId="02D76D0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w:t>
            </w:r>
          </w:p>
        </w:tc>
        <w:tc>
          <w:tcPr>
            <w:tcW w:w="696" w:type="pct"/>
            <w:tcBorders>
              <w:tl2br w:val="nil"/>
              <w:tr2bl w:val="nil"/>
            </w:tcBorders>
            <w:vAlign w:val="center"/>
          </w:tcPr>
          <w:p w14:paraId="4C66E91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0.036</w:t>
            </w:r>
          </w:p>
        </w:tc>
        <w:tc>
          <w:tcPr>
            <w:tcW w:w="616" w:type="pct"/>
            <w:tcBorders>
              <w:tl2br w:val="nil"/>
              <w:tr2bl w:val="nil"/>
            </w:tcBorders>
            <w:vAlign w:val="center"/>
          </w:tcPr>
          <w:p w14:paraId="178774A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0.036</w:t>
            </w:r>
          </w:p>
        </w:tc>
        <w:tc>
          <w:tcPr>
            <w:tcW w:w="2015" w:type="pct"/>
            <w:tcBorders>
              <w:tl2br w:val="nil"/>
              <w:tr2bl w:val="nil"/>
            </w:tcBorders>
            <w:vAlign w:val="center"/>
          </w:tcPr>
          <w:p w14:paraId="2CAEEE11">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highlight w:val="none"/>
                <w:u w:val="none"/>
                <w:lang w:val="en-US" w:eastAsia="zh-CN"/>
              </w:rPr>
              <w:t>单座井场</w:t>
            </w:r>
            <w:r>
              <w:rPr>
                <w:rFonts w:hint="eastAsia" w:ascii="宋体" w:hAnsi="宋体" w:cs="宋体"/>
                <w:color w:val="auto"/>
                <w:sz w:val="21"/>
                <w:szCs w:val="21"/>
                <w:u w:val="none"/>
                <w:lang w:val="en-US" w:eastAsia="zh-CN"/>
              </w:rPr>
              <w:t>60m</w:t>
            </w:r>
            <w:r>
              <w:rPr>
                <w:rFonts w:hint="eastAsia" w:ascii="宋体" w:hAnsi="宋体" w:eastAsia="宋体" w:cs="宋体"/>
                <w:color w:val="auto"/>
                <w:sz w:val="21"/>
                <w:szCs w:val="21"/>
                <w:u w:val="none"/>
                <w:lang w:val="en-US" w:eastAsia="zh-CN"/>
              </w:rPr>
              <w:t>×</w:t>
            </w:r>
            <w:r>
              <w:rPr>
                <w:rFonts w:hint="eastAsia" w:ascii="宋体" w:hAnsi="宋体" w:cs="宋体"/>
                <w:color w:val="auto"/>
                <w:sz w:val="21"/>
                <w:szCs w:val="21"/>
                <w:u w:val="none"/>
                <w:lang w:val="en-US" w:eastAsia="zh-CN"/>
              </w:rPr>
              <w:t>2</w:t>
            </w:r>
            <w:r>
              <w:rPr>
                <w:rFonts w:hint="eastAsia" w:ascii="宋体" w:hAnsi="宋体" w:eastAsia="宋体" w:cs="宋体"/>
                <w:color w:val="auto"/>
                <w:sz w:val="21"/>
                <w:szCs w:val="21"/>
                <w:u w:val="none"/>
                <w:lang w:val="en-US" w:eastAsia="zh-CN"/>
              </w:rPr>
              <w:t>m</w:t>
            </w:r>
            <w:r>
              <w:rPr>
                <w:rFonts w:hint="eastAsia" w:ascii="宋体" w:hAnsi="宋体" w:cs="宋体"/>
                <w:color w:val="auto"/>
                <w:sz w:val="21"/>
                <w:szCs w:val="21"/>
                <w:u w:val="none"/>
                <w:lang w:val="en-US" w:eastAsia="zh-CN"/>
              </w:rPr>
              <w:t>。</w:t>
            </w:r>
            <w:r>
              <w:rPr>
                <w:rFonts w:hint="eastAsia" w:ascii="宋体" w:hAnsi="宋体" w:cs="宋体"/>
                <w:color w:val="auto"/>
                <w:sz w:val="21"/>
                <w:szCs w:val="21"/>
                <w:highlight w:val="none"/>
                <w:u w:val="none"/>
                <w:lang w:val="en-US" w:eastAsia="zh-CN"/>
              </w:rPr>
              <w:t>占地类型：沙地。</w:t>
            </w:r>
          </w:p>
        </w:tc>
      </w:tr>
      <w:tr w14:paraId="4567B6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87" w:type="pct"/>
            <w:tcBorders>
              <w:tl2br w:val="nil"/>
              <w:tr2bl w:val="nil"/>
            </w:tcBorders>
            <w:vAlign w:val="center"/>
          </w:tcPr>
          <w:p w14:paraId="066F211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3</w:t>
            </w:r>
          </w:p>
        </w:tc>
        <w:tc>
          <w:tcPr>
            <w:tcW w:w="673" w:type="pct"/>
            <w:tcBorders>
              <w:tl2br w:val="nil"/>
              <w:tr2bl w:val="nil"/>
            </w:tcBorders>
            <w:vAlign w:val="center"/>
          </w:tcPr>
          <w:p w14:paraId="1C6DEA3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单井集输管</w:t>
            </w:r>
            <w:r>
              <w:rPr>
                <w:rFonts w:hint="eastAsia" w:ascii="宋体" w:hAnsi="宋体" w:eastAsia="宋体" w:cs="宋体"/>
                <w:color w:val="auto"/>
                <w:sz w:val="21"/>
                <w:szCs w:val="21"/>
                <w:u w:val="none"/>
                <w:lang w:val="en-US" w:eastAsia="zh-CN"/>
              </w:rPr>
              <w:t>线</w:t>
            </w:r>
          </w:p>
        </w:tc>
        <w:tc>
          <w:tcPr>
            <w:tcW w:w="611" w:type="pct"/>
            <w:tcBorders>
              <w:tl2br w:val="nil"/>
              <w:tr2bl w:val="nil"/>
            </w:tcBorders>
            <w:vAlign w:val="center"/>
          </w:tcPr>
          <w:p w14:paraId="7DC8639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w:t>
            </w:r>
          </w:p>
        </w:tc>
        <w:tc>
          <w:tcPr>
            <w:tcW w:w="696" w:type="pct"/>
            <w:tcBorders>
              <w:tl2br w:val="nil"/>
              <w:tr2bl w:val="nil"/>
            </w:tcBorders>
            <w:vAlign w:val="center"/>
          </w:tcPr>
          <w:p w14:paraId="10646F3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8.88</w:t>
            </w:r>
          </w:p>
        </w:tc>
        <w:tc>
          <w:tcPr>
            <w:tcW w:w="616" w:type="pct"/>
            <w:tcBorders>
              <w:tl2br w:val="nil"/>
              <w:tr2bl w:val="nil"/>
            </w:tcBorders>
            <w:vAlign w:val="center"/>
          </w:tcPr>
          <w:p w14:paraId="20488D3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8.88</w:t>
            </w:r>
          </w:p>
        </w:tc>
        <w:tc>
          <w:tcPr>
            <w:tcW w:w="2015" w:type="pct"/>
            <w:tcBorders>
              <w:tl2br w:val="nil"/>
              <w:tr2bl w:val="nil"/>
            </w:tcBorders>
            <w:vAlign w:val="center"/>
          </w:tcPr>
          <w:p w14:paraId="682C9EDB">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新建单井采气管线7.4km</w:t>
            </w:r>
            <w:r>
              <w:rPr>
                <w:rFonts w:hint="eastAsia" w:ascii="宋体" w:hAnsi="宋体" w:eastAsia="宋体" w:cs="宋体"/>
                <w:color w:val="auto"/>
                <w:sz w:val="21"/>
                <w:szCs w:val="21"/>
                <w:u w:val="none"/>
              </w:rPr>
              <w:t>，作业带宽度</w:t>
            </w:r>
            <w:r>
              <w:rPr>
                <w:rFonts w:hint="eastAsia" w:ascii="宋体" w:hAnsi="宋体" w:cs="宋体"/>
                <w:color w:val="auto"/>
                <w:sz w:val="21"/>
                <w:szCs w:val="21"/>
                <w:u w:val="none"/>
                <w:lang w:val="en-US" w:eastAsia="zh-CN"/>
              </w:rPr>
              <w:t>12</w:t>
            </w:r>
            <w:r>
              <w:rPr>
                <w:rFonts w:hint="eastAsia" w:ascii="宋体" w:hAnsi="宋体" w:eastAsia="宋体" w:cs="宋体"/>
                <w:color w:val="auto"/>
                <w:sz w:val="21"/>
                <w:szCs w:val="21"/>
                <w:u w:val="none"/>
              </w:rPr>
              <w:t>m</w:t>
            </w:r>
            <w:r>
              <w:rPr>
                <w:rFonts w:hint="eastAsia" w:ascii="宋体" w:hAnsi="宋体" w:cs="宋体"/>
                <w:color w:val="auto"/>
                <w:sz w:val="21"/>
                <w:szCs w:val="21"/>
                <w:u w:val="none"/>
                <w:lang w:eastAsia="zh-CN"/>
              </w:rPr>
              <w:t>。</w:t>
            </w:r>
            <w:r>
              <w:rPr>
                <w:rFonts w:hint="eastAsia" w:ascii="宋体" w:hAnsi="宋体" w:cs="宋体"/>
                <w:color w:val="auto"/>
                <w:sz w:val="21"/>
                <w:szCs w:val="21"/>
                <w:highlight w:val="none"/>
                <w:u w:val="none"/>
                <w:lang w:val="en-US" w:eastAsia="zh-CN"/>
              </w:rPr>
              <w:t>占地类型：沙地。</w:t>
            </w:r>
          </w:p>
        </w:tc>
      </w:tr>
      <w:tr w14:paraId="3C1795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20" w:hRule="atLeast"/>
          <w:jc w:val="center"/>
        </w:trPr>
        <w:tc>
          <w:tcPr>
            <w:tcW w:w="387" w:type="pct"/>
            <w:tcBorders>
              <w:tl2br w:val="nil"/>
              <w:tr2bl w:val="nil"/>
            </w:tcBorders>
            <w:vAlign w:val="center"/>
          </w:tcPr>
          <w:p w14:paraId="749558D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4</w:t>
            </w:r>
          </w:p>
        </w:tc>
        <w:tc>
          <w:tcPr>
            <w:tcW w:w="673" w:type="pct"/>
            <w:tcBorders>
              <w:tl2br w:val="nil"/>
              <w:tr2bl w:val="nil"/>
            </w:tcBorders>
            <w:vAlign w:val="center"/>
          </w:tcPr>
          <w:p w14:paraId="1DFFB73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道路</w:t>
            </w:r>
          </w:p>
        </w:tc>
        <w:tc>
          <w:tcPr>
            <w:tcW w:w="611" w:type="pct"/>
            <w:tcBorders>
              <w:tl2br w:val="nil"/>
              <w:tr2bl w:val="nil"/>
            </w:tcBorders>
            <w:vAlign w:val="center"/>
          </w:tcPr>
          <w:p w14:paraId="6CA1FE2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1.98</w:t>
            </w:r>
          </w:p>
        </w:tc>
        <w:tc>
          <w:tcPr>
            <w:tcW w:w="696" w:type="pct"/>
            <w:tcBorders>
              <w:tl2br w:val="nil"/>
              <w:tr2bl w:val="nil"/>
            </w:tcBorders>
            <w:vAlign w:val="center"/>
          </w:tcPr>
          <w:p w14:paraId="7E13433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w:t>
            </w:r>
          </w:p>
        </w:tc>
        <w:tc>
          <w:tcPr>
            <w:tcW w:w="616" w:type="pct"/>
            <w:tcBorders>
              <w:tl2br w:val="nil"/>
              <w:tr2bl w:val="nil"/>
            </w:tcBorders>
            <w:vAlign w:val="center"/>
          </w:tcPr>
          <w:p w14:paraId="3DDFC59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1.98</w:t>
            </w:r>
          </w:p>
        </w:tc>
        <w:tc>
          <w:tcPr>
            <w:tcW w:w="2015" w:type="pct"/>
            <w:tcBorders>
              <w:tl2br w:val="nil"/>
              <w:tr2bl w:val="nil"/>
            </w:tcBorders>
            <w:vAlign w:val="center"/>
          </w:tcPr>
          <w:p w14:paraId="05D5F7DB">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新建道路4.4km，砂石路面，宽4.5m。</w:t>
            </w:r>
            <w:r>
              <w:rPr>
                <w:rFonts w:hint="eastAsia" w:ascii="宋体" w:hAnsi="宋体" w:cs="宋体"/>
                <w:color w:val="auto"/>
                <w:sz w:val="21"/>
                <w:szCs w:val="21"/>
                <w:highlight w:val="none"/>
                <w:u w:val="none"/>
                <w:lang w:val="en-US" w:eastAsia="zh-CN"/>
              </w:rPr>
              <w:t>占地类型：沙地。</w:t>
            </w:r>
          </w:p>
        </w:tc>
      </w:tr>
      <w:tr w14:paraId="6A1E2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20" w:hRule="atLeast"/>
          <w:jc w:val="center"/>
        </w:trPr>
        <w:tc>
          <w:tcPr>
            <w:tcW w:w="387" w:type="pct"/>
            <w:tcBorders>
              <w:tl2br w:val="nil"/>
              <w:tr2bl w:val="nil"/>
            </w:tcBorders>
            <w:vAlign w:val="center"/>
          </w:tcPr>
          <w:p w14:paraId="3D70A2B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5</w:t>
            </w:r>
          </w:p>
        </w:tc>
        <w:tc>
          <w:tcPr>
            <w:tcW w:w="673" w:type="pct"/>
            <w:tcBorders>
              <w:tl2br w:val="nil"/>
              <w:tr2bl w:val="nil"/>
            </w:tcBorders>
            <w:vAlign w:val="center"/>
          </w:tcPr>
          <w:p w14:paraId="50509A8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施工营地</w:t>
            </w:r>
          </w:p>
        </w:tc>
        <w:tc>
          <w:tcPr>
            <w:tcW w:w="611" w:type="pct"/>
            <w:tcBorders>
              <w:tl2br w:val="nil"/>
              <w:tr2bl w:val="nil"/>
            </w:tcBorders>
            <w:vAlign w:val="center"/>
          </w:tcPr>
          <w:p w14:paraId="7D36E65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w:t>
            </w:r>
          </w:p>
        </w:tc>
        <w:tc>
          <w:tcPr>
            <w:tcW w:w="696" w:type="pct"/>
            <w:tcBorders>
              <w:tl2br w:val="nil"/>
              <w:tr2bl w:val="nil"/>
            </w:tcBorders>
            <w:vAlign w:val="center"/>
          </w:tcPr>
          <w:p w14:paraId="26B92EE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highlight w:val="none"/>
                <w:u w:val="none"/>
                <w:lang w:val="en-US" w:eastAsia="zh-CN"/>
              </w:rPr>
              <w:t>1.05</w:t>
            </w:r>
          </w:p>
        </w:tc>
        <w:tc>
          <w:tcPr>
            <w:tcW w:w="616" w:type="pct"/>
            <w:tcBorders>
              <w:tl2br w:val="nil"/>
              <w:tr2bl w:val="nil"/>
            </w:tcBorders>
            <w:vAlign w:val="center"/>
          </w:tcPr>
          <w:p w14:paraId="402D0BA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highlight w:val="none"/>
                <w:u w:val="none"/>
                <w:lang w:val="en-US" w:eastAsia="zh-CN"/>
              </w:rPr>
              <w:t>1.05</w:t>
            </w:r>
          </w:p>
        </w:tc>
        <w:tc>
          <w:tcPr>
            <w:tcW w:w="2015" w:type="pct"/>
            <w:tcBorders>
              <w:tl2br w:val="nil"/>
              <w:tr2bl w:val="nil"/>
            </w:tcBorders>
            <w:vAlign w:val="center"/>
          </w:tcPr>
          <w:p w14:paraId="185FF2AE">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highlight w:val="none"/>
                <w:u w:val="none"/>
                <w:lang w:val="en-US" w:eastAsia="zh-CN"/>
              </w:rPr>
              <w:t>设施工营地3处，50×70m，位于钻井井场附近。占地类型：沙地。</w:t>
            </w:r>
          </w:p>
        </w:tc>
      </w:tr>
      <w:tr w14:paraId="78CAEC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060" w:type="pct"/>
            <w:gridSpan w:val="2"/>
            <w:tcBorders>
              <w:tl2br w:val="nil"/>
              <w:tr2bl w:val="nil"/>
            </w:tcBorders>
            <w:vAlign w:val="center"/>
          </w:tcPr>
          <w:p w14:paraId="64E610F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合计</w:t>
            </w:r>
          </w:p>
        </w:tc>
        <w:tc>
          <w:tcPr>
            <w:tcW w:w="611" w:type="pct"/>
            <w:tcBorders>
              <w:tl2br w:val="nil"/>
              <w:tr2bl w:val="nil"/>
            </w:tcBorders>
            <w:vAlign w:val="center"/>
          </w:tcPr>
          <w:p w14:paraId="3A3C90A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2.205</w:t>
            </w:r>
          </w:p>
        </w:tc>
        <w:tc>
          <w:tcPr>
            <w:tcW w:w="696" w:type="pct"/>
            <w:tcBorders>
              <w:tl2br w:val="nil"/>
              <w:tr2bl w:val="nil"/>
            </w:tcBorders>
            <w:vAlign w:val="center"/>
          </w:tcPr>
          <w:p w14:paraId="411FA86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13.941</w:t>
            </w:r>
          </w:p>
        </w:tc>
        <w:tc>
          <w:tcPr>
            <w:tcW w:w="616" w:type="pct"/>
            <w:tcBorders>
              <w:tl2br w:val="nil"/>
              <w:tr2bl w:val="nil"/>
            </w:tcBorders>
            <w:vAlign w:val="center"/>
          </w:tcPr>
          <w:p w14:paraId="4393A5D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16.146</w:t>
            </w:r>
          </w:p>
        </w:tc>
        <w:tc>
          <w:tcPr>
            <w:tcW w:w="2015" w:type="pct"/>
            <w:tcBorders>
              <w:tl2br w:val="nil"/>
              <w:tr2bl w:val="nil"/>
            </w:tcBorders>
            <w:vAlign w:val="center"/>
          </w:tcPr>
          <w:p w14:paraId="083D65D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w:t>
            </w:r>
          </w:p>
        </w:tc>
      </w:tr>
    </w:tbl>
    <w:p w14:paraId="5104D43B">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61" w:name="_Toc32327"/>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4</w:t>
      </w:r>
      <w:r>
        <w:rPr>
          <w:rFonts w:hint="default" w:ascii="宋体" w:hAnsi="宋体" w:eastAsia="宋体" w:cs="宋体"/>
          <w:color w:val="auto"/>
          <w:u w:val="none"/>
          <w:lang w:val="en-US" w:eastAsia="zh-CN"/>
        </w:rPr>
        <w:t>.</w:t>
      </w:r>
      <w:r>
        <w:rPr>
          <w:rFonts w:hint="eastAsia" w:ascii="宋体" w:hAnsi="宋体" w:eastAsia="宋体" w:cs="宋体"/>
          <w:color w:val="auto"/>
          <w:u w:val="none"/>
          <w:lang w:val="en-US" w:eastAsia="zh-CN"/>
        </w:rPr>
        <w:t>3</w:t>
      </w:r>
      <w:r>
        <w:rPr>
          <w:rFonts w:hint="default" w:ascii="宋体" w:hAnsi="宋体" w:eastAsia="宋体" w:cs="宋体"/>
          <w:color w:val="auto"/>
          <w:u w:val="none"/>
          <w:lang w:val="en-US" w:eastAsia="zh-CN"/>
        </w:rPr>
        <w:t>.2</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施工期污染源分析</w:t>
      </w:r>
      <w:bookmarkEnd w:id="261"/>
    </w:p>
    <w:p w14:paraId="54BE90DE">
      <w:pPr>
        <w:spacing w:line="360" w:lineRule="auto"/>
        <w:ind w:firstLine="480" w:firstLineChars="200"/>
        <w:rPr>
          <w:rFonts w:hint="eastAsia" w:ascii="宋体" w:hAnsi="宋体" w:eastAsia="宋体" w:cs="宋体"/>
          <w:color w:val="auto"/>
          <w:kern w:val="0"/>
          <w:sz w:val="24"/>
          <w:szCs w:val="24"/>
          <w:u w:val="none"/>
          <w:lang w:val="en-US" w:eastAsia="zh-CN"/>
        </w:rPr>
      </w:pPr>
      <w:bookmarkStart w:id="262" w:name="_Toc23794"/>
      <w:bookmarkStart w:id="263" w:name="_Toc27869"/>
      <w:bookmarkStart w:id="264" w:name="_Toc20426"/>
      <w:bookmarkStart w:id="265" w:name="_Toc17975"/>
      <w:bookmarkStart w:id="266" w:name="_Toc4165"/>
      <w:bookmarkStart w:id="267" w:name="_Toc11185"/>
      <w:bookmarkStart w:id="268" w:name="_Toc31230"/>
      <w:r>
        <w:rPr>
          <w:rFonts w:hint="eastAsia" w:ascii="宋体" w:hAnsi="宋体" w:eastAsia="宋体" w:cs="宋体"/>
          <w:color w:val="auto"/>
          <w:sz w:val="24"/>
          <w:u w:val="none"/>
          <w:lang w:val="en-US" w:eastAsia="zh-CN"/>
        </w:rPr>
        <w:t>施工期主要污染来自钻井工程产生的燃料燃烧废气及汽车尾气排放、钻井岩屑及钻井废水、钻井噪声、井队工作人员的生活污水和生活垃圾等，平整场地和堆放设备破坏地表等。</w:t>
      </w:r>
    </w:p>
    <w:p w14:paraId="02C68886">
      <w:pPr>
        <w:widowControl/>
        <w:spacing w:line="360" w:lineRule="auto"/>
        <w:ind w:firstLine="496" w:firstLineChars="200"/>
        <w:jc w:val="left"/>
        <w:outlineLvl w:val="9"/>
        <w:rPr>
          <w:rFonts w:hint="eastAsia" w:ascii="宋体" w:hAnsi="宋体" w:eastAsia="宋体" w:cs="宋体"/>
          <w:color w:val="auto"/>
          <w:kern w:val="0"/>
          <w:sz w:val="24"/>
          <w:szCs w:val="24"/>
          <w:highlight w:val="none"/>
          <w:u w:val="none"/>
        </w:rPr>
      </w:pPr>
      <w:r>
        <w:rPr>
          <w:rFonts w:hint="eastAsia" w:ascii="宋体" w:hAnsi="宋体" w:eastAsia="宋体" w:cs="宋体"/>
          <w:b/>
          <w:bCs/>
          <w:color w:val="auto"/>
          <w:spacing w:val="4"/>
          <w:kern w:val="24"/>
          <w:sz w:val="24"/>
          <w:szCs w:val="22"/>
          <w:highlight w:val="none"/>
          <w:u w:val="none"/>
        </w:rPr>
        <w:t>（1）废气</w:t>
      </w:r>
      <w:bookmarkEnd w:id="262"/>
      <w:bookmarkEnd w:id="263"/>
      <w:bookmarkEnd w:id="264"/>
      <w:bookmarkEnd w:id="265"/>
      <w:bookmarkEnd w:id="266"/>
      <w:bookmarkEnd w:id="267"/>
      <w:bookmarkEnd w:id="268"/>
    </w:p>
    <w:p w14:paraId="5751F295">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1）钻井废气</w:t>
      </w:r>
    </w:p>
    <w:p w14:paraId="081B6265">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sz w:val="24"/>
          <w:u w:val="none"/>
          <w:lang w:val="en-US" w:eastAsia="zh-CN"/>
        </w:rPr>
      </w:pPr>
      <w:r>
        <w:rPr>
          <w:rFonts w:hint="eastAsia" w:ascii="宋体" w:hAnsi="宋体" w:eastAsia="宋体" w:cs="宋体"/>
          <w:color w:val="auto"/>
          <w:sz w:val="24"/>
          <w:u w:val="none"/>
          <w:lang w:val="en-US" w:eastAsia="zh-CN"/>
        </w:rPr>
        <w:t>本项目钻井期间采用柴油发电机作为电源。每个井队配备钻井柴油机2台，发电柴油机2台，柴油消耗量平均2t/d。本工程新钻3口采气井，单井钻井周期为90天，则整个钻井期间共耗柴油540t。</w:t>
      </w:r>
    </w:p>
    <w:p w14:paraId="447946AF">
      <w:pPr>
        <w:keepNext w:val="0"/>
        <w:keepLines w:val="0"/>
        <w:pageBreakBefore w:val="0"/>
        <w:widowControl w:val="0"/>
        <w:tabs>
          <w:tab w:val="left" w:pos="4800"/>
        </w:tabs>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kern w:val="0"/>
          <w:sz w:val="24"/>
          <w:szCs w:val="24"/>
          <w:u w:val="none"/>
          <w:lang w:val="en-US" w:eastAsia="zh-CN"/>
        </w:rPr>
      </w:pPr>
      <w:r>
        <w:rPr>
          <w:rFonts w:hint="eastAsia" w:ascii="宋体" w:hAnsi="宋体" w:eastAsia="宋体" w:cs="宋体"/>
          <w:color w:val="auto"/>
          <w:sz w:val="24"/>
          <w:u w:val="none"/>
          <w:lang w:val="en-US" w:eastAsia="zh-CN"/>
        </w:rPr>
        <w:t>根据《非道路移动污染源排放清单编制技术指南》，柴油机污染物排放系数为每消耗1kg柴油产生CO：10.722g，NO2：32.792g，烃类：3.385g；根据《车用柴油》（GB19147-2016）表3要求，车用柴油（VI）中硫的含量≤10mg/kg。在此按柴油中硫含量为10mg/kg估算，燃烧1t柴油产</w:t>
      </w:r>
      <w:r>
        <w:rPr>
          <w:rFonts w:hint="eastAsia" w:ascii="宋体" w:hAnsi="宋体" w:eastAsia="宋体" w:cs="宋体"/>
          <w:color w:val="auto"/>
          <w:kern w:val="0"/>
          <w:sz w:val="24"/>
          <w:szCs w:val="24"/>
          <w:u w:val="none"/>
          <w:lang w:val="en-US" w:eastAsia="zh-CN"/>
        </w:rPr>
        <w:t>生的SO</w:t>
      </w:r>
      <w:r>
        <w:rPr>
          <w:rFonts w:hint="eastAsia" w:ascii="宋体" w:hAnsi="宋体" w:eastAsia="宋体" w:cs="宋体"/>
          <w:color w:val="auto"/>
          <w:kern w:val="0"/>
          <w:sz w:val="24"/>
          <w:szCs w:val="24"/>
          <w:u w:val="none"/>
          <w:vertAlign w:val="subscript"/>
          <w:lang w:val="en-US" w:eastAsia="zh-CN"/>
        </w:rPr>
        <w:t>2</w:t>
      </w:r>
      <w:r>
        <w:rPr>
          <w:rFonts w:hint="eastAsia" w:ascii="宋体" w:hAnsi="宋体" w:eastAsia="宋体" w:cs="宋体"/>
          <w:color w:val="auto"/>
          <w:kern w:val="0"/>
          <w:sz w:val="24"/>
          <w:szCs w:val="24"/>
          <w:u w:val="none"/>
          <w:lang w:val="en-US" w:eastAsia="zh-CN"/>
        </w:rPr>
        <w:t>为0.02kg。</w:t>
      </w:r>
    </w:p>
    <w:p w14:paraId="25718E5C">
      <w:pPr>
        <w:keepNext w:val="0"/>
        <w:keepLines w:val="0"/>
        <w:pageBreakBefore w:val="0"/>
        <w:widowControl w:val="0"/>
        <w:kinsoku/>
        <w:overflowPunct/>
        <w:topLinePunct w:val="0"/>
        <w:autoSpaceDE/>
        <w:autoSpaceDN/>
        <w:bidi w:val="0"/>
        <w:spacing w:line="480" w:lineRule="exact"/>
        <w:ind w:firstLine="480" w:firstLineChars="200"/>
        <w:textAlignment w:val="auto"/>
        <w:rPr>
          <w:rFonts w:hint="eastAsia" w:ascii="宋体" w:hAnsi="宋体" w:eastAsia="宋体" w:cs="宋体"/>
          <w:color w:val="auto"/>
          <w:kern w:val="0"/>
          <w:sz w:val="24"/>
          <w:szCs w:val="24"/>
          <w:u w:val="none"/>
          <w:lang w:val="en-US" w:eastAsia="zh-CN"/>
        </w:rPr>
      </w:pPr>
      <w:r>
        <w:rPr>
          <w:rFonts w:hint="eastAsia" w:ascii="宋体" w:hAnsi="宋体" w:eastAsia="宋体" w:cs="宋体"/>
          <w:color w:val="auto"/>
          <w:kern w:val="0"/>
          <w:sz w:val="24"/>
          <w:szCs w:val="24"/>
          <w:u w:val="none"/>
          <w:lang w:val="en-US" w:eastAsia="zh-CN"/>
        </w:rPr>
        <w:t>因此，本工程钻井期间共向大气中排放CO：5.79t，烃类：1.83t，NO</w:t>
      </w:r>
      <w:r>
        <w:rPr>
          <w:rFonts w:hint="eastAsia" w:ascii="宋体" w:hAnsi="宋体" w:eastAsia="宋体" w:cs="宋体"/>
          <w:color w:val="auto"/>
          <w:kern w:val="0"/>
          <w:sz w:val="24"/>
          <w:szCs w:val="24"/>
          <w:u w:val="none"/>
          <w:vertAlign w:val="subscript"/>
          <w:lang w:val="en-US" w:eastAsia="zh-CN"/>
        </w:rPr>
        <w:t>2</w:t>
      </w:r>
      <w:r>
        <w:rPr>
          <w:rFonts w:hint="eastAsia" w:ascii="宋体" w:hAnsi="宋体" w:eastAsia="宋体" w:cs="宋体"/>
          <w:color w:val="auto"/>
          <w:kern w:val="0"/>
          <w:sz w:val="24"/>
          <w:szCs w:val="24"/>
          <w:u w:val="none"/>
          <w:lang w:val="en-US" w:eastAsia="zh-CN"/>
        </w:rPr>
        <w:t>：17.71t，SO</w:t>
      </w:r>
      <w:r>
        <w:rPr>
          <w:rFonts w:hint="eastAsia" w:ascii="宋体" w:hAnsi="宋体" w:eastAsia="宋体" w:cs="宋体"/>
          <w:color w:val="auto"/>
          <w:kern w:val="0"/>
          <w:sz w:val="24"/>
          <w:szCs w:val="24"/>
          <w:u w:val="none"/>
          <w:vertAlign w:val="subscript"/>
          <w:lang w:val="en-US" w:eastAsia="zh-CN"/>
        </w:rPr>
        <w:t>2</w:t>
      </w:r>
      <w:r>
        <w:rPr>
          <w:rFonts w:hint="eastAsia" w:ascii="宋体" w:hAnsi="宋体" w:eastAsia="宋体" w:cs="宋体"/>
          <w:color w:val="auto"/>
          <w:kern w:val="0"/>
          <w:sz w:val="24"/>
          <w:szCs w:val="24"/>
          <w:u w:val="none"/>
          <w:lang w:val="en-US" w:eastAsia="zh-CN"/>
        </w:rPr>
        <w:t>：0.01t。钻井期间排放的大气污染物将随钻井工程的结束而消失。</w:t>
      </w:r>
    </w:p>
    <w:p w14:paraId="1EBAD332">
      <w:pPr>
        <w:keepNext w:val="0"/>
        <w:keepLines w:val="0"/>
        <w:pageBreakBefore w:val="0"/>
        <w:widowControl w:val="0"/>
        <w:kinsoku/>
        <w:wordWrap w:val="0"/>
        <w:overflowPunct/>
        <w:topLinePunct w:val="0"/>
        <w:autoSpaceDE/>
        <w:autoSpaceDN/>
        <w:bidi w:val="0"/>
        <w:spacing w:line="480" w:lineRule="exact"/>
        <w:ind w:firstLine="480" w:firstLineChars="200"/>
        <w:jc w:val="left"/>
        <w:textAlignment w:val="auto"/>
        <w:rPr>
          <w:rFonts w:hint="eastAsia" w:ascii="宋体" w:hAnsi="宋体" w:eastAsia="宋体" w:cs="宋体"/>
          <w:bCs/>
          <w:snapToGrid w:val="0"/>
          <w:color w:val="auto"/>
          <w:sz w:val="24"/>
          <w:szCs w:val="22"/>
          <w:highlight w:val="none"/>
          <w:u w:val="none"/>
          <w:lang w:val="zh-CN"/>
        </w:rPr>
      </w:pPr>
      <w:r>
        <w:rPr>
          <w:rFonts w:hint="eastAsia" w:ascii="宋体" w:hAnsi="宋体" w:eastAsia="宋体" w:cs="宋体"/>
          <w:bCs/>
          <w:snapToGrid w:val="0"/>
          <w:color w:val="auto"/>
          <w:sz w:val="24"/>
          <w:szCs w:val="22"/>
          <w:highlight w:val="none"/>
          <w:u w:val="none"/>
          <w:lang w:val="en-US" w:eastAsia="zh-CN"/>
        </w:rPr>
        <w:t>2</w:t>
      </w:r>
      <w:r>
        <w:rPr>
          <w:rFonts w:hint="eastAsia" w:ascii="宋体" w:hAnsi="宋体" w:eastAsia="宋体" w:cs="宋体"/>
          <w:bCs/>
          <w:snapToGrid w:val="0"/>
          <w:color w:val="auto"/>
          <w:sz w:val="24"/>
          <w:szCs w:val="22"/>
          <w:highlight w:val="none"/>
          <w:u w:val="none"/>
          <w:lang w:val="zh-CN"/>
        </w:rPr>
        <w:t>）扬尘</w:t>
      </w:r>
    </w:p>
    <w:p w14:paraId="028D82F1">
      <w:pPr>
        <w:keepNext w:val="0"/>
        <w:keepLines w:val="0"/>
        <w:pageBreakBefore w:val="0"/>
        <w:widowControl w:val="0"/>
        <w:kinsoku/>
        <w:wordWrap w:val="0"/>
        <w:overflowPunct/>
        <w:topLinePunct w:val="0"/>
        <w:autoSpaceDE/>
        <w:autoSpaceDN/>
        <w:bidi w:val="0"/>
        <w:spacing w:line="480" w:lineRule="exact"/>
        <w:ind w:firstLine="480" w:firstLineChars="200"/>
        <w:jc w:val="left"/>
        <w:textAlignment w:val="auto"/>
        <w:rPr>
          <w:rFonts w:hint="eastAsia" w:ascii="宋体" w:hAnsi="宋体" w:eastAsia="宋体" w:cs="宋体"/>
          <w:bCs/>
          <w:snapToGrid w:val="0"/>
          <w:color w:val="auto"/>
          <w:sz w:val="24"/>
          <w:szCs w:val="22"/>
          <w:highlight w:val="none"/>
          <w:u w:val="none"/>
          <w:lang w:val="zh-CN"/>
        </w:rPr>
      </w:pPr>
      <w:r>
        <w:rPr>
          <w:rFonts w:hint="eastAsia" w:ascii="宋体" w:hAnsi="宋体" w:eastAsia="宋体" w:cs="宋体"/>
          <w:bCs/>
          <w:snapToGrid w:val="0"/>
          <w:color w:val="auto"/>
          <w:sz w:val="24"/>
          <w:szCs w:val="22"/>
          <w:highlight w:val="none"/>
          <w:u w:val="none"/>
          <w:lang w:val="zh-CN"/>
        </w:rPr>
        <w:t>①车辆行驶产生的扬尘</w:t>
      </w:r>
    </w:p>
    <w:p w14:paraId="6A66F57F">
      <w:pPr>
        <w:keepNext w:val="0"/>
        <w:keepLines w:val="0"/>
        <w:pageBreakBefore w:val="0"/>
        <w:widowControl w:val="0"/>
        <w:kinsoku/>
        <w:wordWrap w:val="0"/>
        <w:overflowPunct/>
        <w:topLinePunct w:val="0"/>
        <w:autoSpaceDE/>
        <w:autoSpaceDN/>
        <w:bidi w:val="0"/>
        <w:spacing w:line="480" w:lineRule="exact"/>
        <w:ind w:firstLine="480" w:firstLineChars="200"/>
        <w:jc w:val="left"/>
        <w:textAlignment w:val="auto"/>
        <w:rPr>
          <w:rFonts w:hint="eastAsia" w:ascii="宋体" w:hAnsi="宋体" w:eastAsia="宋体" w:cs="宋体"/>
          <w:bCs/>
          <w:snapToGrid w:val="0"/>
          <w:color w:val="auto"/>
          <w:sz w:val="24"/>
          <w:szCs w:val="22"/>
          <w:highlight w:val="none"/>
          <w:u w:val="none"/>
          <w:lang w:val="zh-CN"/>
        </w:rPr>
      </w:pPr>
      <w:r>
        <w:rPr>
          <w:rFonts w:hint="eastAsia" w:ascii="宋体" w:hAnsi="宋体" w:eastAsia="宋体" w:cs="宋体"/>
          <w:bCs/>
          <w:snapToGrid w:val="0"/>
          <w:color w:val="auto"/>
          <w:sz w:val="24"/>
          <w:szCs w:val="22"/>
          <w:highlight w:val="none"/>
          <w:u w:val="none"/>
          <w:lang w:val="zh-CN"/>
        </w:rPr>
        <w:t>据有关调查显示，施工工地的扬尘以运输车辆行驶时产生的量最多，约占扬尘总量的60%。</w:t>
      </w:r>
    </w:p>
    <w:p w14:paraId="7F61C686">
      <w:pPr>
        <w:keepNext w:val="0"/>
        <w:keepLines w:val="0"/>
        <w:pageBreakBefore w:val="0"/>
        <w:widowControl w:val="0"/>
        <w:kinsoku/>
        <w:wordWrap w:val="0"/>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bCs/>
          <w:snapToGrid w:val="0"/>
          <w:color w:val="auto"/>
          <w:sz w:val="24"/>
          <w:szCs w:val="22"/>
          <w:highlight w:val="none"/>
          <w:u w:val="none"/>
          <w:lang w:val="en-US" w:eastAsia="zh-CN"/>
        </w:rPr>
      </w:pPr>
      <w:r>
        <w:rPr>
          <w:rFonts w:hint="eastAsia" w:ascii="宋体" w:hAnsi="宋体" w:eastAsia="宋体" w:cs="宋体"/>
          <w:bCs/>
          <w:snapToGrid w:val="0"/>
          <w:color w:val="auto"/>
          <w:sz w:val="24"/>
          <w:szCs w:val="22"/>
          <w:highlight w:val="none"/>
          <w:u w:val="none"/>
          <w:lang w:val="zh-CN"/>
        </w:rPr>
        <w:t>表3.</w:t>
      </w:r>
      <w:r>
        <w:rPr>
          <w:rFonts w:hint="eastAsia" w:ascii="宋体" w:hAnsi="宋体" w:eastAsia="宋体" w:cs="宋体"/>
          <w:bCs/>
          <w:snapToGrid w:val="0"/>
          <w:color w:val="auto"/>
          <w:sz w:val="24"/>
          <w:szCs w:val="22"/>
          <w:highlight w:val="none"/>
          <w:u w:val="none"/>
          <w:lang w:val="en-US" w:eastAsia="zh-CN"/>
        </w:rPr>
        <w:t>4</w:t>
      </w:r>
      <w:r>
        <w:rPr>
          <w:rFonts w:hint="eastAsia" w:ascii="宋体" w:hAnsi="宋体" w:eastAsia="宋体" w:cs="宋体"/>
          <w:bCs/>
          <w:snapToGrid w:val="0"/>
          <w:color w:val="auto"/>
          <w:sz w:val="24"/>
          <w:szCs w:val="22"/>
          <w:highlight w:val="none"/>
          <w:u w:val="none"/>
          <w:lang w:val="zh-CN"/>
        </w:rPr>
        <w:t>-3为一辆载重5t的卡车，通过一段长度为500m的路面时，不同路面清洁程度、不同行驶速度情况下产生的扬尘量。不同车速和地面清洁程度时的道路表面起尘量，</w:t>
      </w:r>
      <w:r>
        <w:rPr>
          <w:rFonts w:hint="eastAsia" w:ascii="宋体" w:hAnsi="宋体" w:eastAsia="宋体" w:cs="宋体"/>
          <w:bCs/>
          <w:snapToGrid w:val="0"/>
          <w:color w:val="auto"/>
          <w:sz w:val="24"/>
          <w:szCs w:val="22"/>
          <w:highlight w:val="none"/>
          <w:u w:val="none"/>
          <w:lang w:val="en-US" w:eastAsia="zh-CN"/>
        </w:rPr>
        <w:t>见表3.4-3。</w:t>
      </w:r>
    </w:p>
    <w:p w14:paraId="1CAF90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snapToGrid w:val="0"/>
          <w:color w:val="auto"/>
          <w:kern w:val="2"/>
          <w:sz w:val="21"/>
          <w:szCs w:val="21"/>
          <w:highlight w:val="none"/>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4</w:t>
      </w:r>
      <w:r>
        <w:rPr>
          <w:rFonts w:hint="default" w:ascii="黑体" w:hAnsi="黑体" w:eastAsia="黑体" w:cs="黑体"/>
          <w:b w:val="0"/>
          <w:bCs/>
          <w:color w:val="auto"/>
          <w:kern w:val="2"/>
          <w:sz w:val="24"/>
          <w:szCs w:val="24"/>
          <w:u w:val="none"/>
          <w:lang w:val="en-US" w:eastAsia="zh-CN" w:bidi="ar-SA"/>
        </w:rPr>
        <w:t>-3   不同车速和地面清洁程度时的道路表面起尘量单位：kg/辆·km</w:t>
      </w:r>
    </w:p>
    <w:tbl>
      <w:tblPr>
        <w:tblStyle w:val="3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07"/>
        <w:gridCol w:w="1137"/>
        <w:gridCol w:w="1241"/>
        <w:gridCol w:w="1241"/>
        <w:gridCol w:w="1239"/>
        <w:gridCol w:w="1241"/>
        <w:gridCol w:w="1239"/>
      </w:tblGrid>
      <w:tr w14:paraId="5E2A3C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73" w:hRule="atLeast"/>
          <w:jc w:val="center"/>
        </w:trPr>
        <w:tc>
          <w:tcPr>
            <w:tcW w:w="756" w:type="pct"/>
            <w:tcBorders>
              <w:tl2br w:val="nil"/>
              <w:tr2bl w:val="nil"/>
            </w:tcBorders>
            <w:vAlign w:val="center"/>
          </w:tcPr>
          <w:p w14:paraId="2E575B2D">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车速</w:t>
            </w:r>
          </w:p>
        </w:tc>
        <w:tc>
          <w:tcPr>
            <w:tcW w:w="657" w:type="pct"/>
            <w:tcBorders>
              <w:tl2br w:val="nil"/>
              <w:tr2bl w:val="nil"/>
            </w:tcBorders>
            <w:vAlign w:val="center"/>
          </w:tcPr>
          <w:p w14:paraId="73A799C1">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0.1(kg/m</w:t>
            </w:r>
            <w:r>
              <w:rPr>
                <w:rFonts w:hint="default" w:ascii="Times New Roman" w:hAnsi="Times New Roman" w:cs="Times New Roman"/>
                <w:color w:val="auto"/>
                <w:kern w:val="0"/>
                <w:szCs w:val="21"/>
                <w:highlight w:val="none"/>
                <w:u w:val="none"/>
                <w:vertAlign w:val="superscript"/>
                <w:lang w:bidi="en-US"/>
              </w:rPr>
              <w:t>2</w:t>
            </w:r>
            <w:r>
              <w:rPr>
                <w:rFonts w:hint="default" w:ascii="Times New Roman" w:hAnsi="Times New Roman" w:cs="Times New Roman"/>
                <w:color w:val="auto"/>
                <w:kern w:val="0"/>
                <w:szCs w:val="21"/>
                <w:highlight w:val="none"/>
                <w:u w:val="none"/>
                <w:lang w:bidi="en-US"/>
              </w:rPr>
              <w:t>)</w:t>
            </w:r>
          </w:p>
        </w:tc>
        <w:tc>
          <w:tcPr>
            <w:tcW w:w="717" w:type="pct"/>
            <w:tcBorders>
              <w:tl2br w:val="nil"/>
              <w:tr2bl w:val="nil"/>
            </w:tcBorders>
            <w:vAlign w:val="center"/>
          </w:tcPr>
          <w:p w14:paraId="41D6FB6A">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0.2(kg/m</w:t>
            </w:r>
            <w:r>
              <w:rPr>
                <w:rFonts w:hint="default" w:ascii="Times New Roman" w:hAnsi="Times New Roman" w:cs="Times New Roman"/>
                <w:color w:val="auto"/>
                <w:kern w:val="0"/>
                <w:szCs w:val="21"/>
                <w:highlight w:val="none"/>
                <w:u w:val="none"/>
                <w:vertAlign w:val="superscript"/>
                <w:lang w:bidi="en-US"/>
              </w:rPr>
              <w:t>2</w:t>
            </w:r>
            <w:r>
              <w:rPr>
                <w:rFonts w:hint="default" w:ascii="Times New Roman" w:hAnsi="Times New Roman" w:cs="Times New Roman"/>
                <w:color w:val="auto"/>
                <w:kern w:val="0"/>
                <w:szCs w:val="21"/>
                <w:highlight w:val="none"/>
                <w:u w:val="none"/>
                <w:lang w:bidi="en-US"/>
              </w:rPr>
              <w:t>)</w:t>
            </w:r>
          </w:p>
        </w:tc>
        <w:tc>
          <w:tcPr>
            <w:tcW w:w="717" w:type="pct"/>
            <w:tcBorders>
              <w:tl2br w:val="nil"/>
              <w:tr2bl w:val="nil"/>
            </w:tcBorders>
            <w:vAlign w:val="center"/>
          </w:tcPr>
          <w:p w14:paraId="3F9C6195">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0.3(kg/m</w:t>
            </w:r>
            <w:r>
              <w:rPr>
                <w:rFonts w:hint="default" w:ascii="Times New Roman" w:hAnsi="Times New Roman" w:cs="Times New Roman"/>
                <w:color w:val="auto"/>
                <w:kern w:val="0"/>
                <w:szCs w:val="21"/>
                <w:highlight w:val="none"/>
                <w:u w:val="none"/>
                <w:vertAlign w:val="superscript"/>
                <w:lang w:bidi="en-US"/>
              </w:rPr>
              <w:t>2</w:t>
            </w:r>
            <w:r>
              <w:rPr>
                <w:rFonts w:hint="default" w:ascii="Times New Roman" w:hAnsi="Times New Roman" w:cs="Times New Roman"/>
                <w:color w:val="auto"/>
                <w:kern w:val="0"/>
                <w:szCs w:val="21"/>
                <w:highlight w:val="none"/>
                <w:u w:val="none"/>
                <w:lang w:bidi="en-US"/>
              </w:rPr>
              <w:t>)</w:t>
            </w:r>
          </w:p>
        </w:tc>
        <w:tc>
          <w:tcPr>
            <w:tcW w:w="716" w:type="pct"/>
            <w:tcBorders>
              <w:tl2br w:val="nil"/>
              <w:tr2bl w:val="nil"/>
            </w:tcBorders>
            <w:vAlign w:val="center"/>
          </w:tcPr>
          <w:p w14:paraId="6D4EBECD">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0.4(kg/m</w:t>
            </w:r>
            <w:r>
              <w:rPr>
                <w:rFonts w:hint="default" w:ascii="Times New Roman" w:hAnsi="Times New Roman" w:cs="Times New Roman"/>
                <w:color w:val="auto"/>
                <w:kern w:val="0"/>
                <w:szCs w:val="21"/>
                <w:highlight w:val="none"/>
                <w:u w:val="none"/>
                <w:vertAlign w:val="superscript"/>
                <w:lang w:bidi="en-US"/>
              </w:rPr>
              <w:t>2</w:t>
            </w:r>
            <w:r>
              <w:rPr>
                <w:rFonts w:hint="default" w:ascii="Times New Roman" w:hAnsi="Times New Roman" w:cs="Times New Roman"/>
                <w:color w:val="auto"/>
                <w:kern w:val="0"/>
                <w:szCs w:val="21"/>
                <w:highlight w:val="none"/>
                <w:u w:val="none"/>
                <w:lang w:bidi="en-US"/>
              </w:rPr>
              <w:t>)</w:t>
            </w:r>
          </w:p>
        </w:tc>
        <w:tc>
          <w:tcPr>
            <w:tcW w:w="717" w:type="pct"/>
            <w:tcBorders>
              <w:tl2br w:val="nil"/>
              <w:tr2bl w:val="nil"/>
            </w:tcBorders>
            <w:vAlign w:val="center"/>
          </w:tcPr>
          <w:p w14:paraId="584263AA">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0.5(kg/m</w:t>
            </w:r>
            <w:r>
              <w:rPr>
                <w:rFonts w:hint="default" w:ascii="Times New Roman" w:hAnsi="Times New Roman" w:cs="Times New Roman"/>
                <w:color w:val="auto"/>
                <w:kern w:val="0"/>
                <w:szCs w:val="21"/>
                <w:highlight w:val="none"/>
                <w:u w:val="none"/>
                <w:vertAlign w:val="superscript"/>
                <w:lang w:bidi="en-US"/>
              </w:rPr>
              <w:t>2</w:t>
            </w:r>
            <w:r>
              <w:rPr>
                <w:rFonts w:hint="default" w:ascii="Times New Roman" w:hAnsi="Times New Roman" w:cs="Times New Roman"/>
                <w:color w:val="auto"/>
                <w:kern w:val="0"/>
                <w:szCs w:val="21"/>
                <w:highlight w:val="none"/>
                <w:u w:val="none"/>
                <w:lang w:bidi="en-US"/>
              </w:rPr>
              <w:t>)</w:t>
            </w:r>
          </w:p>
        </w:tc>
        <w:tc>
          <w:tcPr>
            <w:tcW w:w="716" w:type="pct"/>
            <w:tcBorders>
              <w:tl2br w:val="nil"/>
              <w:tr2bl w:val="nil"/>
            </w:tcBorders>
            <w:vAlign w:val="center"/>
          </w:tcPr>
          <w:p w14:paraId="4A43DF3C">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1.0(kg/m</w:t>
            </w:r>
            <w:r>
              <w:rPr>
                <w:rFonts w:hint="default" w:ascii="Times New Roman" w:hAnsi="Times New Roman" w:cs="Times New Roman"/>
                <w:color w:val="auto"/>
                <w:kern w:val="0"/>
                <w:szCs w:val="21"/>
                <w:highlight w:val="none"/>
                <w:u w:val="none"/>
                <w:vertAlign w:val="superscript"/>
                <w:lang w:bidi="en-US"/>
              </w:rPr>
              <w:t>2</w:t>
            </w:r>
            <w:r>
              <w:rPr>
                <w:rFonts w:hint="default" w:ascii="Times New Roman" w:hAnsi="Times New Roman" w:cs="Times New Roman"/>
                <w:color w:val="auto"/>
                <w:kern w:val="0"/>
                <w:szCs w:val="21"/>
                <w:highlight w:val="none"/>
                <w:u w:val="none"/>
                <w:lang w:bidi="en-US"/>
              </w:rPr>
              <w:t>)</w:t>
            </w:r>
          </w:p>
        </w:tc>
      </w:tr>
      <w:tr w14:paraId="393EC6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756" w:type="pct"/>
            <w:tcBorders>
              <w:tl2br w:val="nil"/>
              <w:tr2bl w:val="nil"/>
            </w:tcBorders>
            <w:vAlign w:val="center"/>
          </w:tcPr>
          <w:p w14:paraId="34B424C5">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5km/h</w:t>
            </w:r>
          </w:p>
        </w:tc>
        <w:tc>
          <w:tcPr>
            <w:tcW w:w="657" w:type="pct"/>
            <w:tcBorders>
              <w:tl2br w:val="nil"/>
              <w:tr2bl w:val="nil"/>
            </w:tcBorders>
            <w:vAlign w:val="center"/>
          </w:tcPr>
          <w:p w14:paraId="6E9684A4">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0.0283</w:t>
            </w:r>
          </w:p>
        </w:tc>
        <w:tc>
          <w:tcPr>
            <w:tcW w:w="717" w:type="pct"/>
            <w:tcBorders>
              <w:tl2br w:val="nil"/>
              <w:tr2bl w:val="nil"/>
            </w:tcBorders>
            <w:vAlign w:val="center"/>
          </w:tcPr>
          <w:p w14:paraId="53E4FE3B">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0.0476</w:t>
            </w:r>
          </w:p>
        </w:tc>
        <w:tc>
          <w:tcPr>
            <w:tcW w:w="717" w:type="pct"/>
            <w:tcBorders>
              <w:tl2br w:val="nil"/>
              <w:tr2bl w:val="nil"/>
            </w:tcBorders>
            <w:vAlign w:val="center"/>
          </w:tcPr>
          <w:p w14:paraId="6B041B72">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0.0646</w:t>
            </w:r>
          </w:p>
        </w:tc>
        <w:tc>
          <w:tcPr>
            <w:tcW w:w="716" w:type="pct"/>
            <w:tcBorders>
              <w:tl2br w:val="nil"/>
              <w:tr2bl w:val="nil"/>
            </w:tcBorders>
            <w:vAlign w:val="center"/>
          </w:tcPr>
          <w:p w14:paraId="342AAC07">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0.0801</w:t>
            </w:r>
          </w:p>
        </w:tc>
        <w:tc>
          <w:tcPr>
            <w:tcW w:w="717" w:type="pct"/>
            <w:tcBorders>
              <w:tl2br w:val="nil"/>
              <w:tr2bl w:val="nil"/>
            </w:tcBorders>
            <w:vAlign w:val="center"/>
          </w:tcPr>
          <w:p w14:paraId="4976A3EF">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0.0947</w:t>
            </w:r>
          </w:p>
        </w:tc>
        <w:tc>
          <w:tcPr>
            <w:tcW w:w="716" w:type="pct"/>
            <w:tcBorders>
              <w:tl2br w:val="nil"/>
              <w:tr2bl w:val="nil"/>
            </w:tcBorders>
            <w:vAlign w:val="center"/>
          </w:tcPr>
          <w:p w14:paraId="059C645D">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0.1593</w:t>
            </w:r>
          </w:p>
        </w:tc>
      </w:tr>
      <w:tr w14:paraId="1D3808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756" w:type="pct"/>
            <w:tcBorders>
              <w:tl2br w:val="nil"/>
              <w:tr2bl w:val="nil"/>
            </w:tcBorders>
            <w:vAlign w:val="center"/>
          </w:tcPr>
          <w:p w14:paraId="5AD14E2B">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10km/h</w:t>
            </w:r>
          </w:p>
        </w:tc>
        <w:tc>
          <w:tcPr>
            <w:tcW w:w="657" w:type="pct"/>
            <w:tcBorders>
              <w:tl2br w:val="nil"/>
              <w:tr2bl w:val="nil"/>
            </w:tcBorders>
            <w:vAlign w:val="center"/>
          </w:tcPr>
          <w:p w14:paraId="32308E37">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0.0566</w:t>
            </w:r>
          </w:p>
        </w:tc>
        <w:tc>
          <w:tcPr>
            <w:tcW w:w="717" w:type="pct"/>
            <w:tcBorders>
              <w:tl2br w:val="nil"/>
              <w:tr2bl w:val="nil"/>
            </w:tcBorders>
            <w:vAlign w:val="center"/>
          </w:tcPr>
          <w:p w14:paraId="025964B6">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0.0953</w:t>
            </w:r>
          </w:p>
        </w:tc>
        <w:tc>
          <w:tcPr>
            <w:tcW w:w="717" w:type="pct"/>
            <w:tcBorders>
              <w:tl2br w:val="nil"/>
              <w:tr2bl w:val="nil"/>
            </w:tcBorders>
            <w:vAlign w:val="center"/>
          </w:tcPr>
          <w:p w14:paraId="245D7705">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0.1291</w:t>
            </w:r>
          </w:p>
        </w:tc>
        <w:tc>
          <w:tcPr>
            <w:tcW w:w="716" w:type="pct"/>
            <w:tcBorders>
              <w:tl2br w:val="nil"/>
              <w:tr2bl w:val="nil"/>
            </w:tcBorders>
            <w:vAlign w:val="center"/>
          </w:tcPr>
          <w:p w14:paraId="4C5870D2">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0.1602</w:t>
            </w:r>
          </w:p>
        </w:tc>
        <w:tc>
          <w:tcPr>
            <w:tcW w:w="717" w:type="pct"/>
            <w:tcBorders>
              <w:tl2br w:val="nil"/>
              <w:tr2bl w:val="nil"/>
            </w:tcBorders>
            <w:vAlign w:val="center"/>
          </w:tcPr>
          <w:p w14:paraId="6243D364">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0.1894</w:t>
            </w:r>
          </w:p>
        </w:tc>
        <w:tc>
          <w:tcPr>
            <w:tcW w:w="716" w:type="pct"/>
            <w:tcBorders>
              <w:tl2br w:val="nil"/>
              <w:tr2bl w:val="nil"/>
            </w:tcBorders>
            <w:vAlign w:val="center"/>
          </w:tcPr>
          <w:p w14:paraId="266AF871">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0.3186</w:t>
            </w:r>
          </w:p>
        </w:tc>
      </w:tr>
      <w:tr w14:paraId="647628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756" w:type="pct"/>
            <w:tcBorders>
              <w:tl2br w:val="nil"/>
              <w:tr2bl w:val="nil"/>
            </w:tcBorders>
            <w:vAlign w:val="center"/>
          </w:tcPr>
          <w:p w14:paraId="198BCF1B">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15km/h</w:t>
            </w:r>
          </w:p>
        </w:tc>
        <w:tc>
          <w:tcPr>
            <w:tcW w:w="657" w:type="pct"/>
            <w:tcBorders>
              <w:tl2br w:val="nil"/>
              <w:tr2bl w:val="nil"/>
            </w:tcBorders>
            <w:vAlign w:val="center"/>
          </w:tcPr>
          <w:p w14:paraId="32B9BD8A">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0.0850</w:t>
            </w:r>
          </w:p>
        </w:tc>
        <w:tc>
          <w:tcPr>
            <w:tcW w:w="717" w:type="pct"/>
            <w:tcBorders>
              <w:tl2br w:val="nil"/>
              <w:tr2bl w:val="nil"/>
            </w:tcBorders>
            <w:vAlign w:val="center"/>
          </w:tcPr>
          <w:p w14:paraId="022F36F9">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0.1429</w:t>
            </w:r>
          </w:p>
        </w:tc>
        <w:tc>
          <w:tcPr>
            <w:tcW w:w="717" w:type="pct"/>
            <w:tcBorders>
              <w:tl2br w:val="nil"/>
              <w:tr2bl w:val="nil"/>
            </w:tcBorders>
            <w:vAlign w:val="center"/>
          </w:tcPr>
          <w:p w14:paraId="72D18D0C">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0.1937</w:t>
            </w:r>
          </w:p>
        </w:tc>
        <w:tc>
          <w:tcPr>
            <w:tcW w:w="716" w:type="pct"/>
            <w:tcBorders>
              <w:tl2br w:val="nil"/>
              <w:tr2bl w:val="nil"/>
            </w:tcBorders>
            <w:vAlign w:val="center"/>
          </w:tcPr>
          <w:p w14:paraId="20A941E3">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0.2352</w:t>
            </w:r>
          </w:p>
        </w:tc>
        <w:tc>
          <w:tcPr>
            <w:tcW w:w="717" w:type="pct"/>
            <w:tcBorders>
              <w:tl2br w:val="nil"/>
              <w:tr2bl w:val="nil"/>
            </w:tcBorders>
            <w:vAlign w:val="center"/>
          </w:tcPr>
          <w:p w14:paraId="2FA9608D">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0.2841</w:t>
            </w:r>
          </w:p>
        </w:tc>
        <w:tc>
          <w:tcPr>
            <w:tcW w:w="716" w:type="pct"/>
            <w:tcBorders>
              <w:tl2br w:val="nil"/>
              <w:tr2bl w:val="nil"/>
            </w:tcBorders>
            <w:vAlign w:val="center"/>
          </w:tcPr>
          <w:p w14:paraId="4940AE59">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0.4778</w:t>
            </w:r>
          </w:p>
        </w:tc>
      </w:tr>
      <w:tr w14:paraId="5B2345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756" w:type="pct"/>
            <w:tcBorders>
              <w:tl2br w:val="nil"/>
              <w:tr2bl w:val="nil"/>
            </w:tcBorders>
            <w:vAlign w:val="center"/>
          </w:tcPr>
          <w:p w14:paraId="51C34AB0">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20km/h</w:t>
            </w:r>
          </w:p>
        </w:tc>
        <w:tc>
          <w:tcPr>
            <w:tcW w:w="657" w:type="pct"/>
            <w:tcBorders>
              <w:tl2br w:val="nil"/>
              <w:tr2bl w:val="nil"/>
            </w:tcBorders>
            <w:vAlign w:val="center"/>
          </w:tcPr>
          <w:p w14:paraId="1593E522">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0.1133</w:t>
            </w:r>
          </w:p>
        </w:tc>
        <w:tc>
          <w:tcPr>
            <w:tcW w:w="717" w:type="pct"/>
            <w:tcBorders>
              <w:tl2br w:val="nil"/>
              <w:tr2bl w:val="nil"/>
            </w:tcBorders>
            <w:vAlign w:val="center"/>
          </w:tcPr>
          <w:p w14:paraId="5B350812">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0.1905</w:t>
            </w:r>
          </w:p>
        </w:tc>
        <w:tc>
          <w:tcPr>
            <w:tcW w:w="717" w:type="pct"/>
            <w:tcBorders>
              <w:tl2br w:val="nil"/>
              <w:tr2bl w:val="nil"/>
            </w:tcBorders>
            <w:vAlign w:val="center"/>
          </w:tcPr>
          <w:p w14:paraId="61D4E1FF">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0.2583</w:t>
            </w:r>
          </w:p>
        </w:tc>
        <w:tc>
          <w:tcPr>
            <w:tcW w:w="716" w:type="pct"/>
            <w:tcBorders>
              <w:tl2br w:val="nil"/>
              <w:tr2bl w:val="nil"/>
            </w:tcBorders>
            <w:vAlign w:val="center"/>
          </w:tcPr>
          <w:p w14:paraId="3AA0065E">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0.3204</w:t>
            </w:r>
          </w:p>
        </w:tc>
        <w:tc>
          <w:tcPr>
            <w:tcW w:w="717" w:type="pct"/>
            <w:tcBorders>
              <w:tl2br w:val="nil"/>
              <w:tr2bl w:val="nil"/>
            </w:tcBorders>
            <w:vAlign w:val="center"/>
          </w:tcPr>
          <w:p w14:paraId="245F1441">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0.3788</w:t>
            </w:r>
          </w:p>
        </w:tc>
        <w:tc>
          <w:tcPr>
            <w:tcW w:w="716" w:type="pct"/>
            <w:tcBorders>
              <w:tl2br w:val="nil"/>
              <w:tr2bl w:val="nil"/>
            </w:tcBorders>
            <w:vAlign w:val="center"/>
          </w:tcPr>
          <w:p w14:paraId="6B5872FB">
            <w:pPr>
              <w:keepNext w:val="0"/>
              <w:keepLines/>
              <w:pageBreakBefore w:val="0"/>
              <w:widowControl/>
              <w:kinsoku/>
              <w:wordWrap/>
              <w:overflowPunct/>
              <w:topLinePunct w:val="0"/>
              <w:autoSpaceDE w:val="0"/>
              <w:autoSpaceDN w:val="0"/>
              <w:bidi w:val="0"/>
              <w:adjustRightInd w:val="0"/>
              <w:snapToGrid w:val="0"/>
              <w:spacing w:line="400" w:lineRule="exact"/>
              <w:jc w:val="center"/>
              <w:textAlignment w:val="center"/>
              <w:rPr>
                <w:rFonts w:hint="default" w:ascii="Times New Roman" w:hAnsi="Times New Roman" w:cs="Times New Roman"/>
                <w:color w:val="auto"/>
                <w:kern w:val="0"/>
                <w:szCs w:val="21"/>
                <w:highlight w:val="none"/>
                <w:u w:val="none"/>
                <w:lang w:bidi="en-US"/>
              </w:rPr>
            </w:pPr>
            <w:r>
              <w:rPr>
                <w:rFonts w:hint="default" w:ascii="Times New Roman" w:hAnsi="Times New Roman" w:cs="Times New Roman"/>
                <w:color w:val="auto"/>
                <w:kern w:val="0"/>
                <w:szCs w:val="21"/>
                <w:highlight w:val="none"/>
                <w:u w:val="none"/>
                <w:lang w:bidi="en-US"/>
              </w:rPr>
              <w:t>0.6371</w:t>
            </w:r>
          </w:p>
        </w:tc>
      </w:tr>
    </w:tbl>
    <w:p w14:paraId="755EEA72">
      <w:pPr>
        <w:keepNext w:val="0"/>
        <w:keepLines w:val="0"/>
        <w:pageBreakBefore w:val="0"/>
        <w:widowControl w:val="0"/>
        <w:kinsoku/>
        <w:wordWrap w:val="0"/>
        <w:overflowPunct/>
        <w:topLinePunct w:val="0"/>
        <w:autoSpaceDE/>
        <w:autoSpaceDN/>
        <w:bidi w:val="0"/>
        <w:adjustRightInd/>
        <w:snapToGrid/>
        <w:spacing w:before="313" w:beforeLines="100"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由此可见，在同样路面清洁度情况下，车速越快，扬尘量越大；而在同样车速情况下，路面清洁度越差，则扬尘量越大。</w:t>
      </w:r>
    </w:p>
    <w:p w14:paraId="330F1454">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②</w:t>
      </w:r>
      <w:r>
        <w:rPr>
          <w:rFonts w:hint="eastAsia" w:cs="Times New Roman"/>
          <w:bCs/>
          <w:snapToGrid w:val="0"/>
          <w:color w:val="auto"/>
          <w:sz w:val="24"/>
          <w:szCs w:val="22"/>
          <w:highlight w:val="none"/>
          <w:u w:val="none"/>
          <w:lang w:val="en-US" w:eastAsia="zh-CN"/>
        </w:rPr>
        <w:t xml:space="preserve"> </w:t>
      </w:r>
      <w:r>
        <w:rPr>
          <w:rFonts w:hint="default" w:ascii="Times New Roman" w:hAnsi="Times New Roman" w:cs="Times New Roman"/>
          <w:bCs/>
          <w:snapToGrid w:val="0"/>
          <w:color w:val="auto"/>
          <w:sz w:val="24"/>
          <w:szCs w:val="22"/>
          <w:highlight w:val="none"/>
          <w:u w:val="none"/>
          <w:lang w:val="zh-CN"/>
        </w:rPr>
        <w:t>裸露场地产生的扬尘</w:t>
      </w:r>
    </w:p>
    <w:p w14:paraId="42B33769">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施工期扬尘的另一个主要来源是露天堆场和裸露场地的风力扬尘。由于施工的需要，一些建材需露天堆放，一些施工点表层土壤需开挖、堆放，在气候干燥又有风的情况下，较易产生扬尘。起尘风速与物料或土壤粒径、含水率等因素有关，减少露天堆放、减少裸露地面面积、缩短地表裸露时间和保证物料或土壤一定的含水率是减少风力起尘的有效手段。</w:t>
      </w:r>
    </w:p>
    <w:p w14:paraId="6EEEF2FA">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eastAsia" w:cs="Times New Roman"/>
          <w:bCs/>
          <w:snapToGrid w:val="0"/>
          <w:color w:val="auto"/>
          <w:sz w:val="24"/>
          <w:szCs w:val="22"/>
          <w:highlight w:val="none"/>
          <w:u w:val="none"/>
          <w:lang w:val="en-US" w:eastAsia="zh-CN"/>
        </w:rPr>
        <w:t>3</w:t>
      </w:r>
      <w:r>
        <w:rPr>
          <w:rFonts w:hint="default" w:ascii="Times New Roman" w:hAnsi="Times New Roman" w:cs="Times New Roman"/>
          <w:bCs/>
          <w:snapToGrid w:val="0"/>
          <w:color w:val="auto"/>
          <w:sz w:val="24"/>
          <w:szCs w:val="22"/>
          <w:highlight w:val="none"/>
          <w:u w:val="none"/>
          <w:lang w:val="zh-CN"/>
        </w:rPr>
        <w:t>）施工机械及运输车辆尾气</w:t>
      </w:r>
    </w:p>
    <w:p w14:paraId="56C2421F">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本工程的作业机械废气主要为施工机械（装载机、载重车、挖掘机等燃油机械）和运输车辆的燃油废气，所排放的污染物主要有CO、NO</w:t>
      </w:r>
      <w:r>
        <w:rPr>
          <w:rFonts w:hint="default" w:ascii="Times New Roman" w:hAnsi="Times New Roman" w:cs="Times New Roman"/>
          <w:bCs/>
          <w:snapToGrid w:val="0"/>
          <w:color w:val="auto"/>
          <w:sz w:val="24"/>
          <w:szCs w:val="22"/>
          <w:highlight w:val="none"/>
          <w:u w:val="none"/>
          <w:vertAlign w:val="subscript"/>
          <w:lang w:val="zh-CN"/>
        </w:rPr>
        <w:t>2</w:t>
      </w:r>
      <w:r>
        <w:rPr>
          <w:rFonts w:hint="default" w:ascii="Times New Roman" w:hAnsi="Times New Roman" w:cs="Times New Roman"/>
          <w:bCs/>
          <w:snapToGrid w:val="0"/>
          <w:color w:val="auto"/>
          <w:sz w:val="24"/>
          <w:szCs w:val="22"/>
          <w:highlight w:val="none"/>
          <w:u w:val="none"/>
          <w:lang w:val="zh-CN"/>
        </w:rPr>
        <w:t>、THC，为无组织排放源。由于施工机械多为大型机械，单车排放系数较大，但施工机械数量少且较分散，主要对作业点周围和运输路线两侧局部范围内产生一定影响，排放量不大，其污染程度也相对较轻，且随着施工活动结束而消失。</w:t>
      </w:r>
    </w:p>
    <w:p w14:paraId="728FD3A4">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4）测试放喷废气</w:t>
      </w:r>
    </w:p>
    <w:p w14:paraId="7610B04A">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钻井至目的层后，对油气应进行油气测试。测试放喷前安装井口放喷专用管线、计量设备、油气两相分离设备、原油罐等。测试放喷期间，产出液经两相分离器分离后，原油进入原油罐，天然气经管线引至放喷池点燃，充分燃烧后排放。测试放喷时间依据具体情况确定。</w:t>
      </w:r>
    </w:p>
    <w:p w14:paraId="766B575F">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测试放喷废气为天然气燃烧废气，主要污染物包括烟尘、SO</w:t>
      </w:r>
      <w:r>
        <w:rPr>
          <w:rFonts w:hint="default" w:ascii="Times New Roman" w:hAnsi="Times New Roman" w:cs="Times New Roman"/>
          <w:bCs/>
          <w:snapToGrid w:val="0"/>
          <w:color w:val="auto"/>
          <w:sz w:val="24"/>
          <w:szCs w:val="22"/>
          <w:highlight w:val="none"/>
          <w:u w:val="none"/>
          <w:vertAlign w:val="subscript"/>
          <w:lang w:val="zh-CN"/>
        </w:rPr>
        <w:t>2</w:t>
      </w:r>
      <w:r>
        <w:rPr>
          <w:rFonts w:hint="default" w:ascii="Times New Roman" w:hAnsi="Times New Roman" w:cs="Times New Roman"/>
          <w:bCs/>
          <w:snapToGrid w:val="0"/>
          <w:color w:val="auto"/>
          <w:sz w:val="24"/>
          <w:szCs w:val="22"/>
          <w:highlight w:val="none"/>
          <w:u w:val="none"/>
          <w:lang w:val="zh-CN"/>
        </w:rPr>
        <w:t>、NO</w:t>
      </w:r>
      <w:r>
        <w:rPr>
          <w:rFonts w:hint="eastAsia" w:cs="Times New Roman"/>
          <w:bCs/>
          <w:snapToGrid w:val="0"/>
          <w:color w:val="auto"/>
          <w:sz w:val="24"/>
          <w:szCs w:val="22"/>
          <w:highlight w:val="none"/>
          <w:u w:val="none"/>
          <w:vertAlign w:val="subscript"/>
          <w:lang w:val="en-US" w:eastAsia="zh-CN"/>
        </w:rPr>
        <w:t>X</w:t>
      </w:r>
      <w:r>
        <w:rPr>
          <w:rFonts w:hint="default" w:ascii="Times New Roman" w:hAnsi="Times New Roman" w:cs="Times New Roman"/>
          <w:bCs/>
          <w:snapToGrid w:val="0"/>
          <w:color w:val="auto"/>
          <w:sz w:val="24"/>
          <w:szCs w:val="22"/>
          <w:highlight w:val="none"/>
          <w:u w:val="none"/>
          <w:lang w:val="zh-CN"/>
        </w:rPr>
        <w:t>等。一般情况下，测试放喷时间较短，污染物排放为短暂性排放。</w:t>
      </w:r>
    </w:p>
    <w:p w14:paraId="0B373306">
      <w:pPr>
        <w:spacing w:line="360" w:lineRule="auto"/>
        <w:ind w:firstLine="480" w:firstLineChars="200"/>
        <w:rPr>
          <w:rFonts w:hint="default" w:ascii="Times New Roman" w:hAnsi="Times New Roman" w:cs="Times New Roman"/>
          <w:b/>
          <w:bCs/>
          <w:color w:val="auto"/>
          <w:kern w:val="24"/>
          <w:sz w:val="24"/>
          <w:szCs w:val="24"/>
          <w:highlight w:val="none"/>
          <w:u w:val="none"/>
        </w:rPr>
      </w:pPr>
      <w:r>
        <w:rPr>
          <w:rFonts w:hint="default" w:ascii="Times New Roman" w:hAnsi="Times New Roman" w:cs="Times New Roman"/>
          <w:b/>
          <w:bCs/>
          <w:color w:val="auto"/>
          <w:kern w:val="24"/>
          <w:sz w:val="24"/>
          <w:szCs w:val="24"/>
          <w:highlight w:val="none"/>
          <w:u w:val="none"/>
        </w:rPr>
        <w:t>（2）废水</w:t>
      </w:r>
    </w:p>
    <w:p w14:paraId="3FDB91B9">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snapToGrid w:val="0"/>
          <w:color w:val="auto"/>
          <w:sz w:val="24"/>
          <w:szCs w:val="24"/>
          <w:highlight w:val="none"/>
          <w:u w:val="none"/>
          <w:lang w:val="zh-CN"/>
        </w:rPr>
      </w:pPr>
      <w:r>
        <w:rPr>
          <w:rFonts w:hint="eastAsia" w:ascii="宋体" w:hAnsi="宋体" w:eastAsia="宋体" w:cs="宋体"/>
          <w:bCs/>
          <w:snapToGrid w:val="0"/>
          <w:color w:val="auto"/>
          <w:sz w:val="24"/>
          <w:szCs w:val="24"/>
          <w:highlight w:val="none"/>
          <w:u w:val="none"/>
          <w:lang w:val="zh-CN"/>
        </w:rPr>
        <w:t>本项目施工期产生的废水主要包括钻井废水、管道试压废水以及施工人员产生的生活污水。</w:t>
      </w:r>
    </w:p>
    <w:p w14:paraId="11559A26">
      <w:pPr>
        <w:keepNext w:val="0"/>
        <w:keepLines w:val="0"/>
        <w:pageBreakBefore w:val="0"/>
        <w:widowControl w:val="0"/>
        <w:kinsoku/>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snapToGrid w:val="0"/>
          <w:color w:val="auto"/>
          <w:sz w:val="24"/>
          <w:szCs w:val="22"/>
          <w:highlight w:val="none"/>
          <w:u w:val="none"/>
          <w:lang w:val="zh-CN"/>
        </w:rPr>
      </w:pPr>
      <w:r>
        <w:rPr>
          <w:rFonts w:hint="eastAsia" w:ascii="Times New Roman" w:hAnsi="Times New Roman" w:eastAsia="宋体" w:cs="Times New Roman"/>
          <w:bCs/>
          <w:snapToGrid w:val="0"/>
          <w:color w:val="auto"/>
          <w:sz w:val="24"/>
          <w:szCs w:val="22"/>
          <w:highlight w:val="none"/>
          <w:u w:val="none"/>
          <w:lang w:val="en-US" w:eastAsia="zh-CN"/>
        </w:rPr>
        <w:t>1）</w:t>
      </w:r>
      <w:r>
        <w:rPr>
          <w:rFonts w:hint="eastAsia" w:ascii="Times New Roman" w:hAnsi="Times New Roman" w:eastAsia="宋体" w:cs="Times New Roman"/>
          <w:bCs/>
          <w:snapToGrid w:val="0"/>
          <w:color w:val="auto"/>
          <w:sz w:val="24"/>
          <w:szCs w:val="22"/>
          <w:highlight w:val="none"/>
          <w:u w:val="none"/>
          <w:lang w:val="zh-CN"/>
        </w:rPr>
        <w:t>钻井废水</w:t>
      </w:r>
    </w:p>
    <w:p w14:paraId="01D3E9B5">
      <w:pPr>
        <w:keepNext w:val="0"/>
        <w:keepLines w:val="0"/>
        <w:pageBreakBefore w:val="0"/>
        <w:widowControl w:val="0"/>
        <w:kinsoku/>
        <w:overflowPunct/>
        <w:topLinePunct w:val="0"/>
        <w:autoSpaceDE/>
        <w:autoSpaceDN/>
        <w:bidi w:val="0"/>
        <w:adjustRightInd/>
        <w:snapToGrid/>
        <w:spacing w:line="480" w:lineRule="exact"/>
        <w:ind w:firstLine="480" w:firstLineChars="200"/>
        <w:textAlignment w:val="auto"/>
        <w:rPr>
          <w:rFonts w:ascii="Times New Roman" w:hAnsi="Times New Roman"/>
          <w:color w:val="auto"/>
          <w:highlight w:val="none"/>
          <w:u w:val="none"/>
        </w:rPr>
      </w:pPr>
      <w:r>
        <w:rPr>
          <w:rFonts w:hint="default" w:ascii="Times New Roman" w:hAnsi="Times New Roman" w:eastAsia="宋体" w:cs="Times New Roman"/>
          <w:bCs/>
          <w:snapToGrid w:val="0"/>
          <w:color w:val="auto"/>
          <w:sz w:val="24"/>
          <w:szCs w:val="22"/>
          <w:highlight w:val="none"/>
          <w:u w:val="none"/>
          <w:lang w:val="zh-CN"/>
        </w:rPr>
        <w:t>钻井废水主要来源于钻台、钻具、地面、设备的冲洗，还有少量下钻时泥浆流失物和泥浆循环系统的渗透物。其产生量与钻井深度和钻井周期有关。</w:t>
      </w:r>
      <w:r>
        <w:rPr>
          <w:rFonts w:hint="eastAsia" w:ascii="Times New Roman" w:hAnsi="Times New Roman" w:eastAsia="宋体" w:cs="Times New Roman"/>
          <w:bCs/>
          <w:snapToGrid w:val="0"/>
          <w:color w:val="auto"/>
          <w:sz w:val="24"/>
          <w:szCs w:val="22"/>
          <w:highlight w:val="none"/>
          <w:u w:val="none"/>
          <w:lang w:val="zh-CN"/>
        </w:rPr>
        <w:t>根据类比调查，钻井废水中主要污染物浓度见表</w:t>
      </w:r>
      <w:r>
        <w:rPr>
          <w:rFonts w:hint="default" w:ascii="Times New Roman" w:hAnsi="Times New Roman" w:eastAsia="宋体" w:cs="Times New Roman"/>
          <w:bCs/>
          <w:snapToGrid w:val="0"/>
          <w:color w:val="auto"/>
          <w:sz w:val="24"/>
          <w:szCs w:val="22"/>
          <w:highlight w:val="none"/>
          <w:u w:val="none"/>
          <w:lang w:val="zh-CN"/>
        </w:rPr>
        <w:t>3.</w:t>
      </w:r>
      <w:r>
        <w:rPr>
          <w:rFonts w:hint="eastAsia" w:cs="Times New Roman"/>
          <w:bCs/>
          <w:snapToGrid w:val="0"/>
          <w:color w:val="auto"/>
          <w:sz w:val="24"/>
          <w:szCs w:val="22"/>
          <w:highlight w:val="none"/>
          <w:u w:val="none"/>
          <w:lang w:val="en-US" w:eastAsia="zh-CN"/>
        </w:rPr>
        <w:t>4</w:t>
      </w:r>
      <w:r>
        <w:rPr>
          <w:rFonts w:hint="default" w:ascii="Times New Roman" w:hAnsi="Times New Roman" w:eastAsia="宋体" w:cs="Times New Roman"/>
          <w:bCs/>
          <w:snapToGrid w:val="0"/>
          <w:color w:val="auto"/>
          <w:sz w:val="24"/>
          <w:szCs w:val="22"/>
          <w:highlight w:val="none"/>
          <w:u w:val="none"/>
          <w:lang w:val="zh-CN"/>
        </w:rPr>
        <w:t>-</w:t>
      </w:r>
      <w:r>
        <w:rPr>
          <w:rFonts w:hint="eastAsia" w:ascii="Times New Roman" w:hAnsi="Times New Roman" w:eastAsia="宋体" w:cs="Times New Roman"/>
          <w:bCs/>
          <w:snapToGrid w:val="0"/>
          <w:color w:val="auto"/>
          <w:sz w:val="24"/>
          <w:szCs w:val="22"/>
          <w:highlight w:val="none"/>
          <w:u w:val="none"/>
          <w:lang w:val="zh-CN"/>
        </w:rPr>
        <w:t>4。</w:t>
      </w:r>
    </w:p>
    <w:p w14:paraId="4A9446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ajorEastAsia" w:hAnsiTheme="majorEastAsia" w:eastAsiaTheme="majorEastAsia" w:cstheme="majorEastAsia"/>
          <w:b/>
          <w:bCs w:val="0"/>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表3.4-4 钻井废水水质表</w:t>
      </w:r>
    </w:p>
    <w:tbl>
      <w:tblPr>
        <w:tblStyle w:val="37"/>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98"/>
        <w:gridCol w:w="1368"/>
        <w:gridCol w:w="1423"/>
        <w:gridCol w:w="1397"/>
        <w:gridCol w:w="1406"/>
        <w:gridCol w:w="1406"/>
      </w:tblGrid>
      <w:tr w14:paraId="1C0CF1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1498" w:type="dxa"/>
            <w:tcBorders>
              <w:tl2br w:val="nil"/>
              <w:tr2bl w:val="nil"/>
            </w:tcBorders>
            <w:noWrap w:val="0"/>
            <w:vAlign w:val="center"/>
          </w:tcPr>
          <w:p w14:paraId="1558632F">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污染物</w:t>
            </w:r>
          </w:p>
        </w:tc>
        <w:tc>
          <w:tcPr>
            <w:tcW w:w="1368" w:type="dxa"/>
            <w:tcBorders>
              <w:tl2br w:val="nil"/>
              <w:tr2bl w:val="nil"/>
            </w:tcBorders>
            <w:noWrap w:val="0"/>
            <w:vAlign w:val="center"/>
          </w:tcPr>
          <w:p w14:paraId="7F7E054C">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SS</w:t>
            </w:r>
          </w:p>
        </w:tc>
        <w:tc>
          <w:tcPr>
            <w:tcW w:w="1423" w:type="dxa"/>
            <w:tcBorders>
              <w:tl2br w:val="nil"/>
              <w:tr2bl w:val="nil"/>
            </w:tcBorders>
            <w:noWrap w:val="0"/>
            <w:vAlign w:val="center"/>
          </w:tcPr>
          <w:p w14:paraId="68319544">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COD</w:t>
            </w:r>
          </w:p>
        </w:tc>
        <w:tc>
          <w:tcPr>
            <w:tcW w:w="1397" w:type="dxa"/>
            <w:tcBorders>
              <w:tl2br w:val="nil"/>
              <w:tr2bl w:val="nil"/>
            </w:tcBorders>
            <w:noWrap w:val="0"/>
            <w:vAlign w:val="center"/>
          </w:tcPr>
          <w:p w14:paraId="5583BF4C">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石油类</w:t>
            </w:r>
          </w:p>
        </w:tc>
        <w:tc>
          <w:tcPr>
            <w:tcW w:w="1406" w:type="dxa"/>
            <w:tcBorders>
              <w:tl2br w:val="nil"/>
              <w:tr2bl w:val="nil"/>
            </w:tcBorders>
            <w:noWrap w:val="0"/>
            <w:vAlign w:val="center"/>
          </w:tcPr>
          <w:p w14:paraId="5A27F7EB">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挥发酚</w:t>
            </w:r>
          </w:p>
        </w:tc>
        <w:tc>
          <w:tcPr>
            <w:tcW w:w="1406" w:type="dxa"/>
            <w:tcBorders>
              <w:tl2br w:val="nil"/>
              <w:tr2bl w:val="nil"/>
            </w:tcBorders>
            <w:noWrap w:val="0"/>
            <w:vAlign w:val="center"/>
          </w:tcPr>
          <w:p w14:paraId="04823841">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硫化物</w:t>
            </w:r>
          </w:p>
        </w:tc>
      </w:tr>
      <w:tr w14:paraId="1B7FC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3" w:hRule="atLeast"/>
        </w:trPr>
        <w:tc>
          <w:tcPr>
            <w:tcW w:w="1498" w:type="dxa"/>
            <w:tcBorders>
              <w:tl2br w:val="nil"/>
              <w:tr2bl w:val="nil"/>
            </w:tcBorders>
            <w:noWrap w:val="0"/>
            <w:vAlign w:val="center"/>
          </w:tcPr>
          <w:p w14:paraId="14615641">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浓度（mg/L）</w:t>
            </w:r>
          </w:p>
        </w:tc>
        <w:tc>
          <w:tcPr>
            <w:tcW w:w="1368" w:type="dxa"/>
            <w:tcBorders>
              <w:tl2br w:val="nil"/>
              <w:tr2bl w:val="nil"/>
            </w:tcBorders>
            <w:noWrap w:val="0"/>
            <w:vAlign w:val="center"/>
          </w:tcPr>
          <w:p w14:paraId="0E6051FA">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2000～2500</w:t>
            </w:r>
          </w:p>
        </w:tc>
        <w:tc>
          <w:tcPr>
            <w:tcW w:w="1423" w:type="dxa"/>
            <w:tcBorders>
              <w:tl2br w:val="nil"/>
              <w:tr2bl w:val="nil"/>
            </w:tcBorders>
            <w:noWrap w:val="0"/>
            <w:vAlign w:val="center"/>
          </w:tcPr>
          <w:p w14:paraId="638C95A0">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3000～4000</w:t>
            </w:r>
          </w:p>
        </w:tc>
        <w:tc>
          <w:tcPr>
            <w:tcW w:w="1397" w:type="dxa"/>
            <w:tcBorders>
              <w:tl2br w:val="nil"/>
              <w:tr2bl w:val="nil"/>
            </w:tcBorders>
            <w:noWrap w:val="0"/>
            <w:vAlign w:val="center"/>
          </w:tcPr>
          <w:p w14:paraId="18D5720A">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60～70</w:t>
            </w:r>
          </w:p>
        </w:tc>
        <w:tc>
          <w:tcPr>
            <w:tcW w:w="1406" w:type="dxa"/>
            <w:tcBorders>
              <w:tl2br w:val="nil"/>
              <w:tr2bl w:val="nil"/>
            </w:tcBorders>
            <w:noWrap w:val="0"/>
            <w:vAlign w:val="center"/>
          </w:tcPr>
          <w:p w14:paraId="1065C52B">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0.1～0.2</w:t>
            </w:r>
          </w:p>
        </w:tc>
        <w:tc>
          <w:tcPr>
            <w:tcW w:w="1406" w:type="dxa"/>
            <w:tcBorders>
              <w:tl2br w:val="nil"/>
              <w:tr2bl w:val="nil"/>
            </w:tcBorders>
            <w:noWrap w:val="0"/>
            <w:vAlign w:val="center"/>
          </w:tcPr>
          <w:p w14:paraId="1950E4E8">
            <w:pPr>
              <w:pStyle w:val="74"/>
              <w:keepNext w:val="0"/>
              <w:keepLines w:val="0"/>
              <w:pageBreakBefore w:val="0"/>
              <w:widowControl w:val="0"/>
              <w:kinsoku/>
              <w:wordWrap/>
              <w:overflowPunct/>
              <w:topLinePunct w:val="0"/>
              <w:autoSpaceDE/>
              <w:autoSpaceDN/>
              <w:bidi w:val="0"/>
              <w:adjustRightInd w:val="0"/>
              <w:snapToGrid/>
              <w:spacing w:line="400" w:lineRule="exact"/>
              <w:textAlignment w:val="baseline"/>
              <w:rPr>
                <w:rFonts w:ascii="Times New Roman" w:hAnsi="Times New Roman" w:cs="Times New Roman"/>
                <w:color w:val="auto"/>
                <w:highlight w:val="none"/>
                <w:u w:val="none"/>
              </w:rPr>
            </w:pPr>
            <w:r>
              <w:rPr>
                <w:rFonts w:ascii="Times New Roman" w:hAnsi="Times New Roman" w:cs="Times New Roman"/>
                <w:color w:val="auto"/>
                <w:highlight w:val="none"/>
                <w:u w:val="none"/>
              </w:rPr>
              <w:t>0.2～0.3</w:t>
            </w:r>
          </w:p>
        </w:tc>
      </w:tr>
    </w:tbl>
    <w:p w14:paraId="4123C4C6">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ascii="Times New Roman" w:hAnsi="Times New Roman" w:cs="Times New Roman"/>
          <w:color w:val="auto"/>
          <w:kern w:val="2"/>
          <w:sz w:val="24"/>
          <w:szCs w:val="24"/>
          <w:highlight w:val="none"/>
          <w:u w:val="none"/>
        </w:rPr>
      </w:pPr>
      <w:r>
        <w:rPr>
          <w:rFonts w:hint="eastAsia" w:ascii="Times New Roman" w:hAnsi="Times New Roman" w:eastAsia="宋体" w:cs="Times New Roman"/>
          <w:bCs/>
          <w:snapToGrid w:val="0"/>
          <w:color w:val="auto"/>
          <w:sz w:val="24"/>
          <w:szCs w:val="22"/>
          <w:highlight w:val="none"/>
          <w:u w:val="none"/>
          <w:lang w:val="en-US" w:eastAsia="zh-CN"/>
        </w:rPr>
        <w:t>本工程部署</w:t>
      </w:r>
      <w:r>
        <w:rPr>
          <w:rFonts w:hint="eastAsia" w:ascii="Times New Roman" w:hAnsi="Times New Roman" w:eastAsia="宋体" w:cs="Times New Roman"/>
          <w:bCs/>
          <w:snapToGrid w:val="0"/>
          <w:color w:val="auto"/>
          <w:sz w:val="24"/>
          <w:szCs w:val="22"/>
          <w:highlight w:val="none"/>
          <w:u w:val="none"/>
          <w:lang w:val="zh-CN"/>
        </w:rPr>
        <w:t>新钻</w:t>
      </w:r>
      <w:r>
        <w:rPr>
          <w:rFonts w:hint="eastAsia" w:ascii="Times New Roman" w:hAnsi="Times New Roman" w:eastAsia="宋体" w:cs="Times New Roman"/>
          <w:bCs/>
          <w:snapToGrid w:val="0"/>
          <w:color w:val="auto"/>
          <w:sz w:val="24"/>
          <w:szCs w:val="22"/>
          <w:highlight w:val="none"/>
          <w:u w:val="none"/>
          <w:lang w:val="en-US" w:eastAsia="zh-CN"/>
        </w:rPr>
        <w:t>采</w:t>
      </w:r>
      <w:r>
        <w:rPr>
          <w:rFonts w:hint="eastAsia" w:cs="Times New Roman"/>
          <w:bCs/>
          <w:snapToGrid w:val="0"/>
          <w:color w:val="auto"/>
          <w:sz w:val="24"/>
          <w:szCs w:val="22"/>
          <w:highlight w:val="none"/>
          <w:u w:val="none"/>
          <w:lang w:val="en-US" w:eastAsia="zh-CN"/>
        </w:rPr>
        <w:t>气</w:t>
      </w:r>
      <w:r>
        <w:rPr>
          <w:rFonts w:hint="eastAsia" w:ascii="Times New Roman" w:hAnsi="Times New Roman" w:eastAsia="宋体" w:cs="Times New Roman"/>
          <w:bCs/>
          <w:snapToGrid w:val="0"/>
          <w:color w:val="auto"/>
          <w:sz w:val="24"/>
          <w:szCs w:val="22"/>
          <w:highlight w:val="none"/>
          <w:u w:val="none"/>
          <w:lang w:val="en-US" w:eastAsia="zh-CN"/>
        </w:rPr>
        <w:t>井</w:t>
      </w:r>
      <w:r>
        <w:rPr>
          <w:rFonts w:hint="eastAsia" w:cs="Times New Roman"/>
          <w:bCs/>
          <w:snapToGrid w:val="0"/>
          <w:color w:val="auto"/>
          <w:sz w:val="24"/>
          <w:szCs w:val="22"/>
          <w:highlight w:val="none"/>
          <w:u w:val="none"/>
          <w:lang w:val="en-US" w:eastAsia="zh-CN"/>
        </w:rPr>
        <w:t>3</w:t>
      </w:r>
      <w:r>
        <w:rPr>
          <w:rFonts w:hint="eastAsia" w:ascii="Times New Roman" w:hAnsi="Times New Roman" w:eastAsia="宋体" w:cs="Times New Roman"/>
          <w:bCs/>
          <w:snapToGrid w:val="0"/>
          <w:color w:val="auto"/>
          <w:sz w:val="24"/>
          <w:szCs w:val="22"/>
          <w:highlight w:val="none"/>
          <w:u w:val="none"/>
          <w:lang w:val="en-US" w:eastAsia="zh-CN"/>
        </w:rPr>
        <w:t>口，钻井进尺</w:t>
      </w:r>
      <w:r>
        <w:rPr>
          <w:rFonts w:hint="eastAsia" w:cs="Times New Roman"/>
          <w:bCs/>
          <w:snapToGrid w:val="0"/>
          <w:color w:val="auto"/>
          <w:sz w:val="24"/>
          <w:szCs w:val="22"/>
          <w:highlight w:val="none"/>
          <w:u w:val="none"/>
          <w:lang w:val="en-US" w:eastAsia="zh-CN"/>
        </w:rPr>
        <w:t>16830</w:t>
      </w:r>
      <w:r>
        <w:rPr>
          <w:rFonts w:hint="eastAsia" w:ascii="Times New Roman" w:hAnsi="Times New Roman" w:eastAsia="宋体" w:cs="Times New Roman"/>
          <w:bCs/>
          <w:snapToGrid w:val="0"/>
          <w:color w:val="auto"/>
          <w:sz w:val="24"/>
          <w:szCs w:val="22"/>
          <w:highlight w:val="none"/>
          <w:u w:val="none"/>
          <w:lang w:val="en-US" w:eastAsia="zh-CN"/>
        </w:rPr>
        <w:t>m</w:t>
      </w:r>
      <w:r>
        <w:rPr>
          <w:rFonts w:hint="default" w:ascii="Times New Roman" w:hAnsi="Times New Roman" w:eastAsia="宋体" w:cs="Times New Roman"/>
          <w:bCs/>
          <w:snapToGrid w:val="0"/>
          <w:color w:val="auto"/>
          <w:sz w:val="24"/>
          <w:szCs w:val="22"/>
          <w:highlight w:val="none"/>
          <w:u w:val="none"/>
          <w:lang w:val="zh-CN"/>
        </w:rPr>
        <w:t>。根据《排放源统计调查产排污核算方法和系数手册》中1120石油和天然气开采专业及辅助性活动行业产污系数表，</w:t>
      </w:r>
      <w:r>
        <w:rPr>
          <w:rFonts w:hint="eastAsia" w:ascii="Times New Roman" w:hAnsi="Times New Roman" w:eastAsia="宋体" w:cs="Times New Roman"/>
          <w:bCs/>
          <w:snapToGrid w:val="0"/>
          <w:color w:val="auto"/>
          <w:sz w:val="24"/>
          <w:szCs w:val="22"/>
          <w:highlight w:val="none"/>
          <w:u w:val="none"/>
          <w:lang w:val="en-US" w:eastAsia="zh-CN"/>
        </w:rPr>
        <w:t>本工程</w:t>
      </w:r>
      <w:r>
        <w:rPr>
          <w:rFonts w:hint="eastAsia" w:cs="Times New Roman"/>
          <w:bCs/>
          <w:snapToGrid w:val="0"/>
          <w:color w:val="auto"/>
          <w:sz w:val="24"/>
          <w:szCs w:val="22"/>
          <w:highlight w:val="none"/>
          <w:u w:val="none"/>
          <w:lang w:val="en-US" w:eastAsia="zh-CN"/>
        </w:rPr>
        <w:t>3</w:t>
      </w:r>
      <w:r>
        <w:rPr>
          <w:rFonts w:hint="eastAsia" w:ascii="Times New Roman" w:hAnsi="Times New Roman" w:eastAsia="宋体" w:cs="Times New Roman"/>
          <w:bCs/>
          <w:snapToGrid w:val="0"/>
          <w:color w:val="auto"/>
          <w:sz w:val="24"/>
          <w:szCs w:val="22"/>
          <w:highlight w:val="none"/>
          <w:u w:val="none"/>
          <w:lang w:val="en-US" w:eastAsia="zh-CN"/>
        </w:rPr>
        <w:t>口井</w:t>
      </w:r>
      <w:r>
        <w:rPr>
          <w:rFonts w:hint="eastAsia" w:ascii="Times New Roman" w:hAnsi="Times New Roman" w:eastAsia="宋体" w:cs="Times New Roman"/>
          <w:bCs/>
          <w:snapToGrid w:val="0"/>
          <w:color w:val="auto"/>
          <w:sz w:val="24"/>
          <w:szCs w:val="22"/>
          <w:highlight w:val="none"/>
          <w:u w:val="none"/>
          <w:lang w:val="zh-CN"/>
        </w:rPr>
        <w:t>普通</w:t>
      </w:r>
      <w:r>
        <w:rPr>
          <w:rFonts w:hint="eastAsia" w:cs="Times New Roman"/>
          <w:bCs/>
          <w:snapToGrid w:val="0"/>
          <w:color w:val="auto"/>
          <w:sz w:val="24"/>
          <w:szCs w:val="22"/>
          <w:highlight w:val="none"/>
          <w:u w:val="none"/>
          <w:lang w:val="en-US" w:eastAsia="zh-CN"/>
        </w:rPr>
        <w:t>气</w:t>
      </w:r>
      <w:r>
        <w:rPr>
          <w:rFonts w:hint="eastAsia" w:ascii="Times New Roman" w:hAnsi="Times New Roman" w:eastAsia="宋体" w:cs="Times New Roman"/>
          <w:bCs/>
          <w:snapToGrid w:val="0"/>
          <w:color w:val="auto"/>
          <w:sz w:val="24"/>
          <w:szCs w:val="22"/>
          <w:highlight w:val="none"/>
          <w:u w:val="none"/>
          <w:lang w:val="zh-CN"/>
        </w:rPr>
        <w:t>井</w:t>
      </w:r>
      <w:r>
        <w:rPr>
          <w:rFonts w:hint="default" w:ascii="Times New Roman" w:hAnsi="Times New Roman" w:eastAsia="宋体" w:cs="Times New Roman"/>
          <w:bCs/>
          <w:snapToGrid w:val="0"/>
          <w:color w:val="auto"/>
          <w:sz w:val="24"/>
          <w:szCs w:val="22"/>
          <w:highlight w:val="none"/>
          <w:u w:val="none"/>
          <w:lang w:val="zh-CN"/>
        </w:rPr>
        <w:t>（≥</w:t>
      </w:r>
      <w:r>
        <w:rPr>
          <w:rFonts w:hint="eastAsia" w:cs="Times New Roman"/>
          <w:bCs/>
          <w:snapToGrid w:val="0"/>
          <w:color w:val="auto"/>
          <w:sz w:val="24"/>
          <w:szCs w:val="22"/>
          <w:highlight w:val="none"/>
          <w:u w:val="none"/>
          <w:lang w:val="en-US" w:eastAsia="zh-CN"/>
        </w:rPr>
        <w:t>4</w:t>
      </w:r>
      <w:r>
        <w:rPr>
          <w:rFonts w:hint="default" w:ascii="Times New Roman" w:hAnsi="Times New Roman" w:eastAsia="宋体" w:cs="Times New Roman"/>
          <w:bCs/>
          <w:snapToGrid w:val="0"/>
          <w:color w:val="auto"/>
          <w:sz w:val="24"/>
          <w:szCs w:val="22"/>
          <w:highlight w:val="none"/>
          <w:u w:val="none"/>
          <w:lang w:val="zh-CN"/>
        </w:rPr>
        <w:t>km进尺）</w:t>
      </w:r>
      <w:r>
        <w:rPr>
          <w:rFonts w:hint="eastAsia" w:ascii="Times New Roman" w:hAnsi="Times New Roman" w:eastAsia="宋体" w:cs="Times New Roman"/>
          <w:bCs/>
          <w:snapToGrid w:val="0"/>
          <w:color w:val="auto"/>
          <w:sz w:val="24"/>
          <w:szCs w:val="22"/>
          <w:highlight w:val="none"/>
          <w:u w:val="none"/>
          <w:lang w:val="zh-CN" w:eastAsia="zh-CN"/>
        </w:rPr>
        <w:t>，</w:t>
      </w:r>
      <w:r>
        <w:rPr>
          <w:rFonts w:hint="default" w:ascii="Times New Roman" w:hAnsi="Times New Roman" w:eastAsia="宋体" w:cs="Times New Roman"/>
          <w:bCs/>
          <w:snapToGrid w:val="0"/>
          <w:color w:val="auto"/>
          <w:sz w:val="24"/>
          <w:szCs w:val="22"/>
          <w:highlight w:val="none"/>
          <w:u w:val="none"/>
          <w:lang w:val="zh-CN"/>
        </w:rPr>
        <w:t>产污系数</w:t>
      </w:r>
      <w:r>
        <w:rPr>
          <w:rFonts w:hint="eastAsia" w:ascii="Times New Roman" w:hAnsi="Times New Roman" w:eastAsia="宋体" w:cs="Times New Roman"/>
          <w:bCs/>
          <w:snapToGrid w:val="0"/>
          <w:color w:val="auto"/>
          <w:sz w:val="24"/>
          <w:szCs w:val="22"/>
          <w:highlight w:val="none"/>
          <w:u w:val="none"/>
          <w:lang w:val="en-US" w:eastAsia="zh-CN"/>
        </w:rPr>
        <w:t>29.</w:t>
      </w:r>
      <w:r>
        <w:rPr>
          <w:rFonts w:hint="eastAsia" w:cs="Times New Roman"/>
          <w:bCs/>
          <w:snapToGrid w:val="0"/>
          <w:color w:val="auto"/>
          <w:sz w:val="24"/>
          <w:szCs w:val="22"/>
          <w:highlight w:val="none"/>
          <w:u w:val="none"/>
          <w:lang w:val="en-US" w:eastAsia="zh-CN"/>
        </w:rPr>
        <w:t>25</w:t>
      </w:r>
      <w:r>
        <w:rPr>
          <w:rFonts w:hint="default" w:ascii="Times New Roman" w:hAnsi="Times New Roman" w:eastAsia="宋体" w:cs="Times New Roman"/>
          <w:bCs/>
          <w:snapToGrid w:val="0"/>
          <w:color w:val="auto"/>
          <w:sz w:val="24"/>
          <w:szCs w:val="22"/>
          <w:highlight w:val="none"/>
          <w:u w:val="none"/>
          <w:lang w:val="zh-CN"/>
        </w:rPr>
        <w:t>t/100m进行估算</w:t>
      </w:r>
      <w:r>
        <w:rPr>
          <w:rFonts w:hint="eastAsia" w:ascii="Times New Roman" w:hAnsi="Times New Roman" w:eastAsia="宋体" w:cs="Times New Roman"/>
          <w:bCs/>
          <w:snapToGrid w:val="0"/>
          <w:color w:val="auto"/>
          <w:sz w:val="24"/>
          <w:szCs w:val="22"/>
          <w:highlight w:val="none"/>
          <w:u w:val="none"/>
          <w:lang w:val="zh-CN"/>
        </w:rPr>
        <w:t>，</w:t>
      </w:r>
      <w:r>
        <w:rPr>
          <w:rFonts w:hint="default" w:ascii="Times New Roman" w:hAnsi="Times New Roman" w:eastAsia="宋体" w:cs="Times New Roman"/>
          <w:bCs/>
          <w:snapToGrid w:val="0"/>
          <w:color w:val="auto"/>
          <w:sz w:val="24"/>
          <w:szCs w:val="22"/>
          <w:highlight w:val="none"/>
          <w:u w:val="none"/>
          <w:lang w:val="zh-CN"/>
        </w:rPr>
        <w:t>钻井废水产生量为</w:t>
      </w:r>
      <w:r>
        <w:rPr>
          <w:rFonts w:hint="eastAsia" w:cs="Times New Roman"/>
          <w:bCs/>
          <w:snapToGrid w:val="0"/>
          <w:color w:val="auto"/>
          <w:sz w:val="24"/>
          <w:szCs w:val="22"/>
          <w:highlight w:val="none"/>
          <w:u w:val="none"/>
          <w:lang w:val="en-US" w:eastAsia="zh-CN"/>
        </w:rPr>
        <w:t>4923</w:t>
      </w:r>
      <w:r>
        <w:rPr>
          <w:rFonts w:hint="default" w:ascii="Times New Roman" w:hAnsi="Times New Roman" w:eastAsia="宋体" w:cs="Times New Roman"/>
          <w:bCs/>
          <w:snapToGrid w:val="0"/>
          <w:color w:val="auto"/>
          <w:sz w:val="24"/>
          <w:szCs w:val="22"/>
          <w:highlight w:val="none"/>
          <w:u w:val="none"/>
          <w:lang w:val="zh-CN"/>
        </w:rPr>
        <w:t>m³。</w:t>
      </w:r>
      <w:bookmarkStart w:id="269" w:name="_Hlk122019887"/>
      <w:r>
        <w:rPr>
          <w:rFonts w:hint="eastAsia" w:ascii="Times New Roman" w:hAnsi="Times New Roman" w:eastAsia="宋体" w:cs="Times New Roman"/>
          <w:bCs/>
          <w:snapToGrid w:val="0"/>
          <w:color w:val="auto"/>
          <w:sz w:val="24"/>
          <w:szCs w:val="22"/>
          <w:highlight w:val="none"/>
          <w:u w:val="none"/>
          <w:lang w:val="zh-CN"/>
        </w:rPr>
        <w:t>钻井废水与钻井泥浆、岩屑一同进入不落地系统进行分离处理，分离后的液相回用于钻井液配制，不外排</w:t>
      </w:r>
      <w:bookmarkEnd w:id="269"/>
      <w:r>
        <w:rPr>
          <w:rFonts w:hint="default" w:ascii="Times New Roman" w:hAnsi="Times New Roman" w:eastAsia="宋体" w:cs="Times New Roman"/>
          <w:bCs/>
          <w:snapToGrid w:val="0"/>
          <w:color w:val="auto"/>
          <w:sz w:val="24"/>
          <w:szCs w:val="22"/>
          <w:highlight w:val="none"/>
          <w:u w:val="none"/>
          <w:lang w:val="zh-CN"/>
        </w:rPr>
        <w:t>；工程结束由钻井队回收。</w:t>
      </w:r>
    </w:p>
    <w:p w14:paraId="2A16C464">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eastAsia" w:ascii="宋体" w:hAnsi="宋体" w:cs="宋体"/>
          <w:snapToGrid w:val="0"/>
          <w:color w:val="auto"/>
          <w:sz w:val="24"/>
          <w:szCs w:val="24"/>
          <w:highlight w:val="none"/>
          <w:u w:val="none"/>
          <w:lang w:val="en-US" w:eastAsia="zh-CN"/>
        </w:rPr>
        <w:t>2）</w:t>
      </w:r>
      <w:r>
        <w:rPr>
          <w:rFonts w:hint="default" w:ascii="Times New Roman" w:hAnsi="Times New Roman" w:cs="Times New Roman"/>
          <w:bCs/>
          <w:snapToGrid w:val="0"/>
          <w:color w:val="auto"/>
          <w:sz w:val="24"/>
          <w:szCs w:val="22"/>
          <w:highlight w:val="none"/>
          <w:u w:val="none"/>
          <w:lang w:val="zh-CN"/>
        </w:rPr>
        <w:t>管道试压废水</w:t>
      </w:r>
    </w:p>
    <w:p w14:paraId="53FB4882">
      <w:pPr>
        <w:keepNext w:val="0"/>
        <w:keepLines w:val="0"/>
        <w:pageBreakBefore w:val="0"/>
        <w:widowControl w:val="0"/>
        <w:kinsoku/>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本工程新建管道试压采用洁净水，管道试压废水中主要污染物为SS。管道试压分段进行，试压水排出后进入下一段管线循环使用。试压结束后，产生的试压废水按照每千米2.5m</w:t>
      </w:r>
      <w:r>
        <w:rPr>
          <w:rFonts w:hint="default" w:ascii="Times New Roman" w:hAnsi="Times New Roman" w:cs="Times New Roman"/>
          <w:bCs/>
          <w:snapToGrid w:val="0"/>
          <w:color w:val="auto"/>
          <w:sz w:val="24"/>
          <w:szCs w:val="22"/>
          <w:highlight w:val="none"/>
          <w:u w:val="none"/>
          <w:vertAlign w:val="superscript"/>
          <w:lang w:val="zh-CN"/>
        </w:rPr>
        <w:t>3</w:t>
      </w:r>
      <w:r>
        <w:rPr>
          <w:rFonts w:hint="default" w:ascii="Times New Roman" w:hAnsi="Times New Roman" w:cs="Times New Roman"/>
          <w:bCs/>
          <w:snapToGrid w:val="0"/>
          <w:color w:val="auto"/>
          <w:sz w:val="24"/>
          <w:szCs w:val="22"/>
          <w:highlight w:val="none"/>
          <w:u w:val="none"/>
          <w:lang w:val="zh-CN"/>
        </w:rPr>
        <w:t>计算，本工程新建单井采气管线7.4km</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cs="Times New Roman"/>
          <w:bCs/>
          <w:snapToGrid w:val="0"/>
          <w:color w:val="auto"/>
          <w:sz w:val="24"/>
          <w:szCs w:val="22"/>
          <w:highlight w:val="none"/>
          <w:u w:val="none"/>
          <w:lang w:val="zh-CN"/>
        </w:rPr>
        <w:t>试压废水</w:t>
      </w:r>
      <w:r>
        <w:rPr>
          <w:rFonts w:hint="eastAsia" w:cs="Times New Roman"/>
          <w:bCs/>
          <w:snapToGrid w:val="0"/>
          <w:color w:val="auto"/>
          <w:sz w:val="24"/>
          <w:szCs w:val="22"/>
          <w:highlight w:val="none"/>
          <w:u w:val="none"/>
          <w:lang w:val="en-US" w:eastAsia="zh-CN"/>
        </w:rPr>
        <w:t>产生量约</w:t>
      </w:r>
      <w:r>
        <w:rPr>
          <w:rFonts w:hint="default" w:ascii="Times New Roman" w:hAnsi="Times New Roman" w:cs="Times New Roman"/>
          <w:bCs/>
          <w:snapToGrid w:val="0"/>
          <w:color w:val="auto"/>
          <w:sz w:val="24"/>
          <w:szCs w:val="22"/>
          <w:highlight w:val="none"/>
          <w:u w:val="none"/>
          <w:lang w:val="zh-CN"/>
        </w:rPr>
        <w:t>为</w:t>
      </w:r>
      <w:r>
        <w:rPr>
          <w:rFonts w:hint="eastAsia" w:cs="Times New Roman"/>
          <w:bCs/>
          <w:snapToGrid w:val="0"/>
          <w:color w:val="auto"/>
          <w:sz w:val="24"/>
          <w:szCs w:val="22"/>
          <w:highlight w:val="none"/>
          <w:u w:val="none"/>
          <w:lang w:val="en-US" w:eastAsia="zh-CN"/>
        </w:rPr>
        <w:t>18.5</w:t>
      </w:r>
      <w:r>
        <w:rPr>
          <w:rFonts w:hint="default" w:ascii="Times New Roman" w:hAnsi="Times New Roman" w:cs="Times New Roman"/>
          <w:bCs/>
          <w:snapToGrid w:val="0"/>
          <w:color w:val="auto"/>
          <w:sz w:val="24"/>
          <w:szCs w:val="22"/>
          <w:highlight w:val="none"/>
          <w:u w:val="none"/>
          <w:lang w:val="zh-CN"/>
        </w:rPr>
        <w:t>m</w:t>
      </w:r>
      <w:r>
        <w:rPr>
          <w:rFonts w:hint="default" w:ascii="Times New Roman" w:hAnsi="Times New Roman" w:cs="Times New Roman"/>
          <w:bCs/>
          <w:snapToGrid w:val="0"/>
          <w:color w:val="auto"/>
          <w:sz w:val="24"/>
          <w:szCs w:val="22"/>
          <w:highlight w:val="none"/>
          <w:u w:val="none"/>
          <w:vertAlign w:val="superscript"/>
          <w:lang w:val="zh-CN"/>
        </w:rPr>
        <w:t>3</w:t>
      </w:r>
      <w:r>
        <w:rPr>
          <w:rFonts w:hint="default" w:ascii="Times New Roman" w:hAnsi="Times New Roman" w:cs="Times New Roman"/>
          <w:bCs/>
          <w:snapToGrid w:val="0"/>
          <w:color w:val="auto"/>
          <w:sz w:val="24"/>
          <w:szCs w:val="22"/>
          <w:highlight w:val="none"/>
          <w:u w:val="none"/>
          <w:lang w:val="zh-CN"/>
        </w:rPr>
        <w:t>，主要污染物为SS。试压废水用作场地降尘用水。</w:t>
      </w:r>
    </w:p>
    <w:p w14:paraId="01BA11CF">
      <w:pPr>
        <w:keepNext w:val="0"/>
        <w:keepLines w:val="0"/>
        <w:pageBreakBefore w:val="0"/>
        <w:widowControl w:val="0"/>
        <w:kinsoku/>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snapToGrid w:val="0"/>
          <w:color w:val="auto"/>
          <w:sz w:val="24"/>
          <w:szCs w:val="22"/>
          <w:highlight w:val="none"/>
          <w:u w:val="none"/>
          <w:lang w:val="zh-CN"/>
        </w:rPr>
      </w:pPr>
      <w:r>
        <w:rPr>
          <w:rFonts w:hint="eastAsia" w:cs="Times New Roman"/>
          <w:bCs/>
          <w:snapToGrid w:val="0"/>
          <w:color w:val="auto"/>
          <w:sz w:val="24"/>
          <w:szCs w:val="22"/>
          <w:highlight w:val="none"/>
          <w:u w:val="none"/>
          <w:lang w:val="en-US" w:eastAsia="zh-CN"/>
        </w:rPr>
        <w:t>3）</w:t>
      </w:r>
      <w:r>
        <w:rPr>
          <w:rFonts w:hint="default" w:ascii="Times New Roman" w:hAnsi="Times New Roman" w:cs="Times New Roman"/>
          <w:bCs/>
          <w:snapToGrid w:val="0"/>
          <w:color w:val="auto"/>
          <w:sz w:val="24"/>
          <w:szCs w:val="22"/>
          <w:highlight w:val="none"/>
          <w:u w:val="none"/>
          <w:lang w:val="zh-CN"/>
        </w:rPr>
        <w:t>生活污水</w:t>
      </w:r>
    </w:p>
    <w:p w14:paraId="13E9B036">
      <w:pPr>
        <w:keepNext w:val="0"/>
        <w:keepLines w:val="0"/>
        <w:pageBreakBefore w:val="0"/>
        <w:widowControl w:val="0"/>
        <w:kinsoku/>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本工程单井钻井施工人员</w:t>
      </w:r>
      <w:r>
        <w:rPr>
          <w:rFonts w:hint="eastAsia" w:cs="Times New Roman"/>
          <w:bCs/>
          <w:snapToGrid w:val="0"/>
          <w:color w:val="auto"/>
          <w:sz w:val="24"/>
          <w:szCs w:val="22"/>
          <w:highlight w:val="none"/>
          <w:u w:val="none"/>
          <w:lang w:val="en-US" w:eastAsia="zh-CN"/>
        </w:rPr>
        <w:t>35</w:t>
      </w:r>
      <w:r>
        <w:rPr>
          <w:rFonts w:hint="default" w:ascii="Times New Roman" w:hAnsi="Times New Roman" w:cs="Times New Roman"/>
          <w:bCs/>
          <w:snapToGrid w:val="0"/>
          <w:color w:val="auto"/>
          <w:sz w:val="24"/>
          <w:szCs w:val="22"/>
          <w:highlight w:val="none"/>
          <w:u w:val="none"/>
          <w:lang w:val="zh-CN"/>
        </w:rPr>
        <w:t>人、生活用水量80L/人·d计算，排水量按用水量的80%计算，</w:t>
      </w:r>
      <w:r>
        <w:rPr>
          <w:rFonts w:hint="eastAsia" w:cs="Times New Roman"/>
          <w:bCs/>
          <w:snapToGrid w:val="0"/>
          <w:color w:val="auto"/>
          <w:sz w:val="24"/>
          <w:szCs w:val="22"/>
          <w:highlight w:val="none"/>
          <w:u w:val="none"/>
          <w:lang w:val="en-US" w:eastAsia="zh-CN"/>
        </w:rPr>
        <w:t>钻井周期合计270</w:t>
      </w:r>
      <w:r>
        <w:rPr>
          <w:rFonts w:hint="default" w:ascii="Times New Roman" w:hAnsi="Times New Roman" w:cs="Times New Roman"/>
          <w:bCs/>
          <w:snapToGrid w:val="0"/>
          <w:color w:val="auto"/>
          <w:sz w:val="24"/>
          <w:szCs w:val="22"/>
          <w:highlight w:val="none"/>
          <w:u w:val="none"/>
          <w:lang w:val="zh-CN"/>
        </w:rPr>
        <w:t>天，则钻井期内生活污水量约为</w:t>
      </w:r>
      <w:r>
        <w:rPr>
          <w:rFonts w:hint="eastAsia" w:cs="Times New Roman"/>
          <w:bCs/>
          <w:snapToGrid w:val="0"/>
          <w:color w:val="auto"/>
          <w:sz w:val="24"/>
          <w:szCs w:val="22"/>
          <w:highlight w:val="none"/>
          <w:u w:val="none"/>
          <w:lang w:val="en-US" w:eastAsia="zh-CN"/>
        </w:rPr>
        <w:t>605</w:t>
      </w:r>
      <w:r>
        <w:rPr>
          <w:rFonts w:hint="default" w:ascii="Times New Roman" w:hAnsi="Times New Roman" w:cs="Times New Roman"/>
          <w:bCs/>
          <w:snapToGrid w:val="0"/>
          <w:color w:val="auto"/>
          <w:sz w:val="24"/>
          <w:szCs w:val="22"/>
          <w:highlight w:val="none"/>
          <w:u w:val="none"/>
          <w:lang w:val="zh-CN"/>
        </w:rPr>
        <w:t>m</w:t>
      </w:r>
      <w:r>
        <w:rPr>
          <w:rFonts w:hint="default" w:ascii="Times New Roman" w:hAnsi="Times New Roman" w:cs="Times New Roman"/>
          <w:bCs/>
          <w:snapToGrid w:val="0"/>
          <w:color w:val="auto"/>
          <w:sz w:val="24"/>
          <w:szCs w:val="22"/>
          <w:highlight w:val="none"/>
          <w:u w:val="none"/>
          <w:vertAlign w:val="superscript"/>
          <w:lang w:val="zh-CN"/>
        </w:rPr>
        <w:t>3</w:t>
      </w:r>
      <w:r>
        <w:rPr>
          <w:rFonts w:hint="default" w:ascii="Times New Roman" w:hAnsi="Times New Roman" w:cs="Times New Roman"/>
          <w:bCs/>
          <w:snapToGrid w:val="0"/>
          <w:color w:val="auto"/>
          <w:sz w:val="24"/>
          <w:szCs w:val="22"/>
          <w:highlight w:val="none"/>
          <w:u w:val="none"/>
          <w:lang w:val="zh-CN"/>
        </w:rPr>
        <w:t>；地面工程施工人员20人、生活用水量80L/人·d计算，按照周期</w:t>
      </w:r>
      <w:r>
        <w:rPr>
          <w:rFonts w:hint="eastAsia" w:cs="Times New Roman"/>
          <w:bCs/>
          <w:snapToGrid w:val="0"/>
          <w:color w:val="auto"/>
          <w:sz w:val="24"/>
          <w:szCs w:val="22"/>
          <w:highlight w:val="none"/>
          <w:u w:val="none"/>
          <w:lang w:val="en-US" w:eastAsia="zh-CN"/>
        </w:rPr>
        <w:t>30</w:t>
      </w:r>
      <w:r>
        <w:rPr>
          <w:rFonts w:hint="default" w:ascii="Times New Roman" w:hAnsi="Times New Roman" w:cs="Times New Roman"/>
          <w:bCs/>
          <w:snapToGrid w:val="0"/>
          <w:color w:val="auto"/>
          <w:sz w:val="24"/>
          <w:szCs w:val="22"/>
          <w:highlight w:val="none"/>
          <w:u w:val="none"/>
          <w:lang w:val="zh-CN"/>
        </w:rPr>
        <w:t>天计算，排水量按用水量的80%计算，则地面工程生活污水量约为</w:t>
      </w:r>
      <w:r>
        <w:rPr>
          <w:rFonts w:hint="eastAsia" w:cs="Times New Roman"/>
          <w:bCs/>
          <w:snapToGrid w:val="0"/>
          <w:color w:val="auto"/>
          <w:sz w:val="24"/>
          <w:szCs w:val="22"/>
          <w:highlight w:val="none"/>
          <w:u w:val="none"/>
          <w:lang w:val="en-US" w:eastAsia="zh-CN"/>
        </w:rPr>
        <w:t>38</w:t>
      </w:r>
      <w:r>
        <w:rPr>
          <w:rFonts w:hint="default" w:ascii="Times New Roman" w:hAnsi="Times New Roman" w:cs="Times New Roman"/>
          <w:bCs/>
          <w:snapToGrid w:val="0"/>
          <w:color w:val="auto"/>
          <w:sz w:val="24"/>
          <w:szCs w:val="22"/>
          <w:highlight w:val="none"/>
          <w:u w:val="none"/>
          <w:lang w:val="zh-CN"/>
        </w:rPr>
        <w:t>m</w:t>
      </w:r>
      <w:r>
        <w:rPr>
          <w:rFonts w:hint="default" w:ascii="Times New Roman" w:hAnsi="Times New Roman" w:cs="Times New Roman"/>
          <w:bCs/>
          <w:snapToGrid w:val="0"/>
          <w:color w:val="auto"/>
          <w:sz w:val="24"/>
          <w:szCs w:val="22"/>
          <w:highlight w:val="none"/>
          <w:u w:val="none"/>
          <w:vertAlign w:val="superscript"/>
          <w:lang w:val="zh-CN"/>
        </w:rPr>
        <w:t>3</w:t>
      </w:r>
      <w:r>
        <w:rPr>
          <w:rFonts w:hint="default" w:ascii="Times New Roman" w:hAnsi="Times New Roman" w:cs="Times New Roman"/>
          <w:bCs/>
          <w:snapToGrid w:val="0"/>
          <w:color w:val="auto"/>
          <w:sz w:val="24"/>
          <w:szCs w:val="22"/>
          <w:highlight w:val="none"/>
          <w:u w:val="none"/>
          <w:lang w:val="zh-CN"/>
        </w:rPr>
        <w:t>。</w:t>
      </w:r>
    </w:p>
    <w:p w14:paraId="70F25FD6">
      <w:pPr>
        <w:keepNext w:val="0"/>
        <w:keepLines w:val="0"/>
        <w:pageBreakBefore w:val="0"/>
        <w:widowControl w:val="0"/>
        <w:kinsoku/>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生活污水排入生活营地内防渗收集池，</w:t>
      </w:r>
      <w:r>
        <w:rPr>
          <w:rFonts w:hint="eastAsia" w:cs="Times New Roman"/>
          <w:bCs/>
          <w:snapToGrid w:val="0"/>
          <w:color w:val="auto"/>
          <w:sz w:val="24"/>
          <w:szCs w:val="22"/>
          <w:highlight w:val="none"/>
          <w:u w:val="none"/>
          <w:lang w:val="en-US" w:eastAsia="zh-CN"/>
        </w:rPr>
        <w:t>定期</w:t>
      </w:r>
      <w:r>
        <w:rPr>
          <w:rFonts w:hint="default" w:ascii="Times New Roman" w:hAnsi="Times New Roman" w:cs="Times New Roman"/>
          <w:bCs/>
          <w:snapToGrid w:val="0"/>
          <w:color w:val="auto"/>
          <w:sz w:val="24"/>
          <w:szCs w:val="22"/>
          <w:highlight w:val="none"/>
          <w:u w:val="none"/>
          <w:lang w:val="zh-CN"/>
        </w:rPr>
        <w:t>清运至乌尔禾区生活污水处理厂</w:t>
      </w:r>
      <w:r>
        <w:rPr>
          <w:rFonts w:hint="eastAsia" w:cs="Times New Roman"/>
          <w:bCs/>
          <w:snapToGrid w:val="0"/>
          <w:color w:val="auto"/>
          <w:sz w:val="24"/>
          <w:szCs w:val="22"/>
          <w:highlight w:val="none"/>
          <w:u w:val="none"/>
          <w:lang w:val="zh-CN"/>
        </w:rPr>
        <w:t>，</w:t>
      </w:r>
      <w:r>
        <w:rPr>
          <w:rFonts w:hint="default" w:ascii="Times New Roman" w:hAnsi="Times New Roman" w:cs="Times New Roman"/>
          <w:bCs/>
          <w:snapToGrid w:val="0"/>
          <w:color w:val="auto"/>
          <w:sz w:val="24"/>
          <w:szCs w:val="22"/>
          <w:highlight w:val="none"/>
          <w:u w:val="none"/>
          <w:lang w:val="zh-CN"/>
        </w:rPr>
        <w:t>粪便排入环保厕所内。</w:t>
      </w:r>
    </w:p>
    <w:p w14:paraId="5CD2615F">
      <w:pPr>
        <w:keepNext w:val="0"/>
        <w:keepLines w:val="0"/>
        <w:pageBreakBefore w:val="0"/>
        <w:widowControl w:val="0"/>
        <w:kinsoku/>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地面工程施工期不设施工营地，施工人员在施工单位集中公寓居住，无新增生活污水产生。</w:t>
      </w:r>
    </w:p>
    <w:p w14:paraId="27FD850F">
      <w:pPr>
        <w:keepNext w:val="0"/>
        <w:keepLines w:val="0"/>
        <w:pageBreakBefore w:val="0"/>
        <w:widowControl w:val="0"/>
        <w:kinsoku/>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bCs/>
          <w:color w:val="auto"/>
          <w:kern w:val="24"/>
          <w:sz w:val="24"/>
          <w:szCs w:val="24"/>
          <w:highlight w:val="none"/>
          <w:u w:val="none"/>
        </w:rPr>
      </w:pPr>
      <w:r>
        <w:rPr>
          <w:rFonts w:hint="default" w:ascii="Times New Roman" w:hAnsi="Times New Roman" w:cs="Times New Roman"/>
          <w:b/>
          <w:bCs/>
          <w:color w:val="auto"/>
          <w:kern w:val="24"/>
          <w:sz w:val="24"/>
          <w:szCs w:val="24"/>
          <w:highlight w:val="none"/>
          <w:u w:val="none"/>
        </w:rPr>
        <w:t>（</w:t>
      </w:r>
      <w:r>
        <w:rPr>
          <w:rFonts w:hint="eastAsia" w:cs="Times New Roman"/>
          <w:b/>
          <w:bCs/>
          <w:color w:val="auto"/>
          <w:kern w:val="24"/>
          <w:sz w:val="24"/>
          <w:szCs w:val="24"/>
          <w:highlight w:val="none"/>
          <w:u w:val="none"/>
          <w:lang w:val="en-US" w:eastAsia="zh-CN"/>
        </w:rPr>
        <w:t>3</w:t>
      </w:r>
      <w:r>
        <w:rPr>
          <w:rFonts w:hint="default" w:ascii="Times New Roman" w:hAnsi="Times New Roman" w:cs="Times New Roman"/>
          <w:b/>
          <w:bCs/>
          <w:color w:val="auto"/>
          <w:kern w:val="24"/>
          <w:sz w:val="24"/>
          <w:szCs w:val="24"/>
          <w:highlight w:val="none"/>
          <w:u w:val="none"/>
        </w:rPr>
        <w:t>）固体废物</w:t>
      </w:r>
    </w:p>
    <w:p w14:paraId="316B9AAB">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szCs w:val="24"/>
          <w:highlight w:val="none"/>
          <w:u w:val="none"/>
          <w:lang w:eastAsia="zh-CN"/>
        </w:rPr>
      </w:pPr>
      <w:r>
        <w:rPr>
          <w:rFonts w:hint="default" w:ascii="Times New Roman" w:hAnsi="Times New Roman" w:cs="Times New Roman"/>
          <w:bCs/>
          <w:snapToGrid w:val="0"/>
          <w:color w:val="auto"/>
          <w:sz w:val="24"/>
          <w:szCs w:val="24"/>
          <w:highlight w:val="none"/>
          <w:u w:val="none"/>
          <w:lang w:eastAsia="zh-CN"/>
        </w:rPr>
        <w:t>本工程施工期固体废物主要是钻井泥浆、岩屑、施工废料、施工机械废油和生活垃圾等。</w:t>
      </w:r>
    </w:p>
    <w:p w14:paraId="0C01F78D">
      <w:pPr>
        <w:pStyle w:val="60"/>
        <w:keepNext w:val="0"/>
        <w:keepLines w:val="0"/>
        <w:pageBreakBefore w:val="0"/>
        <w:widowControl w:val="0"/>
        <w:kinsoku/>
        <w:overflowPunct/>
        <w:topLinePunct w:val="0"/>
        <w:autoSpaceDE/>
        <w:autoSpaceDN/>
        <w:bidi w:val="0"/>
        <w:adjustRightInd/>
        <w:snapToGrid/>
        <w:spacing w:line="480" w:lineRule="exact"/>
        <w:textAlignment w:val="auto"/>
        <w:rPr>
          <w:color w:val="auto"/>
          <w:highlight w:val="none"/>
          <w:u w:val="none"/>
        </w:rPr>
      </w:pPr>
      <w:r>
        <w:rPr>
          <w:rFonts w:hint="eastAsia"/>
          <w:color w:val="auto"/>
          <w:highlight w:val="none"/>
          <w:u w:val="none"/>
          <w:lang w:val="en-US" w:eastAsia="zh-CN"/>
        </w:rPr>
        <w:t>1）</w:t>
      </w:r>
      <w:r>
        <w:rPr>
          <w:rFonts w:hint="eastAsia"/>
          <w:color w:val="auto"/>
          <w:highlight w:val="none"/>
          <w:u w:val="none"/>
        </w:rPr>
        <w:t>钻井泥浆</w:t>
      </w:r>
    </w:p>
    <w:p w14:paraId="1A11B875">
      <w:pPr>
        <w:pStyle w:val="60"/>
        <w:keepNext w:val="0"/>
        <w:keepLines w:val="0"/>
        <w:pageBreakBefore w:val="0"/>
        <w:widowControl w:val="0"/>
        <w:kinsoku/>
        <w:overflowPunct/>
        <w:topLinePunct w:val="0"/>
        <w:autoSpaceDE/>
        <w:autoSpaceDN/>
        <w:bidi w:val="0"/>
        <w:adjustRightInd/>
        <w:snapToGrid/>
        <w:spacing w:line="480" w:lineRule="exact"/>
        <w:jc w:val="both"/>
        <w:textAlignment w:val="auto"/>
        <w:rPr>
          <w:color w:val="auto"/>
          <w:highlight w:val="none"/>
          <w:u w:val="none"/>
          <w:lang w:val="en-US"/>
        </w:rPr>
      </w:pPr>
      <w:r>
        <w:rPr>
          <w:color w:val="auto"/>
          <w:highlight w:val="none"/>
          <w:u w:val="none"/>
          <w:lang w:val="en-US"/>
        </w:rPr>
        <w:t>钻井废弃泥浆的性质由使用的钻井泥浆决定，其产生量随井深改变而变。钻井废弃泥浆的产生量按下式进行计算：</w:t>
      </w:r>
    </w:p>
    <w:p w14:paraId="11E15CBF">
      <w:pPr>
        <w:pStyle w:val="60"/>
        <w:jc w:val="both"/>
        <w:rPr>
          <w:color w:val="auto"/>
          <w:highlight w:val="none"/>
          <w:u w:val="none"/>
          <w:lang w:val="en-US"/>
        </w:rPr>
      </w:pPr>
      <w:r>
        <w:rPr>
          <w:color w:val="auto"/>
          <w:highlight w:val="none"/>
          <w:u w:val="none"/>
          <w:lang w:val="en-US"/>
        </w:rPr>
        <w:drawing>
          <wp:anchor distT="0" distB="0" distL="114300" distR="114300" simplePos="0" relativeHeight="251695104" behindDoc="0" locked="0" layoutInCell="1" allowOverlap="1">
            <wp:simplePos x="0" y="0"/>
            <wp:positionH relativeFrom="column">
              <wp:posOffset>1592580</wp:posOffset>
            </wp:positionH>
            <wp:positionV relativeFrom="paragraph">
              <wp:posOffset>194945</wp:posOffset>
            </wp:positionV>
            <wp:extent cx="1943100" cy="381635"/>
            <wp:effectExtent l="0" t="0" r="0" b="18415"/>
            <wp:wrapNone/>
            <wp:docPr id="91"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78"/>
                    <pic:cNvPicPr>
                      <a:picLocks noChangeAspect="1"/>
                    </pic:cNvPicPr>
                  </pic:nvPicPr>
                  <pic:blipFill>
                    <a:blip r:embed="rId47"/>
                    <a:stretch>
                      <a:fillRect/>
                    </a:stretch>
                  </pic:blipFill>
                  <pic:spPr>
                    <a:xfrm>
                      <a:off x="0" y="0"/>
                      <a:ext cx="1943100" cy="381635"/>
                    </a:xfrm>
                    <a:prstGeom prst="rect">
                      <a:avLst/>
                    </a:prstGeom>
                    <a:noFill/>
                    <a:ln>
                      <a:noFill/>
                    </a:ln>
                  </pic:spPr>
                </pic:pic>
              </a:graphicData>
            </a:graphic>
          </wp:anchor>
        </w:drawing>
      </w:r>
    </w:p>
    <w:p w14:paraId="747C598C">
      <w:pPr>
        <w:pStyle w:val="60"/>
        <w:jc w:val="both"/>
        <w:rPr>
          <w:color w:val="auto"/>
          <w:highlight w:val="none"/>
          <w:u w:val="none"/>
          <w:lang w:val="en-US"/>
        </w:rPr>
      </w:pPr>
    </w:p>
    <w:p w14:paraId="7159059E">
      <w:pPr>
        <w:pStyle w:val="60"/>
        <w:keepNext w:val="0"/>
        <w:keepLines w:val="0"/>
        <w:pageBreakBefore w:val="0"/>
        <w:widowControl w:val="0"/>
        <w:kinsoku/>
        <w:wordWrap w:val="0"/>
        <w:overflowPunct/>
        <w:topLinePunct w:val="0"/>
        <w:autoSpaceDE/>
        <w:autoSpaceDN/>
        <w:bidi w:val="0"/>
        <w:adjustRightInd/>
        <w:snapToGrid/>
        <w:spacing w:line="480" w:lineRule="exact"/>
        <w:ind w:left="0" w:leftChars="0" w:firstLine="480" w:firstLineChars="200"/>
        <w:jc w:val="both"/>
        <w:textAlignment w:val="auto"/>
        <w:rPr>
          <w:color w:val="auto"/>
          <w:highlight w:val="none"/>
          <w:u w:val="none"/>
          <w:lang w:val="en-US"/>
        </w:rPr>
      </w:pPr>
      <w:r>
        <w:rPr>
          <w:color w:val="auto"/>
          <w:highlight w:val="none"/>
          <w:u w:val="none"/>
          <w:lang w:val="en-US"/>
        </w:rPr>
        <w:t>式中：V——废弃钻井泥浆排放量，m³；</w:t>
      </w:r>
    </w:p>
    <w:p w14:paraId="71ACDB3A">
      <w:pPr>
        <w:pStyle w:val="60"/>
        <w:keepNext w:val="0"/>
        <w:keepLines w:val="0"/>
        <w:pageBreakBefore w:val="0"/>
        <w:widowControl w:val="0"/>
        <w:kinsoku/>
        <w:wordWrap w:val="0"/>
        <w:overflowPunct/>
        <w:topLinePunct w:val="0"/>
        <w:autoSpaceDE/>
        <w:autoSpaceDN/>
        <w:bidi w:val="0"/>
        <w:adjustRightInd/>
        <w:snapToGrid/>
        <w:spacing w:line="480" w:lineRule="exact"/>
        <w:jc w:val="both"/>
        <w:textAlignment w:val="auto"/>
        <w:rPr>
          <w:rFonts w:hint="default" w:eastAsia="宋体"/>
          <w:color w:val="auto"/>
          <w:highlight w:val="none"/>
          <w:u w:val="none"/>
          <w:lang w:val="en-US" w:eastAsia="zh-CN"/>
        </w:rPr>
      </w:pPr>
      <w:r>
        <w:rPr>
          <w:color w:val="auto"/>
          <w:highlight w:val="none"/>
          <w:u w:val="none"/>
          <w:lang w:val="en-US"/>
        </w:rPr>
        <w:t xml:space="preserve">      D——井的直径，mm；</w:t>
      </w:r>
    </w:p>
    <w:p w14:paraId="5D492DB6">
      <w:pPr>
        <w:pStyle w:val="60"/>
        <w:keepNext w:val="0"/>
        <w:keepLines w:val="0"/>
        <w:pageBreakBefore w:val="0"/>
        <w:widowControl w:val="0"/>
        <w:kinsoku/>
        <w:wordWrap w:val="0"/>
        <w:overflowPunct/>
        <w:topLinePunct w:val="0"/>
        <w:autoSpaceDE/>
        <w:autoSpaceDN/>
        <w:bidi w:val="0"/>
        <w:adjustRightInd/>
        <w:snapToGrid/>
        <w:spacing w:line="480" w:lineRule="exact"/>
        <w:ind w:firstLine="1200" w:firstLineChars="500"/>
        <w:jc w:val="both"/>
        <w:textAlignment w:val="auto"/>
        <w:rPr>
          <w:rFonts w:hint="eastAsia" w:eastAsia="宋体"/>
          <w:color w:val="auto"/>
          <w:highlight w:val="none"/>
          <w:u w:val="none"/>
          <w:lang w:val="en-US" w:eastAsia="zh-CN"/>
        </w:rPr>
      </w:pPr>
      <w:r>
        <w:rPr>
          <w:color w:val="auto"/>
          <w:highlight w:val="none"/>
          <w:u w:val="none"/>
          <w:lang w:val="en-US"/>
        </w:rPr>
        <w:t>h——井深，m</w:t>
      </w:r>
      <w:r>
        <w:rPr>
          <w:rFonts w:hint="eastAsia"/>
          <w:color w:val="auto"/>
          <w:highlight w:val="none"/>
          <w:u w:val="none"/>
          <w:lang w:val="en-US" w:eastAsia="zh-CN"/>
        </w:rPr>
        <w:t>。</w:t>
      </w:r>
    </w:p>
    <w:p w14:paraId="7AE3D5E4">
      <w:pPr>
        <w:pStyle w:val="60"/>
        <w:keepNext w:val="0"/>
        <w:keepLines w:val="0"/>
        <w:pageBreakBefore w:val="0"/>
        <w:widowControl w:val="0"/>
        <w:kinsoku/>
        <w:wordWrap w:val="0"/>
        <w:overflowPunct/>
        <w:topLinePunct w:val="0"/>
        <w:autoSpaceDE/>
        <w:autoSpaceDN/>
        <w:bidi w:val="0"/>
        <w:adjustRightInd/>
        <w:snapToGrid/>
        <w:spacing w:line="480" w:lineRule="exact"/>
        <w:textAlignment w:val="auto"/>
        <w:rPr>
          <w:rFonts w:hint="eastAsia" w:eastAsia="宋体"/>
          <w:color w:val="auto"/>
          <w:sz w:val="24"/>
          <w:szCs w:val="24"/>
          <w:highlight w:val="none"/>
          <w:u w:val="none"/>
          <w:lang w:eastAsia="zh-CN"/>
        </w:rPr>
      </w:pPr>
      <w:r>
        <w:rPr>
          <w:rFonts w:hint="eastAsia"/>
          <w:color w:val="auto"/>
          <w:sz w:val="24"/>
          <w:szCs w:val="24"/>
          <w:highlight w:val="none"/>
          <w:u w:val="none"/>
          <w:lang w:eastAsia="zh-CN"/>
        </w:rPr>
        <w:t>本工程</w:t>
      </w:r>
      <w:r>
        <w:rPr>
          <w:rFonts w:hint="default" w:ascii="Times New Roman" w:hAnsi="Times New Roman" w:cs="Times New Roman"/>
          <w:color w:val="auto"/>
          <w:highlight w:val="none"/>
          <w:u w:val="none"/>
          <w:lang w:val="en-US" w:eastAsia="zh-CN"/>
        </w:rPr>
        <w:t>新钻</w:t>
      </w:r>
      <w:r>
        <w:rPr>
          <w:rFonts w:hint="eastAsia" w:cs="Times New Roman"/>
          <w:color w:val="auto"/>
          <w:highlight w:val="none"/>
          <w:u w:val="none"/>
          <w:lang w:val="en-US" w:eastAsia="zh-CN"/>
        </w:rPr>
        <w:t>3</w:t>
      </w:r>
      <w:r>
        <w:rPr>
          <w:rFonts w:hint="default" w:ascii="Times New Roman" w:hAnsi="Times New Roman" w:cs="Times New Roman"/>
          <w:color w:val="auto"/>
          <w:highlight w:val="none"/>
          <w:u w:val="none"/>
          <w:lang w:val="en-US" w:eastAsia="zh-CN"/>
        </w:rPr>
        <w:t>口采</w:t>
      </w:r>
      <w:r>
        <w:rPr>
          <w:rFonts w:hint="eastAsia" w:cs="Times New Roman"/>
          <w:color w:val="auto"/>
          <w:highlight w:val="none"/>
          <w:u w:val="none"/>
          <w:lang w:val="en-US" w:eastAsia="zh-CN"/>
        </w:rPr>
        <w:t>气</w:t>
      </w:r>
      <w:r>
        <w:rPr>
          <w:rFonts w:hint="default" w:ascii="Times New Roman" w:hAnsi="Times New Roman" w:cs="Times New Roman"/>
          <w:color w:val="auto"/>
          <w:highlight w:val="none"/>
          <w:u w:val="none"/>
          <w:lang w:val="en-US" w:eastAsia="zh-CN"/>
        </w:rPr>
        <w:t>井</w:t>
      </w:r>
      <w:r>
        <w:rPr>
          <w:rFonts w:hint="eastAsia" w:ascii="Times New Roman" w:hAnsi="Times New Roman"/>
          <w:color w:val="auto"/>
          <w:sz w:val="24"/>
          <w:szCs w:val="24"/>
          <w:highlight w:val="none"/>
          <w:u w:val="none"/>
          <w:lang w:val="en-US" w:eastAsia="zh-CN"/>
        </w:rPr>
        <w:t>，</w:t>
      </w:r>
      <w:r>
        <w:rPr>
          <w:rFonts w:hint="eastAsia"/>
          <w:color w:val="auto"/>
          <w:sz w:val="24"/>
          <w:szCs w:val="24"/>
          <w:highlight w:val="none"/>
          <w:u w:val="none"/>
          <w:lang w:eastAsia="zh-CN"/>
        </w:rPr>
        <w:t>钻井</w:t>
      </w:r>
      <w:r>
        <w:rPr>
          <w:rFonts w:hint="default" w:ascii="Times New Roman" w:hAnsi="Times New Roman" w:cs="Times New Roman"/>
          <w:color w:val="auto"/>
          <w:sz w:val="24"/>
          <w:szCs w:val="24"/>
          <w:highlight w:val="none"/>
          <w:u w:val="none"/>
        </w:rPr>
        <w:t>进尺</w:t>
      </w:r>
      <w:r>
        <w:rPr>
          <w:rFonts w:hint="eastAsia" w:cs="Times New Roman"/>
          <w:color w:val="auto"/>
          <w:sz w:val="24"/>
          <w:szCs w:val="24"/>
          <w:highlight w:val="none"/>
          <w:u w:val="none"/>
          <w:lang w:val="en-US" w:eastAsia="zh-CN"/>
        </w:rPr>
        <w:t>16830</w:t>
      </w:r>
      <w:r>
        <w:rPr>
          <w:rFonts w:hint="default" w:ascii="Times New Roman" w:hAnsi="Times New Roman" w:cs="Times New Roman"/>
          <w:color w:val="auto"/>
          <w:sz w:val="24"/>
          <w:szCs w:val="24"/>
          <w:highlight w:val="none"/>
          <w:u w:val="none"/>
        </w:rPr>
        <w:t>m</w:t>
      </w:r>
      <w:r>
        <w:rPr>
          <w:rFonts w:hint="eastAsia" w:cs="Times New Roman"/>
          <w:color w:val="auto"/>
          <w:sz w:val="24"/>
          <w:szCs w:val="24"/>
          <w:highlight w:val="none"/>
          <w:u w:val="none"/>
          <w:lang w:eastAsia="zh-CN"/>
        </w:rPr>
        <w:t>。</w:t>
      </w:r>
    </w:p>
    <w:p w14:paraId="0B689C69">
      <w:pPr>
        <w:pStyle w:val="60"/>
        <w:keepNext w:val="0"/>
        <w:keepLines w:val="0"/>
        <w:pageBreakBefore w:val="0"/>
        <w:widowControl w:val="0"/>
        <w:kinsoku/>
        <w:wordWrap w:val="0"/>
        <w:overflowPunct/>
        <w:topLinePunct w:val="0"/>
        <w:autoSpaceDE/>
        <w:autoSpaceDN/>
        <w:bidi w:val="0"/>
        <w:adjustRightInd/>
        <w:snapToGrid/>
        <w:spacing w:line="480" w:lineRule="exact"/>
        <w:textAlignment w:val="auto"/>
        <w:rPr>
          <w:rFonts w:hint="eastAsia" w:ascii="Times New Roman" w:hAnsi="Times New Roman" w:eastAsia="黑体" w:cs="Times New Roman"/>
          <w:b/>
          <w:bCs/>
          <w:color w:val="auto"/>
          <w:sz w:val="21"/>
          <w:szCs w:val="21"/>
          <w:highlight w:val="none"/>
          <w:u w:val="none"/>
          <w:lang w:val="en-GB"/>
        </w:rPr>
      </w:pPr>
      <w:r>
        <w:rPr>
          <w:rFonts w:hint="eastAsia"/>
          <w:color w:val="auto"/>
          <w:highlight w:val="none"/>
          <w:u w:val="none"/>
        </w:rPr>
        <w:t>根据上述</w:t>
      </w:r>
      <w:r>
        <w:rPr>
          <w:rFonts w:hint="eastAsia"/>
          <w:color w:val="auto"/>
          <w:highlight w:val="none"/>
          <w:u w:val="none"/>
          <w:lang w:eastAsia="zh-CN"/>
        </w:rPr>
        <w:t>公式</w:t>
      </w:r>
      <w:r>
        <w:rPr>
          <w:color w:val="auto"/>
          <w:highlight w:val="none"/>
          <w:u w:val="none"/>
        </w:rPr>
        <w:t>计算</w:t>
      </w:r>
      <w:r>
        <w:rPr>
          <w:rFonts w:hint="eastAsia" w:eastAsia="宋体"/>
          <w:color w:val="auto"/>
          <w:highlight w:val="none"/>
          <w:u w:val="none"/>
          <w:lang w:eastAsia="zh-CN"/>
        </w:rPr>
        <w:t>，</w:t>
      </w:r>
      <w:r>
        <w:rPr>
          <w:rFonts w:hint="eastAsia"/>
          <w:color w:val="auto"/>
          <w:szCs w:val="24"/>
          <w:highlight w:val="none"/>
          <w:u w:val="none"/>
        </w:rPr>
        <w:t>钻井泥浆产生量计算见表</w:t>
      </w:r>
      <w:r>
        <w:rPr>
          <w:rFonts w:hint="eastAsia"/>
          <w:color w:val="auto"/>
          <w:sz w:val="24"/>
          <w:szCs w:val="24"/>
          <w:highlight w:val="none"/>
          <w:u w:val="none"/>
          <w:lang w:val="en-US" w:eastAsia="zh-CN"/>
        </w:rPr>
        <w:t>3.4-5</w:t>
      </w:r>
      <w:r>
        <w:rPr>
          <w:rFonts w:hint="eastAsia"/>
          <w:color w:val="auto"/>
          <w:sz w:val="24"/>
          <w:szCs w:val="24"/>
          <w:highlight w:val="none"/>
          <w:u w:val="none"/>
          <w:lang w:eastAsia="zh-CN"/>
        </w:rPr>
        <w:t>。</w:t>
      </w:r>
    </w:p>
    <w:p w14:paraId="28818D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GB" w:eastAsia="zh-CN" w:bidi="ar-SA"/>
        </w:rPr>
        <w:t>表</w:t>
      </w:r>
      <w:r>
        <w:rPr>
          <w:rFonts w:hint="eastAsia" w:ascii="黑体" w:hAnsi="黑体" w:eastAsia="黑体" w:cs="黑体"/>
          <w:b w:val="0"/>
          <w:bCs/>
          <w:color w:val="auto"/>
          <w:kern w:val="2"/>
          <w:sz w:val="24"/>
          <w:szCs w:val="24"/>
          <w:u w:val="none"/>
          <w:lang w:val="en-US" w:eastAsia="zh-CN" w:bidi="ar-SA"/>
        </w:rPr>
        <w:t>3.4-5</w:t>
      </w:r>
      <w:r>
        <w:rPr>
          <w:rFonts w:hint="eastAsia" w:ascii="黑体" w:hAnsi="黑体" w:eastAsia="黑体" w:cs="黑体"/>
          <w:b w:val="0"/>
          <w:bCs/>
          <w:color w:val="auto"/>
          <w:kern w:val="2"/>
          <w:sz w:val="24"/>
          <w:szCs w:val="24"/>
          <w:u w:val="none"/>
          <w:lang w:val="en-GB" w:eastAsia="zh-CN" w:bidi="ar-SA"/>
        </w:rPr>
        <w:t xml:space="preserve">    </w:t>
      </w:r>
      <w:r>
        <w:rPr>
          <w:rFonts w:hint="eastAsia" w:ascii="黑体" w:hAnsi="黑体" w:eastAsia="黑体" w:cs="黑体"/>
          <w:b w:val="0"/>
          <w:bCs/>
          <w:color w:val="auto"/>
          <w:kern w:val="2"/>
          <w:sz w:val="24"/>
          <w:szCs w:val="24"/>
          <w:u w:val="none"/>
          <w:lang w:val="en-US" w:eastAsia="zh-CN" w:bidi="ar-SA"/>
        </w:rPr>
        <w:t>钻井泥浆产生量表</w:t>
      </w:r>
    </w:p>
    <w:tbl>
      <w:tblPr>
        <w:tblStyle w:val="37"/>
        <w:tblW w:w="505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35"/>
        <w:gridCol w:w="1455"/>
        <w:gridCol w:w="1544"/>
        <w:gridCol w:w="1441"/>
        <w:gridCol w:w="1572"/>
        <w:gridCol w:w="1596"/>
      </w:tblGrid>
      <w:tr w14:paraId="2F9F66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3CF82F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开钻次序</w:t>
            </w:r>
          </w:p>
        </w:tc>
        <w:tc>
          <w:tcPr>
            <w:tcW w:w="832" w:type="pct"/>
            <w:tcBorders>
              <w:tl2br w:val="nil"/>
              <w:tr2bl w:val="nil"/>
            </w:tcBorders>
            <w:noWrap w:val="0"/>
            <w:vAlign w:val="center"/>
          </w:tcPr>
          <w:p w14:paraId="26B1E2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井段m</w:t>
            </w:r>
          </w:p>
        </w:tc>
        <w:tc>
          <w:tcPr>
            <w:tcW w:w="883" w:type="pct"/>
            <w:tcBorders>
              <w:tl2br w:val="nil"/>
              <w:tr2bl w:val="nil"/>
            </w:tcBorders>
            <w:noWrap w:val="0"/>
            <w:vAlign w:val="center"/>
          </w:tcPr>
          <w:p w14:paraId="05DDB2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钻头直径mm</w:t>
            </w:r>
          </w:p>
        </w:tc>
        <w:tc>
          <w:tcPr>
            <w:tcW w:w="824" w:type="pct"/>
            <w:tcBorders>
              <w:tl2br w:val="nil"/>
              <w:tr2bl w:val="nil"/>
            </w:tcBorders>
            <w:noWrap w:val="0"/>
            <w:vAlign w:val="center"/>
          </w:tcPr>
          <w:p w14:paraId="3D8A72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h深度m</w:t>
            </w:r>
          </w:p>
        </w:tc>
        <w:tc>
          <w:tcPr>
            <w:tcW w:w="899" w:type="pct"/>
            <w:tcBorders>
              <w:tl2br w:val="nil"/>
              <w:tr2bl w:val="nil"/>
            </w:tcBorders>
            <w:noWrap w:val="0"/>
            <w:vAlign w:val="center"/>
          </w:tcPr>
          <w:p w14:paraId="485BF3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泥浆量m</w:t>
            </w:r>
            <w:r>
              <w:rPr>
                <w:rFonts w:hint="eastAsia" w:ascii="宋体" w:hAnsi="宋体" w:eastAsia="宋体" w:cs="宋体"/>
                <w:color w:val="auto"/>
                <w:sz w:val="21"/>
                <w:szCs w:val="21"/>
                <w:highlight w:val="none"/>
                <w:u w:val="none"/>
                <w:vertAlign w:val="superscript"/>
              </w:rPr>
              <w:t>3</w:t>
            </w:r>
          </w:p>
        </w:tc>
        <w:tc>
          <w:tcPr>
            <w:tcW w:w="911" w:type="pct"/>
            <w:tcBorders>
              <w:tl2br w:val="nil"/>
              <w:tr2bl w:val="nil"/>
            </w:tcBorders>
            <w:noWrap w:val="0"/>
            <w:vAlign w:val="center"/>
          </w:tcPr>
          <w:p w14:paraId="465CF9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钻井液体系</w:t>
            </w:r>
          </w:p>
        </w:tc>
      </w:tr>
      <w:tr w14:paraId="11CDB0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5000" w:type="pct"/>
            <w:gridSpan w:val="6"/>
            <w:tcBorders>
              <w:tl2br w:val="nil"/>
              <w:tr2bl w:val="nil"/>
            </w:tcBorders>
            <w:noWrap w:val="0"/>
            <w:vAlign w:val="center"/>
          </w:tcPr>
          <w:p w14:paraId="719DA7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MBHW6006</w:t>
            </w:r>
            <w:r>
              <w:rPr>
                <w:rFonts w:hint="eastAsia" w:ascii="宋体" w:hAnsi="宋体" w:eastAsia="宋体" w:cs="宋体"/>
                <w:color w:val="auto"/>
                <w:sz w:val="21"/>
                <w:szCs w:val="21"/>
                <w:highlight w:val="none"/>
                <w:u w:val="none"/>
              </w:rPr>
              <w:t>井</w:t>
            </w:r>
          </w:p>
        </w:tc>
      </w:tr>
      <w:tr w14:paraId="28C950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674BCC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一开</w:t>
            </w:r>
          </w:p>
        </w:tc>
        <w:tc>
          <w:tcPr>
            <w:tcW w:w="832" w:type="pct"/>
            <w:tcBorders>
              <w:tl2br w:val="nil"/>
              <w:tr2bl w:val="nil"/>
            </w:tcBorders>
            <w:noWrap w:val="0"/>
            <w:vAlign w:val="center"/>
          </w:tcPr>
          <w:p w14:paraId="591117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500</w:t>
            </w:r>
          </w:p>
        </w:tc>
        <w:tc>
          <w:tcPr>
            <w:tcW w:w="883" w:type="pct"/>
            <w:tcBorders>
              <w:tl2br w:val="nil"/>
              <w:tr2bl w:val="nil"/>
            </w:tcBorders>
            <w:noWrap w:val="0"/>
            <w:vAlign w:val="center"/>
          </w:tcPr>
          <w:p w14:paraId="00998F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444.5</w:t>
            </w:r>
          </w:p>
        </w:tc>
        <w:tc>
          <w:tcPr>
            <w:tcW w:w="824" w:type="pct"/>
            <w:tcBorders>
              <w:tl2br w:val="nil"/>
              <w:tr2bl w:val="nil"/>
            </w:tcBorders>
            <w:noWrap w:val="0"/>
            <w:vAlign w:val="center"/>
          </w:tcPr>
          <w:p w14:paraId="52BDCE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p>
        </w:tc>
        <w:tc>
          <w:tcPr>
            <w:tcW w:w="899" w:type="pct"/>
            <w:tcBorders>
              <w:tl2br w:val="nil"/>
              <w:tr2bl w:val="nil"/>
            </w:tcBorders>
            <w:noWrap w:val="0"/>
            <w:vAlign w:val="center"/>
          </w:tcPr>
          <w:p w14:paraId="507DFE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137</w:t>
            </w:r>
          </w:p>
        </w:tc>
        <w:tc>
          <w:tcPr>
            <w:tcW w:w="911" w:type="pct"/>
            <w:vMerge w:val="restart"/>
            <w:tcBorders>
              <w:tl2br w:val="nil"/>
              <w:tr2bl w:val="nil"/>
            </w:tcBorders>
            <w:noWrap w:val="0"/>
            <w:vAlign w:val="center"/>
          </w:tcPr>
          <w:p w14:paraId="3FCB31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水基坂土-聚合物体系</w:t>
            </w:r>
          </w:p>
        </w:tc>
      </w:tr>
      <w:tr w14:paraId="051F39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3842D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val="en-US" w:eastAsia="zh-CN"/>
              </w:rPr>
              <w:t>开</w:t>
            </w:r>
          </w:p>
        </w:tc>
        <w:tc>
          <w:tcPr>
            <w:tcW w:w="832" w:type="pct"/>
            <w:tcBorders>
              <w:tl2br w:val="nil"/>
              <w:tr2bl w:val="nil"/>
            </w:tcBorders>
            <w:noWrap w:val="0"/>
            <w:vAlign w:val="center"/>
          </w:tcPr>
          <w:p w14:paraId="53E5CF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4020</w:t>
            </w:r>
          </w:p>
        </w:tc>
        <w:tc>
          <w:tcPr>
            <w:tcW w:w="883" w:type="pct"/>
            <w:tcBorders>
              <w:tl2br w:val="nil"/>
              <w:tr2bl w:val="nil"/>
            </w:tcBorders>
            <w:noWrap w:val="0"/>
            <w:vAlign w:val="center"/>
          </w:tcPr>
          <w:p w14:paraId="204AB7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311.2</w:t>
            </w:r>
          </w:p>
        </w:tc>
        <w:tc>
          <w:tcPr>
            <w:tcW w:w="824" w:type="pct"/>
            <w:tcBorders>
              <w:tl2br w:val="nil"/>
              <w:tr2bl w:val="nil"/>
            </w:tcBorders>
            <w:noWrap w:val="0"/>
            <w:vAlign w:val="center"/>
          </w:tcPr>
          <w:p w14:paraId="323610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3520</w:t>
            </w:r>
          </w:p>
        </w:tc>
        <w:tc>
          <w:tcPr>
            <w:tcW w:w="899" w:type="pct"/>
            <w:tcBorders>
              <w:tl2br w:val="nil"/>
              <w:tr2bl w:val="nil"/>
            </w:tcBorders>
            <w:noWrap w:val="0"/>
            <w:vAlign w:val="center"/>
          </w:tcPr>
          <w:p w14:paraId="46941D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341</w:t>
            </w:r>
          </w:p>
        </w:tc>
        <w:tc>
          <w:tcPr>
            <w:tcW w:w="911" w:type="pct"/>
            <w:vMerge w:val="continue"/>
            <w:tcBorders>
              <w:tl2br w:val="nil"/>
              <w:tr2bl w:val="nil"/>
            </w:tcBorders>
            <w:noWrap w:val="0"/>
            <w:vAlign w:val="center"/>
          </w:tcPr>
          <w:p w14:paraId="402A1C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p>
        </w:tc>
      </w:tr>
      <w:tr w14:paraId="4A3E31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3A2E67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三开</w:t>
            </w:r>
          </w:p>
        </w:tc>
        <w:tc>
          <w:tcPr>
            <w:tcW w:w="832" w:type="pct"/>
            <w:tcBorders>
              <w:tl2br w:val="nil"/>
              <w:tr2bl w:val="nil"/>
            </w:tcBorders>
            <w:noWrap w:val="0"/>
            <w:vAlign w:val="center"/>
          </w:tcPr>
          <w:p w14:paraId="3D5D2E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4020-5565</w:t>
            </w:r>
          </w:p>
        </w:tc>
        <w:tc>
          <w:tcPr>
            <w:tcW w:w="883" w:type="pct"/>
            <w:tcBorders>
              <w:tl2br w:val="nil"/>
              <w:tr2bl w:val="nil"/>
            </w:tcBorders>
            <w:noWrap w:val="0"/>
            <w:vAlign w:val="center"/>
          </w:tcPr>
          <w:p w14:paraId="21035A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215.9</w:t>
            </w:r>
          </w:p>
        </w:tc>
        <w:tc>
          <w:tcPr>
            <w:tcW w:w="824" w:type="pct"/>
            <w:tcBorders>
              <w:tl2br w:val="nil"/>
              <w:tr2bl w:val="nil"/>
            </w:tcBorders>
            <w:noWrap w:val="0"/>
            <w:vAlign w:val="center"/>
          </w:tcPr>
          <w:p w14:paraId="38FE63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1545</w:t>
            </w:r>
          </w:p>
        </w:tc>
        <w:tc>
          <w:tcPr>
            <w:tcW w:w="899" w:type="pct"/>
            <w:tcBorders>
              <w:tl2br w:val="nil"/>
              <w:tr2bl w:val="nil"/>
            </w:tcBorders>
            <w:noWrap w:val="0"/>
            <w:vAlign w:val="center"/>
          </w:tcPr>
          <w:p w14:paraId="6BE820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164</w:t>
            </w:r>
          </w:p>
        </w:tc>
        <w:tc>
          <w:tcPr>
            <w:tcW w:w="911" w:type="pct"/>
            <w:tcBorders>
              <w:tl2br w:val="nil"/>
              <w:tr2bl w:val="nil"/>
            </w:tcBorders>
            <w:noWrap w:val="0"/>
            <w:vAlign w:val="center"/>
          </w:tcPr>
          <w:p w14:paraId="6AA5C6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白/柴油体系</w:t>
            </w:r>
          </w:p>
        </w:tc>
      </w:tr>
      <w:tr w14:paraId="5A1572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5000" w:type="pct"/>
            <w:gridSpan w:val="6"/>
            <w:tcBorders>
              <w:tl2br w:val="nil"/>
              <w:tr2bl w:val="nil"/>
            </w:tcBorders>
            <w:noWrap w:val="0"/>
            <w:vAlign w:val="center"/>
          </w:tcPr>
          <w:p w14:paraId="00664F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MBHW6008</w:t>
            </w:r>
            <w:r>
              <w:rPr>
                <w:rFonts w:hint="eastAsia" w:ascii="宋体" w:hAnsi="宋体" w:eastAsia="宋体" w:cs="宋体"/>
                <w:color w:val="auto"/>
                <w:sz w:val="21"/>
                <w:szCs w:val="21"/>
                <w:highlight w:val="none"/>
                <w:u w:val="none"/>
              </w:rPr>
              <w:t>井</w:t>
            </w:r>
          </w:p>
        </w:tc>
      </w:tr>
      <w:tr w14:paraId="0CF012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65922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一开</w:t>
            </w:r>
          </w:p>
        </w:tc>
        <w:tc>
          <w:tcPr>
            <w:tcW w:w="832" w:type="pct"/>
            <w:tcBorders>
              <w:tl2br w:val="nil"/>
              <w:tr2bl w:val="nil"/>
            </w:tcBorders>
            <w:noWrap w:val="0"/>
            <w:vAlign w:val="center"/>
          </w:tcPr>
          <w:p w14:paraId="1AB7E6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500</w:t>
            </w:r>
          </w:p>
        </w:tc>
        <w:tc>
          <w:tcPr>
            <w:tcW w:w="883" w:type="pct"/>
            <w:tcBorders>
              <w:tl2br w:val="nil"/>
              <w:tr2bl w:val="nil"/>
            </w:tcBorders>
            <w:noWrap w:val="0"/>
            <w:vAlign w:val="center"/>
          </w:tcPr>
          <w:p w14:paraId="43266B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444.5</w:t>
            </w:r>
          </w:p>
        </w:tc>
        <w:tc>
          <w:tcPr>
            <w:tcW w:w="824" w:type="pct"/>
            <w:tcBorders>
              <w:tl2br w:val="nil"/>
              <w:tr2bl w:val="nil"/>
            </w:tcBorders>
            <w:noWrap w:val="0"/>
            <w:vAlign w:val="center"/>
          </w:tcPr>
          <w:p w14:paraId="3206B1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p>
        </w:tc>
        <w:tc>
          <w:tcPr>
            <w:tcW w:w="1568" w:type="dxa"/>
            <w:tcBorders>
              <w:tl2br w:val="nil"/>
              <w:tr2bl w:val="nil"/>
            </w:tcBorders>
            <w:noWrap w:val="0"/>
            <w:vAlign w:val="center"/>
          </w:tcPr>
          <w:p w14:paraId="5616A6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137</w:t>
            </w:r>
          </w:p>
        </w:tc>
        <w:tc>
          <w:tcPr>
            <w:tcW w:w="911" w:type="pct"/>
            <w:vMerge w:val="restart"/>
            <w:tcBorders>
              <w:tl2br w:val="nil"/>
              <w:tr2bl w:val="nil"/>
            </w:tcBorders>
            <w:noWrap w:val="0"/>
            <w:vAlign w:val="center"/>
          </w:tcPr>
          <w:p w14:paraId="41993F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水基坂土-聚合物体系</w:t>
            </w:r>
          </w:p>
        </w:tc>
      </w:tr>
      <w:tr w14:paraId="609970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1DC5B1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val="en-US" w:eastAsia="zh-CN"/>
              </w:rPr>
              <w:t>开</w:t>
            </w:r>
          </w:p>
        </w:tc>
        <w:tc>
          <w:tcPr>
            <w:tcW w:w="832" w:type="pct"/>
            <w:tcBorders>
              <w:tl2br w:val="nil"/>
              <w:tr2bl w:val="nil"/>
            </w:tcBorders>
            <w:noWrap w:val="0"/>
            <w:vAlign w:val="center"/>
          </w:tcPr>
          <w:p w14:paraId="5CFBE5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4020</w:t>
            </w:r>
          </w:p>
        </w:tc>
        <w:tc>
          <w:tcPr>
            <w:tcW w:w="883" w:type="pct"/>
            <w:tcBorders>
              <w:tl2br w:val="nil"/>
              <w:tr2bl w:val="nil"/>
            </w:tcBorders>
            <w:noWrap w:val="0"/>
            <w:vAlign w:val="center"/>
          </w:tcPr>
          <w:p w14:paraId="6A7C4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311.2</w:t>
            </w:r>
          </w:p>
        </w:tc>
        <w:tc>
          <w:tcPr>
            <w:tcW w:w="824" w:type="pct"/>
            <w:tcBorders>
              <w:tl2br w:val="nil"/>
              <w:tr2bl w:val="nil"/>
            </w:tcBorders>
            <w:noWrap w:val="0"/>
            <w:vAlign w:val="center"/>
          </w:tcPr>
          <w:p w14:paraId="656831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3520</w:t>
            </w:r>
          </w:p>
        </w:tc>
        <w:tc>
          <w:tcPr>
            <w:tcW w:w="1568" w:type="dxa"/>
            <w:tcBorders>
              <w:tl2br w:val="nil"/>
              <w:tr2bl w:val="nil"/>
            </w:tcBorders>
            <w:noWrap w:val="0"/>
            <w:vAlign w:val="center"/>
          </w:tcPr>
          <w:p w14:paraId="244BD8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341</w:t>
            </w:r>
          </w:p>
        </w:tc>
        <w:tc>
          <w:tcPr>
            <w:tcW w:w="911" w:type="pct"/>
            <w:vMerge w:val="continue"/>
            <w:tcBorders>
              <w:tl2br w:val="nil"/>
              <w:tr2bl w:val="nil"/>
            </w:tcBorders>
            <w:noWrap w:val="0"/>
            <w:vAlign w:val="center"/>
          </w:tcPr>
          <w:p w14:paraId="5EE962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p>
        </w:tc>
      </w:tr>
      <w:tr w14:paraId="3C8BAE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6E8B16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三开</w:t>
            </w:r>
          </w:p>
        </w:tc>
        <w:tc>
          <w:tcPr>
            <w:tcW w:w="832" w:type="pct"/>
            <w:tcBorders>
              <w:tl2br w:val="nil"/>
              <w:tr2bl w:val="nil"/>
            </w:tcBorders>
            <w:noWrap w:val="0"/>
            <w:vAlign w:val="center"/>
          </w:tcPr>
          <w:p w14:paraId="63B638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4020-5580</w:t>
            </w:r>
          </w:p>
        </w:tc>
        <w:tc>
          <w:tcPr>
            <w:tcW w:w="883" w:type="pct"/>
            <w:tcBorders>
              <w:tl2br w:val="nil"/>
              <w:tr2bl w:val="nil"/>
            </w:tcBorders>
            <w:noWrap w:val="0"/>
            <w:vAlign w:val="center"/>
          </w:tcPr>
          <w:p w14:paraId="397BEC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215.9</w:t>
            </w:r>
          </w:p>
        </w:tc>
        <w:tc>
          <w:tcPr>
            <w:tcW w:w="824" w:type="pct"/>
            <w:tcBorders>
              <w:tl2br w:val="nil"/>
              <w:tr2bl w:val="nil"/>
            </w:tcBorders>
            <w:noWrap w:val="0"/>
            <w:vAlign w:val="center"/>
          </w:tcPr>
          <w:p w14:paraId="7B15C9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1560</w:t>
            </w:r>
          </w:p>
        </w:tc>
        <w:tc>
          <w:tcPr>
            <w:tcW w:w="899" w:type="pct"/>
            <w:tcBorders>
              <w:tl2br w:val="nil"/>
              <w:tr2bl w:val="nil"/>
            </w:tcBorders>
            <w:noWrap w:val="0"/>
            <w:vAlign w:val="center"/>
          </w:tcPr>
          <w:p w14:paraId="337204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165</w:t>
            </w:r>
          </w:p>
        </w:tc>
        <w:tc>
          <w:tcPr>
            <w:tcW w:w="911" w:type="pct"/>
            <w:tcBorders>
              <w:tl2br w:val="nil"/>
              <w:tr2bl w:val="nil"/>
            </w:tcBorders>
            <w:noWrap w:val="0"/>
            <w:vAlign w:val="center"/>
          </w:tcPr>
          <w:p w14:paraId="33272D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白/柴油体系</w:t>
            </w:r>
          </w:p>
        </w:tc>
      </w:tr>
      <w:tr w14:paraId="212175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5000" w:type="pct"/>
            <w:gridSpan w:val="6"/>
            <w:tcBorders>
              <w:tl2br w:val="nil"/>
              <w:tr2bl w:val="nil"/>
            </w:tcBorders>
            <w:noWrap w:val="0"/>
            <w:vAlign w:val="center"/>
          </w:tcPr>
          <w:p w14:paraId="428076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MBHW6009</w:t>
            </w:r>
            <w:r>
              <w:rPr>
                <w:rFonts w:hint="eastAsia" w:ascii="宋体" w:hAnsi="宋体" w:eastAsia="宋体" w:cs="宋体"/>
                <w:color w:val="auto"/>
                <w:sz w:val="21"/>
                <w:szCs w:val="21"/>
                <w:highlight w:val="none"/>
                <w:u w:val="none"/>
              </w:rPr>
              <w:t>井</w:t>
            </w:r>
          </w:p>
        </w:tc>
      </w:tr>
      <w:tr w14:paraId="786F1B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3887C4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一开</w:t>
            </w:r>
          </w:p>
        </w:tc>
        <w:tc>
          <w:tcPr>
            <w:tcW w:w="832" w:type="pct"/>
            <w:tcBorders>
              <w:tl2br w:val="nil"/>
              <w:tr2bl w:val="nil"/>
            </w:tcBorders>
            <w:noWrap w:val="0"/>
            <w:vAlign w:val="center"/>
          </w:tcPr>
          <w:p w14:paraId="0DE3F3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500</w:t>
            </w:r>
          </w:p>
        </w:tc>
        <w:tc>
          <w:tcPr>
            <w:tcW w:w="883" w:type="pct"/>
            <w:tcBorders>
              <w:tl2br w:val="nil"/>
              <w:tr2bl w:val="nil"/>
            </w:tcBorders>
            <w:noWrap w:val="0"/>
            <w:vAlign w:val="center"/>
          </w:tcPr>
          <w:p w14:paraId="473587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444.5</w:t>
            </w:r>
          </w:p>
        </w:tc>
        <w:tc>
          <w:tcPr>
            <w:tcW w:w="824" w:type="pct"/>
            <w:tcBorders>
              <w:tl2br w:val="nil"/>
              <w:tr2bl w:val="nil"/>
            </w:tcBorders>
            <w:noWrap w:val="0"/>
            <w:vAlign w:val="center"/>
          </w:tcPr>
          <w:p w14:paraId="0F6868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p>
        </w:tc>
        <w:tc>
          <w:tcPr>
            <w:tcW w:w="1568" w:type="dxa"/>
            <w:tcBorders>
              <w:tl2br w:val="nil"/>
              <w:tr2bl w:val="nil"/>
            </w:tcBorders>
            <w:noWrap w:val="0"/>
            <w:vAlign w:val="center"/>
          </w:tcPr>
          <w:p w14:paraId="52B641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137</w:t>
            </w:r>
          </w:p>
        </w:tc>
        <w:tc>
          <w:tcPr>
            <w:tcW w:w="911" w:type="pct"/>
            <w:vMerge w:val="restart"/>
            <w:tcBorders>
              <w:tl2br w:val="nil"/>
              <w:tr2bl w:val="nil"/>
            </w:tcBorders>
            <w:noWrap w:val="0"/>
            <w:vAlign w:val="center"/>
          </w:tcPr>
          <w:p w14:paraId="1F9FC4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水基坂土-聚合物体系</w:t>
            </w:r>
          </w:p>
        </w:tc>
      </w:tr>
      <w:tr w14:paraId="03DC3E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0A3DA3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val="en-US" w:eastAsia="zh-CN"/>
              </w:rPr>
              <w:t>开</w:t>
            </w:r>
          </w:p>
        </w:tc>
        <w:tc>
          <w:tcPr>
            <w:tcW w:w="832" w:type="pct"/>
            <w:tcBorders>
              <w:tl2br w:val="nil"/>
              <w:tr2bl w:val="nil"/>
            </w:tcBorders>
            <w:noWrap w:val="0"/>
            <w:vAlign w:val="center"/>
          </w:tcPr>
          <w:p w14:paraId="0B24E4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4020</w:t>
            </w:r>
          </w:p>
        </w:tc>
        <w:tc>
          <w:tcPr>
            <w:tcW w:w="883" w:type="pct"/>
            <w:tcBorders>
              <w:tl2br w:val="nil"/>
              <w:tr2bl w:val="nil"/>
            </w:tcBorders>
            <w:noWrap w:val="0"/>
            <w:vAlign w:val="center"/>
          </w:tcPr>
          <w:p w14:paraId="5F6364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311.2</w:t>
            </w:r>
          </w:p>
        </w:tc>
        <w:tc>
          <w:tcPr>
            <w:tcW w:w="824" w:type="pct"/>
            <w:tcBorders>
              <w:tl2br w:val="nil"/>
              <w:tr2bl w:val="nil"/>
            </w:tcBorders>
            <w:noWrap w:val="0"/>
            <w:vAlign w:val="center"/>
          </w:tcPr>
          <w:p w14:paraId="10D999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3520</w:t>
            </w:r>
          </w:p>
        </w:tc>
        <w:tc>
          <w:tcPr>
            <w:tcW w:w="1568" w:type="dxa"/>
            <w:tcBorders>
              <w:tl2br w:val="nil"/>
              <w:tr2bl w:val="nil"/>
            </w:tcBorders>
            <w:noWrap w:val="0"/>
            <w:vAlign w:val="center"/>
          </w:tcPr>
          <w:p w14:paraId="15D28D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341</w:t>
            </w:r>
          </w:p>
        </w:tc>
        <w:tc>
          <w:tcPr>
            <w:tcW w:w="911" w:type="pct"/>
            <w:vMerge w:val="continue"/>
            <w:tcBorders>
              <w:tl2br w:val="nil"/>
              <w:tr2bl w:val="nil"/>
            </w:tcBorders>
            <w:noWrap w:val="0"/>
            <w:vAlign w:val="center"/>
          </w:tcPr>
          <w:p w14:paraId="6ED83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p>
        </w:tc>
      </w:tr>
      <w:tr w14:paraId="765944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649" w:type="pct"/>
            <w:tcBorders>
              <w:tl2br w:val="nil"/>
              <w:tr2bl w:val="nil"/>
            </w:tcBorders>
            <w:noWrap w:val="0"/>
            <w:vAlign w:val="center"/>
          </w:tcPr>
          <w:p w14:paraId="6F309C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三开</w:t>
            </w:r>
          </w:p>
        </w:tc>
        <w:tc>
          <w:tcPr>
            <w:tcW w:w="832" w:type="pct"/>
            <w:tcBorders>
              <w:tl2br w:val="nil"/>
              <w:tr2bl w:val="nil"/>
            </w:tcBorders>
            <w:noWrap w:val="0"/>
            <w:vAlign w:val="center"/>
          </w:tcPr>
          <w:p w14:paraId="6858C5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4020-5685</w:t>
            </w:r>
          </w:p>
        </w:tc>
        <w:tc>
          <w:tcPr>
            <w:tcW w:w="883" w:type="pct"/>
            <w:tcBorders>
              <w:tl2br w:val="nil"/>
              <w:tr2bl w:val="nil"/>
            </w:tcBorders>
            <w:noWrap w:val="0"/>
            <w:vAlign w:val="center"/>
          </w:tcPr>
          <w:p w14:paraId="08ED3A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215.9</w:t>
            </w:r>
          </w:p>
        </w:tc>
        <w:tc>
          <w:tcPr>
            <w:tcW w:w="824" w:type="pct"/>
            <w:tcBorders>
              <w:tl2br w:val="nil"/>
              <w:tr2bl w:val="nil"/>
            </w:tcBorders>
            <w:noWrap w:val="0"/>
            <w:vAlign w:val="center"/>
          </w:tcPr>
          <w:p w14:paraId="125328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1665</w:t>
            </w:r>
          </w:p>
        </w:tc>
        <w:tc>
          <w:tcPr>
            <w:tcW w:w="899" w:type="pct"/>
            <w:tcBorders>
              <w:tl2br w:val="nil"/>
              <w:tr2bl w:val="nil"/>
            </w:tcBorders>
            <w:noWrap w:val="0"/>
            <w:vAlign w:val="center"/>
          </w:tcPr>
          <w:p w14:paraId="7A1AA6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170</w:t>
            </w:r>
          </w:p>
        </w:tc>
        <w:tc>
          <w:tcPr>
            <w:tcW w:w="911" w:type="pct"/>
            <w:tcBorders>
              <w:tl2br w:val="nil"/>
              <w:tr2bl w:val="nil"/>
            </w:tcBorders>
            <w:noWrap w:val="0"/>
            <w:vAlign w:val="center"/>
          </w:tcPr>
          <w:p w14:paraId="287D4C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白/柴油体系</w:t>
            </w:r>
          </w:p>
        </w:tc>
      </w:tr>
      <w:tr w14:paraId="40296C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3188" w:type="pct"/>
            <w:gridSpan w:val="4"/>
            <w:tcBorders>
              <w:tl2br w:val="nil"/>
              <w:tr2bl w:val="nil"/>
            </w:tcBorders>
            <w:noWrap w:val="0"/>
            <w:vAlign w:val="center"/>
          </w:tcPr>
          <w:p w14:paraId="7A80FF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水基钻井液合计</w:t>
            </w:r>
          </w:p>
        </w:tc>
        <w:tc>
          <w:tcPr>
            <w:tcW w:w="899" w:type="pct"/>
            <w:tcBorders>
              <w:tl2br w:val="nil"/>
              <w:tr2bl w:val="nil"/>
            </w:tcBorders>
            <w:noWrap w:val="0"/>
            <w:vAlign w:val="center"/>
          </w:tcPr>
          <w:p w14:paraId="29B6D0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1434</w:t>
            </w:r>
          </w:p>
        </w:tc>
        <w:tc>
          <w:tcPr>
            <w:tcW w:w="911" w:type="pct"/>
            <w:tcBorders>
              <w:tl2br w:val="nil"/>
              <w:tr2bl w:val="nil"/>
            </w:tcBorders>
            <w:noWrap w:val="0"/>
            <w:vAlign w:val="center"/>
          </w:tcPr>
          <w:p w14:paraId="4D37C8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r>
      <w:tr w14:paraId="6F75E9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3188" w:type="pct"/>
            <w:gridSpan w:val="4"/>
            <w:tcBorders>
              <w:tl2br w:val="nil"/>
              <w:tr2bl w:val="nil"/>
            </w:tcBorders>
            <w:noWrap w:val="0"/>
            <w:vAlign w:val="center"/>
          </w:tcPr>
          <w:p w14:paraId="091546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油基钻井液合计</w:t>
            </w:r>
          </w:p>
        </w:tc>
        <w:tc>
          <w:tcPr>
            <w:tcW w:w="899" w:type="pct"/>
            <w:tcBorders>
              <w:tl2br w:val="nil"/>
              <w:tr2bl w:val="nil"/>
            </w:tcBorders>
            <w:noWrap w:val="0"/>
            <w:vAlign w:val="center"/>
          </w:tcPr>
          <w:p w14:paraId="07D7B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499</w:t>
            </w:r>
          </w:p>
        </w:tc>
        <w:tc>
          <w:tcPr>
            <w:tcW w:w="911" w:type="pct"/>
            <w:tcBorders>
              <w:tl2br w:val="nil"/>
              <w:tr2bl w:val="nil"/>
            </w:tcBorders>
            <w:noWrap w:val="0"/>
            <w:vAlign w:val="center"/>
          </w:tcPr>
          <w:p w14:paraId="4E76EE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r>
      <w:tr w14:paraId="0BB074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3" w:hRule="atLeast"/>
          <w:jc w:val="center"/>
        </w:trPr>
        <w:tc>
          <w:tcPr>
            <w:tcW w:w="3188" w:type="pct"/>
            <w:gridSpan w:val="4"/>
            <w:tcBorders>
              <w:tl2br w:val="nil"/>
              <w:tr2bl w:val="nil"/>
            </w:tcBorders>
            <w:noWrap w:val="0"/>
            <w:vAlign w:val="center"/>
          </w:tcPr>
          <w:p w14:paraId="4E418F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总计</w:t>
            </w:r>
          </w:p>
        </w:tc>
        <w:tc>
          <w:tcPr>
            <w:tcW w:w="899" w:type="pct"/>
            <w:tcBorders>
              <w:tl2br w:val="nil"/>
              <w:tr2bl w:val="nil"/>
            </w:tcBorders>
            <w:noWrap w:val="0"/>
            <w:vAlign w:val="center"/>
          </w:tcPr>
          <w:p w14:paraId="2DFDB1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1933</w:t>
            </w:r>
          </w:p>
        </w:tc>
        <w:tc>
          <w:tcPr>
            <w:tcW w:w="911" w:type="pct"/>
            <w:tcBorders>
              <w:tl2br w:val="nil"/>
              <w:tr2bl w:val="nil"/>
            </w:tcBorders>
            <w:noWrap w:val="0"/>
            <w:vAlign w:val="center"/>
          </w:tcPr>
          <w:p w14:paraId="4483F0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r>
    </w:tbl>
    <w:p w14:paraId="6B3732BE">
      <w:pPr>
        <w:pStyle w:val="54"/>
        <w:keepNext w:val="0"/>
        <w:keepLines w:val="0"/>
        <w:pageBreakBefore w:val="0"/>
        <w:widowControl w:val="0"/>
        <w:kinsoku/>
        <w:wordWrap/>
        <w:overflowPunct/>
        <w:topLinePunct w:val="0"/>
        <w:autoSpaceDE/>
        <w:autoSpaceDN/>
        <w:bidi w:val="0"/>
        <w:adjustRightInd/>
        <w:snapToGrid/>
        <w:spacing w:before="157" w:beforeLines="50" w:line="480" w:lineRule="exact"/>
        <w:ind w:left="0" w:leftChars="0" w:firstLine="480" w:firstLineChars="200"/>
        <w:textAlignment w:val="auto"/>
        <w:rPr>
          <w:rFonts w:hint="eastAsia"/>
          <w:color w:val="auto"/>
          <w:sz w:val="24"/>
          <w:szCs w:val="24"/>
          <w:highlight w:val="none"/>
          <w:u w:val="none"/>
          <w:lang w:eastAsia="zh-CN"/>
        </w:rPr>
      </w:pPr>
      <w:r>
        <w:rPr>
          <w:rFonts w:hint="eastAsia"/>
          <w:color w:val="auto"/>
          <w:highlight w:val="none"/>
          <w:u w:val="none"/>
        </w:rPr>
        <w:t>由上表可知，本工程钻井期产生钻井废弃泥浆约</w:t>
      </w:r>
      <w:r>
        <w:rPr>
          <w:rFonts w:hint="eastAsia"/>
          <w:color w:val="auto"/>
          <w:highlight w:val="none"/>
          <w:u w:val="none"/>
          <w:lang w:val="en-US" w:eastAsia="zh-CN"/>
        </w:rPr>
        <w:t>1933</w:t>
      </w:r>
      <w:r>
        <w:rPr>
          <w:rFonts w:hint="eastAsia"/>
          <w:color w:val="auto"/>
          <w:highlight w:val="none"/>
          <w:u w:val="none"/>
        </w:rPr>
        <w:t>m</w:t>
      </w:r>
      <w:r>
        <w:rPr>
          <w:rFonts w:hint="eastAsia"/>
          <w:color w:val="auto"/>
          <w:highlight w:val="none"/>
          <w:u w:val="none"/>
          <w:vertAlign w:val="superscript"/>
        </w:rPr>
        <w:t>3</w:t>
      </w:r>
      <w:r>
        <w:rPr>
          <w:rFonts w:hint="eastAsia"/>
          <w:color w:val="auto"/>
          <w:highlight w:val="none"/>
          <w:u w:val="none"/>
        </w:rPr>
        <w:t>，其中水基钻井液合计</w:t>
      </w:r>
      <w:r>
        <w:rPr>
          <w:rFonts w:hint="eastAsia"/>
          <w:color w:val="auto"/>
          <w:highlight w:val="none"/>
          <w:u w:val="none"/>
          <w:lang w:val="en-US" w:eastAsia="zh-CN"/>
        </w:rPr>
        <w:t>1434</w:t>
      </w:r>
      <w:r>
        <w:rPr>
          <w:rFonts w:hint="eastAsia"/>
          <w:color w:val="auto"/>
          <w:highlight w:val="none"/>
          <w:u w:val="none"/>
        </w:rPr>
        <w:t>m</w:t>
      </w:r>
      <w:r>
        <w:rPr>
          <w:rFonts w:hint="eastAsia"/>
          <w:color w:val="auto"/>
          <w:highlight w:val="none"/>
          <w:u w:val="none"/>
          <w:vertAlign w:val="superscript"/>
        </w:rPr>
        <w:t>3</w:t>
      </w:r>
      <w:r>
        <w:rPr>
          <w:rFonts w:hint="eastAsia"/>
          <w:color w:val="auto"/>
          <w:highlight w:val="none"/>
          <w:u w:val="none"/>
        </w:rPr>
        <w:t>，油基钻井液合计</w:t>
      </w:r>
      <w:r>
        <w:rPr>
          <w:rFonts w:hint="eastAsia"/>
          <w:color w:val="auto"/>
          <w:highlight w:val="none"/>
          <w:u w:val="none"/>
          <w:lang w:val="en-US" w:eastAsia="zh-CN"/>
        </w:rPr>
        <w:t>499</w:t>
      </w:r>
      <w:r>
        <w:rPr>
          <w:rFonts w:hint="eastAsia"/>
          <w:color w:val="auto"/>
          <w:highlight w:val="none"/>
          <w:u w:val="none"/>
        </w:rPr>
        <w:t>m</w:t>
      </w:r>
      <w:r>
        <w:rPr>
          <w:rFonts w:hint="eastAsia"/>
          <w:color w:val="auto"/>
          <w:highlight w:val="none"/>
          <w:u w:val="none"/>
          <w:vertAlign w:val="superscript"/>
        </w:rPr>
        <w:t>3</w:t>
      </w:r>
      <w:r>
        <w:rPr>
          <w:rFonts w:hint="eastAsia"/>
          <w:color w:val="auto"/>
          <w:highlight w:val="none"/>
          <w:u w:val="none"/>
        </w:rPr>
        <w:t>。采用经不落地系统进行处理，在井场进行固液分离，分离后的液相回用于钻井液配备</w:t>
      </w:r>
      <w:r>
        <w:rPr>
          <w:rFonts w:hint="eastAsia" w:eastAsia="宋体"/>
          <w:color w:val="auto"/>
          <w:highlight w:val="none"/>
          <w:u w:val="none"/>
          <w:lang w:eastAsia="zh-CN"/>
        </w:rPr>
        <w:t>。</w:t>
      </w:r>
    </w:p>
    <w:p w14:paraId="7929A5C9">
      <w:pPr>
        <w:pStyle w:val="60"/>
        <w:keepNext w:val="0"/>
        <w:keepLines w:val="0"/>
        <w:pageBreakBefore w:val="0"/>
        <w:widowControl w:val="0"/>
        <w:kinsoku/>
        <w:overflowPunct/>
        <w:topLinePunct w:val="0"/>
        <w:autoSpaceDE/>
        <w:autoSpaceDN/>
        <w:bidi w:val="0"/>
        <w:adjustRightInd/>
        <w:snapToGrid/>
        <w:spacing w:line="480" w:lineRule="exact"/>
        <w:ind w:left="0" w:leftChars="0" w:firstLine="480" w:firstLineChars="200"/>
        <w:textAlignment w:val="auto"/>
        <w:rPr>
          <w:color w:val="auto"/>
          <w:highlight w:val="none"/>
          <w:u w:val="none"/>
        </w:rPr>
      </w:pPr>
      <w:r>
        <w:rPr>
          <w:rFonts w:hint="eastAsia"/>
          <w:color w:val="auto"/>
          <w:highlight w:val="none"/>
          <w:u w:val="none"/>
          <w:lang w:val="en-US" w:eastAsia="zh-CN"/>
        </w:rPr>
        <w:t>2）</w:t>
      </w:r>
      <w:r>
        <w:rPr>
          <w:rFonts w:hint="eastAsia"/>
          <w:color w:val="auto"/>
          <w:highlight w:val="none"/>
          <w:u w:val="none"/>
        </w:rPr>
        <w:t>钻井岩屑</w:t>
      </w:r>
    </w:p>
    <w:p w14:paraId="7FF18337">
      <w:pPr>
        <w:pStyle w:val="60"/>
        <w:keepNext w:val="0"/>
        <w:keepLines w:val="0"/>
        <w:pageBreakBefore w:val="0"/>
        <w:widowControl w:val="0"/>
        <w:kinsoku/>
        <w:overflowPunct/>
        <w:topLinePunct w:val="0"/>
        <w:autoSpaceDE/>
        <w:autoSpaceDN/>
        <w:bidi w:val="0"/>
        <w:adjustRightInd/>
        <w:snapToGrid/>
        <w:spacing w:line="480" w:lineRule="exact"/>
        <w:textAlignment w:val="auto"/>
        <w:rPr>
          <w:color w:val="auto"/>
          <w:highlight w:val="none"/>
          <w:u w:val="none"/>
        </w:rPr>
      </w:pPr>
      <w:r>
        <w:rPr>
          <w:rFonts w:hint="eastAsia"/>
          <w:color w:val="auto"/>
          <w:highlight w:val="none"/>
          <w:u w:val="none"/>
        </w:rPr>
        <w:t>钻井过程中，岩石经钻头和泥浆的研磨而破碎成岩屑，并经泥浆携带至地面，进入不落地系统中，可进入废液池中的单井岩屑可用下式计算</w:t>
      </w:r>
      <w:r>
        <w:rPr>
          <w:color w:val="auto"/>
          <w:highlight w:val="none"/>
          <w:u w:val="none"/>
        </w:rPr>
        <w:t>：</w:t>
      </w:r>
    </w:p>
    <w:p w14:paraId="3CF461A1">
      <w:pPr>
        <w:pStyle w:val="60"/>
        <w:keepNext w:val="0"/>
        <w:keepLines w:val="0"/>
        <w:pageBreakBefore w:val="0"/>
        <w:widowControl w:val="0"/>
        <w:kinsoku/>
        <w:overflowPunct/>
        <w:topLinePunct w:val="0"/>
        <w:autoSpaceDE/>
        <w:autoSpaceDN/>
        <w:bidi w:val="0"/>
        <w:adjustRightInd/>
        <w:snapToGrid/>
        <w:spacing w:line="480" w:lineRule="exact"/>
        <w:jc w:val="center"/>
        <w:textAlignment w:val="auto"/>
        <w:rPr>
          <w:color w:val="auto"/>
          <w:highlight w:val="none"/>
          <w:u w:val="none"/>
          <w:lang w:val="en-US"/>
        </w:rPr>
      </w:pPr>
      <w:r>
        <w:rPr>
          <w:color w:val="auto"/>
          <w:highlight w:val="none"/>
          <w:u w:val="none"/>
          <w:lang w:val="en-US"/>
        </w:rPr>
        <w:t>W=1/4×π×D</w:t>
      </w:r>
      <w:r>
        <w:rPr>
          <w:color w:val="auto"/>
          <w:highlight w:val="none"/>
          <w:u w:val="none"/>
          <w:vertAlign w:val="superscript"/>
          <w:lang w:val="en-US"/>
        </w:rPr>
        <w:t>2</w:t>
      </w:r>
      <w:r>
        <w:rPr>
          <w:color w:val="auto"/>
          <w:highlight w:val="none"/>
          <w:u w:val="none"/>
          <w:lang w:val="en-US"/>
        </w:rPr>
        <w:t>×h×d</w:t>
      </w:r>
    </w:p>
    <w:p w14:paraId="0C5E9D57">
      <w:pPr>
        <w:pStyle w:val="60"/>
        <w:keepNext w:val="0"/>
        <w:keepLines w:val="0"/>
        <w:pageBreakBefore w:val="0"/>
        <w:widowControl w:val="0"/>
        <w:kinsoku/>
        <w:overflowPunct/>
        <w:topLinePunct w:val="0"/>
        <w:autoSpaceDE/>
        <w:autoSpaceDN/>
        <w:bidi w:val="0"/>
        <w:adjustRightInd/>
        <w:snapToGrid/>
        <w:spacing w:line="480" w:lineRule="exact"/>
        <w:jc w:val="both"/>
        <w:textAlignment w:val="auto"/>
        <w:rPr>
          <w:color w:val="auto"/>
          <w:highlight w:val="none"/>
          <w:u w:val="none"/>
          <w:lang w:val="en-US"/>
        </w:rPr>
      </w:pPr>
      <w:r>
        <w:rPr>
          <w:color w:val="auto"/>
          <w:highlight w:val="none"/>
          <w:u w:val="none"/>
          <w:lang w:val="en-US"/>
        </w:rPr>
        <w:t>式中：W——产生的岩屑量，m</w:t>
      </w:r>
      <w:r>
        <w:rPr>
          <w:color w:val="auto"/>
          <w:highlight w:val="none"/>
          <w:u w:val="none"/>
          <w:vertAlign w:val="superscript"/>
          <w:lang w:val="en-US"/>
        </w:rPr>
        <w:t>3</w:t>
      </w:r>
      <w:r>
        <w:rPr>
          <w:color w:val="auto"/>
          <w:highlight w:val="none"/>
          <w:u w:val="none"/>
          <w:lang w:val="en-US"/>
        </w:rPr>
        <w:t>；</w:t>
      </w:r>
    </w:p>
    <w:p w14:paraId="0FE57F04">
      <w:pPr>
        <w:pStyle w:val="60"/>
        <w:keepNext w:val="0"/>
        <w:keepLines w:val="0"/>
        <w:pageBreakBefore w:val="0"/>
        <w:widowControl w:val="0"/>
        <w:kinsoku/>
        <w:overflowPunct/>
        <w:topLinePunct w:val="0"/>
        <w:autoSpaceDE/>
        <w:autoSpaceDN/>
        <w:bidi w:val="0"/>
        <w:adjustRightInd/>
        <w:snapToGrid/>
        <w:spacing w:line="480" w:lineRule="exact"/>
        <w:jc w:val="both"/>
        <w:textAlignment w:val="auto"/>
        <w:rPr>
          <w:rFonts w:hint="eastAsia" w:eastAsia="宋体"/>
          <w:color w:val="auto"/>
          <w:highlight w:val="none"/>
          <w:u w:val="none"/>
          <w:lang w:val="en-US" w:eastAsia="zh-CN"/>
        </w:rPr>
      </w:pPr>
      <w:r>
        <w:rPr>
          <w:color w:val="auto"/>
          <w:highlight w:val="none"/>
          <w:u w:val="none"/>
          <w:lang w:val="en-US"/>
        </w:rPr>
        <w:t xml:space="preserve">      D——井眼平均井径，mm</w:t>
      </w:r>
      <w:r>
        <w:rPr>
          <w:rFonts w:hint="eastAsia"/>
          <w:color w:val="auto"/>
          <w:highlight w:val="none"/>
          <w:u w:val="none"/>
          <w:lang w:val="en-US" w:eastAsia="zh-CN"/>
        </w:rPr>
        <w:t>；</w:t>
      </w:r>
    </w:p>
    <w:p w14:paraId="69D30F22">
      <w:pPr>
        <w:pStyle w:val="60"/>
        <w:keepNext w:val="0"/>
        <w:keepLines w:val="0"/>
        <w:pageBreakBefore w:val="0"/>
        <w:widowControl w:val="0"/>
        <w:kinsoku/>
        <w:overflowPunct/>
        <w:topLinePunct w:val="0"/>
        <w:autoSpaceDE/>
        <w:autoSpaceDN/>
        <w:bidi w:val="0"/>
        <w:adjustRightInd/>
        <w:snapToGrid/>
        <w:spacing w:line="480" w:lineRule="exact"/>
        <w:jc w:val="both"/>
        <w:textAlignment w:val="auto"/>
        <w:rPr>
          <w:color w:val="auto"/>
          <w:highlight w:val="none"/>
          <w:u w:val="none"/>
          <w:lang w:val="en-US"/>
        </w:rPr>
      </w:pPr>
      <w:r>
        <w:rPr>
          <w:color w:val="auto"/>
          <w:highlight w:val="none"/>
          <w:u w:val="none"/>
          <w:lang w:val="en-US"/>
        </w:rPr>
        <w:t xml:space="preserve">      h——裸眼长度，m；</w:t>
      </w:r>
    </w:p>
    <w:p w14:paraId="5B006F10">
      <w:pPr>
        <w:pStyle w:val="60"/>
        <w:keepNext w:val="0"/>
        <w:keepLines w:val="0"/>
        <w:pageBreakBefore w:val="0"/>
        <w:widowControl w:val="0"/>
        <w:kinsoku/>
        <w:overflowPunct/>
        <w:topLinePunct w:val="0"/>
        <w:autoSpaceDE/>
        <w:autoSpaceDN/>
        <w:bidi w:val="0"/>
        <w:adjustRightInd/>
        <w:snapToGrid/>
        <w:spacing w:line="480" w:lineRule="exact"/>
        <w:jc w:val="both"/>
        <w:textAlignment w:val="auto"/>
        <w:rPr>
          <w:color w:val="auto"/>
          <w:highlight w:val="none"/>
          <w:u w:val="none"/>
          <w:lang w:val="en-US"/>
        </w:rPr>
      </w:pPr>
      <w:r>
        <w:rPr>
          <w:color w:val="auto"/>
          <w:highlight w:val="none"/>
          <w:u w:val="none"/>
          <w:lang w:val="en-US"/>
        </w:rPr>
        <w:t xml:space="preserve">      d——岩屑膨胀系数，</w:t>
      </w:r>
      <w:r>
        <w:rPr>
          <w:rFonts w:hint="eastAsia"/>
          <w:color w:val="auto"/>
          <w:highlight w:val="none"/>
          <w:u w:val="none"/>
          <w:lang w:val="en-US"/>
        </w:rPr>
        <w:t>水基</w:t>
      </w:r>
      <w:r>
        <w:rPr>
          <w:rFonts w:hint="eastAsia"/>
          <w:color w:val="auto"/>
          <w:highlight w:val="none"/>
          <w:u w:val="none"/>
          <w:lang w:val="en-US" w:eastAsia="zh-CN"/>
        </w:rPr>
        <w:t>岩屑</w:t>
      </w:r>
      <w:r>
        <w:rPr>
          <w:color w:val="auto"/>
          <w:highlight w:val="none"/>
          <w:u w:val="none"/>
          <w:lang w:val="en-US"/>
        </w:rPr>
        <w:t>取</w:t>
      </w:r>
      <w:r>
        <w:rPr>
          <w:rFonts w:hint="eastAsia"/>
          <w:color w:val="auto"/>
          <w:highlight w:val="none"/>
          <w:u w:val="none"/>
          <w:lang w:val="en-US" w:eastAsia="zh-CN"/>
        </w:rPr>
        <w:t>4，油基岩屑取4.5</w:t>
      </w:r>
      <w:r>
        <w:rPr>
          <w:color w:val="auto"/>
          <w:highlight w:val="none"/>
          <w:u w:val="none"/>
          <w:lang w:val="en-US"/>
        </w:rPr>
        <w:t>。</w:t>
      </w:r>
    </w:p>
    <w:p w14:paraId="2ACBB044">
      <w:pPr>
        <w:pStyle w:val="60"/>
        <w:keepNext w:val="0"/>
        <w:keepLines w:val="0"/>
        <w:pageBreakBefore w:val="0"/>
        <w:widowControl w:val="0"/>
        <w:kinsoku/>
        <w:overflowPunct/>
        <w:topLinePunct w:val="0"/>
        <w:autoSpaceDE/>
        <w:autoSpaceDN/>
        <w:bidi w:val="0"/>
        <w:adjustRightInd/>
        <w:snapToGrid/>
        <w:spacing w:line="480" w:lineRule="exact"/>
        <w:textAlignment w:val="auto"/>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eastAsia="zh-CN"/>
        </w:rPr>
        <w:t>根据上述</w:t>
      </w:r>
      <w:r>
        <w:rPr>
          <w:rFonts w:hint="eastAsia" w:cs="Times New Roman"/>
          <w:color w:val="auto"/>
          <w:sz w:val="24"/>
          <w:szCs w:val="24"/>
          <w:highlight w:val="none"/>
          <w:u w:val="none"/>
          <w:lang w:eastAsia="zh-CN"/>
        </w:rPr>
        <w:t>公式</w:t>
      </w:r>
      <w:r>
        <w:rPr>
          <w:rFonts w:hint="eastAsia" w:ascii="Times New Roman" w:hAnsi="Times New Roman" w:eastAsia="宋体" w:cs="Times New Roman"/>
          <w:color w:val="auto"/>
          <w:sz w:val="24"/>
          <w:szCs w:val="24"/>
          <w:highlight w:val="none"/>
          <w:u w:val="none"/>
          <w:lang w:eastAsia="zh-CN"/>
        </w:rPr>
        <w:t>计算，钻井岩屑产生量计算见表</w:t>
      </w:r>
      <w:r>
        <w:rPr>
          <w:rFonts w:hint="eastAsia" w:cs="Times New Roman"/>
          <w:color w:val="auto"/>
          <w:sz w:val="24"/>
          <w:szCs w:val="24"/>
          <w:highlight w:val="none"/>
          <w:u w:val="none"/>
          <w:lang w:val="en-US" w:eastAsia="zh-CN"/>
        </w:rPr>
        <w:t>3.4-6</w:t>
      </w:r>
      <w:r>
        <w:rPr>
          <w:rFonts w:hint="eastAsia" w:ascii="Times New Roman" w:hAnsi="Times New Roman" w:eastAsia="宋体" w:cs="Times New Roman"/>
          <w:color w:val="auto"/>
          <w:sz w:val="24"/>
          <w:szCs w:val="24"/>
          <w:highlight w:val="none"/>
          <w:u w:val="none"/>
          <w:lang w:eastAsia="zh-CN"/>
        </w:rPr>
        <w:t>。</w:t>
      </w:r>
    </w:p>
    <w:p w14:paraId="1C7B6A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GB" w:eastAsia="zh-CN" w:bidi="ar-SA"/>
        </w:rPr>
      </w:pPr>
      <w:r>
        <w:rPr>
          <w:rFonts w:hint="eastAsia" w:ascii="黑体" w:hAnsi="黑体" w:eastAsia="黑体" w:cs="黑体"/>
          <w:b w:val="0"/>
          <w:bCs/>
          <w:color w:val="auto"/>
          <w:kern w:val="2"/>
          <w:sz w:val="24"/>
          <w:szCs w:val="24"/>
          <w:u w:val="none"/>
          <w:lang w:val="en-GB" w:eastAsia="zh-CN" w:bidi="ar-SA"/>
        </w:rPr>
        <w:t>表3.</w:t>
      </w:r>
      <w:r>
        <w:rPr>
          <w:rFonts w:hint="eastAsia" w:ascii="黑体" w:hAnsi="黑体" w:eastAsia="黑体" w:cs="黑体"/>
          <w:b w:val="0"/>
          <w:bCs/>
          <w:color w:val="auto"/>
          <w:kern w:val="2"/>
          <w:sz w:val="24"/>
          <w:szCs w:val="24"/>
          <w:u w:val="none"/>
          <w:lang w:val="en-US" w:eastAsia="zh-CN" w:bidi="ar-SA"/>
        </w:rPr>
        <w:t xml:space="preserve">4-6   </w:t>
      </w:r>
      <w:r>
        <w:rPr>
          <w:rFonts w:hint="eastAsia" w:ascii="黑体" w:hAnsi="黑体" w:eastAsia="黑体" w:cs="黑体"/>
          <w:b w:val="0"/>
          <w:bCs/>
          <w:color w:val="auto"/>
          <w:kern w:val="2"/>
          <w:sz w:val="24"/>
          <w:szCs w:val="24"/>
          <w:u w:val="none"/>
          <w:lang w:val="en-GB" w:eastAsia="zh-CN" w:bidi="ar-SA"/>
        </w:rPr>
        <w:t>钻井岩屑估算表</w:t>
      </w:r>
    </w:p>
    <w:tbl>
      <w:tblPr>
        <w:tblStyle w:val="37"/>
        <w:tblW w:w="505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35"/>
        <w:gridCol w:w="1455"/>
        <w:gridCol w:w="1544"/>
        <w:gridCol w:w="1441"/>
        <w:gridCol w:w="1572"/>
        <w:gridCol w:w="1596"/>
      </w:tblGrid>
      <w:tr w14:paraId="6D177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6E7196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开钻次序</w:t>
            </w:r>
          </w:p>
        </w:tc>
        <w:tc>
          <w:tcPr>
            <w:tcW w:w="832" w:type="pct"/>
            <w:tcBorders>
              <w:tl2br w:val="nil"/>
              <w:tr2bl w:val="nil"/>
            </w:tcBorders>
            <w:noWrap w:val="0"/>
            <w:vAlign w:val="center"/>
          </w:tcPr>
          <w:p w14:paraId="000296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井段m</w:t>
            </w:r>
          </w:p>
        </w:tc>
        <w:tc>
          <w:tcPr>
            <w:tcW w:w="883" w:type="pct"/>
            <w:tcBorders>
              <w:tl2br w:val="nil"/>
              <w:tr2bl w:val="nil"/>
            </w:tcBorders>
            <w:noWrap w:val="0"/>
            <w:vAlign w:val="center"/>
          </w:tcPr>
          <w:p w14:paraId="5E6D34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钻头直径mm</w:t>
            </w:r>
          </w:p>
        </w:tc>
        <w:tc>
          <w:tcPr>
            <w:tcW w:w="824" w:type="pct"/>
            <w:tcBorders>
              <w:tl2br w:val="nil"/>
              <w:tr2bl w:val="nil"/>
            </w:tcBorders>
            <w:noWrap w:val="0"/>
            <w:vAlign w:val="center"/>
          </w:tcPr>
          <w:p w14:paraId="68D854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h深度m</w:t>
            </w:r>
          </w:p>
        </w:tc>
        <w:tc>
          <w:tcPr>
            <w:tcW w:w="899" w:type="pct"/>
            <w:tcBorders>
              <w:tl2br w:val="nil"/>
              <w:tr2bl w:val="nil"/>
            </w:tcBorders>
            <w:noWrap w:val="0"/>
            <w:vAlign w:val="center"/>
          </w:tcPr>
          <w:p w14:paraId="1F9EC7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岩屑</w:t>
            </w:r>
            <w:r>
              <w:rPr>
                <w:rFonts w:hint="eastAsia" w:ascii="宋体" w:hAnsi="宋体" w:eastAsia="宋体" w:cs="宋体"/>
                <w:color w:val="auto"/>
                <w:sz w:val="21"/>
                <w:szCs w:val="21"/>
                <w:highlight w:val="none"/>
                <w:u w:val="none"/>
              </w:rPr>
              <w:t>量m</w:t>
            </w:r>
            <w:r>
              <w:rPr>
                <w:rFonts w:hint="eastAsia" w:ascii="宋体" w:hAnsi="宋体" w:eastAsia="宋体" w:cs="宋体"/>
                <w:color w:val="auto"/>
                <w:sz w:val="21"/>
                <w:szCs w:val="21"/>
                <w:highlight w:val="none"/>
                <w:u w:val="none"/>
                <w:vertAlign w:val="superscript"/>
              </w:rPr>
              <w:t>3</w:t>
            </w:r>
          </w:p>
        </w:tc>
        <w:tc>
          <w:tcPr>
            <w:tcW w:w="911" w:type="pct"/>
            <w:tcBorders>
              <w:tl2br w:val="nil"/>
              <w:tr2bl w:val="nil"/>
            </w:tcBorders>
            <w:noWrap w:val="0"/>
            <w:vAlign w:val="center"/>
          </w:tcPr>
          <w:p w14:paraId="560C81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钻井液体系</w:t>
            </w:r>
          </w:p>
        </w:tc>
      </w:tr>
      <w:tr w14:paraId="48A7C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000" w:type="pct"/>
            <w:gridSpan w:val="6"/>
            <w:tcBorders>
              <w:tl2br w:val="nil"/>
              <w:tr2bl w:val="nil"/>
            </w:tcBorders>
            <w:noWrap w:val="0"/>
            <w:vAlign w:val="center"/>
          </w:tcPr>
          <w:p w14:paraId="7A9CE8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MBHW6006</w:t>
            </w:r>
            <w:r>
              <w:rPr>
                <w:rFonts w:hint="eastAsia" w:ascii="宋体" w:hAnsi="宋体" w:eastAsia="宋体" w:cs="宋体"/>
                <w:color w:val="auto"/>
                <w:sz w:val="21"/>
                <w:szCs w:val="21"/>
                <w:highlight w:val="none"/>
                <w:u w:val="none"/>
              </w:rPr>
              <w:t>井</w:t>
            </w:r>
          </w:p>
        </w:tc>
      </w:tr>
      <w:tr w14:paraId="116AA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2A50C3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一开</w:t>
            </w:r>
          </w:p>
        </w:tc>
        <w:tc>
          <w:tcPr>
            <w:tcW w:w="832" w:type="pct"/>
            <w:tcBorders>
              <w:tl2br w:val="nil"/>
              <w:tr2bl w:val="nil"/>
            </w:tcBorders>
            <w:noWrap w:val="0"/>
            <w:vAlign w:val="center"/>
          </w:tcPr>
          <w:p w14:paraId="609AB6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500</w:t>
            </w:r>
          </w:p>
        </w:tc>
        <w:tc>
          <w:tcPr>
            <w:tcW w:w="883" w:type="pct"/>
            <w:tcBorders>
              <w:tl2br w:val="nil"/>
              <w:tr2bl w:val="nil"/>
            </w:tcBorders>
            <w:noWrap w:val="0"/>
            <w:vAlign w:val="center"/>
          </w:tcPr>
          <w:p w14:paraId="2CEDB9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444.5</w:t>
            </w:r>
          </w:p>
        </w:tc>
        <w:tc>
          <w:tcPr>
            <w:tcW w:w="824" w:type="pct"/>
            <w:tcBorders>
              <w:tl2br w:val="nil"/>
              <w:tr2bl w:val="nil"/>
            </w:tcBorders>
            <w:noWrap w:val="0"/>
            <w:vAlign w:val="center"/>
          </w:tcPr>
          <w:p w14:paraId="3332D6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p>
        </w:tc>
        <w:tc>
          <w:tcPr>
            <w:tcW w:w="899" w:type="pct"/>
            <w:tcBorders>
              <w:tl2br w:val="nil"/>
              <w:tr2bl w:val="nil"/>
            </w:tcBorders>
            <w:noWrap w:val="0"/>
            <w:vAlign w:val="center"/>
          </w:tcPr>
          <w:p w14:paraId="46CBF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312</w:t>
            </w:r>
          </w:p>
        </w:tc>
        <w:tc>
          <w:tcPr>
            <w:tcW w:w="911" w:type="pct"/>
            <w:vMerge w:val="restart"/>
            <w:tcBorders>
              <w:tl2br w:val="nil"/>
              <w:tr2bl w:val="nil"/>
            </w:tcBorders>
            <w:noWrap w:val="0"/>
            <w:vAlign w:val="center"/>
          </w:tcPr>
          <w:p w14:paraId="094A5F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水基坂土-聚合物体系</w:t>
            </w:r>
          </w:p>
        </w:tc>
      </w:tr>
      <w:tr w14:paraId="5311F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481A60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val="en-US" w:eastAsia="zh-CN"/>
              </w:rPr>
              <w:t>开</w:t>
            </w:r>
          </w:p>
        </w:tc>
        <w:tc>
          <w:tcPr>
            <w:tcW w:w="832" w:type="pct"/>
            <w:tcBorders>
              <w:tl2br w:val="nil"/>
              <w:tr2bl w:val="nil"/>
            </w:tcBorders>
            <w:noWrap w:val="0"/>
            <w:vAlign w:val="center"/>
          </w:tcPr>
          <w:p w14:paraId="3C4870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4020</w:t>
            </w:r>
          </w:p>
        </w:tc>
        <w:tc>
          <w:tcPr>
            <w:tcW w:w="883" w:type="pct"/>
            <w:tcBorders>
              <w:tl2br w:val="nil"/>
              <w:tr2bl w:val="nil"/>
            </w:tcBorders>
            <w:noWrap w:val="0"/>
            <w:vAlign w:val="center"/>
          </w:tcPr>
          <w:p w14:paraId="4E1000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311.2</w:t>
            </w:r>
          </w:p>
        </w:tc>
        <w:tc>
          <w:tcPr>
            <w:tcW w:w="824" w:type="pct"/>
            <w:tcBorders>
              <w:tl2br w:val="nil"/>
              <w:tr2bl w:val="nil"/>
            </w:tcBorders>
            <w:noWrap w:val="0"/>
            <w:vAlign w:val="center"/>
          </w:tcPr>
          <w:p w14:paraId="667C2E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3520</w:t>
            </w:r>
          </w:p>
        </w:tc>
        <w:tc>
          <w:tcPr>
            <w:tcW w:w="899" w:type="pct"/>
            <w:tcBorders>
              <w:tl2br w:val="nil"/>
              <w:tr2bl w:val="nil"/>
            </w:tcBorders>
            <w:noWrap w:val="0"/>
            <w:vAlign w:val="center"/>
          </w:tcPr>
          <w:p w14:paraId="5A7128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1072</w:t>
            </w:r>
          </w:p>
        </w:tc>
        <w:tc>
          <w:tcPr>
            <w:tcW w:w="911" w:type="pct"/>
            <w:vMerge w:val="continue"/>
            <w:tcBorders>
              <w:tl2br w:val="nil"/>
              <w:tr2bl w:val="nil"/>
            </w:tcBorders>
            <w:noWrap w:val="0"/>
            <w:vAlign w:val="center"/>
          </w:tcPr>
          <w:p w14:paraId="5F246E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p>
        </w:tc>
      </w:tr>
      <w:tr w14:paraId="0CE85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268248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三开</w:t>
            </w:r>
          </w:p>
        </w:tc>
        <w:tc>
          <w:tcPr>
            <w:tcW w:w="832" w:type="pct"/>
            <w:tcBorders>
              <w:tl2br w:val="nil"/>
              <w:tr2bl w:val="nil"/>
            </w:tcBorders>
            <w:noWrap w:val="0"/>
            <w:vAlign w:val="center"/>
          </w:tcPr>
          <w:p w14:paraId="37371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4020-5565</w:t>
            </w:r>
          </w:p>
        </w:tc>
        <w:tc>
          <w:tcPr>
            <w:tcW w:w="883" w:type="pct"/>
            <w:tcBorders>
              <w:tl2br w:val="nil"/>
              <w:tr2bl w:val="nil"/>
            </w:tcBorders>
            <w:noWrap w:val="0"/>
            <w:vAlign w:val="center"/>
          </w:tcPr>
          <w:p w14:paraId="4E6BA7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215.9</w:t>
            </w:r>
          </w:p>
        </w:tc>
        <w:tc>
          <w:tcPr>
            <w:tcW w:w="824" w:type="pct"/>
            <w:tcBorders>
              <w:tl2br w:val="nil"/>
              <w:tr2bl w:val="nil"/>
            </w:tcBorders>
            <w:noWrap w:val="0"/>
            <w:vAlign w:val="center"/>
          </w:tcPr>
          <w:p w14:paraId="29CDC9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1545</w:t>
            </w:r>
          </w:p>
        </w:tc>
        <w:tc>
          <w:tcPr>
            <w:tcW w:w="899" w:type="pct"/>
            <w:tcBorders>
              <w:tl2br w:val="nil"/>
              <w:tr2bl w:val="nil"/>
            </w:tcBorders>
            <w:noWrap w:val="0"/>
            <w:vAlign w:val="center"/>
          </w:tcPr>
          <w:p w14:paraId="158254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257</w:t>
            </w:r>
          </w:p>
        </w:tc>
        <w:tc>
          <w:tcPr>
            <w:tcW w:w="911" w:type="pct"/>
            <w:tcBorders>
              <w:tl2br w:val="nil"/>
              <w:tr2bl w:val="nil"/>
            </w:tcBorders>
            <w:noWrap w:val="0"/>
            <w:vAlign w:val="center"/>
          </w:tcPr>
          <w:p w14:paraId="4B15B3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白/柴油体系</w:t>
            </w:r>
          </w:p>
        </w:tc>
      </w:tr>
      <w:tr w14:paraId="0CD6B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000" w:type="pct"/>
            <w:gridSpan w:val="6"/>
            <w:tcBorders>
              <w:tl2br w:val="nil"/>
              <w:tr2bl w:val="nil"/>
            </w:tcBorders>
            <w:noWrap w:val="0"/>
            <w:vAlign w:val="center"/>
          </w:tcPr>
          <w:p w14:paraId="30514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MBHW6008</w:t>
            </w:r>
            <w:r>
              <w:rPr>
                <w:rFonts w:hint="eastAsia" w:ascii="宋体" w:hAnsi="宋体" w:eastAsia="宋体" w:cs="宋体"/>
                <w:color w:val="auto"/>
                <w:sz w:val="21"/>
                <w:szCs w:val="21"/>
                <w:highlight w:val="none"/>
                <w:u w:val="none"/>
              </w:rPr>
              <w:t>井</w:t>
            </w:r>
          </w:p>
        </w:tc>
      </w:tr>
      <w:tr w14:paraId="18B58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6639DF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一开</w:t>
            </w:r>
          </w:p>
        </w:tc>
        <w:tc>
          <w:tcPr>
            <w:tcW w:w="832" w:type="pct"/>
            <w:tcBorders>
              <w:tl2br w:val="nil"/>
              <w:tr2bl w:val="nil"/>
            </w:tcBorders>
            <w:noWrap w:val="0"/>
            <w:vAlign w:val="center"/>
          </w:tcPr>
          <w:p w14:paraId="5824C9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500</w:t>
            </w:r>
          </w:p>
        </w:tc>
        <w:tc>
          <w:tcPr>
            <w:tcW w:w="883" w:type="pct"/>
            <w:tcBorders>
              <w:tl2br w:val="nil"/>
              <w:tr2bl w:val="nil"/>
            </w:tcBorders>
            <w:noWrap w:val="0"/>
            <w:vAlign w:val="center"/>
          </w:tcPr>
          <w:p w14:paraId="02A438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444.5</w:t>
            </w:r>
          </w:p>
        </w:tc>
        <w:tc>
          <w:tcPr>
            <w:tcW w:w="824" w:type="pct"/>
            <w:tcBorders>
              <w:tl2br w:val="nil"/>
              <w:tr2bl w:val="nil"/>
            </w:tcBorders>
            <w:noWrap w:val="0"/>
            <w:vAlign w:val="center"/>
          </w:tcPr>
          <w:p w14:paraId="64CF4D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p>
        </w:tc>
        <w:tc>
          <w:tcPr>
            <w:tcW w:w="1568" w:type="dxa"/>
            <w:tcBorders>
              <w:tl2br w:val="nil"/>
              <w:tr2bl w:val="nil"/>
            </w:tcBorders>
            <w:noWrap w:val="0"/>
            <w:vAlign w:val="center"/>
          </w:tcPr>
          <w:p w14:paraId="27E615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312</w:t>
            </w:r>
          </w:p>
        </w:tc>
        <w:tc>
          <w:tcPr>
            <w:tcW w:w="911" w:type="pct"/>
            <w:vMerge w:val="restart"/>
            <w:tcBorders>
              <w:tl2br w:val="nil"/>
              <w:tr2bl w:val="nil"/>
            </w:tcBorders>
            <w:noWrap w:val="0"/>
            <w:vAlign w:val="center"/>
          </w:tcPr>
          <w:p w14:paraId="213AA9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水基坂土-聚合物体系</w:t>
            </w:r>
          </w:p>
        </w:tc>
      </w:tr>
      <w:tr w14:paraId="5C108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2A8101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val="en-US" w:eastAsia="zh-CN"/>
              </w:rPr>
              <w:t>开</w:t>
            </w:r>
          </w:p>
        </w:tc>
        <w:tc>
          <w:tcPr>
            <w:tcW w:w="832" w:type="pct"/>
            <w:tcBorders>
              <w:tl2br w:val="nil"/>
              <w:tr2bl w:val="nil"/>
            </w:tcBorders>
            <w:noWrap w:val="0"/>
            <w:vAlign w:val="center"/>
          </w:tcPr>
          <w:p w14:paraId="77732C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4020</w:t>
            </w:r>
          </w:p>
        </w:tc>
        <w:tc>
          <w:tcPr>
            <w:tcW w:w="883" w:type="pct"/>
            <w:tcBorders>
              <w:tl2br w:val="nil"/>
              <w:tr2bl w:val="nil"/>
            </w:tcBorders>
            <w:noWrap w:val="0"/>
            <w:vAlign w:val="center"/>
          </w:tcPr>
          <w:p w14:paraId="4F399C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311.2</w:t>
            </w:r>
          </w:p>
        </w:tc>
        <w:tc>
          <w:tcPr>
            <w:tcW w:w="824" w:type="pct"/>
            <w:tcBorders>
              <w:tl2br w:val="nil"/>
              <w:tr2bl w:val="nil"/>
            </w:tcBorders>
            <w:noWrap w:val="0"/>
            <w:vAlign w:val="center"/>
          </w:tcPr>
          <w:p w14:paraId="796FF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3520</w:t>
            </w:r>
          </w:p>
        </w:tc>
        <w:tc>
          <w:tcPr>
            <w:tcW w:w="1568" w:type="dxa"/>
            <w:tcBorders>
              <w:tl2br w:val="nil"/>
              <w:tr2bl w:val="nil"/>
            </w:tcBorders>
            <w:noWrap w:val="0"/>
            <w:vAlign w:val="center"/>
          </w:tcPr>
          <w:p w14:paraId="130FF9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1072</w:t>
            </w:r>
          </w:p>
        </w:tc>
        <w:tc>
          <w:tcPr>
            <w:tcW w:w="911" w:type="pct"/>
            <w:vMerge w:val="continue"/>
            <w:tcBorders>
              <w:tl2br w:val="nil"/>
              <w:tr2bl w:val="nil"/>
            </w:tcBorders>
            <w:noWrap w:val="0"/>
            <w:vAlign w:val="center"/>
          </w:tcPr>
          <w:p w14:paraId="708E8E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p>
        </w:tc>
      </w:tr>
      <w:tr w14:paraId="3CB93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67BFBC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三开</w:t>
            </w:r>
          </w:p>
        </w:tc>
        <w:tc>
          <w:tcPr>
            <w:tcW w:w="832" w:type="pct"/>
            <w:tcBorders>
              <w:tl2br w:val="nil"/>
              <w:tr2bl w:val="nil"/>
            </w:tcBorders>
            <w:noWrap w:val="0"/>
            <w:vAlign w:val="center"/>
          </w:tcPr>
          <w:p w14:paraId="55381A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4020-5580</w:t>
            </w:r>
          </w:p>
        </w:tc>
        <w:tc>
          <w:tcPr>
            <w:tcW w:w="883" w:type="pct"/>
            <w:tcBorders>
              <w:tl2br w:val="nil"/>
              <w:tr2bl w:val="nil"/>
            </w:tcBorders>
            <w:noWrap w:val="0"/>
            <w:vAlign w:val="center"/>
          </w:tcPr>
          <w:p w14:paraId="6111F6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215.9</w:t>
            </w:r>
          </w:p>
        </w:tc>
        <w:tc>
          <w:tcPr>
            <w:tcW w:w="824" w:type="pct"/>
            <w:tcBorders>
              <w:tl2br w:val="nil"/>
              <w:tr2bl w:val="nil"/>
            </w:tcBorders>
            <w:noWrap w:val="0"/>
            <w:vAlign w:val="center"/>
          </w:tcPr>
          <w:p w14:paraId="4D1806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1560</w:t>
            </w:r>
          </w:p>
        </w:tc>
        <w:tc>
          <w:tcPr>
            <w:tcW w:w="899" w:type="pct"/>
            <w:tcBorders>
              <w:tl2br w:val="nil"/>
              <w:tr2bl w:val="nil"/>
            </w:tcBorders>
            <w:noWrap w:val="0"/>
            <w:vAlign w:val="center"/>
          </w:tcPr>
          <w:p w14:paraId="1CE9A6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257</w:t>
            </w:r>
          </w:p>
        </w:tc>
        <w:tc>
          <w:tcPr>
            <w:tcW w:w="911" w:type="pct"/>
            <w:tcBorders>
              <w:tl2br w:val="nil"/>
              <w:tr2bl w:val="nil"/>
            </w:tcBorders>
            <w:noWrap w:val="0"/>
            <w:vAlign w:val="center"/>
          </w:tcPr>
          <w:p w14:paraId="6B8FF1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白/柴油体系</w:t>
            </w:r>
          </w:p>
        </w:tc>
      </w:tr>
      <w:tr w14:paraId="27330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000" w:type="pct"/>
            <w:gridSpan w:val="6"/>
            <w:tcBorders>
              <w:tl2br w:val="nil"/>
              <w:tr2bl w:val="nil"/>
            </w:tcBorders>
            <w:noWrap w:val="0"/>
            <w:vAlign w:val="center"/>
          </w:tcPr>
          <w:p w14:paraId="376231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MBHW6009</w:t>
            </w:r>
            <w:r>
              <w:rPr>
                <w:rFonts w:hint="eastAsia" w:ascii="宋体" w:hAnsi="宋体" w:eastAsia="宋体" w:cs="宋体"/>
                <w:color w:val="auto"/>
                <w:sz w:val="21"/>
                <w:szCs w:val="21"/>
                <w:highlight w:val="none"/>
                <w:u w:val="none"/>
              </w:rPr>
              <w:t>井</w:t>
            </w:r>
          </w:p>
        </w:tc>
      </w:tr>
      <w:tr w14:paraId="38C0E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6D2E24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一开</w:t>
            </w:r>
          </w:p>
        </w:tc>
        <w:tc>
          <w:tcPr>
            <w:tcW w:w="832" w:type="pct"/>
            <w:tcBorders>
              <w:tl2br w:val="nil"/>
              <w:tr2bl w:val="nil"/>
            </w:tcBorders>
            <w:noWrap w:val="0"/>
            <w:vAlign w:val="center"/>
          </w:tcPr>
          <w:p w14:paraId="0466E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500</w:t>
            </w:r>
          </w:p>
        </w:tc>
        <w:tc>
          <w:tcPr>
            <w:tcW w:w="883" w:type="pct"/>
            <w:tcBorders>
              <w:tl2br w:val="nil"/>
              <w:tr2bl w:val="nil"/>
            </w:tcBorders>
            <w:noWrap w:val="0"/>
            <w:vAlign w:val="center"/>
          </w:tcPr>
          <w:p w14:paraId="5BFE6A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444.5</w:t>
            </w:r>
          </w:p>
        </w:tc>
        <w:tc>
          <w:tcPr>
            <w:tcW w:w="824" w:type="pct"/>
            <w:tcBorders>
              <w:tl2br w:val="nil"/>
              <w:tr2bl w:val="nil"/>
            </w:tcBorders>
            <w:noWrap w:val="0"/>
            <w:vAlign w:val="center"/>
          </w:tcPr>
          <w:p w14:paraId="4FF878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p>
        </w:tc>
        <w:tc>
          <w:tcPr>
            <w:tcW w:w="1568" w:type="dxa"/>
            <w:tcBorders>
              <w:tl2br w:val="nil"/>
              <w:tr2bl w:val="nil"/>
            </w:tcBorders>
            <w:noWrap w:val="0"/>
            <w:vAlign w:val="center"/>
          </w:tcPr>
          <w:p w14:paraId="23F1C2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312</w:t>
            </w:r>
          </w:p>
        </w:tc>
        <w:tc>
          <w:tcPr>
            <w:tcW w:w="911" w:type="pct"/>
            <w:vMerge w:val="restart"/>
            <w:tcBorders>
              <w:tl2br w:val="nil"/>
              <w:tr2bl w:val="nil"/>
            </w:tcBorders>
            <w:noWrap w:val="0"/>
            <w:vAlign w:val="center"/>
          </w:tcPr>
          <w:p w14:paraId="553329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水基坂土-聚合物体系</w:t>
            </w:r>
          </w:p>
        </w:tc>
      </w:tr>
      <w:tr w14:paraId="7FAC3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0AC643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val="en-US" w:eastAsia="zh-CN"/>
              </w:rPr>
              <w:t>开</w:t>
            </w:r>
          </w:p>
        </w:tc>
        <w:tc>
          <w:tcPr>
            <w:tcW w:w="832" w:type="pct"/>
            <w:tcBorders>
              <w:tl2br w:val="nil"/>
              <w:tr2bl w:val="nil"/>
            </w:tcBorders>
            <w:noWrap w:val="0"/>
            <w:vAlign w:val="center"/>
          </w:tcPr>
          <w:p w14:paraId="5D6D64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4020</w:t>
            </w:r>
          </w:p>
        </w:tc>
        <w:tc>
          <w:tcPr>
            <w:tcW w:w="883" w:type="pct"/>
            <w:tcBorders>
              <w:tl2br w:val="nil"/>
              <w:tr2bl w:val="nil"/>
            </w:tcBorders>
            <w:noWrap w:val="0"/>
            <w:vAlign w:val="center"/>
          </w:tcPr>
          <w:p w14:paraId="0B0849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311.2</w:t>
            </w:r>
          </w:p>
        </w:tc>
        <w:tc>
          <w:tcPr>
            <w:tcW w:w="824" w:type="pct"/>
            <w:tcBorders>
              <w:tl2br w:val="nil"/>
              <w:tr2bl w:val="nil"/>
            </w:tcBorders>
            <w:noWrap w:val="0"/>
            <w:vAlign w:val="center"/>
          </w:tcPr>
          <w:p w14:paraId="11FED7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3520</w:t>
            </w:r>
          </w:p>
        </w:tc>
        <w:tc>
          <w:tcPr>
            <w:tcW w:w="1568" w:type="dxa"/>
            <w:tcBorders>
              <w:tl2br w:val="nil"/>
              <w:tr2bl w:val="nil"/>
            </w:tcBorders>
            <w:noWrap w:val="0"/>
            <w:vAlign w:val="center"/>
          </w:tcPr>
          <w:p w14:paraId="26524E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1072</w:t>
            </w:r>
          </w:p>
        </w:tc>
        <w:tc>
          <w:tcPr>
            <w:tcW w:w="911" w:type="pct"/>
            <w:vMerge w:val="continue"/>
            <w:tcBorders>
              <w:tl2br w:val="nil"/>
              <w:tr2bl w:val="nil"/>
            </w:tcBorders>
            <w:noWrap w:val="0"/>
            <w:vAlign w:val="center"/>
          </w:tcPr>
          <w:p w14:paraId="1E59B6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rPr>
            </w:pPr>
          </w:p>
        </w:tc>
      </w:tr>
      <w:tr w14:paraId="655F4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49" w:type="pct"/>
            <w:tcBorders>
              <w:tl2br w:val="nil"/>
              <w:tr2bl w:val="nil"/>
            </w:tcBorders>
            <w:noWrap w:val="0"/>
            <w:vAlign w:val="center"/>
          </w:tcPr>
          <w:p w14:paraId="39B0C3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三开</w:t>
            </w:r>
          </w:p>
        </w:tc>
        <w:tc>
          <w:tcPr>
            <w:tcW w:w="832" w:type="pct"/>
            <w:tcBorders>
              <w:tl2br w:val="nil"/>
              <w:tr2bl w:val="nil"/>
            </w:tcBorders>
            <w:noWrap w:val="0"/>
            <w:vAlign w:val="center"/>
          </w:tcPr>
          <w:p w14:paraId="4167FD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4020-5685</w:t>
            </w:r>
          </w:p>
        </w:tc>
        <w:tc>
          <w:tcPr>
            <w:tcW w:w="883" w:type="pct"/>
            <w:tcBorders>
              <w:tl2br w:val="nil"/>
              <w:tr2bl w:val="nil"/>
            </w:tcBorders>
            <w:noWrap w:val="0"/>
            <w:vAlign w:val="center"/>
          </w:tcPr>
          <w:p w14:paraId="2552A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215.9</w:t>
            </w:r>
          </w:p>
        </w:tc>
        <w:tc>
          <w:tcPr>
            <w:tcW w:w="824" w:type="pct"/>
            <w:tcBorders>
              <w:tl2br w:val="nil"/>
              <w:tr2bl w:val="nil"/>
            </w:tcBorders>
            <w:noWrap w:val="0"/>
            <w:vAlign w:val="center"/>
          </w:tcPr>
          <w:p w14:paraId="3B9FA5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1665</w:t>
            </w:r>
          </w:p>
        </w:tc>
        <w:tc>
          <w:tcPr>
            <w:tcW w:w="899" w:type="pct"/>
            <w:tcBorders>
              <w:tl2br w:val="nil"/>
              <w:tr2bl w:val="nil"/>
            </w:tcBorders>
            <w:noWrap w:val="0"/>
            <w:vAlign w:val="center"/>
          </w:tcPr>
          <w:p w14:paraId="669FEE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275</w:t>
            </w:r>
          </w:p>
        </w:tc>
        <w:tc>
          <w:tcPr>
            <w:tcW w:w="911" w:type="pct"/>
            <w:tcBorders>
              <w:tl2br w:val="nil"/>
              <w:tr2bl w:val="nil"/>
            </w:tcBorders>
            <w:noWrap w:val="0"/>
            <w:vAlign w:val="center"/>
          </w:tcPr>
          <w:p w14:paraId="1D3D3F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白/柴油体系</w:t>
            </w:r>
          </w:p>
        </w:tc>
      </w:tr>
      <w:tr w14:paraId="522EF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88" w:type="pct"/>
            <w:gridSpan w:val="4"/>
            <w:tcBorders>
              <w:tl2br w:val="nil"/>
              <w:tr2bl w:val="nil"/>
            </w:tcBorders>
            <w:noWrap w:val="0"/>
            <w:vAlign w:val="center"/>
          </w:tcPr>
          <w:p w14:paraId="472D67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水基钻井液合计</w:t>
            </w:r>
          </w:p>
        </w:tc>
        <w:tc>
          <w:tcPr>
            <w:tcW w:w="899" w:type="pct"/>
            <w:tcBorders>
              <w:tl2br w:val="nil"/>
              <w:tr2bl w:val="nil"/>
            </w:tcBorders>
            <w:noWrap w:val="0"/>
            <w:vAlign w:val="center"/>
          </w:tcPr>
          <w:p w14:paraId="29DB26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4152</w:t>
            </w:r>
          </w:p>
        </w:tc>
        <w:tc>
          <w:tcPr>
            <w:tcW w:w="911" w:type="pct"/>
            <w:tcBorders>
              <w:tl2br w:val="nil"/>
              <w:tr2bl w:val="nil"/>
            </w:tcBorders>
            <w:noWrap w:val="0"/>
            <w:vAlign w:val="center"/>
          </w:tcPr>
          <w:p w14:paraId="61F017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r>
      <w:tr w14:paraId="46EDF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88" w:type="pct"/>
            <w:gridSpan w:val="4"/>
            <w:tcBorders>
              <w:tl2br w:val="nil"/>
              <w:tr2bl w:val="nil"/>
            </w:tcBorders>
            <w:noWrap w:val="0"/>
            <w:vAlign w:val="center"/>
          </w:tcPr>
          <w:p w14:paraId="67169C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油基钻井液合计</w:t>
            </w:r>
          </w:p>
        </w:tc>
        <w:tc>
          <w:tcPr>
            <w:tcW w:w="899" w:type="pct"/>
            <w:tcBorders>
              <w:tl2br w:val="nil"/>
              <w:tr2bl w:val="nil"/>
            </w:tcBorders>
            <w:noWrap w:val="0"/>
            <w:vAlign w:val="center"/>
          </w:tcPr>
          <w:p w14:paraId="210E8C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789</w:t>
            </w:r>
          </w:p>
        </w:tc>
        <w:tc>
          <w:tcPr>
            <w:tcW w:w="911" w:type="pct"/>
            <w:tcBorders>
              <w:tl2br w:val="nil"/>
              <w:tr2bl w:val="nil"/>
            </w:tcBorders>
            <w:noWrap w:val="0"/>
            <w:vAlign w:val="center"/>
          </w:tcPr>
          <w:p w14:paraId="70BBA2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r>
      <w:tr w14:paraId="61801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188" w:type="pct"/>
            <w:gridSpan w:val="4"/>
            <w:tcBorders>
              <w:tl2br w:val="nil"/>
              <w:tr2bl w:val="nil"/>
            </w:tcBorders>
            <w:noWrap w:val="0"/>
            <w:vAlign w:val="center"/>
          </w:tcPr>
          <w:p w14:paraId="2BC1FE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总计</w:t>
            </w:r>
          </w:p>
        </w:tc>
        <w:tc>
          <w:tcPr>
            <w:tcW w:w="899" w:type="pct"/>
            <w:tcBorders>
              <w:tl2br w:val="nil"/>
              <w:tr2bl w:val="nil"/>
            </w:tcBorders>
            <w:noWrap w:val="0"/>
            <w:vAlign w:val="center"/>
          </w:tcPr>
          <w:p w14:paraId="0F39BE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4941</w:t>
            </w:r>
          </w:p>
        </w:tc>
        <w:tc>
          <w:tcPr>
            <w:tcW w:w="911" w:type="pct"/>
            <w:tcBorders>
              <w:tl2br w:val="nil"/>
              <w:tr2bl w:val="nil"/>
            </w:tcBorders>
            <w:noWrap w:val="0"/>
            <w:vAlign w:val="center"/>
          </w:tcPr>
          <w:p w14:paraId="21FA58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r>
    </w:tbl>
    <w:p w14:paraId="030BBAC9">
      <w:pPr>
        <w:pStyle w:val="54"/>
        <w:keepNext w:val="0"/>
        <w:keepLines w:val="0"/>
        <w:pageBreakBefore w:val="0"/>
        <w:widowControl w:val="0"/>
        <w:kinsoku/>
        <w:overflowPunct/>
        <w:topLinePunct w:val="0"/>
        <w:autoSpaceDE/>
        <w:autoSpaceDN/>
        <w:bidi w:val="0"/>
        <w:spacing w:line="480" w:lineRule="exact"/>
        <w:ind w:firstLine="480" w:firstLineChars="200"/>
        <w:textAlignment w:val="auto"/>
        <w:rPr>
          <w:rFonts w:hint="eastAsia"/>
          <w:color w:val="auto"/>
          <w:highlight w:val="none"/>
          <w:u w:val="none"/>
          <w:lang w:val="en-US"/>
        </w:rPr>
      </w:pPr>
      <w:r>
        <w:rPr>
          <w:rFonts w:hint="eastAsia"/>
          <w:color w:val="auto"/>
          <w:highlight w:val="none"/>
          <w:u w:val="none"/>
          <w:lang w:val="en-US"/>
        </w:rPr>
        <w:t>由上表可知，本工程钻井期产生钻井岩屑约</w:t>
      </w:r>
      <w:r>
        <w:rPr>
          <w:rFonts w:hint="eastAsia"/>
          <w:color w:val="auto"/>
          <w:highlight w:val="none"/>
          <w:u w:val="none"/>
          <w:lang w:val="en-US" w:eastAsia="zh-CN"/>
        </w:rPr>
        <w:t>4941</w:t>
      </w:r>
      <w:r>
        <w:rPr>
          <w:rFonts w:hint="eastAsia"/>
          <w:color w:val="auto"/>
          <w:highlight w:val="none"/>
          <w:u w:val="none"/>
          <w:lang w:val="en-US"/>
        </w:rPr>
        <w:t>m</w:t>
      </w:r>
      <w:r>
        <w:rPr>
          <w:rFonts w:hint="eastAsia"/>
          <w:color w:val="auto"/>
          <w:highlight w:val="none"/>
          <w:u w:val="none"/>
          <w:vertAlign w:val="superscript"/>
          <w:lang w:val="en-US"/>
        </w:rPr>
        <w:t>3</w:t>
      </w:r>
      <w:r>
        <w:rPr>
          <w:rFonts w:hint="eastAsia"/>
          <w:color w:val="auto"/>
          <w:highlight w:val="none"/>
          <w:u w:val="none"/>
          <w:lang w:val="en-US"/>
        </w:rPr>
        <w:t>，其中水基岩屑合计</w:t>
      </w:r>
      <w:r>
        <w:rPr>
          <w:rFonts w:hint="eastAsia"/>
          <w:color w:val="auto"/>
          <w:highlight w:val="none"/>
          <w:u w:val="none"/>
          <w:lang w:val="en-US" w:eastAsia="zh-CN"/>
        </w:rPr>
        <w:t>4152</w:t>
      </w:r>
      <w:r>
        <w:rPr>
          <w:rFonts w:hint="eastAsia"/>
          <w:color w:val="auto"/>
          <w:highlight w:val="none"/>
          <w:u w:val="none"/>
          <w:lang w:val="en-US"/>
        </w:rPr>
        <w:t>m</w:t>
      </w:r>
      <w:r>
        <w:rPr>
          <w:rFonts w:hint="eastAsia"/>
          <w:color w:val="auto"/>
          <w:highlight w:val="none"/>
          <w:u w:val="none"/>
          <w:vertAlign w:val="superscript"/>
          <w:lang w:val="en-US"/>
        </w:rPr>
        <w:t>3</w:t>
      </w:r>
      <w:r>
        <w:rPr>
          <w:rFonts w:hint="eastAsia"/>
          <w:color w:val="auto"/>
          <w:highlight w:val="none"/>
          <w:u w:val="none"/>
          <w:lang w:val="en-US"/>
        </w:rPr>
        <w:t>，油基岩屑合计</w:t>
      </w:r>
      <w:r>
        <w:rPr>
          <w:rFonts w:hint="eastAsia"/>
          <w:color w:val="auto"/>
          <w:highlight w:val="none"/>
          <w:u w:val="none"/>
          <w:lang w:val="en-US" w:eastAsia="zh-CN"/>
        </w:rPr>
        <w:t>789</w:t>
      </w:r>
      <w:r>
        <w:rPr>
          <w:rFonts w:hint="eastAsia"/>
          <w:color w:val="auto"/>
          <w:highlight w:val="none"/>
          <w:u w:val="none"/>
          <w:lang w:val="en-US"/>
        </w:rPr>
        <w:t>m</w:t>
      </w:r>
      <w:r>
        <w:rPr>
          <w:rFonts w:hint="eastAsia"/>
          <w:color w:val="auto"/>
          <w:highlight w:val="none"/>
          <w:u w:val="none"/>
          <w:vertAlign w:val="superscript"/>
          <w:lang w:val="en-US"/>
        </w:rPr>
        <w:t>3</w:t>
      </w:r>
      <w:r>
        <w:rPr>
          <w:rFonts w:hint="eastAsia"/>
          <w:color w:val="auto"/>
          <w:highlight w:val="none"/>
          <w:u w:val="none"/>
          <w:lang w:val="en-US"/>
        </w:rPr>
        <w:t>。</w:t>
      </w:r>
    </w:p>
    <w:p w14:paraId="0FEB8C0A">
      <w:pPr>
        <w:pStyle w:val="54"/>
        <w:keepNext w:val="0"/>
        <w:keepLines w:val="0"/>
        <w:pageBreakBefore w:val="0"/>
        <w:widowControl w:val="0"/>
        <w:kinsoku/>
        <w:overflowPunct/>
        <w:topLinePunct w:val="0"/>
        <w:autoSpaceDE/>
        <w:autoSpaceDN/>
        <w:bidi w:val="0"/>
        <w:spacing w:line="480" w:lineRule="exact"/>
        <w:ind w:firstLine="480" w:firstLineChars="200"/>
        <w:textAlignment w:val="auto"/>
        <w:rPr>
          <w:rFonts w:hint="eastAsia"/>
          <w:color w:val="auto"/>
          <w:highlight w:val="none"/>
          <w:u w:val="none"/>
          <w:lang w:val="en-US"/>
        </w:rPr>
      </w:pPr>
      <w:r>
        <w:rPr>
          <w:rFonts w:hint="eastAsia"/>
          <w:color w:val="auto"/>
          <w:highlight w:val="none"/>
          <w:u w:val="none"/>
          <w:lang w:val="en-US"/>
        </w:rPr>
        <w:t>钻井液不落地设备分离出的水基钻井岩屑进岩屑专用方罐，交由岩屑处置单位进行处理，满足《油气田钻井固体废物综合利用污染控制要求》（DB65/T 3997-2017）相关要求后进行综合利用。油基钻井岩屑属于HW08类危险废物（废物代码：072-001-08），采用专用的方罐进行收集，交由具有相应危废处置资质的单位进行转运、处置。</w:t>
      </w:r>
    </w:p>
    <w:p w14:paraId="1BE4F30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snapToGrid w:val="0"/>
          <w:color w:val="auto"/>
          <w:sz w:val="24"/>
          <w:highlight w:val="none"/>
          <w:u w:val="none"/>
        </w:rPr>
      </w:pPr>
      <w:r>
        <w:rPr>
          <w:rFonts w:hint="eastAsia" w:cs="Times New Roman"/>
          <w:bCs/>
          <w:snapToGrid w:val="0"/>
          <w:color w:val="auto"/>
          <w:sz w:val="24"/>
          <w:highlight w:val="none"/>
          <w:u w:val="none"/>
          <w:lang w:val="en-US" w:eastAsia="zh-CN"/>
        </w:rPr>
        <w:t>3）</w:t>
      </w:r>
      <w:r>
        <w:rPr>
          <w:rFonts w:hint="default" w:ascii="Times New Roman" w:hAnsi="Times New Roman" w:cs="Times New Roman"/>
          <w:bCs/>
          <w:snapToGrid w:val="0"/>
          <w:color w:val="auto"/>
          <w:sz w:val="24"/>
          <w:highlight w:val="none"/>
          <w:u w:val="none"/>
        </w:rPr>
        <w:t>施工废料</w:t>
      </w:r>
    </w:p>
    <w:p w14:paraId="459D9978">
      <w:pPr>
        <w:keepNext w:val="0"/>
        <w:keepLines w:val="0"/>
        <w:pageBreakBefore w:val="0"/>
        <w:widowControl w:val="0"/>
        <w:kinsoku/>
        <w:wordWrap w:val="0"/>
        <w:overflowPunct/>
        <w:topLinePunct w:val="0"/>
        <w:autoSpaceDE/>
        <w:autoSpaceDN/>
        <w:bidi w:val="0"/>
        <w:spacing w:line="480" w:lineRule="exact"/>
        <w:ind w:firstLine="480" w:firstLineChars="200"/>
        <w:jc w:val="left"/>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施工废料主要包括管材边角料、</w:t>
      </w:r>
      <w:r>
        <w:rPr>
          <w:rFonts w:hint="eastAsia" w:cs="Times New Roman"/>
          <w:bCs/>
          <w:snapToGrid w:val="0"/>
          <w:color w:val="auto"/>
          <w:sz w:val="24"/>
          <w:szCs w:val="22"/>
          <w:highlight w:val="none"/>
          <w:u w:val="none"/>
          <w:lang w:val="en-US" w:eastAsia="zh-CN"/>
        </w:rPr>
        <w:t>水泥块、</w:t>
      </w:r>
      <w:r>
        <w:rPr>
          <w:rFonts w:hint="default" w:ascii="Times New Roman" w:hAnsi="Times New Roman" w:cs="Times New Roman"/>
          <w:bCs/>
          <w:snapToGrid w:val="0"/>
          <w:color w:val="auto"/>
          <w:sz w:val="24"/>
          <w:szCs w:val="22"/>
          <w:highlight w:val="none"/>
          <w:u w:val="none"/>
          <w:lang w:val="zh-CN"/>
        </w:rPr>
        <w:t>焊接作业中产生的废焊</w:t>
      </w:r>
      <w:r>
        <w:rPr>
          <w:rFonts w:hint="eastAsia" w:cs="Times New Roman"/>
          <w:bCs/>
          <w:snapToGrid w:val="0"/>
          <w:color w:val="auto"/>
          <w:sz w:val="24"/>
          <w:szCs w:val="22"/>
          <w:highlight w:val="none"/>
          <w:u w:val="none"/>
          <w:lang w:val="en-US" w:eastAsia="zh-CN"/>
        </w:rPr>
        <w:t>条</w:t>
      </w:r>
      <w:r>
        <w:rPr>
          <w:rFonts w:hint="default" w:ascii="Times New Roman" w:hAnsi="Times New Roman" w:cs="Times New Roman"/>
          <w:bCs/>
          <w:snapToGrid w:val="0"/>
          <w:color w:val="auto"/>
          <w:sz w:val="24"/>
          <w:szCs w:val="22"/>
          <w:highlight w:val="none"/>
          <w:u w:val="none"/>
          <w:lang w:val="zh-CN"/>
        </w:rPr>
        <w:t>及其包装盒等。根据类比调查，施工废料的产生量约为0.2t/km，本工程新建单井采气管线7.4km</w:t>
      </w:r>
      <w:r>
        <w:rPr>
          <w:rFonts w:hint="eastAsia" w:cs="Times New Roman"/>
          <w:bCs/>
          <w:snapToGrid w:val="0"/>
          <w:color w:val="auto"/>
          <w:sz w:val="24"/>
          <w:szCs w:val="22"/>
          <w:highlight w:val="none"/>
          <w:u w:val="none"/>
          <w:lang w:val="zh-CN"/>
        </w:rPr>
        <w:t>，</w:t>
      </w:r>
      <w:r>
        <w:rPr>
          <w:rFonts w:hint="default" w:ascii="Times New Roman" w:hAnsi="Times New Roman" w:cs="Times New Roman"/>
          <w:bCs/>
          <w:snapToGrid w:val="0"/>
          <w:color w:val="auto"/>
          <w:sz w:val="24"/>
          <w:szCs w:val="22"/>
          <w:highlight w:val="none"/>
          <w:u w:val="none"/>
          <w:lang w:val="zh-CN"/>
        </w:rPr>
        <w:t>施工废料产生量约为</w:t>
      </w:r>
      <w:r>
        <w:rPr>
          <w:rFonts w:hint="eastAsia" w:cs="Times New Roman"/>
          <w:bCs/>
          <w:snapToGrid w:val="0"/>
          <w:color w:val="auto"/>
          <w:sz w:val="24"/>
          <w:szCs w:val="22"/>
          <w:highlight w:val="none"/>
          <w:u w:val="none"/>
          <w:lang w:val="en-US" w:eastAsia="zh-CN"/>
        </w:rPr>
        <w:t>1.48</w:t>
      </w:r>
      <w:r>
        <w:rPr>
          <w:rFonts w:hint="default" w:ascii="Times New Roman" w:hAnsi="Times New Roman" w:cs="Times New Roman"/>
          <w:bCs/>
          <w:snapToGrid w:val="0"/>
          <w:color w:val="auto"/>
          <w:sz w:val="24"/>
          <w:szCs w:val="22"/>
          <w:highlight w:val="none"/>
          <w:u w:val="none"/>
          <w:lang w:val="zh-CN"/>
        </w:rPr>
        <w:t>t。施工废料应首先考虑回收利用，不</w:t>
      </w:r>
      <w:r>
        <w:rPr>
          <w:rFonts w:hint="eastAsia" w:cs="Times New Roman"/>
          <w:bCs/>
          <w:snapToGrid w:val="0"/>
          <w:color w:val="auto"/>
          <w:sz w:val="24"/>
          <w:szCs w:val="22"/>
          <w:highlight w:val="none"/>
          <w:u w:val="none"/>
          <w:lang w:val="en-US" w:eastAsia="zh-CN"/>
        </w:rPr>
        <w:t>可</w:t>
      </w:r>
      <w:r>
        <w:rPr>
          <w:rFonts w:hint="default" w:ascii="Times New Roman" w:hAnsi="Times New Roman" w:cs="Times New Roman"/>
          <w:bCs/>
          <w:snapToGrid w:val="0"/>
          <w:color w:val="auto"/>
          <w:sz w:val="24"/>
          <w:szCs w:val="22"/>
          <w:highlight w:val="none"/>
          <w:u w:val="none"/>
          <w:lang w:val="zh-CN"/>
        </w:rPr>
        <w:t>回收利用的拉运至</w:t>
      </w:r>
      <w:r>
        <w:rPr>
          <w:rFonts w:hint="eastAsia" w:cs="Times New Roman"/>
          <w:bCs/>
          <w:snapToGrid w:val="0"/>
          <w:color w:val="auto"/>
          <w:sz w:val="24"/>
          <w:szCs w:val="22"/>
          <w:highlight w:val="none"/>
          <w:u w:val="none"/>
          <w:lang w:val="en-US" w:eastAsia="zh-CN"/>
        </w:rPr>
        <w:t>当地建筑垃圾填埋场填埋处置</w:t>
      </w:r>
      <w:r>
        <w:rPr>
          <w:rFonts w:hint="default" w:ascii="Times New Roman" w:hAnsi="Times New Roman" w:cs="Times New Roman"/>
          <w:bCs/>
          <w:snapToGrid w:val="0"/>
          <w:color w:val="auto"/>
          <w:sz w:val="24"/>
          <w:szCs w:val="22"/>
          <w:highlight w:val="none"/>
          <w:u w:val="none"/>
          <w:lang w:val="zh-CN"/>
        </w:rPr>
        <w:t>。</w:t>
      </w:r>
    </w:p>
    <w:p w14:paraId="4AF31331">
      <w:pPr>
        <w:keepNext w:val="0"/>
        <w:keepLines w:val="0"/>
        <w:pageBreakBefore w:val="0"/>
        <w:widowControl w:val="0"/>
        <w:kinsoku/>
        <w:wordWrap w:val="0"/>
        <w:overflowPunct/>
        <w:topLinePunct w:val="0"/>
        <w:autoSpaceDE/>
        <w:autoSpaceDN/>
        <w:bidi w:val="0"/>
        <w:spacing w:line="480" w:lineRule="exact"/>
        <w:ind w:firstLine="480" w:firstLineChars="200"/>
        <w:jc w:val="left"/>
        <w:textAlignment w:val="auto"/>
        <w:rPr>
          <w:rFonts w:hint="default" w:ascii="Times New Roman" w:hAnsi="Times New Roman" w:cs="Times New Roman"/>
          <w:bCs/>
          <w:snapToGrid w:val="0"/>
          <w:color w:val="auto"/>
          <w:sz w:val="24"/>
          <w:szCs w:val="22"/>
          <w:highlight w:val="none"/>
          <w:u w:val="none"/>
          <w:lang w:val="zh-CN"/>
        </w:rPr>
      </w:pPr>
      <w:r>
        <w:rPr>
          <w:rFonts w:hint="eastAsia" w:cs="Times New Roman"/>
          <w:bCs/>
          <w:snapToGrid w:val="0"/>
          <w:color w:val="auto"/>
          <w:sz w:val="24"/>
          <w:szCs w:val="22"/>
          <w:highlight w:val="none"/>
          <w:u w:val="none"/>
          <w:lang w:val="en-US" w:eastAsia="zh-CN"/>
        </w:rPr>
        <w:t>4）</w:t>
      </w:r>
      <w:r>
        <w:rPr>
          <w:rFonts w:hint="default" w:ascii="Times New Roman" w:hAnsi="Times New Roman" w:cs="Times New Roman"/>
          <w:bCs/>
          <w:snapToGrid w:val="0"/>
          <w:color w:val="auto"/>
          <w:sz w:val="24"/>
          <w:szCs w:val="22"/>
          <w:highlight w:val="none"/>
          <w:u w:val="none"/>
          <w:lang w:val="zh-CN"/>
        </w:rPr>
        <w:t>生活垃圾</w:t>
      </w:r>
    </w:p>
    <w:p w14:paraId="4DF4D0CD">
      <w:pPr>
        <w:pStyle w:val="54"/>
        <w:keepNext w:val="0"/>
        <w:keepLines w:val="0"/>
        <w:pageBreakBefore w:val="0"/>
        <w:widowControl w:val="0"/>
        <w:kinsoku/>
        <w:overflowPunct/>
        <w:topLinePunct w:val="0"/>
        <w:autoSpaceDE/>
        <w:autoSpaceDN/>
        <w:bidi w:val="0"/>
        <w:spacing w:line="480" w:lineRule="exact"/>
        <w:ind w:firstLine="480" w:firstLineChars="200"/>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钻井期常驻井场人员35人，生活垃圾产生量按0.5kg/人·d计算，</w:t>
      </w:r>
      <w:r>
        <w:rPr>
          <w:rFonts w:hint="eastAsia" w:cs="Times New Roman"/>
          <w:bCs/>
          <w:snapToGrid w:val="0"/>
          <w:color w:val="auto"/>
          <w:sz w:val="24"/>
          <w:szCs w:val="22"/>
          <w:highlight w:val="none"/>
          <w:u w:val="none"/>
          <w:lang w:val="en-US" w:eastAsia="zh-CN"/>
        </w:rPr>
        <w:t>钻井周期合计270天</w:t>
      </w:r>
      <w:r>
        <w:rPr>
          <w:rFonts w:hint="default" w:ascii="Times New Roman" w:hAnsi="Times New Roman" w:cs="Times New Roman"/>
          <w:bCs/>
          <w:snapToGrid w:val="0"/>
          <w:color w:val="auto"/>
          <w:sz w:val="24"/>
          <w:szCs w:val="22"/>
          <w:highlight w:val="none"/>
          <w:u w:val="none"/>
          <w:lang w:val="zh-CN"/>
        </w:rPr>
        <w:t>，则本工程钻井期共产生生活垃圾</w:t>
      </w:r>
      <w:r>
        <w:rPr>
          <w:rFonts w:hint="eastAsia" w:cs="Times New Roman"/>
          <w:bCs/>
          <w:snapToGrid w:val="0"/>
          <w:color w:val="auto"/>
          <w:sz w:val="24"/>
          <w:szCs w:val="22"/>
          <w:highlight w:val="none"/>
          <w:u w:val="none"/>
          <w:lang w:val="en-US" w:eastAsia="zh-CN"/>
        </w:rPr>
        <w:t>4.73</w:t>
      </w:r>
      <w:r>
        <w:rPr>
          <w:rFonts w:hint="default" w:ascii="Times New Roman" w:hAnsi="Times New Roman" w:cs="Times New Roman"/>
          <w:bCs/>
          <w:snapToGrid w:val="0"/>
          <w:color w:val="auto"/>
          <w:sz w:val="24"/>
          <w:szCs w:val="22"/>
          <w:highlight w:val="none"/>
          <w:u w:val="none"/>
          <w:lang w:val="zh-CN"/>
        </w:rPr>
        <w:t>t；地面工程</w:t>
      </w:r>
      <w:r>
        <w:rPr>
          <w:rFonts w:hint="eastAsia" w:ascii="Times New Roman" w:hAnsi="Times New Roman" w:cs="Times New Roman"/>
          <w:bCs/>
          <w:snapToGrid w:val="0"/>
          <w:color w:val="auto"/>
          <w:sz w:val="24"/>
          <w:szCs w:val="22"/>
          <w:highlight w:val="none"/>
          <w:u w:val="none"/>
          <w:lang w:val="en-US" w:eastAsia="zh-CN"/>
        </w:rPr>
        <w:t>施工</w:t>
      </w:r>
      <w:r>
        <w:rPr>
          <w:rFonts w:hint="default" w:ascii="Times New Roman" w:hAnsi="Times New Roman" w:cs="Times New Roman"/>
          <w:bCs/>
          <w:snapToGrid w:val="0"/>
          <w:color w:val="auto"/>
          <w:sz w:val="24"/>
          <w:szCs w:val="22"/>
          <w:highlight w:val="none"/>
          <w:u w:val="none"/>
          <w:lang w:val="zh-CN"/>
        </w:rPr>
        <w:t>人员20人，生活垃圾产生量按0.5kg/人·d计算，地面工程按照合计</w:t>
      </w:r>
      <w:r>
        <w:rPr>
          <w:rFonts w:hint="eastAsia" w:cs="Times New Roman"/>
          <w:bCs/>
          <w:snapToGrid w:val="0"/>
          <w:color w:val="auto"/>
          <w:sz w:val="24"/>
          <w:szCs w:val="22"/>
          <w:highlight w:val="none"/>
          <w:u w:val="none"/>
          <w:lang w:val="en-US" w:eastAsia="zh-CN"/>
        </w:rPr>
        <w:t>30</w:t>
      </w:r>
      <w:r>
        <w:rPr>
          <w:rFonts w:hint="default" w:ascii="Times New Roman" w:hAnsi="Times New Roman" w:cs="Times New Roman"/>
          <w:bCs/>
          <w:snapToGrid w:val="0"/>
          <w:color w:val="auto"/>
          <w:sz w:val="24"/>
          <w:szCs w:val="22"/>
          <w:highlight w:val="none"/>
          <w:u w:val="none"/>
          <w:lang w:val="zh-CN"/>
        </w:rPr>
        <w:t>天算，则本工程地面工程产生生活垃圾</w:t>
      </w:r>
      <w:r>
        <w:rPr>
          <w:rFonts w:hint="eastAsia" w:cs="Times New Roman"/>
          <w:bCs/>
          <w:snapToGrid w:val="0"/>
          <w:color w:val="auto"/>
          <w:sz w:val="24"/>
          <w:szCs w:val="22"/>
          <w:highlight w:val="none"/>
          <w:u w:val="none"/>
          <w:lang w:val="en-US" w:eastAsia="zh-CN"/>
        </w:rPr>
        <w:t>0.3</w:t>
      </w:r>
      <w:r>
        <w:rPr>
          <w:rFonts w:hint="default" w:ascii="Times New Roman" w:hAnsi="Times New Roman" w:cs="Times New Roman"/>
          <w:bCs/>
          <w:snapToGrid w:val="0"/>
          <w:color w:val="auto"/>
          <w:sz w:val="24"/>
          <w:szCs w:val="22"/>
          <w:highlight w:val="none"/>
          <w:u w:val="none"/>
          <w:lang w:val="zh-CN"/>
        </w:rPr>
        <w:t>t。本工程施工期共产生生活垃圾</w:t>
      </w:r>
      <w:r>
        <w:rPr>
          <w:rFonts w:hint="eastAsia" w:cs="Times New Roman"/>
          <w:bCs/>
          <w:snapToGrid w:val="0"/>
          <w:color w:val="auto"/>
          <w:sz w:val="24"/>
          <w:szCs w:val="22"/>
          <w:highlight w:val="none"/>
          <w:u w:val="none"/>
          <w:lang w:val="en-US" w:eastAsia="zh-CN"/>
        </w:rPr>
        <w:t>5.03</w:t>
      </w:r>
      <w:r>
        <w:rPr>
          <w:rFonts w:hint="default" w:ascii="Times New Roman" w:hAnsi="Times New Roman" w:cs="Times New Roman"/>
          <w:bCs/>
          <w:snapToGrid w:val="0"/>
          <w:color w:val="auto"/>
          <w:sz w:val="24"/>
          <w:szCs w:val="22"/>
          <w:highlight w:val="none"/>
          <w:u w:val="none"/>
          <w:lang w:val="zh-CN"/>
        </w:rPr>
        <w:t>t，生活垃圾集中收集至垃圾箱中，定期拉运至乌尔禾区生活垃圾填埋场。</w:t>
      </w:r>
    </w:p>
    <w:p w14:paraId="451C11E5">
      <w:pPr>
        <w:pStyle w:val="54"/>
        <w:keepNext w:val="0"/>
        <w:keepLines w:val="0"/>
        <w:pageBreakBefore w:val="0"/>
        <w:widowControl w:val="0"/>
        <w:kinsoku/>
        <w:overflowPunct/>
        <w:topLinePunct w:val="0"/>
        <w:autoSpaceDE/>
        <w:autoSpaceDN/>
        <w:bidi w:val="0"/>
        <w:spacing w:line="480" w:lineRule="exact"/>
        <w:ind w:firstLine="480" w:firstLineChars="200"/>
        <w:textAlignment w:val="auto"/>
        <w:rPr>
          <w:rFonts w:hint="default" w:ascii="Times New Roman" w:hAnsi="Times New Roman" w:cs="Times New Roman"/>
          <w:bCs/>
          <w:color w:val="auto"/>
          <w:sz w:val="24"/>
          <w:szCs w:val="24"/>
          <w:highlight w:val="none"/>
          <w:u w:val="none"/>
        </w:rPr>
      </w:pPr>
      <w:r>
        <w:rPr>
          <w:rFonts w:hint="eastAsia" w:cs="Times New Roman"/>
          <w:bCs/>
          <w:color w:val="auto"/>
          <w:sz w:val="24"/>
          <w:szCs w:val="24"/>
          <w:highlight w:val="none"/>
          <w:u w:val="none"/>
          <w:lang w:val="en-US" w:eastAsia="zh-CN"/>
        </w:rPr>
        <w:t>5）</w:t>
      </w:r>
      <w:r>
        <w:rPr>
          <w:rFonts w:hint="default" w:ascii="Times New Roman" w:hAnsi="Times New Roman" w:cs="Times New Roman"/>
          <w:bCs/>
          <w:color w:val="auto"/>
          <w:sz w:val="24"/>
          <w:szCs w:val="24"/>
          <w:highlight w:val="none"/>
          <w:u w:val="none"/>
        </w:rPr>
        <w:t>土石方</w:t>
      </w:r>
    </w:p>
    <w:p w14:paraId="05D5AB4D">
      <w:pPr>
        <w:pStyle w:val="63"/>
        <w:keepNext w:val="0"/>
        <w:keepLines w:val="0"/>
        <w:pageBreakBefore w:val="0"/>
        <w:widowControl w:val="0"/>
        <w:kinsoku/>
        <w:overflowPunct/>
        <w:topLinePunct w:val="0"/>
        <w:autoSpaceDE/>
        <w:autoSpaceDN/>
        <w:bidi w:val="0"/>
        <w:spacing w:line="480" w:lineRule="exac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项目区永久占地</w:t>
      </w:r>
      <w:r>
        <w:rPr>
          <w:rFonts w:hint="eastAsia" w:ascii="Times New Roman" w:hAnsi="Times New Roman" w:cs="Times New Roman"/>
          <w:color w:val="auto"/>
          <w:sz w:val="24"/>
          <w:szCs w:val="24"/>
          <w:highlight w:val="none"/>
          <w:u w:val="none"/>
          <w:lang w:val="en-US" w:eastAsia="zh-CN"/>
        </w:rPr>
        <w:t>约</w:t>
      </w:r>
      <w:r>
        <w:rPr>
          <w:rFonts w:hint="default" w:ascii="Times New Roman" w:hAnsi="Times New Roman" w:eastAsia="宋体" w:cs="Times New Roman"/>
          <w:color w:val="auto"/>
          <w:sz w:val="24"/>
          <w:szCs w:val="24"/>
          <w:highlight w:val="none"/>
          <w:u w:val="none"/>
          <w:lang w:val="en-US" w:eastAsia="zh-CN"/>
        </w:rPr>
        <w:t>为</w:t>
      </w:r>
      <w:r>
        <w:rPr>
          <w:rFonts w:hint="eastAsia" w:ascii="Times New Roman" w:hAnsi="Times New Roman" w:cs="Times New Roman"/>
          <w:color w:val="auto"/>
          <w:sz w:val="24"/>
          <w:szCs w:val="24"/>
          <w:highlight w:val="none"/>
          <w:u w:val="none"/>
          <w:lang w:val="en-US" w:eastAsia="zh-CN"/>
        </w:rPr>
        <w:t>2.21hm</w:t>
      </w:r>
      <w:r>
        <w:rPr>
          <w:rFonts w:hint="eastAsia" w:ascii="Times New Roman" w:hAnsi="Times New Roman"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，场平高度约为</w:t>
      </w:r>
      <w:r>
        <w:rPr>
          <w:rFonts w:hint="eastAsia" w:ascii="Times New Roman" w:hAnsi="Times New Roman" w:cs="Times New Roman"/>
          <w:color w:val="auto"/>
          <w:sz w:val="24"/>
          <w:szCs w:val="24"/>
          <w:highlight w:val="none"/>
          <w:u w:val="none"/>
          <w:lang w:val="en-US" w:eastAsia="zh-CN"/>
        </w:rPr>
        <w:t>0.5</w:t>
      </w:r>
      <w:r>
        <w:rPr>
          <w:rFonts w:hint="default" w:ascii="Times New Roman" w:hAnsi="Times New Roman" w:eastAsia="宋体" w:cs="Times New Roman"/>
          <w:color w:val="auto"/>
          <w:sz w:val="24"/>
          <w:szCs w:val="24"/>
          <w:highlight w:val="none"/>
          <w:u w:val="none"/>
          <w:lang w:val="en-US" w:eastAsia="zh-CN"/>
        </w:rPr>
        <w:t>m，开挖量为</w:t>
      </w:r>
      <w:r>
        <w:rPr>
          <w:rFonts w:hint="eastAsia" w:ascii="Times New Roman" w:hAnsi="Times New Roman" w:cs="Times New Roman"/>
          <w:color w:val="auto"/>
          <w:sz w:val="24"/>
          <w:szCs w:val="24"/>
          <w:highlight w:val="none"/>
          <w:u w:val="none"/>
          <w:lang w:val="en-US" w:eastAsia="zh-CN"/>
        </w:rPr>
        <w:t>11050</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vertAlign w:val="baseline"/>
          <w:lang w:val="en-US" w:eastAsia="zh-CN"/>
        </w:rPr>
        <w:t>，全部用于回填，场地平整。</w:t>
      </w:r>
    </w:p>
    <w:p w14:paraId="058A0CD5">
      <w:pPr>
        <w:pStyle w:val="60"/>
        <w:keepNext w:val="0"/>
        <w:keepLines w:val="0"/>
        <w:pageBreakBefore w:val="0"/>
        <w:widowControl w:val="0"/>
        <w:kinsoku/>
        <w:overflowPunct/>
        <w:topLinePunct w:val="0"/>
        <w:autoSpaceDE/>
        <w:autoSpaceDN/>
        <w:bidi w:val="0"/>
        <w:spacing w:line="480" w:lineRule="exact"/>
        <w:textAlignment w:val="auto"/>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rPr>
        <w:t>新建单井采气管线7.4km</w:t>
      </w:r>
      <w:r>
        <w:rPr>
          <w:rFonts w:hint="default" w:ascii="Times New Roman" w:hAnsi="Times New Roman" w:eastAsia="宋体" w:cs="Times New Roman"/>
          <w:color w:val="auto"/>
          <w:sz w:val="24"/>
          <w:szCs w:val="24"/>
          <w:highlight w:val="none"/>
          <w:u w:val="none"/>
          <w:lang w:val="en-US" w:eastAsia="zh-CN"/>
        </w:rPr>
        <w:t>，开挖宽度2m、开挖深度</w:t>
      </w:r>
      <w:r>
        <w:rPr>
          <w:rFonts w:hint="eastAsia" w:cs="Times New Roman"/>
          <w:color w:val="auto"/>
          <w:sz w:val="24"/>
          <w:szCs w:val="24"/>
          <w:highlight w:val="none"/>
          <w:u w:val="none"/>
          <w:lang w:val="en-US" w:eastAsia="zh-CN"/>
        </w:rPr>
        <w:t>1.8</w:t>
      </w:r>
      <w:r>
        <w:rPr>
          <w:rFonts w:hint="default" w:ascii="Times New Roman" w:hAnsi="Times New Roman" w:eastAsia="宋体" w:cs="Times New Roman"/>
          <w:color w:val="auto"/>
          <w:sz w:val="24"/>
          <w:szCs w:val="24"/>
          <w:highlight w:val="none"/>
          <w:u w:val="none"/>
          <w:lang w:val="en-US" w:eastAsia="zh-CN"/>
        </w:rPr>
        <w:t>m，挖方量</w:t>
      </w:r>
      <w:r>
        <w:rPr>
          <w:rFonts w:hint="eastAsia" w:cs="Times New Roman"/>
          <w:color w:val="auto"/>
          <w:sz w:val="24"/>
          <w:szCs w:val="24"/>
          <w:highlight w:val="none"/>
          <w:u w:val="none"/>
          <w:lang w:val="en-US" w:eastAsia="zh-CN"/>
        </w:rPr>
        <w:t>26640</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rPr>
        <w:t>施工土方在管线施工结束后回填在管堤上</w:t>
      </w:r>
      <w:r>
        <w:rPr>
          <w:rFonts w:hint="default" w:ascii="Times New Roman" w:hAnsi="Times New Roman" w:eastAsia="宋体" w:cs="Times New Roman"/>
          <w:color w:val="auto"/>
          <w:sz w:val="24"/>
          <w:szCs w:val="24"/>
          <w:highlight w:val="none"/>
          <w:u w:val="none"/>
          <w:lang w:eastAsia="zh-CN"/>
        </w:rPr>
        <w:t>。</w:t>
      </w:r>
    </w:p>
    <w:p w14:paraId="0658B3C9">
      <w:pPr>
        <w:pStyle w:val="54"/>
        <w:keepNext w:val="0"/>
        <w:keepLines w:val="0"/>
        <w:pageBreakBefore w:val="0"/>
        <w:widowControl w:val="0"/>
        <w:kinsoku/>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预计</w:t>
      </w:r>
      <w:r>
        <w:rPr>
          <w:rFonts w:hint="default" w:ascii="Times New Roman" w:hAnsi="Times New Roman" w:eastAsia="宋体" w:cs="Times New Roman"/>
          <w:color w:val="auto"/>
          <w:sz w:val="24"/>
          <w:szCs w:val="24"/>
          <w:highlight w:val="none"/>
          <w:u w:val="none"/>
          <w:lang w:eastAsia="zh-CN"/>
        </w:rPr>
        <w:t>本工程</w:t>
      </w:r>
      <w:r>
        <w:rPr>
          <w:rFonts w:hint="default" w:ascii="Times New Roman" w:hAnsi="Times New Roman" w:eastAsia="宋体" w:cs="Times New Roman"/>
          <w:color w:val="auto"/>
          <w:sz w:val="24"/>
          <w:szCs w:val="24"/>
          <w:highlight w:val="none"/>
          <w:u w:val="none"/>
        </w:rPr>
        <w:t>挖方量约为</w:t>
      </w:r>
      <w:r>
        <w:rPr>
          <w:rFonts w:hint="eastAsia" w:cs="Times New Roman"/>
          <w:color w:val="auto"/>
          <w:sz w:val="24"/>
          <w:szCs w:val="24"/>
          <w:highlight w:val="none"/>
          <w:u w:val="none"/>
          <w:lang w:val="en-US" w:eastAsia="zh-CN"/>
        </w:rPr>
        <w:t>6266</w:t>
      </w:r>
      <w:r>
        <w:rPr>
          <w:rFonts w:hint="default" w:ascii="Times New Roman" w:hAnsi="Times New Roman" w:eastAsia="宋体" w:cs="Times New Roman"/>
          <w:color w:val="auto"/>
          <w:sz w:val="24"/>
          <w:szCs w:val="24"/>
          <w:highlight w:val="none"/>
          <w:u w:val="none"/>
          <w:lang w:eastAsia="zh-CN"/>
        </w:rPr>
        <w:t>m</w:t>
      </w:r>
      <w:r>
        <w:rPr>
          <w:rFonts w:hint="default" w:ascii="Times New Roman" w:hAnsi="Times New Roman" w:eastAsia="宋体" w:cs="Times New Roman"/>
          <w:color w:val="auto"/>
          <w:sz w:val="24"/>
          <w:szCs w:val="24"/>
          <w:highlight w:val="none"/>
          <w:u w:val="none"/>
          <w:vertAlign w:val="superscript"/>
          <w:lang w:eastAsia="zh-CN"/>
        </w:rPr>
        <w:t>3</w:t>
      </w:r>
      <w:r>
        <w:rPr>
          <w:rFonts w:hint="default" w:ascii="Times New Roman" w:hAnsi="Times New Roman" w:eastAsia="宋体" w:cs="Times New Roman"/>
          <w:color w:val="auto"/>
          <w:sz w:val="24"/>
          <w:szCs w:val="24"/>
          <w:highlight w:val="none"/>
          <w:u w:val="none"/>
        </w:rPr>
        <w:t>，填方总量为</w:t>
      </w:r>
      <w:r>
        <w:rPr>
          <w:rFonts w:hint="eastAsia" w:cs="Times New Roman"/>
          <w:color w:val="auto"/>
          <w:sz w:val="24"/>
          <w:szCs w:val="24"/>
          <w:highlight w:val="none"/>
          <w:u w:val="none"/>
          <w:lang w:val="en-US" w:eastAsia="zh-CN"/>
        </w:rPr>
        <w:t>6266</w:t>
      </w:r>
      <w:r>
        <w:rPr>
          <w:rFonts w:hint="default" w:ascii="Times New Roman" w:hAnsi="Times New Roman" w:eastAsia="宋体" w:cs="Times New Roman"/>
          <w:color w:val="auto"/>
          <w:sz w:val="24"/>
          <w:szCs w:val="24"/>
          <w:highlight w:val="none"/>
          <w:u w:val="none"/>
          <w:lang w:eastAsia="zh-CN"/>
        </w:rPr>
        <w:t>m</w:t>
      </w:r>
      <w:r>
        <w:rPr>
          <w:rFonts w:hint="default" w:ascii="Times New Roman" w:hAnsi="Times New Roman" w:eastAsia="宋体" w:cs="Times New Roman"/>
          <w:color w:val="auto"/>
          <w:sz w:val="24"/>
          <w:szCs w:val="24"/>
          <w:highlight w:val="none"/>
          <w:u w:val="none"/>
          <w:vertAlign w:val="superscript"/>
          <w:lang w:eastAsia="zh-CN"/>
        </w:rPr>
        <w:t>3</w:t>
      </w:r>
      <w:r>
        <w:rPr>
          <w:rFonts w:hint="default" w:ascii="Times New Roman" w:hAnsi="Times New Roman" w:eastAsia="宋体" w:cs="Times New Roman"/>
          <w:color w:val="auto"/>
          <w:sz w:val="24"/>
          <w:szCs w:val="24"/>
          <w:highlight w:val="none"/>
          <w:u w:val="none"/>
        </w:rPr>
        <w:t>，无废弃土方</w:t>
      </w:r>
      <w:r>
        <w:rPr>
          <w:rFonts w:hint="eastAsia" w:cs="Times New Roman"/>
          <w:color w:val="auto"/>
          <w:sz w:val="24"/>
          <w:szCs w:val="24"/>
          <w:highlight w:val="none"/>
          <w:u w:val="none"/>
          <w:lang w:val="en-US" w:eastAsia="zh-CN"/>
        </w:rPr>
        <w:t>及借方</w:t>
      </w:r>
      <w:r>
        <w:rPr>
          <w:rFonts w:hint="default" w:ascii="Times New Roman" w:hAnsi="Times New Roman" w:eastAsia="宋体" w:cs="Times New Roman"/>
          <w:color w:val="auto"/>
          <w:sz w:val="24"/>
          <w:szCs w:val="24"/>
          <w:highlight w:val="none"/>
          <w:u w:val="none"/>
        </w:rPr>
        <w:t>。施工土方在管线施工结束后回填在管堤上，</w:t>
      </w:r>
      <w:r>
        <w:rPr>
          <w:rFonts w:hint="eastAsia" w:cs="Times New Roman"/>
          <w:color w:val="auto"/>
          <w:sz w:val="24"/>
          <w:szCs w:val="24"/>
          <w:highlight w:val="none"/>
          <w:u w:val="none"/>
          <w:lang w:val="en-US" w:eastAsia="zh-CN"/>
        </w:rPr>
        <w:t>井场</w:t>
      </w:r>
      <w:r>
        <w:rPr>
          <w:rFonts w:hint="default" w:ascii="Times New Roman" w:hAnsi="Times New Roman" w:eastAsia="宋体" w:cs="Times New Roman"/>
          <w:color w:val="auto"/>
          <w:sz w:val="24"/>
          <w:szCs w:val="24"/>
          <w:highlight w:val="none"/>
          <w:u w:val="none"/>
        </w:rPr>
        <w:t>施工过程产生的土方回填至挖方处或回填至周边低洼场地，并实施压实平整。</w:t>
      </w:r>
    </w:p>
    <w:p w14:paraId="37803F09">
      <w:pPr>
        <w:pStyle w:val="54"/>
        <w:keepNext w:val="0"/>
        <w:keepLines w:val="0"/>
        <w:pageBreakBefore w:val="0"/>
        <w:widowControl w:val="0"/>
        <w:kinsoku/>
        <w:overflowPunct/>
        <w:topLinePunct w:val="0"/>
        <w:autoSpaceDE/>
        <w:autoSpaceDN/>
        <w:bidi w:val="0"/>
        <w:spacing w:line="480" w:lineRule="exact"/>
        <w:ind w:firstLine="480" w:firstLineChars="200"/>
        <w:textAlignment w:val="auto"/>
        <w:rPr>
          <w:rFonts w:hint="eastAsia" w:ascii="黑体" w:hAnsi="黑体" w:eastAsia="黑体" w:cs="黑体"/>
          <w:b/>
          <w:bCs/>
          <w:color w:val="auto"/>
          <w:highlight w:val="none"/>
          <w:u w:val="none"/>
        </w:rPr>
      </w:pPr>
      <w:r>
        <w:rPr>
          <w:rFonts w:hint="eastAsia" w:ascii="Times New Roman" w:hAnsi="Times New Roman"/>
          <w:color w:val="auto"/>
          <w:sz w:val="24"/>
          <w:szCs w:val="24"/>
          <w:highlight w:val="none"/>
          <w:u w:val="none"/>
          <w:lang w:eastAsia="zh-CN"/>
        </w:rPr>
        <w:t>本工程</w:t>
      </w:r>
      <w:r>
        <w:rPr>
          <w:rFonts w:ascii="Times New Roman" w:hAnsi="Times New Roman"/>
          <w:color w:val="auto"/>
          <w:sz w:val="24"/>
          <w:szCs w:val="24"/>
          <w:highlight w:val="none"/>
          <w:u w:val="none"/>
        </w:rPr>
        <w:t>土石方平衡表</w:t>
      </w:r>
      <w:r>
        <w:rPr>
          <w:rFonts w:hint="eastAsia"/>
          <w:color w:val="auto"/>
          <w:sz w:val="24"/>
          <w:szCs w:val="24"/>
          <w:highlight w:val="none"/>
          <w:u w:val="none"/>
          <w:lang w:eastAsia="zh-CN"/>
        </w:rPr>
        <w:t>，</w:t>
      </w:r>
      <w:r>
        <w:rPr>
          <w:rFonts w:ascii="Times New Roman" w:hAnsi="Times New Roman"/>
          <w:color w:val="auto"/>
          <w:sz w:val="24"/>
          <w:szCs w:val="24"/>
          <w:highlight w:val="none"/>
          <w:u w:val="none"/>
        </w:rPr>
        <w:t>见表3.</w:t>
      </w:r>
      <w:r>
        <w:rPr>
          <w:rFonts w:hint="eastAsia"/>
          <w:color w:val="auto"/>
          <w:sz w:val="24"/>
          <w:szCs w:val="24"/>
          <w:highlight w:val="none"/>
          <w:u w:val="none"/>
          <w:lang w:val="en-US" w:eastAsia="zh-CN"/>
        </w:rPr>
        <w:t>4</w:t>
      </w:r>
      <w:r>
        <w:rPr>
          <w:rFonts w:ascii="Times New Roman" w:hAnsi="Times New Roman"/>
          <w:color w:val="auto"/>
          <w:sz w:val="24"/>
          <w:szCs w:val="24"/>
          <w:highlight w:val="none"/>
          <w:u w:val="none"/>
        </w:rPr>
        <w:t>-</w:t>
      </w:r>
      <w:r>
        <w:rPr>
          <w:rFonts w:hint="eastAsia"/>
          <w:color w:val="auto"/>
          <w:sz w:val="24"/>
          <w:szCs w:val="24"/>
          <w:highlight w:val="none"/>
          <w:u w:val="none"/>
          <w:lang w:val="en-US" w:eastAsia="zh-CN"/>
        </w:rPr>
        <w:t>7</w:t>
      </w:r>
      <w:r>
        <w:rPr>
          <w:rFonts w:ascii="Times New Roman" w:hAnsi="Times New Roman"/>
          <w:color w:val="auto"/>
          <w:sz w:val="24"/>
          <w:szCs w:val="24"/>
          <w:highlight w:val="none"/>
          <w:u w:val="none"/>
        </w:rPr>
        <w:t>。</w:t>
      </w:r>
    </w:p>
    <w:p w14:paraId="0BCCCE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表3.4-7   土方挖填方平衡表    单位：m3</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163"/>
        <w:gridCol w:w="828"/>
        <w:gridCol w:w="927"/>
        <w:gridCol w:w="767"/>
        <w:gridCol w:w="730"/>
        <w:gridCol w:w="767"/>
        <w:gridCol w:w="550"/>
        <w:gridCol w:w="700"/>
        <w:gridCol w:w="663"/>
        <w:gridCol w:w="499"/>
        <w:gridCol w:w="543"/>
      </w:tblGrid>
      <w:tr w14:paraId="7DCF5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94" w:type="pct"/>
            <w:vMerge w:val="restart"/>
            <w:tcBorders>
              <w:tl2br w:val="nil"/>
              <w:tr2bl w:val="nil"/>
            </w:tcBorders>
            <w:noWrap w:val="0"/>
            <w:vAlign w:val="center"/>
          </w:tcPr>
          <w:p w14:paraId="3C546F6B">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序号</w:t>
            </w:r>
          </w:p>
        </w:tc>
        <w:tc>
          <w:tcPr>
            <w:tcW w:w="658" w:type="pct"/>
            <w:vMerge w:val="restart"/>
            <w:tcBorders>
              <w:tl2br w:val="nil"/>
              <w:tr2bl w:val="nil"/>
            </w:tcBorders>
            <w:noWrap w:val="0"/>
            <w:vAlign w:val="center"/>
          </w:tcPr>
          <w:p w14:paraId="438D0FFC">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分区或分段</w:t>
            </w:r>
          </w:p>
        </w:tc>
        <w:tc>
          <w:tcPr>
            <w:tcW w:w="468" w:type="pct"/>
            <w:vMerge w:val="restart"/>
            <w:tcBorders>
              <w:tl2br w:val="nil"/>
              <w:tr2bl w:val="nil"/>
            </w:tcBorders>
            <w:noWrap w:val="0"/>
            <w:vAlign w:val="center"/>
          </w:tcPr>
          <w:p w14:paraId="0DBAAEC4">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开挖</w:t>
            </w:r>
          </w:p>
        </w:tc>
        <w:tc>
          <w:tcPr>
            <w:tcW w:w="524" w:type="pct"/>
            <w:vMerge w:val="restart"/>
            <w:tcBorders>
              <w:tl2br w:val="nil"/>
              <w:tr2bl w:val="nil"/>
            </w:tcBorders>
            <w:noWrap w:val="0"/>
            <w:vAlign w:val="center"/>
          </w:tcPr>
          <w:p w14:paraId="1DB961AE">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回填</w:t>
            </w:r>
          </w:p>
        </w:tc>
        <w:tc>
          <w:tcPr>
            <w:tcW w:w="847" w:type="pct"/>
            <w:gridSpan w:val="2"/>
            <w:tcBorders>
              <w:tl2br w:val="nil"/>
              <w:tr2bl w:val="nil"/>
            </w:tcBorders>
            <w:noWrap w:val="0"/>
            <w:vAlign w:val="center"/>
          </w:tcPr>
          <w:p w14:paraId="458D0ABD">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调入</w:t>
            </w:r>
          </w:p>
        </w:tc>
        <w:tc>
          <w:tcPr>
            <w:tcW w:w="745" w:type="pct"/>
            <w:gridSpan w:val="2"/>
            <w:tcBorders>
              <w:tl2br w:val="nil"/>
              <w:tr2bl w:val="nil"/>
            </w:tcBorders>
            <w:noWrap w:val="0"/>
            <w:vAlign w:val="center"/>
          </w:tcPr>
          <w:p w14:paraId="3F8726FB">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调出</w:t>
            </w:r>
          </w:p>
        </w:tc>
        <w:tc>
          <w:tcPr>
            <w:tcW w:w="771" w:type="pct"/>
            <w:gridSpan w:val="2"/>
            <w:tcBorders>
              <w:tl2br w:val="nil"/>
              <w:tr2bl w:val="nil"/>
            </w:tcBorders>
            <w:noWrap w:val="0"/>
            <w:vAlign w:val="center"/>
          </w:tcPr>
          <w:p w14:paraId="74378B05">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u w:val="none"/>
                <w:lang w:eastAsia="zh-CN"/>
              </w:rPr>
            </w:pPr>
            <w:r>
              <w:rPr>
                <w:rFonts w:hint="eastAsia"/>
                <w:color w:val="auto"/>
                <w:sz w:val="21"/>
                <w:szCs w:val="21"/>
                <w:highlight w:val="none"/>
                <w:u w:val="none"/>
                <w:lang w:val="en-US" w:eastAsia="zh-CN"/>
              </w:rPr>
              <w:t>借方</w:t>
            </w:r>
          </w:p>
        </w:tc>
        <w:tc>
          <w:tcPr>
            <w:tcW w:w="589" w:type="pct"/>
            <w:gridSpan w:val="2"/>
            <w:tcBorders>
              <w:tl2br w:val="nil"/>
              <w:tr2bl w:val="nil"/>
            </w:tcBorders>
            <w:noWrap w:val="0"/>
            <w:vAlign w:val="center"/>
          </w:tcPr>
          <w:p w14:paraId="711AD6AD">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弃方</w:t>
            </w:r>
          </w:p>
        </w:tc>
      </w:tr>
      <w:tr w14:paraId="1519B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4" w:type="pct"/>
            <w:vMerge w:val="continue"/>
            <w:tcBorders>
              <w:tl2br w:val="nil"/>
              <w:tr2bl w:val="nil"/>
            </w:tcBorders>
            <w:noWrap w:val="0"/>
            <w:vAlign w:val="center"/>
          </w:tcPr>
          <w:p w14:paraId="61E2A9AB">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p>
        </w:tc>
        <w:tc>
          <w:tcPr>
            <w:tcW w:w="658" w:type="pct"/>
            <w:vMerge w:val="continue"/>
            <w:tcBorders>
              <w:tl2br w:val="nil"/>
              <w:tr2bl w:val="nil"/>
            </w:tcBorders>
            <w:noWrap w:val="0"/>
            <w:vAlign w:val="center"/>
          </w:tcPr>
          <w:p w14:paraId="308DEBCF">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p>
        </w:tc>
        <w:tc>
          <w:tcPr>
            <w:tcW w:w="468" w:type="pct"/>
            <w:vMerge w:val="continue"/>
            <w:tcBorders>
              <w:tl2br w:val="nil"/>
              <w:tr2bl w:val="nil"/>
            </w:tcBorders>
            <w:noWrap w:val="0"/>
            <w:vAlign w:val="center"/>
          </w:tcPr>
          <w:p w14:paraId="4BBF1448">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p>
        </w:tc>
        <w:tc>
          <w:tcPr>
            <w:tcW w:w="524" w:type="pct"/>
            <w:vMerge w:val="continue"/>
            <w:tcBorders>
              <w:tl2br w:val="nil"/>
              <w:tr2bl w:val="nil"/>
            </w:tcBorders>
            <w:noWrap w:val="0"/>
            <w:vAlign w:val="center"/>
          </w:tcPr>
          <w:p w14:paraId="1B04ACBC">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p>
        </w:tc>
        <w:tc>
          <w:tcPr>
            <w:tcW w:w="434" w:type="pct"/>
            <w:tcBorders>
              <w:tl2br w:val="nil"/>
              <w:tr2bl w:val="nil"/>
            </w:tcBorders>
            <w:noWrap w:val="0"/>
            <w:vAlign w:val="center"/>
          </w:tcPr>
          <w:p w14:paraId="264D325F">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数量</w:t>
            </w:r>
          </w:p>
        </w:tc>
        <w:tc>
          <w:tcPr>
            <w:tcW w:w="412" w:type="pct"/>
            <w:tcBorders>
              <w:tl2br w:val="nil"/>
              <w:tr2bl w:val="nil"/>
            </w:tcBorders>
            <w:noWrap w:val="0"/>
            <w:vAlign w:val="center"/>
          </w:tcPr>
          <w:p w14:paraId="7EDCB2E8">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来源</w:t>
            </w:r>
          </w:p>
        </w:tc>
        <w:tc>
          <w:tcPr>
            <w:tcW w:w="434" w:type="pct"/>
            <w:tcBorders>
              <w:tl2br w:val="nil"/>
              <w:tr2bl w:val="nil"/>
            </w:tcBorders>
            <w:noWrap w:val="0"/>
            <w:vAlign w:val="center"/>
          </w:tcPr>
          <w:p w14:paraId="17E0BA1D">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数量</w:t>
            </w:r>
          </w:p>
        </w:tc>
        <w:tc>
          <w:tcPr>
            <w:tcW w:w="310" w:type="pct"/>
            <w:tcBorders>
              <w:tl2br w:val="nil"/>
              <w:tr2bl w:val="nil"/>
            </w:tcBorders>
            <w:noWrap w:val="0"/>
            <w:vAlign w:val="center"/>
          </w:tcPr>
          <w:p w14:paraId="2B3FD43C">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去向</w:t>
            </w:r>
          </w:p>
        </w:tc>
        <w:tc>
          <w:tcPr>
            <w:tcW w:w="396" w:type="pct"/>
            <w:tcBorders>
              <w:tl2br w:val="nil"/>
              <w:tr2bl w:val="nil"/>
            </w:tcBorders>
            <w:noWrap w:val="0"/>
            <w:vAlign w:val="center"/>
          </w:tcPr>
          <w:p w14:paraId="1E98BE15">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数量</w:t>
            </w:r>
          </w:p>
        </w:tc>
        <w:tc>
          <w:tcPr>
            <w:tcW w:w="375" w:type="pct"/>
            <w:tcBorders>
              <w:tl2br w:val="nil"/>
              <w:tr2bl w:val="nil"/>
            </w:tcBorders>
            <w:noWrap w:val="0"/>
            <w:vAlign w:val="center"/>
          </w:tcPr>
          <w:p w14:paraId="0BD09C68">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来源</w:t>
            </w:r>
          </w:p>
        </w:tc>
        <w:tc>
          <w:tcPr>
            <w:tcW w:w="282" w:type="pct"/>
            <w:tcBorders>
              <w:tl2br w:val="nil"/>
              <w:tr2bl w:val="nil"/>
            </w:tcBorders>
            <w:noWrap w:val="0"/>
            <w:vAlign w:val="center"/>
          </w:tcPr>
          <w:p w14:paraId="4DD1C1DE">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数量</w:t>
            </w:r>
          </w:p>
        </w:tc>
        <w:tc>
          <w:tcPr>
            <w:tcW w:w="306" w:type="pct"/>
            <w:tcBorders>
              <w:tl2br w:val="nil"/>
              <w:tr2bl w:val="nil"/>
            </w:tcBorders>
            <w:noWrap w:val="0"/>
            <w:vAlign w:val="center"/>
          </w:tcPr>
          <w:p w14:paraId="1C1BA3DA">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去向</w:t>
            </w:r>
          </w:p>
        </w:tc>
      </w:tr>
      <w:tr w14:paraId="03183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94" w:type="pct"/>
            <w:tcBorders>
              <w:tl2br w:val="nil"/>
              <w:tr2bl w:val="nil"/>
            </w:tcBorders>
            <w:noWrap w:val="0"/>
            <w:vAlign w:val="center"/>
          </w:tcPr>
          <w:p w14:paraId="7882B2F3">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rFonts w:hint="eastAsia"/>
                <w:color w:val="auto"/>
                <w:sz w:val="21"/>
                <w:szCs w:val="21"/>
                <w:highlight w:val="none"/>
                <w:u w:val="none"/>
              </w:rPr>
              <w:t>①</w:t>
            </w:r>
          </w:p>
        </w:tc>
        <w:tc>
          <w:tcPr>
            <w:tcW w:w="658" w:type="pct"/>
            <w:tcBorders>
              <w:tl2br w:val="nil"/>
              <w:tr2bl w:val="nil"/>
            </w:tcBorders>
            <w:noWrap w:val="0"/>
            <w:vAlign w:val="center"/>
          </w:tcPr>
          <w:p w14:paraId="76E4D98A">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表土剥离</w:t>
            </w:r>
          </w:p>
        </w:tc>
        <w:tc>
          <w:tcPr>
            <w:tcW w:w="468" w:type="pct"/>
            <w:tcBorders>
              <w:tl2br w:val="nil"/>
              <w:tr2bl w:val="nil"/>
            </w:tcBorders>
            <w:noWrap w:val="0"/>
            <w:vAlign w:val="center"/>
          </w:tcPr>
          <w:p w14:paraId="62DFF967">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11050</w:t>
            </w:r>
          </w:p>
        </w:tc>
        <w:tc>
          <w:tcPr>
            <w:tcW w:w="524" w:type="pct"/>
            <w:tcBorders>
              <w:tl2br w:val="nil"/>
              <w:tr2bl w:val="nil"/>
            </w:tcBorders>
            <w:noWrap w:val="0"/>
            <w:vAlign w:val="center"/>
          </w:tcPr>
          <w:p w14:paraId="4F86AD6C">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434" w:type="pct"/>
            <w:tcBorders>
              <w:tl2br w:val="nil"/>
              <w:tr2bl w:val="nil"/>
            </w:tcBorders>
            <w:noWrap w:val="0"/>
            <w:vAlign w:val="center"/>
          </w:tcPr>
          <w:p w14:paraId="6E873985">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412" w:type="pct"/>
            <w:tcBorders>
              <w:tl2br w:val="nil"/>
              <w:tr2bl w:val="nil"/>
            </w:tcBorders>
            <w:noWrap w:val="0"/>
            <w:vAlign w:val="center"/>
          </w:tcPr>
          <w:p w14:paraId="7BCC30B1">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w:t>
            </w:r>
          </w:p>
        </w:tc>
        <w:tc>
          <w:tcPr>
            <w:tcW w:w="434" w:type="pct"/>
            <w:tcBorders>
              <w:tl2br w:val="nil"/>
              <w:tr2bl w:val="nil"/>
            </w:tcBorders>
            <w:noWrap w:val="0"/>
            <w:vAlign w:val="center"/>
          </w:tcPr>
          <w:p w14:paraId="051EB6F1">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11050</w:t>
            </w:r>
          </w:p>
        </w:tc>
        <w:tc>
          <w:tcPr>
            <w:tcW w:w="310" w:type="pct"/>
            <w:tcBorders>
              <w:tl2br w:val="nil"/>
              <w:tr2bl w:val="nil"/>
            </w:tcBorders>
            <w:noWrap w:val="0"/>
            <w:vAlign w:val="center"/>
          </w:tcPr>
          <w:p w14:paraId="1EC4DF13">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rFonts w:hint="eastAsia"/>
                <w:color w:val="auto"/>
                <w:sz w:val="21"/>
                <w:szCs w:val="21"/>
                <w:highlight w:val="none"/>
                <w:u w:val="none"/>
              </w:rPr>
              <w:t>②</w:t>
            </w:r>
          </w:p>
        </w:tc>
        <w:tc>
          <w:tcPr>
            <w:tcW w:w="396" w:type="pct"/>
            <w:tcBorders>
              <w:tl2br w:val="nil"/>
              <w:tr2bl w:val="nil"/>
            </w:tcBorders>
            <w:noWrap w:val="0"/>
            <w:vAlign w:val="center"/>
          </w:tcPr>
          <w:p w14:paraId="44EEAB3A">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375" w:type="pct"/>
            <w:tcBorders>
              <w:tl2br w:val="nil"/>
              <w:tr2bl w:val="nil"/>
            </w:tcBorders>
            <w:noWrap w:val="0"/>
            <w:vAlign w:val="center"/>
          </w:tcPr>
          <w:p w14:paraId="49BDA6DE">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w:t>
            </w:r>
          </w:p>
        </w:tc>
        <w:tc>
          <w:tcPr>
            <w:tcW w:w="282" w:type="pct"/>
            <w:tcBorders>
              <w:tl2br w:val="nil"/>
              <w:tr2bl w:val="nil"/>
            </w:tcBorders>
            <w:noWrap w:val="0"/>
            <w:vAlign w:val="center"/>
          </w:tcPr>
          <w:p w14:paraId="0844898D">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306" w:type="pct"/>
            <w:tcBorders>
              <w:tl2br w:val="nil"/>
              <w:tr2bl w:val="nil"/>
            </w:tcBorders>
            <w:noWrap w:val="0"/>
            <w:vAlign w:val="center"/>
          </w:tcPr>
          <w:p w14:paraId="27D01905">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w:t>
            </w:r>
          </w:p>
        </w:tc>
      </w:tr>
      <w:tr w14:paraId="5479A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94" w:type="pct"/>
            <w:tcBorders>
              <w:tl2br w:val="nil"/>
              <w:tr2bl w:val="nil"/>
            </w:tcBorders>
            <w:noWrap w:val="0"/>
            <w:vAlign w:val="center"/>
          </w:tcPr>
          <w:p w14:paraId="4E3AB3B1">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rFonts w:hint="eastAsia"/>
                <w:color w:val="auto"/>
                <w:sz w:val="21"/>
                <w:szCs w:val="21"/>
                <w:highlight w:val="none"/>
                <w:u w:val="none"/>
              </w:rPr>
              <w:t>②</w:t>
            </w:r>
          </w:p>
        </w:tc>
        <w:tc>
          <w:tcPr>
            <w:tcW w:w="658" w:type="pct"/>
            <w:tcBorders>
              <w:tl2br w:val="nil"/>
              <w:tr2bl w:val="nil"/>
            </w:tcBorders>
            <w:noWrap w:val="0"/>
            <w:vAlign w:val="center"/>
          </w:tcPr>
          <w:p w14:paraId="2448FDED">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场地平整</w:t>
            </w:r>
          </w:p>
        </w:tc>
        <w:tc>
          <w:tcPr>
            <w:tcW w:w="468" w:type="pct"/>
            <w:tcBorders>
              <w:tl2br w:val="nil"/>
              <w:tr2bl w:val="nil"/>
            </w:tcBorders>
            <w:noWrap w:val="0"/>
            <w:vAlign w:val="center"/>
          </w:tcPr>
          <w:p w14:paraId="1BFD6ADF">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524" w:type="pct"/>
            <w:tcBorders>
              <w:tl2br w:val="nil"/>
              <w:tr2bl w:val="nil"/>
            </w:tcBorders>
            <w:noWrap w:val="0"/>
            <w:vAlign w:val="center"/>
          </w:tcPr>
          <w:p w14:paraId="72AC7272">
            <w:pPr>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11050</w:t>
            </w:r>
          </w:p>
        </w:tc>
        <w:tc>
          <w:tcPr>
            <w:tcW w:w="434" w:type="pct"/>
            <w:tcBorders>
              <w:tl2br w:val="nil"/>
              <w:tr2bl w:val="nil"/>
            </w:tcBorders>
            <w:noWrap w:val="0"/>
            <w:vAlign w:val="center"/>
          </w:tcPr>
          <w:p w14:paraId="77C32796">
            <w:pPr>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11050</w:t>
            </w:r>
          </w:p>
        </w:tc>
        <w:tc>
          <w:tcPr>
            <w:tcW w:w="412" w:type="pct"/>
            <w:tcBorders>
              <w:tl2br w:val="nil"/>
              <w:tr2bl w:val="nil"/>
            </w:tcBorders>
            <w:noWrap w:val="0"/>
            <w:vAlign w:val="center"/>
          </w:tcPr>
          <w:p w14:paraId="5CB7232E">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①</w:t>
            </w:r>
          </w:p>
        </w:tc>
        <w:tc>
          <w:tcPr>
            <w:tcW w:w="434" w:type="pct"/>
            <w:tcBorders>
              <w:tl2br w:val="nil"/>
              <w:tr2bl w:val="nil"/>
            </w:tcBorders>
            <w:noWrap w:val="0"/>
            <w:vAlign w:val="center"/>
          </w:tcPr>
          <w:p w14:paraId="648848A8">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310" w:type="pct"/>
            <w:tcBorders>
              <w:tl2br w:val="nil"/>
              <w:tr2bl w:val="nil"/>
            </w:tcBorders>
            <w:noWrap w:val="0"/>
            <w:vAlign w:val="center"/>
          </w:tcPr>
          <w:p w14:paraId="3C310BFC">
            <w:pPr>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w:t>
            </w:r>
          </w:p>
        </w:tc>
        <w:tc>
          <w:tcPr>
            <w:tcW w:w="396" w:type="pct"/>
            <w:tcBorders>
              <w:tl2br w:val="nil"/>
              <w:tr2bl w:val="nil"/>
            </w:tcBorders>
            <w:noWrap w:val="0"/>
            <w:vAlign w:val="center"/>
          </w:tcPr>
          <w:p w14:paraId="3891B59E">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375" w:type="pct"/>
            <w:tcBorders>
              <w:tl2br w:val="nil"/>
              <w:tr2bl w:val="nil"/>
            </w:tcBorders>
            <w:noWrap w:val="0"/>
            <w:vAlign w:val="center"/>
          </w:tcPr>
          <w:p w14:paraId="712E1B71">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w:t>
            </w:r>
          </w:p>
        </w:tc>
        <w:tc>
          <w:tcPr>
            <w:tcW w:w="282" w:type="pct"/>
            <w:tcBorders>
              <w:tl2br w:val="nil"/>
              <w:tr2bl w:val="nil"/>
            </w:tcBorders>
            <w:noWrap w:val="0"/>
            <w:vAlign w:val="center"/>
          </w:tcPr>
          <w:p w14:paraId="41C6FEF1">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306" w:type="pct"/>
            <w:tcBorders>
              <w:tl2br w:val="nil"/>
              <w:tr2bl w:val="nil"/>
            </w:tcBorders>
            <w:noWrap w:val="0"/>
            <w:vAlign w:val="center"/>
          </w:tcPr>
          <w:p w14:paraId="468A6A9E">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w:t>
            </w:r>
          </w:p>
        </w:tc>
      </w:tr>
      <w:tr w14:paraId="769D7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4" w:type="pct"/>
            <w:tcBorders>
              <w:tl2br w:val="nil"/>
              <w:tr2bl w:val="nil"/>
            </w:tcBorders>
            <w:noWrap w:val="0"/>
            <w:vAlign w:val="center"/>
          </w:tcPr>
          <w:p w14:paraId="054EF844">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fldChar w:fldCharType="begin"/>
            </w:r>
            <w:r>
              <w:rPr>
                <w:color w:val="auto"/>
                <w:sz w:val="21"/>
                <w:szCs w:val="21"/>
                <w:highlight w:val="none"/>
                <w:u w:val="none"/>
              </w:rPr>
              <w:instrText xml:space="preserve"> </w:instrText>
            </w:r>
            <w:r>
              <w:rPr>
                <w:rFonts w:hint="eastAsia"/>
                <w:color w:val="auto"/>
                <w:sz w:val="21"/>
                <w:szCs w:val="21"/>
                <w:highlight w:val="none"/>
                <w:u w:val="none"/>
              </w:rPr>
              <w:instrText xml:space="preserve">= 3 \* GB3</w:instrText>
            </w:r>
            <w:r>
              <w:rPr>
                <w:color w:val="auto"/>
                <w:sz w:val="21"/>
                <w:szCs w:val="21"/>
                <w:highlight w:val="none"/>
                <w:u w:val="none"/>
              </w:rPr>
              <w:instrText xml:space="preserve"> </w:instrText>
            </w:r>
            <w:r>
              <w:rPr>
                <w:color w:val="auto"/>
                <w:sz w:val="21"/>
                <w:szCs w:val="21"/>
                <w:highlight w:val="none"/>
                <w:u w:val="none"/>
              </w:rPr>
              <w:fldChar w:fldCharType="separate"/>
            </w:r>
            <w:r>
              <w:rPr>
                <w:rFonts w:hint="eastAsia"/>
                <w:color w:val="auto"/>
                <w:sz w:val="21"/>
                <w:szCs w:val="21"/>
                <w:highlight w:val="none"/>
                <w:u w:val="none"/>
              </w:rPr>
              <w:t>③</w:t>
            </w:r>
            <w:r>
              <w:rPr>
                <w:color w:val="auto"/>
                <w:sz w:val="21"/>
                <w:szCs w:val="21"/>
                <w:highlight w:val="none"/>
                <w:u w:val="none"/>
              </w:rPr>
              <w:fldChar w:fldCharType="end"/>
            </w:r>
          </w:p>
        </w:tc>
        <w:tc>
          <w:tcPr>
            <w:tcW w:w="658" w:type="pct"/>
            <w:tcBorders>
              <w:tl2br w:val="nil"/>
              <w:tr2bl w:val="nil"/>
            </w:tcBorders>
            <w:noWrap w:val="0"/>
            <w:vAlign w:val="center"/>
          </w:tcPr>
          <w:p w14:paraId="137C9DAB">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管线</w:t>
            </w:r>
          </w:p>
        </w:tc>
        <w:tc>
          <w:tcPr>
            <w:tcW w:w="468" w:type="pct"/>
            <w:tcBorders>
              <w:tl2br w:val="nil"/>
              <w:tr2bl w:val="nil"/>
            </w:tcBorders>
            <w:noWrap w:val="0"/>
            <w:vAlign w:val="center"/>
          </w:tcPr>
          <w:p w14:paraId="14133817">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26640</w:t>
            </w:r>
          </w:p>
        </w:tc>
        <w:tc>
          <w:tcPr>
            <w:tcW w:w="524" w:type="pct"/>
            <w:tcBorders>
              <w:tl2br w:val="nil"/>
              <w:tr2bl w:val="nil"/>
            </w:tcBorders>
            <w:noWrap w:val="0"/>
            <w:vAlign w:val="center"/>
          </w:tcPr>
          <w:p w14:paraId="10A9B369">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26640</w:t>
            </w:r>
          </w:p>
        </w:tc>
        <w:tc>
          <w:tcPr>
            <w:tcW w:w="434" w:type="pct"/>
            <w:tcBorders>
              <w:tl2br w:val="nil"/>
              <w:tr2bl w:val="nil"/>
            </w:tcBorders>
            <w:noWrap w:val="0"/>
            <w:vAlign w:val="center"/>
          </w:tcPr>
          <w:p w14:paraId="490E1842">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412" w:type="pct"/>
            <w:tcBorders>
              <w:tl2br w:val="nil"/>
              <w:tr2bl w:val="nil"/>
            </w:tcBorders>
            <w:noWrap w:val="0"/>
            <w:vAlign w:val="center"/>
          </w:tcPr>
          <w:p w14:paraId="65DF1382">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w:t>
            </w:r>
          </w:p>
        </w:tc>
        <w:tc>
          <w:tcPr>
            <w:tcW w:w="434" w:type="pct"/>
            <w:tcBorders>
              <w:tl2br w:val="nil"/>
              <w:tr2bl w:val="nil"/>
            </w:tcBorders>
            <w:noWrap w:val="0"/>
            <w:vAlign w:val="center"/>
          </w:tcPr>
          <w:p w14:paraId="1D4C60F1">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310" w:type="pct"/>
            <w:tcBorders>
              <w:tl2br w:val="nil"/>
              <w:tr2bl w:val="nil"/>
            </w:tcBorders>
            <w:noWrap w:val="0"/>
            <w:vAlign w:val="center"/>
          </w:tcPr>
          <w:p w14:paraId="19D67B0D">
            <w:pPr>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w:t>
            </w:r>
          </w:p>
        </w:tc>
        <w:tc>
          <w:tcPr>
            <w:tcW w:w="396" w:type="pct"/>
            <w:tcBorders>
              <w:tl2br w:val="nil"/>
              <w:tr2bl w:val="nil"/>
            </w:tcBorders>
            <w:noWrap w:val="0"/>
            <w:vAlign w:val="center"/>
          </w:tcPr>
          <w:p w14:paraId="1D076B87">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375" w:type="pct"/>
            <w:tcBorders>
              <w:tl2br w:val="nil"/>
              <w:tr2bl w:val="nil"/>
            </w:tcBorders>
            <w:noWrap w:val="0"/>
            <w:vAlign w:val="center"/>
          </w:tcPr>
          <w:p w14:paraId="2D034B26">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282" w:type="pct"/>
            <w:tcBorders>
              <w:tl2br w:val="nil"/>
              <w:tr2bl w:val="nil"/>
            </w:tcBorders>
            <w:noWrap w:val="0"/>
            <w:vAlign w:val="center"/>
          </w:tcPr>
          <w:p w14:paraId="7776986C">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0</w:t>
            </w:r>
          </w:p>
        </w:tc>
        <w:tc>
          <w:tcPr>
            <w:tcW w:w="306" w:type="pct"/>
            <w:tcBorders>
              <w:tl2br w:val="nil"/>
              <w:tr2bl w:val="nil"/>
            </w:tcBorders>
            <w:noWrap w:val="0"/>
            <w:vAlign w:val="center"/>
          </w:tcPr>
          <w:p w14:paraId="128CA11E">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w:t>
            </w:r>
          </w:p>
        </w:tc>
      </w:tr>
      <w:tr w14:paraId="1A301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94" w:type="pct"/>
            <w:tcBorders>
              <w:tl2br w:val="nil"/>
              <w:tr2bl w:val="nil"/>
            </w:tcBorders>
            <w:noWrap w:val="0"/>
            <w:vAlign w:val="center"/>
          </w:tcPr>
          <w:p w14:paraId="467EF9B3">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c>
          <w:tcPr>
            <w:tcW w:w="658" w:type="pct"/>
            <w:tcBorders>
              <w:tl2br w:val="nil"/>
              <w:tr2bl w:val="nil"/>
            </w:tcBorders>
            <w:noWrap w:val="0"/>
            <w:vAlign w:val="center"/>
          </w:tcPr>
          <w:p w14:paraId="7DA17455">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u w:val="none"/>
              </w:rPr>
            </w:pPr>
            <w:r>
              <w:rPr>
                <w:color w:val="auto"/>
                <w:sz w:val="21"/>
                <w:szCs w:val="21"/>
                <w:highlight w:val="none"/>
                <w:u w:val="none"/>
              </w:rPr>
              <w:t>合计</w:t>
            </w:r>
          </w:p>
        </w:tc>
        <w:tc>
          <w:tcPr>
            <w:tcW w:w="468" w:type="pct"/>
            <w:tcBorders>
              <w:tl2br w:val="nil"/>
              <w:tr2bl w:val="nil"/>
            </w:tcBorders>
            <w:noWrap w:val="0"/>
            <w:vAlign w:val="center"/>
          </w:tcPr>
          <w:p w14:paraId="1613B96F">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37690</w:t>
            </w:r>
          </w:p>
        </w:tc>
        <w:tc>
          <w:tcPr>
            <w:tcW w:w="524" w:type="pct"/>
            <w:tcBorders>
              <w:tl2br w:val="nil"/>
              <w:tr2bl w:val="nil"/>
            </w:tcBorders>
            <w:noWrap w:val="0"/>
            <w:vAlign w:val="center"/>
          </w:tcPr>
          <w:p w14:paraId="3D781C32">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37690</w:t>
            </w:r>
          </w:p>
        </w:tc>
        <w:tc>
          <w:tcPr>
            <w:tcW w:w="434" w:type="pct"/>
            <w:tcBorders>
              <w:tl2br w:val="nil"/>
              <w:tr2bl w:val="nil"/>
            </w:tcBorders>
            <w:noWrap w:val="0"/>
            <w:vAlign w:val="center"/>
          </w:tcPr>
          <w:p w14:paraId="0234877F">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11050</w:t>
            </w:r>
          </w:p>
        </w:tc>
        <w:tc>
          <w:tcPr>
            <w:tcW w:w="412" w:type="pct"/>
            <w:tcBorders>
              <w:tl2br w:val="nil"/>
              <w:tr2bl w:val="nil"/>
            </w:tcBorders>
            <w:noWrap w:val="0"/>
            <w:vAlign w:val="center"/>
          </w:tcPr>
          <w:p w14:paraId="7D228A0C">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c>
          <w:tcPr>
            <w:tcW w:w="434" w:type="pct"/>
            <w:tcBorders>
              <w:tl2br w:val="nil"/>
              <w:tr2bl w:val="nil"/>
            </w:tcBorders>
            <w:noWrap w:val="0"/>
            <w:vAlign w:val="center"/>
          </w:tcPr>
          <w:p w14:paraId="080E49EC">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11050</w:t>
            </w:r>
          </w:p>
        </w:tc>
        <w:tc>
          <w:tcPr>
            <w:tcW w:w="310" w:type="pct"/>
            <w:tcBorders>
              <w:tl2br w:val="nil"/>
              <w:tr2bl w:val="nil"/>
            </w:tcBorders>
            <w:noWrap w:val="0"/>
            <w:vAlign w:val="center"/>
          </w:tcPr>
          <w:p w14:paraId="530EEE17">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c>
          <w:tcPr>
            <w:tcW w:w="396" w:type="pct"/>
            <w:tcBorders>
              <w:tl2br w:val="nil"/>
              <w:tr2bl w:val="nil"/>
            </w:tcBorders>
            <w:noWrap w:val="0"/>
            <w:vAlign w:val="center"/>
          </w:tcPr>
          <w:p w14:paraId="50885FD4">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w:t>
            </w:r>
          </w:p>
        </w:tc>
        <w:tc>
          <w:tcPr>
            <w:tcW w:w="375" w:type="pct"/>
            <w:tcBorders>
              <w:tl2br w:val="nil"/>
              <w:tr2bl w:val="nil"/>
            </w:tcBorders>
            <w:noWrap w:val="0"/>
            <w:vAlign w:val="center"/>
          </w:tcPr>
          <w:p w14:paraId="08E2ED5A">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282" w:type="pct"/>
            <w:tcBorders>
              <w:tl2br w:val="nil"/>
              <w:tr2bl w:val="nil"/>
            </w:tcBorders>
            <w:noWrap w:val="0"/>
            <w:vAlign w:val="center"/>
          </w:tcPr>
          <w:p w14:paraId="119CD518">
            <w:pPr>
              <w:pStyle w:val="53"/>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w:t>
            </w:r>
          </w:p>
        </w:tc>
        <w:tc>
          <w:tcPr>
            <w:tcW w:w="306" w:type="pct"/>
            <w:tcBorders>
              <w:tl2br w:val="nil"/>
              <w:tr2bl w:val="nil"/>
            </w:tcBorders>
            <w:noWrap w:val="0"/>
            <w:vAlign w:val="center"/>
          </w:tcPr>
          <w:p w14:paraId="2C8A12D5">
            <w:pPr>
              <w:pStyle w:val="70"/>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r>
    </w:tbl>
    <w:p w14:paraId="3E731A5E">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snapToGrid w:val="0"/>
          <w:color w:val="auto"/>
          <w:sz w:val="24"/>
          <w:szCs w:val="22"/>
          <w:highlight w:val="none"/>
          <w:u w:val="none"/>
          <w:lang w:val="zh-CN"/>
        </w:rPr>
      </w:pPr>
      <w:r>
        <w:rPr>
          <w:rFonts w:hint="eastAsia" w:cs="Times New Roman"/>
          <w:bCs/>
          <w:snapToGrid w:val="0"/>
          <w:color w:val="auto"/>
          <w:sz w:val="24"/>
          <w:szCs w:val="22"/>
          <w:highlight w:val="none"/>
          <w:u w:val="none"/>
          <w:lang w:val="en-US" w:eastAsia="zh-CN"/>
        </w:rPr>
        <w:t>6）</w:t>
      </w:r>
      <w:r>
        <w:rPr>
          <w:rFonts w:hint="default" w:ascii="Times New Roman" w:hAnsi="Times New Roman" w:cs="Times New Roman"/>
          <w:bCs/>
          <w:snapToGrid w:val="0"/>
          <w:color w:val="auto"/>
          <w:sz w:val="24"/>
          <w:szCs w:val="22"/>
          <w:highlight w:val="none"/>
          <w:u w:val="none"/>
          <w:lang w:val="zh-CN"/>
        </w:rPr>
        <w:t>机械设备废油和含油废弃物</w:t>
      </w:r>
    </w:p>
    <w:p w14:paraId="623D9CD5">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施工期间使用的机械设备运行过程中需进行维护、保养、维修等工作，以使其能正常运转，此过程中将产生少量的废油，如废液压油、废润滑油、废机油、含油废弃物等，类比调查一个钻井施工期产生量不足0.1t，本工程部署新钻</w:t>
      </w:r>
      <w:r>
        <w:rPr>
          <w:rFonts w:hint="eastAsia" w:cs="Times New Roman"/>
          <w:bCs/>
          <w:snapToGrid w:val="0"/>
          <w:color w:val="auto"/>
          <w:sz w:val="24"/>
          <w:szCs w:val="22"/>
          <w:highlight w:val="none"/>
          <w:u w:val="none"/>
          <w:lang w:val="en-US" w:eastAsia="zh-CN"/>
        </w:rPr>
        <w:t>采气井3</w:t>
      </w:r>
      <w:r>
        <w:rPr>
          <w:rFonts w:hint="default" w:ascii="Times New Roman" w:hAnsi="Times New Roman" w:cs="Times New Roman"/>
          <w:bCs/>
          <w:snapToGrid w:val="0"/>
          <w:color w:val="auto"/>
          <w:sz w:val="24"/>
          <w:szCs w:val="22"/>
          <w:highlight w:val="none"/>
          <w:u w:val="none"/>
          <w:lang w:val="zh-CN"/>
        </w:rPr>
        <w:t>口，整个施工期废机油的产生量共计</w:t>
      </w:r>
      <w:r>
        <w:rPr>
          <w:rFonts w:hint="eastAsia" w:cs="Times New Roman"/>
          <w:bCs/>
          <w:snapToGrid w:val="0"/>
          <w:color w:val="auto"/>
          <w:sz w:val="24"/>
          <w:szCs w:val="22"/>
          <w:highlight w:val="none"/>
          <w:u w:val="none"/>
          <w:lang w:val="en-US" w:eastAsia="zh-CN"/>
        </w:rPr>
        <w:t>0.3</w:t>
      </w:r>
      <w:r>
        <w:rPr>
          <w:rFonts w:hint="default" w:ascii="Times New Roman" w:hAnsi="Times New Roman" w:cs="Times New Roman"/>
          <w:bCs/>
          <w:snapToGrid w:val="0"/>
          <w:color w:val="auto"/>
          <w:sz w:val="24"/>
          <w:szCs w:val="22"/>
          <w:highlight w:val="none"/>
          <w:u w:val="none"/>
          <w:lang w:val="zh-CN"/>
        </w:rPr>
        <w:t>t，委托具有相</w:t>
      </w:r>
      <w:r>
        <w:rPr>
          <w:rFonts w:hint="eastAsia" w:cs="Times New Roman"/>
          <w:bCs/>
          <w:snapToGrid w:val="0"/>
          <w:color w:val="auto"/>
          <w:sz w:val="24"/>
          <w:szCs w:val="22"/>
          <w:highlight w:val="none"/>
          <w:u w:val="none"/>
          <w:lang w:val="en-US" w:eastAsia="zh-CN"/>
        </w:rPr>
        <w:t>关</w:t>
      </w:r>
      <w:r>
        <w:rPr>
          <w:rFonts w:hint="default" w:ascii="Times New Roman" w:hAnsi="Times New Roman" w:cs="Times New Roman"/>
          <w:bCs/>
          <w:snapToGrid w:val="0"/>
          <w:color w:val="auto"/>
          <w:sz w:val="24"/>
          <w:szCs w:val="22"/>
          <w:highlight w:val="none"/>
          <w:u w:val="none"/>
          <w:lang w:val="zh-CN"/>
        </w:rPr>
        <w:t>危废处置资质单位接收处置。</w:t>
      </w:r>
    </w:p>
    <w:p w14:paraId="1F6125E5">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按照《国家危险废物名录》，废油划分为废矿物油与含矿物油废物类，其危险废物编号为HW08。考虑到转运期间的时间间隔，井场地内应设置危险废物临时贮存点，危险废物临时贮存点须严格按照《危险废物贮存污染控制标准》（GB18597-2023）的相关要求建设，在此基础上，可确保工程产生的危险废物在过程控制阶段对环境的影响最小。</w:t>
      </w:r>
    </w:p>
    <w:p w14:paraId="51155C41">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snapToGrid w:val="0"/>
          <w:color w:val="auto"/>
          <w:sz w:val="24"/>
          <w:szCs w:val="22"/>
          <w:highlight w:val="none"/>
          <w:u w:val="none"/>
          <w:lang w:val="zh-CN"/>
        </w:rPr>
      </w:pPr>
      <w:r>
        <w:rPr>
          <w:rFonts w:hint="eastAsia" w:cs="Times New Roman"/>
          <w:bCs/>
          <w:snapToGrid w:val="0"/>
          <w:color w:val="auto"/>
          <w:sz w:val="24"/>
          <w:szCs w:val="22"/>
          <w:highlight w:val="none"/>
          <w:u w:val="none"/>
          <w:lang w:val="en-US" w:eastAsia="zh-CN"/>
        </w:rPr>
        <w:t>7）</w:t>
      </w:r>
      <w:r>
        <w:rPr>
          <w:rFonts w:hint="default" w:ascii="Times New Roman" w:hAnsi="Times New Roman" w:cs="Times New Roman"/>
          <w:bCs/>
          <w:snapToGrid w:val="0"/>
          <w:color w:val="auto"/>
          <w:sz w:val="24"/>
          <w:szCs w:val="22"/>
          <w:highlight w:val="none"/>
          <w:u w:val="none"/>
          <w:lang w:val="zh-CN"/>
        </w:rPr>
        <w:t>废烧碱包装袋</w:t>
      </w:r>
    </w:p>
    <w:p w14:paraId="61BD32D0">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snapToGrid w:val="0"/>
          <w:color w:val="auto"/>
          <w:sz w:val="24"/>
          <w:szCs w:val="22"/>
          <w:highlight w:val="none"/>
          <w:u w:val="none"/>
          <w:lang w:val="zh-CN"/>
        </w:rPr>
      </w:pPr>
      <w:r>
        <w:rPr>
          <w:rFonts w:hint="default" w:ascii="Times New Roman" w:hAnsi="Times New Roman" w:cs="Times New Roman"/>
          <w:bCs/>
          <w:snapToGrid w:val="0"/>
          <w:color w:val="auto"/>
          <w:sz w:val="24"/>
          <w:szCs w:val="22"/>
          <w:highlight w:val="none"/>
          <w:u w:val="none"/>
          <w:lang w:val="zh-CN"/>
        </w:rPr>
        <w:t>钻井施工过程中配制钻井泥浆时会产生少量烧碱废包装袋，属于危险废物HW49（废物代码：900-041-49），施工单位及时回收烧碱废包装袋，暂存于危废贮存点。钻井过程中，废烧碱包装袋产生量约为0.02t</w:t>
      </w:r>
      <w:r>
        <w:rPr>
          <w:rFonts w:hint="eastAsia" w:cs="Times New Roman"/>
          <w:bCs/>
          <w:snapToGrid w:val="0"/>
          <w:color w:val="auto"/>
          <w:sz w:val="24"/>
          <w:szCs w:val="22"/>
          <w:highlight w:val="none"/>
          <w:u w:val="none"/>
          <w:lang w:val="en-US" w:eastAsia="zh-CN"/>
        </w:rPr>
        <w:t>/口井</w:t>
      </w:r>
      <w:r>
        <w:rPr>
          <w:rFonts w:hint="default" w:ascii="Times New Roman" w:hAnsi="Times New Roman" w:cs="Times New Roman"/>
          <w:bCs/>
          <w:snapToGrid w:val="0"/>
          <w:color w:val="auto"/>
          <w:sz w:val="24"/>
          <w:szCs w:val="22"/>
          <w:highlight w:val="none"/>
          <w:u w:val="none"/>
          <w:lang w:val="zh-CN"/>
        </w:rPr>
        <w:t>，本工程新钻</w:t>
      </w:r>
      <w:r>
        <w:rPr>
          <w:rFonts w:hint="eastAsia" w:cs="Times New Roman"/>
          <w:bCs/>
          <w:snapToGrid w:val="0"/>
          <w:color w:val="auto"/>
          <w:sz w:val="24"/>
          <w:szCs w:val="22"/>
          <w:highlight w:val="none"/>
          <w:u w:val="none"/>
          <w:lang w:val="en-US" w:eastAsia="zh-CN"/>
        </w:rPr>
        <w:t>3</w:t>
      </w:r>
      <w:r>
        <w:rPr>
          <w:rFonts w:hint="default" w:ascii="Times New Roman" w:hAnsi="Times New Roman" w:cs="Times New Roman"/>
          <w:bCs/>
          <w:snapToGrid w:val="0"/>
          <w:color w:val="auto"/>
          <w:sz w:val="24"/>
          <w:szCs w:val="22"/>
          <w:highlight w:val="none"/>
          <w:u w:val="none"/>
          <w:lang w:val="zh-CN"/>
        </w:rPr>
        <w:t>口井，因此，项目施工期废烧碱包装袋产生量约为</w:t>
      </w:r>
      <w:r>
        <w:rPr>
          <w:rFonts w:hint="eastAsia" w:cs="Times New Roman"/>
          <w:bCs/>
          <w:snapToGrid w:val="0"/>
          <w:color w:val="auto"/>
          <w:sz w:val="24"/>
          <w:szCs w:val="22"/>
          <w:highlight w:val="none"/>
          <w:u w:val="none"/>
          <w:lang w:val="en-US" w:eastAsia="zh-CN"/>
        </w:rPr>
        <w:t>0.06</w:t>
      </w:r>
      <w:r>
        <w:rPr>
          <w:rFonts w:hint="default" w:ascii="Times New Roman" w:hAnsi="Times New Roman" w:cs="Times New Roman"/>
          <w:bCs/>
          <w:snapToGrid w:val="0"/>
          <w:color w:val="auto"/>
          <w:sz w:val="24"/>
          <w:szCs w:val="22"/>
          <w:highlight w:val="none"/>
          <w:u w:val="none"/>
          <w:lang w:val="zh-CN"/>
        </w:rPr>
        <w:t>t，集中收集后委托具有相</w:t>
      </w:r>
      <w:r>
        <w:rPr>
          <w:rFonts w:hint="eastAsia" w:cs="Times New Roman"/>
          <w:bCs/>
          <w:snapToGrid w:val="0"/>
          <w:color w:val="auto"/>
          <w:sz w:val="24"/>
          <w:szCs w:val="22"/>
          <w:highlight w:val="none"/>
          <w:u w:val="none"/>
          <w:lang w:val="en-US" w:eastAsia="zh-CN"/>
        </w:rPr>
        <w:t>关</w:t>
      </w:r>
      <w:r>
        <w:rPr>
          <w:rFonts w:hint="default" w:ascii="Times New Roman" w:hAnsi="Times New Roman" w:cs="Times New Roman"/>
          <w:bCs/>
          <w:snapToGrid w:val="0"/>
          <w:color w:val="auto"/>
          <w:sz w:val="24"/>
          <w:szCs w:val="22"/>
          <w:highlight w:val="none"/>
          <w:u w:val="none"/>
          <w:lang w:val="zh-CN"/>
        </w:rPr>
        <w:t>危废处置资质的公司接收处置。</w:t>
      </w:r>
    </w:p>
    <w:p w14:paraId="355D6C49">
      <w:pPr>
        <w:keepNext w:val="0"/>
        <w:keepLines w:val="0"/>
        <w:pageBreakBefore w:val="0"/>
        <w:widowControl w:val="0"/>
        <w:kinsoku/>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snapToGrid w:val="0"/>
          <w:color w:val="auto"/>
          <w:kern w:val="2"/>
          <w:sz w:val="24"/>
          <w:szCs w:val="24"/>
          <w:highlight w:val="none"/>
          <w:u w:val="none"/>
          <w:lang w:val="en-US" w:eastAsia="zh-CN" w:bidi="ar-SA"/>
        </w:rPr>
      </w:pPr>
      <w:r>
        <w:rPr>
          <w:rFonts w:hint="default" w:ascii="Times New Roman" w:hAnsi="Times New Roman" w:eastAsia="宋体" w:cs="Times New Roman"/>
          <w:b/>
          <w:bCs/>
          <w:snapToGrid w:val="0"/>
          <w:color w:val="auto"/>
          <w:kern w:val="2"/>
          <w:sz w:val="24"/>
          <w:szCs w:val="24"/>
          <w:highlight w:val="none"/>
          <w:u w:val="none"/>
          <w:lang w:val="en-US" w:eastAsia="zh-CN" w:bidi="ar-SA"/>
        </w:rPr>
        <w:t>（4）噪声</w:t>
      </w:r>
    </w:p>
    <w:p w14:paraId="59161FF5">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kern w:val="2"/>
          <w:sz w:val="24"/>
          <w:szCs w:val="24"/>
          <w:highlight w:val="none"/>
          <w:u w:val="none"/>
          <w:lang w:val="zh-CN" w:eastAsia="zh-CN" w:bidi="ar-SA"/>
        </w:rPr>
      </w:pPr>
      <w:r>
        <w:rPr>
          <w:rFonts w:hint="default" w:ascii="Times New Roman" w:hAnsi="Times New Roman" w:eastAsia="宋体" w:cs="Times New Roman"/>
          <w:bCs/>
          <w:color w:val="auto"/>
          <w:kern w:val="2"/>
          <w:sz w:val="24"/>
          <w:szCs w:val="24"/>
          <w:highlight w:val="none"/>
          <w:u w:val="none"/>
          <w:lang w:val="zh-CN" w:eastAsia="zh-CN" w:bidi="ar-SA"/>
        </w:rPr>
        <w:t>在不同的施工阶段将使用不同的施工机械，如挖掘机、钻机、吊机、泥浆泵、压裂车、测试放喷噪声等，产噪声级在90～110dB(A)之间，对周围声环境产生一定的影响，工程采取选用低噪声施工设备，合理控制施工作业时间，控制施工噪声对周围的不利影响。</w:t>
      </w:r>
    </w:p>
    <w:p w14:paraId="3D32216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bCs/>
          <w:color w:val="auto"/>
          <w:kern w:val="24"/>
          <w:sz w:val="24"/>
          <w:szCs w:val="24"/>
          <w:highlight w:val="none"/>
          <w:u w:val="none"/>
        </w:rPr>
      </w:pPr>
      <w:r>
        <w:rPr>
          <w:rFonts w:hint="default" w:ascii="Times New Roman" w:hAnsi="Times New Roman" w:cs="Times New Roman"/>
          <w:b/>
          <w:bCs/>
          <w:color w:val="auto"/>
          <w:kern w:val="24"/>
          <w:sz w:val="24"/>
          <w:szCs w:val="24"/>
          <w:highlight w:val="none"/>
          <w:u w:val="none"/>
        </w:rPr>
        <w:t>（5）施工期污染物排放情况汇总</w:t>
      </w:r>
    </w:p>
    <w:p w14:paraId="02FDEF27">
      <w:pPr>
        <w:keepNext w:val="0"/>
        <w:keepLines w:val="0"/>
        <w:pageBreakBefore w:val="0"/>
        <w:widowControl w:val="0"/>
        <w:kinsoku/>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本工程施工期污染物排放情况汇总</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见表3.</w:t>
      </w:r>
      <w:r>
        <w:rPr>
          <w:rFonts w:hint="eastAsia" w:cs="Times New Roman"/>
          <w:color w:val="auto"/>
          <w:sz w:val="24"/>
          <w:szCs w:val="24"/>
          <w:highlight w:val="none"/>
          <w:u w:val="none"/>
          <w:lang w:val="en-US" w:eastAsia="zh-CN"/>
        </w:rPr>
        <w:t>4-8</w:t>
      </w:r>
      <w:r>
        <w:rPr>
          <w:rFonts w:hint="default" w:ascii="Times New Roman" w:hAnsi="Times New Roman" w:cs="Times New Roman"/>
          <w:color w:val="auto"/>
          <w:sz w:val="24"/>
          <w:szCs w:val="24"/>
          <w:highlight w:val="none"/>
          <w:u w:val="none"/>
        </w:rPr>
        <w:t>。</w:t>
      </w:r>
    </w:p>
    <w:p w14:paraId="029E56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 xml:space="preserve">3.4-8  </w:t>
      </w:r>
      <w:r>
        <w:rPr>
          <w:rFonts w:hint="default" w:ascii="黑体" w:hAnsi="黑体" w:eastAsia="黑体" w:cs="黑体"/>
          <w:b w:val="0"/>
          <w:bCs/>
          <w:color w:val="auto"/>
          <w:kern w:val="2"/>
          <w:sz w:val="24"/>
          <w:szCs w:val="24"/>
          <w:u w:val="none"/>
          <w:lang w:val="en-US" w:eastAsia="zh-CN" w:bidi="ar-SA"/>
        </w:rPr>
        <w:t>本工程施工期污染物排放情况汇总表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143"/>
        <w:gridCol w:w="1141"/>
        <w:gridCol w:w="1102"/>
        <w:gridCol w:w="896"/>
        <w:gridCol w:w="3896"/>
      </w:tblGrid>
      <w:tr w14:paraId="77681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tcBorders>
              <w:tl2br w:val="nil"/>
              <w:tr2bl w:val="nil"/>
            </w:tcBorders>
            <w:noWrap w:val="0"/>
            <w:vAlign w:val="center"/>
          </w:tcPr>
          <w:p w14:paraId="276EB6A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项目</w:t>
            </w:r>
          </w:p>
        </w:tc>
        <w:tc>
          <w:tcPr>
            <w:tcW w:w="647" w:type="pct"/>
            <w:tcBorders>
              <w:tl2br w:val="nil"/>
              <w:tr2bl w:val="nil"/>
            </w:tcBorders>
            <w:noWrap w:val="0"/>
            <w:vAlign w:val="center"/>
          </w:tcPr>
          <w:p w14:paraId="03133AB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污染源</w:t>
            </w:r>
          </w:p>
        </w:tc>
        <w:tc>
          <w:tcPr>
            <w:tcW w:w="646" w:type="pct"/>
            <w:tcBorders>
              <w:tl2br w:val="nil"/>
              <w:tr2bl w:val="nil"/>
            </w:tcBorders>
            <w:noWrap w:val="0"/>
            <w:vAlign w:val="center"/>
          </w:tcPr>
          <w:p w14:paraId="1E3B4C8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污染物</w:t>
            </w:r>
          </w:p>
        </w:tc>
        <w:tc>
          <w:tcPr>
            <w:tcW w:w="624" w:type="pct"/>
            <w:tcBorders>
              <w:tl2br w:val="nil"/>
              <w:tr2bl w:val="nil"/>
            </w:tcBorders>
            <w:noWrap w:val="0"/>
            <w:vAlign w:val="center"/>
          </w:tcPr>
          <w:p w14:paraId="24FBB53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产生量</w:t>
            </w:r>
          </w:p>
        </w:tc>
        <w:tc>
          <w:tcPr>
            <w:tcW w:w="507" w:type="pct"/>
            <w:tcBorders>
              <w:tl2br w:val="nil"/>
              <w:tr2bl w:val="nil"/>
            </w:tcBorders>
            <w:noWrap w:val="0"/>
            <w:vAlign w:val="center"/>
          </w:tcPr>
          <w:p w14:paraId="781F928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排放量</w:t>
            </w:r>
          </w:p>
        </w:tc>
        <w:tc>
          <w:tcPr>
            <w:tcW w:w="2205" w:type="pct"/>
            <w:tcBorders>
              <w:tl2br w:val="nil"/>
              <w:tr2bl w:val="nil"/>
            </w:tcBorders>
            <w:noWrap w:val="0"/>
            <w:vAlign w:val="center"/>
          </w:tcPr>
          <w:p w14:paraId="65E8E92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主要处理措施及排放去向</w:t>
            </w:r>
          </w:p>
        </w:tc>
      </w:tr>
      <w:tr w14:paraId="0D2A9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restart"/>
            <w:tcBorders>
              <w:tl2br w:val="nil"/>
              <w:tr2bl w:val="nil"/>
            </w:tcBorders>
            <w:noWrap w:val="0"/>
            <w:vAlign w:val="center"/>
          </w:tcPr>
          <w:p w14:paraId="47BA905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废气</w:t>
            </w:r>
          </w:p>
        </w:tc>
        <w:tc>
          <w:tcPr>
            <w:tcW w:w="647" w:type="pct"/>
            <w:vMerge w:val="restart"/>
            <w:tcBorders>
              <w:tl2br w:val="nil"/>
              <w:tr2bl w:val="nil"/>
            </w:tcBorders>
            <w:noWrap w:val="0"/>
            <w:vAlign w:val="center"/>
          </w:tcPr>
          <w:p w14:paraId="22ADB76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钻井机械</w:t>
            </w:r>
          </w:p>
        </w:tc>
        <w:tc>
          <w:tcPr>
            <w:tcW w:w="646" w:type="pct"/>
            <w:tcBorders>
              <w:tl2br w:val="nil"/>
              <w:tr2bl w:val="nil"/>
            </w:tcBorders>
            <w:noWrap w:val="0"/>
            <w:vAlign w:val="center"/>
          </w:tcPr>
          <w:p w14:paraId="707B52C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val="zh-CN"/>
              </w:rPr>
              <w:t>CO</w:t>
            </w:r>
          </w:p>
        </w:tc>
        <w:tc>
          <w:tcPr>
            <w:tcW w:w="624" w:type="pct"/>
            <w:tcBorders>
              <w:tl2br w:val="nil"/>
              <w:tr2bl w:val="nil"/>
            </w:tcBorders>
            <w:noWrap w:val="0"/>
            <w:vAlign w:val="center"/>
          </w:tcPr>
          <w:p w14:paraId="48C8C8D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cs="宋体"/>
                <w:snapToGrid w:val="0"/>
                <w:color w:val="auto"/>
                <w:spacing w:val="0"/>
                <w:sz w:val="21"/>
                <w:szCs w:val="21"/>
                <w:highlight w:val="none"/>
                <w:u w:val="none"/>
                <w:lang w:val="en-US" w:eastAsia="zh-CN"/>
              </w:rPr>
              <w:t>5.79</w:t>
            </w:r>
            <w:r>
              <w:rPr>
                <w:rFonts w:hint="eastAsia" w:ascii="宋体" w:hAnsi="宋体" w:eastAsia="宋体" w:cs="宋体"/>
                <w:snapToGrid w:val="0"/>
                <w:color w:val="auto"/>
                <w:spacing w:val="0"/>
                <w:sz w:val="21"/>
                <w:szCs w:val="21"/>
                <w:highlight w:val="none"/>
                <w:u w:val="none"/>
              </w:rPr>
              <w:t>t</w:t>
            </w:r>
          </w:p>
        </w:tc>
        <w:tc>
          <w:tcPr>
            <w:tcW w:w="896" w:type="dxa"/>
            <w:tcBorders>
              <w:tl2br w:val="nil"/>
              <w:tr2bl w:val="nil"/>
            </w:tcBorders>
            <w:noWrap w:val="0"/>
            <w:vAlign w:val="center"/>
          </w:tcPr>
          <w:p w14:paraId="4870DFD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napToGrid w:val="0"/>
                <w:color w:val="auto"/>
                <w:spacing w:val="0"/>
                <w:sz w:val="21"/>
                <w:szCs w:val="21"/>
                <w:highlight w:val="none"/>
                <w:u w:val="none"/>
                <w:lang w:val="en-US" w:eastAsia="zh-CN"/>
              </w:rPr>
            </w:pPr>
            <w:r>
              <w:rPr>
                <w:rFonts w:hint="eastAsia" w:ascii="宋体" w:hAnsi="宋体" w:cs="宋体"/>
                <w:snapToGrid w:val="0"/>
                <w:color w:val="auto"/>
                <w:spacing w:val="0"/>
                <w:sz w:val="21"/>
                <w:szCs w:val="21"/>
                <w:highlight w:val="none"/>
                <w:u w:val="none"/>
                <w:lang w:val="en-US" w:eastAsia="zh-CN"/>
              </w:rPr>
              <w:t>5.79</w:t>
            </w:r>
            <w:r>
              <w:rPr>
                <w:rFonts w:hint="eastAsia" w:ascii="宋体" w:hAnsi="宋体" w:eastAsia="宋体" w:cs="宋体"/>
                <w:snapToGrid w:val="0"/>
                <w:color w:val="auto"/>
                <w:spacing w:val="0"/>
                <w:sz w:val="21"/>
                <w:szCs w:val="21"/>
                <w:highlight w:val="none"/>
                <w:u w:val="none"/>
              </w:rPr>
              <w:t>t</w:t>
            </w:r>
          </w:p>
        </w:tc>
        <w:tc>
          <w:tcPr>
            <w:tcW w:w="2205" w:type="pct"/>
            <w:vMerge w:val="restart"/>
            <w:tcBorders>
              <w:tl2br w:val="nil"/>
              <w:tr2bl w:val="nil"/>
            </w:tcBorders>
            <w:noWrap w:val="0"/>
            <w:vAlign w:val="center"/>
          </w:tcPr>
          <w:p w14:paraId="1A0D35B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使用合格燃料，加强施工管理</w:t>
            </w:r>
          </w:p>
        </w:tc>
      </w:tr>
      <w:tr w14:paraId="7159C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4811F52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vMerge w:val="continue"/>
            <w:tcBorders>
              <w:tl2br w:val="nil"/>
              <w:tr2bl w:val="nil"/>
            </w:tcBorders>
            <w:noWrap w:val="0"/>
            <w:vAlign w:val="center"/>
          </w:tcPr>
          <w:p w14:paraId="470E9A5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6" w:type="pct"/>
            <w:tcBorders>
              <w:tl2br w:val="nil"/>
              <w:tr2bl w:val="nil"/>
            </w:tcBorders>
            <w:noWrap w:val="0"/>
            <w:vAlign w:val="center"/>
          </w:tcPr>
          <w:p w14:paraId="2DEB4A1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NO</w:t>
            </w:r>
            <w:r>
              <w:rPr>
                <w:rFonts w:hint="eastAsia" w:ascii="宋体" w:hAnsi="宋体" w:eastAsia="宋体" w:cs="宋体"/>
                <w:color w:val="auto"/>
                <w:spacing w:val="0"/>
                <w:sz w:val="21"/>
                <w:szCs w:val="21"/>
                <w:highlight w:val="none"/>
                <w:u w:val="none"/>
                <w:vertAlign w:val="subscript"/>
              </w:rPr>
              <w:t>X</w:t>
            </w:r>
          </w:p>
        </w:tc>
        <w:tc>
          <w:tcPr>
            <w:tcW w:w="624" w:type="pct"/>
            <w:tcBorders>
              <w:tl2br w:val="nil"/>
              <w:tr2bl w:val="nil"/>
            </w:tcBorders>
            <w:noWrap w:val="0"/>
            <w:vAlign w:val="center"/>
          </w:tcPr>
          <w:p w14:paraId="0ABC58A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cs="宋体"/>
                <w:snapToGrid w:val="0"/>
                <w:color w:val="auto"/>
                <w:spacing w:val="0"/>
                <w:sz w:val="21"/>
                <w:szCs w:val="21"/>
                <w:highlight w:val="none"/>
                <w:u w:val="none"/>
                <w:lang w:val="en-US" w:eastAsia="zh-CN"/>
              </w:rPr>
              <w:t>17.71</w:t>
            </w:r>
            <w:r>
              <w:rPr>
                <w:rFonts w:hint="eastAsia" w:ascii="宋体" w:hAnsi="宋体" w:eastAsia="宋体" w:cs="宋体"/>
                <w:snapToGrid w:val="0"/>
                <w:color w:val="auto"/>
                <w:spacing w:val="0"/>
                <w:sz w:val="21"/>
                <w:szCs w:val="21"/>
                <w:highlight w:val="none"/>
                <w:u w:val="none"/>
              </w:rPr>
              <w:t>t</w:t>
            </w:r>
          </w:p>
        </w:tc>
        <w:tc>
          <w:tcPr>
            <w:tcW w:w="896" w:type="dxa"/>
            <w:tcBorders>
              <w:tl2br w:val="nil"/>
              <w:tr2bl w:val="nil"/>
            </w:tcBorders>
            <w:noWrap w:val="0"/>
            <w:vAlign w:val="center"/>
          </w:tcPr>
          <w:p w14:paraId="6F59432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napToGrid w:val="0"/>
                <w:color w:val="auto"/>
                <w:spacing w:val="0"/>
                <w:sz w:val="21"/>
                <w:szCs w:val="21"/>
                <w:highlight w:val="none"/>
                <w:u w:val="none"/>
                <w:lang w:val="en-US" w:eastAsia="zh-CN"/>
              </w:rPr>
            </w:pPr>
            <w:r>
              <w:rPr>
                <w:rFonts w:hint="eastAsia" w:ascii="宋体" w:hAnsi="宋体" w:cs="宋体"/>
                <w:snapToGrid w:val="0"/>
                <w:color w:val="auto"/>
                <w:spacing w:val="0"/>
                <w:sz w:val="21"/>
                <w:szCs w:val="21"/>
                <w:highlight w:val="none"/>
                <w:u w:val="none"/>
                <w:lang w:val="en-US" w:eastAsia="zh-CN"/>
              </w:rPr>
              <w:t>17.71</w:t>
            </w:r>
            <w:r>
              <w:rPr>
                <w:rFonts w:hint="eastAsia" w:ascii="宋体" w:hAnsi="宋体" w:eastAsia="宋体" w:cs="宋体"/>
                <w:snapToGrid w:val="0"/>
                <w:color w:val="auto"/>
                <w:spacing w:val="0"/>
                <w:sz w:val="21"/>
                <w:szCs w:val="21"/>
                <w:highlight w:val="none"/>
                <w:u w:val="none"/>
              </w:rPr>
              <w:t>t</w:t>
            </w:r>
          </w:p>
        </w:tc>
        <w:tc>
          <w:tcPr>
            <w:tcW w:w="2205" w:type="pct"/>
            <w:vMerge w:val="continue"/>
            <w:tcBorders>
              <w:tl2br w:val="nil"/>
              <w:tr2bl w:val="nil"/>
            </w:tcBorders>
            <w:noWrap w:val="0"/>
            <w:vAlign w:val="center"/>
          </w:tcPr>
          <w:p w14:paraId="3EBBA6D2">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p>
        </w:tc>
      </w:tr>
      <w:tr w14:paraId="60333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1AAD558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vMerge w:val="continue"/>
            <w:tcBorders>
              <w:tl2br w:val="nil"/>
              <w:tr2bl w:val="nil"/>
            </w:tcBorders>
            <w:noWrap w:val="0"/>
            <w:vAlign w:val="center"/>
          </w:tcPr>
          <w:p w14:paraId="308A2F1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6" w:type="pct"/>
            <w:tcBorders>
              <w:tl2br w:val="nil"/>
              <w:tr2bl w:val="nil"/>
            </w:tcBorders>
            <w:noWrap w:val="0"/>
            <w:vAlign w:val="center"/>
          </w:tcPr>
          <w:p w14:paraId="791F56D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val="zh-CN"/>
              </w:rPr>
              <w:t>烃类</w:t>
            </w:r>
          </w:p>
        </w:tc>
        <w:tc>
          <w:tcPr>
            <w:tcW w:w="624" w:type="pct"/>
            <w:tcBorders>
              <w:tl2br w:val="nil"/>
              <w:tr2bl w:val="nil"/>
            </w:tcBorders>
            <w:noWrap w:val="0"/>
            <w:vAlign w:val="center"/>
          </w:tcPr>
          <w:p w14:paraId="522894A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cs="宋体"/>
                <w:snapToGrid w:val="0"/>
                <w:color w:val="auto"/>
                <w:spacing w:val="0"/>
                <w:sz w:val="21"/>
                <w:szCs w:val="21"/>
                <w:highlight w:val="none"/>
                <w:u w:val="none"/>
                <w:lang w:val="en-US" w:eastAsia="zh-CN"/>
              </w:rPr>
              <w:t>1.83</w:t>
            </w:r>
            <w:r>
              <w:rPr>
                <w:rFonts w:hint="eastAsia" w:ascii="宋体" w:hAnsi="宋体" w:eastAsia="宋体" w:cs="宋体"/>
                <w:snapToGrid w:val="0"/>
                <w:color w:val="auto"/>
                <w:spacing w:val="0"/>
                <w:sz w:val="21"/>
                <w:szCs w:val="21"/>
                <w:highlight w:val="none"/>
                <w:u w:val="none"/>
              </w:rPr>
              <w:t>t</w:t>
            </w:r>
          </w:p>
        </w:tc>
        <w:tc>
          <w:tcPr>
            <w:tcW w:w="896" w:type="dxa"/>
            <w:tcBorders>
              <w:tl2br w:val="nil"/>
              <w:tr2bl w:val="nil"/>
            </w:tcBorders>
            <w:noWrap w:val="0"/>
            <w:vAlign w:val="center"/>
          </w:tcPr>
          <w:p w14:paraId="6A15406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napToGrid w:val="0"/>
                <w:color w:val="auto"/>
                <w:spacing w:val="0"/>
                <w:sz w:val="21"/>
                <w:szCs w:val="21"/>
                <w:highlight w:val="none"/>
                <w:u w:val="none"/>
                <w:lang w:val="en-US" w:eastAsia="zh-CN"/>
              </w:rPr>
            </w:pPr>
            <w:r>
              <w:rPr>
                <w:rFonts w:hint="eastAsia" w:ascii="宋体" w:hAnsi="宋体" w:cs="宋体"/>
                <w:snapToGrid w:val="0"/>
                <w:color w:val="auto"/>
                <w:spacing w:val="0"/>
                <w:sz w:val="21"/>
                <w:szCs w:val="21"/>
                <w:highlight w:val="none"/>
                <w:u w:val="none"/>
                <w:lang w:val="en-US" w:eastAsia="zh-CN"/>
              </w:rPr>
              <w:t>1.83</w:t>
            </w:r>
            <w:r>
              <w:rPr>
                <w:rFonts w:hint="eastAsia" w:ascii="宋体" w:hAnsi="宋体" w:eastAsia="宋体" w:cs="宋体"/>
                <w:snapToGrid w:val="0"/>
                <w:color w:val="auto"/>
                <w:spacing w:val="0"/>
                <w:sz w:val="21"/>
                <w:szCs w:val="21"/>
                <w:highlight w:val="none"/>
                <w:u w:val="none"/>
              </w:rPr>
              <w:t>t</w:t>
            </w:r>
          </w:p>
        </w:tc>
        <w:tc>
          <w:tcPr>
            <w:tcW w:w="2205" w:type="pct"/>
            <w:vMerge w:val="continue"/>
            <w:tcBorders>
              <w:tl2br w:val="nil"/>
              <w:tr2bl w:val="nil"/>
            </w:tcBorders>
            <w:noWrap w:val="0"/>
            <w:vAlign w:val="center"/>
          </w:tcPr>
          <w:p w14:paraId="03918AB8">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p>
        </w:tc>
      </w:tr>
      <w:tr w14:paraId="7E2EB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3C81351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vMerge w:val="continue"/>
            <w:tcBorders>
              <w:tl2br w:val="nil"/>
              <w:tr2bl w:val="nil"/>
            </w:tcBorders>
            <w:noWrap w:val="0"/>
            <w:vAlign w:val="center"/>
          </w:tcPr>
          <w:p w14:paraId="73D37F3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6" w:type="pct"/>
            <w:tcBorders>
              <w:tl2br w:val="nil"/>
              <w:tr2bl w:val="nil"/>
            </w:tcBorders>
            <w:noWrap w:val="0"/>
            <w:vAlign w:val="center"/>
          </w:tcPr>
          <w:p w14:paraId="556A9BF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val="zh-CN"/>
              </w:rPr>
              <w:t>SO</w:t>
            </w:r>
            <w:r>
              <w:rPr>
                <w:rFonts w:hint="eastAsia" w:ascii="宋体" w:hAnsi="宋体" w:eastAsia="宋体" w:cs="宋体"/>
                <w:color w:val="auto"/>
                <w:spacing w:val="0"/>
                <w:sz w:val="21"/>
                <w:szCs w:val="21"/>
                <w:highlight w:val="none"/>
                <w:u w:val="none"/>
                <w:vertAlign w:val="subscript"/>
                <w:lang w:val="zh-CN"/>
              </w:rPr>
              <w:t>2</w:t>
            </w:r>
          </w:p>
        </w:tc>
        <w:tc>
          <w:tcPr>
            <w:tcW w:w="624" w:type="pct"/>
            <w:tcBorders>
              <w:tl2br w:val="nil"/>
              <w:tr2bl w:val="nil"/>
            </w:tcBorders>
            <w:noWrap w:val="0"/>
            <w:vAlign w:val="center"/>
          </w:tcPr>
          <w:p w14:paraId="290B01A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cs="宋体"/>
                <w:snapToGrid w:val="0"/>
                <w:color w:val="auto"/>
                <w:spacing w:val="0"/>
                <w:sz w:val="21"/>
                <w:szCs w:val="21"/>
                <w:highlight w:val="none"/>
                <w:u w:val="none"/>
                <w:lang w:val="en-US" w:eastAsia="zh-CN"/>
              </w:rPr>
              <w:t>0.01</w:t>
            </w:r>
            <w:r>
              <w:rPr>
                <w:rFonts w:hint="eastAsia" w:ascii="宋体" w:hAnsi="宋体" w:eastAsia="宋体" w:cs="宋体"/>
                <w:snapToGrid w:val="0"/>
                <w:color w:val="auto"/>
                <w:spacing w:val="0"/>
                <w:sz w:val="21"/>
                <w:szCs w:val="21"/>
                <w:highlight w:val="none"/>
                <w:u w:val="none"/>
              </w:rPr>
              <w:t>t</w:t>
            </w:r>
          </w:p>
        </w:tc>
        <w:tc>
          <w:tcPr>
            <w:tcW w:w="896" w:type="dxa"/>
            <w:tcBorders>
              <w:tl2br w:val="nil"/>
              <w:tr2bl w:val="nil"/>
            </w:tcBorders>
            <w:noWrap w:val="0"/>
            <w:vAlign w:val="center"/>
          </w:tcPr>
          <w:p w14:paraId="2CBB2EA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napToGrid w:val="0"/>
                <w:color w:val="auto"/>
                <w:spacing w:val="0"/>
                <w:sz w:val="21"/>
                <w:szCs w:val="21"/>
                <w:highlight w:val="none"/>
                <w:u w:val="none"/>
                <w:lang w:val="en-US" w:eastAsia="zh-CN"/>
              </w:rPr>
            </w:pPr>
            <w:r>
              <w:rPr>
                <w:rFonts w:hint="eastAsia" w:ascii="宋体" w:hAnsi="宋体" w:cs="宋体"/>
                <w:snapToGrid w:val="0"/>
                <w:color w:val="auto"/>
                <w:spacing w:val="0"/>
                <w:sz w:val="21"/>
                <w:szCs w:val="21"/>
                <w:highlight w:val="none"/>
                <w:u w:val="none"/>
                <w:lang w:val="en-US" w:eastAsia="zh-CN"/>
              </w:rPr>
              <w:t>0.01</w:t>
            </w:r>
            <w:r>
              <w:rPr>
                <w:rFonts w:hint="eastAsia" w:ascii="宋体" w:hAnsi="宋体" w:eastAsia="宋体" w:cs="宋体"/>
                <w:snapToGrid w:val="0"/>
                <w:color w:val="auto"/>
                <w:spacing w:val="0"/>
                <w:sz w:val="21"/>
                <w:szCs w:val="21"/>
                <w:highlight w:val="none"/>
                <w:u w:val="none"/>
              </w:rPr>
              <w:t>t</w:t>
            </w:r>
          </w:p>
        </w:tc>
        <w:tc>
          <w:tcPr>
            <w:tcW w:w="2205" w:type="pct"/>
            <w:vMerge w:val="continue"/>
            <w:tcBorders>
              <w:tl2br w:val="nil"/>
              <w:tr2bl w:val="nil"/>
            </w:tcBorders>
            <w:noWrap w:val="0"/>
            <w:vAlign w:val="center"/>
          </w:tcPr>
          <w:p w14:paraId="7F36E043">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p>
        </w:tc>
      </w:tr>
      <w:tr w14:paraId="5C7CA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39C1F3C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p>
        </w:tc>
        <w:tc>
          <w:tcPr>
            <w:tcW w:w="647" w:type="pct"/>
            <w:tcBorders>
              <w:tl2br w:val="nil"/>
              <w:tr2bl w:val="nil"/>
            </w:tcBorders>
            <w:noWrap w:val="0"/>
            <w:vAlign w:val="center"/>
          </w:tcPr>
          <w:p w14:paraId="3D53171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施工场地</w:t>
            </w:r>
          </w:p>
        </w:tc>
        <w:tc>
          <w:tcPr>
            <w:tcW w:w="646" w:type="pct"/>
            <w:tcBorders>
              <w:tl2br w:val="nil"/>
              <w:tr2bl w:val="nil"/>
            </w:tcBorders>
            <w:noWrap w:val="0"/>
            <w:vAlign w:val="center"/>
          </w:tcPr>
          <w:p w14:paraId="0551038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TSP、SO</w:t>
            </w:r>
            <w:r>
              <w:rPr>
                <w:rFonts w:hint="eastAsia" w:ascii="宋体" w:hAnsi="宋体" w:eastAsia="宋体" w:cs="宋体"/>
                <w:color w:val="auto"/>
                <w:spacing w:val="0"/>
                <w:sz w:val="21"/>
                <w:szCs w:val="21"/>
                <w:highlight w:val="none"/>
                <w:u w:val="none"/>
                <w:vertAlign w:val="subscript"/>
              </w:rPr>
              <w:t>2</w:t>
            </w:r>
            <w:r>
              <w:rPr>
                <w:rFonts w:hint="eastAsia" w:ascii="宋体" w:hAnsi="宋体" w:eastAsia="宋体" w:cs="宋体"/>
                <w:color w:val="auto"/>
                <w:spacing w:val="0"/>
                <w:sz w:val="21"/>
                <w:szCs w:val="21"/>
                <w:highlight w:val="none"/>
                <w:u w:val="none"/>
              </w:rPr>
              <w:t>、NOx等</w:t>
            </w:r>
          </w:p>
        </w:tc>
        <w:tc>
          <w:tcPr>
            <w:tcW w:w="624" w:type="pct"/>
            <w:tcBorders>
              <w:tl2br w:val="nil"/>
              <w:tr2bl w:val="nil"/>
            </w:tcBorders>
            <w:noWrap w:val="0"/>
            <w:vAlign w:val="center"/>
          </w:tcPr>
          <w:p w14:paraId="441C29B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少量</w:t>
            </w:r>
          </w:p>
        </w:tc>
        <w:tc>
          <w:tcPr>
            <w:tcW w:w="507" w:type="pct"/>
            <w:tcBorders>
              <w:tl2br w:val="nil"/>
              <w:tr2bl w:val="nil"/>
            </w:tcBorders>
            <w:noWrap w:val="0"/>
            <w:vAlign w:val="center"/>
          </w:tcPr>
          <w:p w14:paraId="1114B03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少量</w:t>
            </w:r>
          </w:p>
        </w:tc>
        <w:tc>
          <w:tcPr>
            <w:tcW w:w="2205" w:type="pct"/>
            <w:tcBorders>
              <w:tl2br w:val="nil"/>
              <w:tr2bl w:val="nil"/>
            </w:tcBorders>
            <w:noWrap w:val="0"/>
            <w:vAlign w:val="center"/>
          </w:tcPr>
          <w:p w14:paraId="2E74E8E1">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洒水降尘，使用合格燃料</w:t>
            </w:r>
          </w:p>
        </w:tc>
      </w:tr>
      <w:tr w14:paraId="3FEF3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33D6FAE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u w:val="none"/>
              </w:rPr>
            </w:pPr>
          </w:p>
        </w:tc>
        <w:tc>
          <w:tcPr>
            <w:tcW w:w="647" w:type="pct"/>
            <w:tcBorders>
              <w:tl2br w:val="nil"/>
              <w:tr2bl w:val="nil"/>
            </w:tcBorders>
            <w:noWrap w:val="0"/>
            <w:vAlign w:val="center"/>
          </w:tcPr>
          <w:p w14:paraId="1149AD4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测试放喷废气</w:t>
            </w:r>
          </w:p>
        </w:tc>
        <w:tc>
          <w:tcPr>
            <w:tcW w:w="646" w:type="pct"/>
            <w:tcBorders>
              <w:tl2br w:val="nil"/>
              <w:tr2bl w:val="nil"/>
            </w:tcBorders>
            <w:noWrap w:val="0"/>
            <w:vAlign w:val="center"/>
          </w:tcPr>
          <w:p w14:paraId="6EB18C1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烟尘、SO</w:t>
            </w:r>
            <w:r>
              <w:rPr>
                <w:rFonts w:hint="eastAsia" w:ascii="宋体" w:hAnsi="宋体" w:eastAsia="宋体" w:cs="宋体"/>
                <w:color w:val="auto"/>
                <w:spacing w:val="0"/>
                <w:sz w:val="21"/>
                <w:szCs w:val="21"/>
                <w:highlight w:val="none"/>
                <w:u w:val="none"/>
                <w:vertAlign w:val="subscript"/>
                <w:lang w:val="en-US" w:eastAsia="zh-CN"/>
              </w:rPr>
              <w:t>2</w:t>
            </w:r>
            <w:r>
              <w:rPr>
                <w:rFonts w:hint="eastAsia" w:ascii="宋体" w:hAnsi="宋体" w:eastAsia="宋体" w:cs="宋体"/>
                <w:color w:val="auto"/>
                <w:spacing w:val="0"/>
                <w:sz w:val="21"/>
                <w:szCs w:val="21"/>
                <w:highlight w:val="none"/>
                <w:u w:val="none"/>
                <w:lang w:val="en-US" w:eastAsia="zh-CN"/>
              </w:rPr>
              <w:t>、NO</w:t>
            </w:r>
            <w:r>
              <w:rPr>
                <w:rFonts w:hint="eastAsia" w:ascii="宋体" w:hAnsi="宋体" w:eastAsia="宋体" w:cs="宋体"/>
                <w:color w:val="auto"/>
                <w:spacing w:val="0"/>
                <w:sz w:val="21"/>
                <w:szCs w:val="21"/>
                <w:highlight w:val="none"/>
                <w:u w:val="none"/>
                <w:vertAlign w:val="subscript"/>
                <w:lang w:val="en-US" w:eastAsia="zh-CN"/>
              </w:rPr>
              <w:t>X</w:t>
            </w:r>
          </w:p>
        </w:tc>
        <w:tc>
          <w:tcPr>
            <w:tcW w:w="624" w:type="pct"/>
            <w:tcBorders>
              <w:tl2br w:val="nil"/>
              <w:tr2bl w:val="nil"/>
            </w:tcBorders>
            <w:noWrap w:val="0"/>
            <w:vAlign w:val="center"/>
          </w:tcPr>
          <w:p w14:paraId="21F74AD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少量</w:t>
            </w:r>
          </w:p>
        </w:tc>
        <w:tc>
          <w:tcPr>
            <w:tcW w:w="507" w:type="pct"/>
            <w:tcBorders>
              <w:tl2br w:val="nil"/>
              <w:tr2bl w:val="nil"/>
            </w:tcBorders>
            <w:noWrap w:val="0"/>
            <w:vAlign w:val="center"/>
          </w:tcPr>
          <w:p w14:paraId="6654AF9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少量</w:t>
            </w:r>
          </w:p>
        </w:tc>
        <w:tc>
          <w:tcPr>
            <w:tcW w:w="2205" w:type="pct"/>
            <w:tcBorders>
              <w:tl2br w:val="nil"/>
              <w:tr2bl w:val="nil"/>
            </w:tcBorders>
            <w:noWrap w:val="0"/>
            <w:vAlign w:val="center"/>
          </w:tcPr>
          <w:p w14:paraId="3A30C62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val="en-US" w:eastAsia="zh-CN"/>
              </w:rPr>
              <w:t>测试放喷时间较短，污染物排放为短暂性排放</w:t>
            </w:r>
          </w:p>
        </w:tc>
      </w:tr>
      <w:tr w14:paraId="4AE21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restart"/>
            <w:tcBorders>
              <w:tl2br w:val="nil"/>
              <w:tr2bl w:val="nil"/>
            </w:tcBorders>
            <w:noWrap w:val="0"/>
            <w:vAlign w:val="center"/>
          </w:tcPr>
          <w:p w14:paraId="6C79B4D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废水</w:t>
            </w:r>
          </w:p>
        </w:tc>
        <w:tc>
          <w:tcPr>
            <w:tcW w:w="647" w:type="pct"/>
            <w:tcBorders>
              <w:tl2br w:val="nil"/>
              <w:tr2bl w:val="nil"/>
            </w:tcBorders>
            <w:noWrap w:val="0"/>
            <w:vAlign w:val="center"/>
          </w:tcPr>
          <w:p w14:paraId="4A57708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钻井废水</w:t>
            </w:r>
          </w:p>
        </w:tc>
        <w:tc>
          <w:tcPr>
            <w:tcW w:w="646" w:type="pct"/>
            <w:tcBorders>
              <w:tl2br w:val="nil"/>
              <w:tr2bl w:val="nil"/>
            </w:tcBorders>
            <w:noWrap w:val="0"/>
            <w:vAlign w:val="center"/>
          </w:tcPr>
          <w:p w14:paraId="535B152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浮物、石油类、COD等</w:t>
            </w:r>
          </w:p>
        </w:tc>
        <w:tc>
          <w:tcPr>
            <w:tcW w:w="624" w:type="pct"/>
            <w:tcBorders>
              <w:tl2br w:val="nil"/>
              <w:tr2bl w:val="nil"/>
            </w:tcBorders>
            <w:noWrap w:val="0"/>
            <w:vAlign w:val="center"/>
          </w:tcPr>
          <w:p w14:paraId="22BA7C7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cs="宋体"/>
                <w:color w:val="auto"/>
                <w:spacing w:val="0"/>
                <w:sz w:val="21"/>
                <w:szCs w:val="21"/>
                <w:highlight w:val="none"/>
                <w:u w:val="none"/>
                <w:lang w:val="en-US" w:eastAsia="zh-CN"/>
              </w:rPr>
              <w:t>4923</w:t>
            </w:r>
            <w:r>
              <w:rPr>
                <w:rFonts w:hint="eastAsia" w:ascii="宋体" w:hAnsi="宋体" w:eastAsia="宋体" w:cs="宋体"/>
                <w:color w:val="auto"/>
                <w:spacing w:val="0"/>
                <w:sz w:val="21"/>
                <w:szCs w:val="21"/>
                <w:highlight w:val="none"/>
                <w:u w:val="none"/>
              </w:rPr>
              <w:t>m</w:t>
            </w:r>
            <w:r>
              <w:rPr>
                <w:rFonts w:hint="eastAsia" w:ascii="宋体" w:hAnsi="宋体" w:eastAsia="宋体" w:cs="宋体"/>
                <w:color w:val="auto"/>
                <w:spacing w:val="0"/>
                <w:sz w:val="21"/>
                <w:szCs w:val="21"/>
                <w:highlight w:val="none"/>
                <w:u w:val="none"/>
                <w:vertAlign w:val="superscript"/>
              </w:rPr>
              <w:t>3</w:t>
            </w:r>
          </w:p>
        </w:tc>
        <w:tc>
          <w:tcPr>
            <w:tcW w:w="507" w:type="pct"/>
            <w:tcBorders>
              <w:tl2br w:val="nil"/>
              <w:tr2bl w:val="nil"/>
            </w:tcBorders>
            <w:noWrap w:val="0"/>
            <w:vAlign w:val="center"/>
          </w:tcPr>
          <w:p w14:paraId="1E93A66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0</w:t>
            </w:r>
          </w:p>
        </w:tc>
        <w:tc>
          <w:tcPr>
            <w:tcW w:w="2205" w:type="pct"/>
            <w:tcBorders>
              <w:tl2br w:val="nil"/>
              <w:tr2bl w:val="nil"/>
            </w:tcBorders>
            <w:noWrap w:val="0"/>
            <w:vAlign w:val="center"/>
          </w:tcPr>
          <w:p w14:paraId="47A16CE5">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采用不落地技术进行固液分离后，液相回用于钻井液配备。</w:t>
            </w:r>
          </w:p>
        </w:tc>
      </w:tr>
      <w:tr w14:paraId="04BD4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3B0F13E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tcBorders>
              <w:tl2br w:val="nil"/>
              <w:tr2bl w:val="nil"/>
            </w:tcBorders>
            <w:noWrap w:val="0"/>
            <w:vAlign w:val="center"/>
          </w:tcPr>
          <w:p w14:paraId="30130F5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管道试压废水</w:t>
            </w:r>
          </w:p>
        </w:tc>
        <w:tc>
          <w:tcPr>
            <w:tcW w:w="646" w:type="pct"/>
            <w:tcBorders>
              <w:tl2br w:val="nil"/>
              <w:tr2bl w:val="nil"/>
            </w:tcBorders>
            <w:noWrap w:val="0"/>
            <w:vAlign w:val="center"/>
          </w:tcPr>
          <w:p w14:paraId="45C5939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SS</w:t>
            </w:r>
          </w:p>
        </w:tc>
        <w:tc>
          <w:tcPr>
            <w:tcW w:w="624" w:type="pct"/>
            <w:tcBorders>
              <w:tl2br w:val="nil"/>
              <w:tr2bl w:val="nil"/>
            </w:tcBorders>
            <w:noWrap w:val="0"/>
            <w:vAlign w:val="center"/>
          </w:tcPr>
          <w:p w14:paraId="27EF422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cs="宋体"/>
                <w:color w:val="auto"/>
                <w:spacing w:val="0"/>
                <w:sz w:val="21"/>
                <w:szCs w:val="21"/>
                <w:highlight w:val="none"/>
                <w:u w:val="none"/>
                <w:lang w:val="en-US" w:eastAsia="zh-CN"/>
              </w:rPr>
              <w:t>18.5</w:t>
            </w:r>
            <w:r>
              <w:rPr>
                <w:rFonts w:hint="eastAsia" w:ascii="宋体" w:hAnsi="宋体" w:eastAsia="宋体" w:cs="宋体"/>
                <w:color w:val="auto"/>
                <w:spacing w:val="0"/>
                <w:sz w:val="21"/>
                <w:szCs w:val="21"/>
                <w:highlight w:val="none"/>
                <w:u w:val="none"/>
              </w:rPr>
              <w:t>m</w:t>
            </w:r>
            <w:r>
              <w:rPr>
                <w:rFonts w:hint="eastAsia" w:ascii="宋体" w:hAnsi="宋体" w:eastAsia="宋体" w:cs="宋体"/>
                <w:color w:val="auto"/>
                <w:spacing w:val="0"/>
                <w:sz w:val="21"/>
                <w:szCs w:val="21"/>
                <w:highlight w:val="none"/>
                <w:u w:val="none"/>
                <w:vertAlign w:val="superscript"/>
              </w:rPr>
              <w:t>3</w:t>
            </w:r>
          </w:p>
        </w:tc>
        <w:tc>
          <w:tcPr>
            <w:tcW w:w="507" w:type="pct"/>
            <w:tcBorders>
              <w:tl2br w:val="nil"/>
              <w:tr2bl w:val="nil"/>
            </w:tcBorders>
            <w:noWrap w:val="0"/>
            <w:vAlign w:val="center"/>
          </w:tcPr>
          <w:p w14:paraId="4979E25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0</w:t>
            </w:r>
          </w:p>
        </w:tc>
        <w:tc>
          <w:tcPr>
            <w:tcW w:w="2205" w:type="pct"/>
            <w:tcBorders>
              <w:tl2br w:val="nil"/>
              <w:tr2bl w:val="nil"/>
            </w:tcBorders>
            <w:noWrap w:val="0"/>
            <w:vAlign w:val="center"/>
          </w:tcPr>
          <w:p w14:paraId="779DAE9B">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试压期间循环使用，试压结束后，试压废水可用作场地降尘用水</w:t>
            </w:r>
          </w:p>
        </w:tc>
      </w:tr>
      <w:tr w14:paraId="78C5F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62D75D9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tcBorders>
              <w:tl2br w:val="nil"/>
              <w:tr2bl w:val="nil"/>
            </w:tcBorders>
            <w:noWrap w:val="0"/>
            <w:vAlign w:val="center"/>
          </w:tcPr>
          <w:p w14:paraId="5A87444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生活污水</w:t>
            </w:r>
          </w:p>
        </w:tc>
        <w:tc>
          <w:tcPr>
            <w:tcW w:w="646" w:type="pct"/>
            <w:tcBorders>
              <w:tl2br w:val="nil"/>
              <w:tr2bl w:val="nil"/>
            </w:tcBorders>
            <w:noWrap w:val="0"/>
            <w:vAlign w:val="center"/>
          </w:tcPr>
          <w:p w14:paraId="38512E4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COD、氨氮等</w:t>
            </w:r>
          </w:p>
        </w:tc>
        <w:tc>
          <w:tcPr>
            <w:tcW w:w="624" w:type="pct"/>
            <w:tcBorders>
              <w:tl2br w:val="nil"/>
              <w:tr2bl w:val="nil"/>
            </w:tcBorders>
            <w:noWrap w:val="0"/>
            <w:vAlign w:val="center"/>
          </w:tcPr>
          <w:p w14:paraId="47CB5DF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cs="宋体"/>
                <w:color w:val="auto"/>
                <w:spacing w:val="0"/>
                <w:sz w:val="21"/>
                <w:szCs w:val="21"/>
                <w:highlight w:val="none"/>
                <w:u w:val="none"/>
                <w:lang w:val="en-US" w:eastAsia="zh-CN"/>
              </w:rPr>
              <w:t>643</w:t>
            </w:r>
            <w:r>
              <w:rPr>
                <w:rFonts w:hint="eastAsia" w:ascii="宋体" w:hAnsi="宋体" w:eastAsia="宋体" w:cs="宋体"/>
                <w:color w:val="auto"/>
                <w:spacing w:val="0"/>
                <w:sz w:val="21"/>
                <w:szCs w:val="21"/>
                <w:highlight w:val="none"/>
                <w:u w:val="none"/>
              </w:rPr>
              <w:t>m</w:t>
            </w:r>
            <w:r>
              <w:rPr>
                <w:rFonts w:hint="eastAsia" w:ascii="宋体" w:hAnsi="宋体" w:eastAsia="宋体" w:cs="宋体"/>
                <w:color w:val="auto"/>
                <w:spacing w:val="0"/>
                <w:sz w:val="21"/>
                <w:szCs w:val="21"/>
                <w:highlight w:val="none"/>
                <w:u w:val="none"/>
                <w:vertAlign w:val="superscript"/>
              </w:rPr>
              <w:t>3</w:t>
            </w:r>
          </w:p>
        </w:tc>
        <w:tc>
          <w:tcPr>
            <w:tcW w:w="507" w:type="pct"/>
            <w:tcBorders>
              <w:tl2br w:val="nil"/>
              <w:tr2bl w:val="nil"/>
            </w:tcBorders>
            <w:noWrap w:val="0"/>
            <w:vAlign w:val="center"/>
          </w:tcPr>
          <w:p w14:paraId="3495552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0</w:t>
            </w:r>
          </w:p>
        </w:tc>
        <w:tc>
          <w:tcPr>
            <w:tcW w:w="2205" w:type="pct"/>
            <w:tcBorders>
              <w:tl2br w:val="nil"/>
              <w:tr2bl w:val="nil"/>
            </w:tcBorders>
            <w:noWrap w:val="0"/>
            <w:vAlign w:val="center"/>
          </w:tcPr>
          <w:p w14:paraId="5AA63A77">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生活污水排入生活营地内防渗收集池，定期清运至乌尔禾区生活污水处理厂处理</w:t>
            </w:r>
          </w:p>
        </w:tc>
      </w:tr>
      <w:tr w14:paraId="70CD7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restart"/>
            <w:tcBorders>
              <w:tl2br w:val="nil"/>
              <w:tr2bl w:val="nil"/>
            </w:tcBorders>
            <w:noWrap w:val="0"/>
            <w:vAlign w:val="center"/>
          </w:tcPr>
          <w:p w14:paraId="22231BC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固体废物</w:t>
            </w:r>
          </w:p>
        </w:tc>
        <w:tc>
          <w:tcPr>
            <w:tcW w:w="647" w:type="pct"/>
            <w:tcBorders>
              <w:tl2br w:val="nil"/>
              <w:tr2bl w:val="nil"/>
            </w:tcBorders>
            <w:noWrap w:val="0"/>
            <w:vAlign w:val="center"/>
          </w:tcPr>
          <w:p w14:paraId="5C33C7C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泥浆</w:t>
            </w:r>
          </w:p>
        </w:tc>
        <w:tc>
          <w:tcPr>
            <w:tcW w:w="646" w:type="pct"/>
            <w:tcBorders>
              <w:tl2br w:val="nil"/>
              <w:tr2bl w:val="nil"/>
            </w:tcBorders>
            <w:noWrap w:val="0"/>
            <w:vAlign w:val="center"/>
          </w:tcPr>
          <w:p w14:paraId="4380D3B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w:t>
            </w:r>
          </w:p>
        </w:tc>
        <w:tc>
          <w:tcPr>
            <w:tcW w:w="624" w:type="pct"/>
            <w:tcBorders>
              <w:tl2br w:val="nil"/>
              <w:tr2bl w:val="nil"/>
            </w:tcBorders>
            <w:noWrap w:val="0"/>
            <w:vAlign w:val="center"/>
          </w:tcPr>
          <w:p w14:paraId="0BAACE3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cs="宋体"/>
                <w:color w:val="auto"/>
                <w:spacing w:val="0"/>
                <w:sz w:val="21"/>
                <w:szCs w:val="21"/>
                <w:highlight w:val="none"/>
                <w:u w:val="none"/>
                <w:lang w:val="en-US" w:eastAsia="zh-CN"/>
              </w:rPr>
              <w:t>1933</w:t>
            </w:r>
            <w:r>
              <w:rPr>
                <w:rFonts w:hint="eastAsia" w:ascii="宋体" w:hAnsi="宋体" w:eastAsia="宋体" w:cs="宋体"/>
                <w:color w:val="auto"/>
                <w:spacing w:val="0"/>
                <w:sz w:val="21"/>
                <w:szCs w:val="21"/>
                <w:highlight w:val="none"/>
                <w:u w:val="none"/>
              </w:rPr>
              <w:t>m</w:t>
            </w:r>
            <w:r>
              <w:rPr>
                <w:rFonts w:hint="eastAsia" w:ascii="宋体" w:hAnsi="宋体" w:eastAsia="宋体" w:cs="宋体"/>
                <w:color w:val="auto"/>
                <w:spacing w:val="0"/>
                <w:sz w:val="21"/>
                <w:szCs w:val="21"/>
                <w:highlight w:val="none"/>
                <w:u w:val="none"/>
                <w:vertAlign w:val="superscript"/>
              </w:rPr>
              <w:t>3</w:t>
            </w:r>
          </w:p>
        </w:tc>
        <w:tc>
          <w:tcPr>
            <w:tcW w:w="507" w:type="pct"/>
            <w:tcBorders>
              <w:tl2br w:val="nil"/>
              <w:tr2bl w:val="nil"/>
            </w:tcBorders>
            <w:noWrap w:val="0"/>
            <w:vAlign w:val="center"/>
          </w:tcPr>
          <w:p w14:paraId="7034BE7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0</w:t>
            </w:r>
          </w:p>
        </w:tc>
        <w:tc>
          <w:tcPr>
            <w:tcW w:w="2205" w:type="pct"/>
            <w:vMerge w:val="restart"/>
            <w:tcBorders>
              <w:tl2br w:val="nil"/>
              <w:tr2bl w:val="nil"/>
            </w:tcBorders>
            <w:noWrap w:val="0"/>
            <w:vAlign w:val="center"/>
          </w:tcPr>
          <w:p w14:paraId="11E1EDA0">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本项目钻井过程中一开</w:t>
            </w:r>
            <w:r>
              <w:rPr>
                <w:rFonts w:hint="eastAsia" w:ascii="宋体" w:hAnsi="宋体" w:cs="宋体"/>
                <w:color w:val="auto"/>
                <w:spacing w:val="0"/>
                <w:sz w:val="21"/>
                <w:szCs w:val="21"/>
                <w:highlight w:val="none"/>
                <w:u w:val="none"/>
                <w:lang w:eastAsia="zh-CN"/>
              </w:rPr>
              <w:t>、</w:t>
            </w:r>
            <w:r>
              <w:rPr>
                <w:rFonts w:hint="eastAsia" w:ascii="宋体" w:hAnsi="宋体" w:cs="宋体"/>
                <w:color w:val="auto"/>
                <w:spacing w:val="0"/>
                <w:sz w:val="21"/>
                <w:szCs w:val="21"/>
                <w:highlight w:val="none"/>
                <w:u w:val="none"/>
                <w:lang w:val="en-US" w:eastAsia="zh-CN"/>
              </w:rPr>
              <w:t>二开</w:t>
            </w:r>
            <w:r>
              <w:rPr>
                <w:rFonts w:hint="eastAsia" w:ascii="宋体" w:hAnsi="宋体" w:eastAsia="宋体" w:cs="宋体"/>
                <w:color w:val="auto"/>
                <w:spacing w:val="0"/>
                <w:sz w:val="21"/>
                <w:szCs w:val="21"/>
                <w:highlight w:val="none"/>
                <w:u w:val="none"/>
              </w:rPr>
              <w:t>采用水基非磺化钻井液体系，</w:t>
            </w:r>
            <w:r>
              <w:rPr>
                <w:rFonts w:hint="eastAsia" w:ascii="宋体" w:hAnsi="宋体" w:cs="宋体"/>
                <w:color w:val="auto"/>
                <w:spacing w:val="0"/>
                <w:sz w:val="21"/>
                <w:szCs w:val="21"/>
                <w:highlight w:val="none"/>
                <w:u w:val="none"/>
                <w:lang w:val="en-US" w:eastAsia="zh-CN"/>
              </w:rPr>
              <w:t>三</w:t>
            </w:r>
            <w:r>
              <w:rPr>
                <w:rFonts w:hint="eastAsia" w:ascii="宋体" w:hAnsi="宋体" w:eastAsia="宋体" w:cs="宋体"/>
                <w:color w:val="auto"/>
                <w:spacing w:val="0"/>
                <w:sz w:val="21"/>
                <w:szCs w:val="21"/>
                <w:highlight w:val="none"/>
                <w:u w:val="none"/>
              </w:rPr>
              <w:t>开采用油基钻井液体系，采用经不落地系统进行处理，在井场进行固液分离，分离后的液相回用于钻井液配备，分离后的水基钻井液产生的岩屑满足《油气田钻井固体废物综合利用污染控制要求》（DB65/T3997-2017）后</w:t>
            </w:r>
            <w:r>
              <w:rPr>
                <w:rFonts w:hint="eastAsia" w:ascii="宋体" w:hAnsi="宋体" w:cs="宋体"/>
                <w:color w:val="auto"/>
                <w:spacing w:val="0"/>
                <w:sz w:val="21"/>
                <w:szCs w:val="21"/>
                <w:highlight w:val="none"/>
                <w:u w:val="none"/>
                <w:lang w:val="en-US" w:eastAsia="zh-CN"/>
              </w:rPr>
              <w:t>综合利用</w:t>
            </w:r>
            <w:r>
              <w:rPr>
                <w:rFonts w:hint="eastAsia" w:ascii="宋体" w:hAnsi="宋体" w:eastAsia="宋体" w:cs="宋体"/>
                <w:color w:val="auto"/>
                <w:spacing w:val="0"/>
                <w:sz w:val="21"/>
                <w:szCs w:val="21"/>
                <w:highlight w:val="none"/>
                <w:u w:val="none"/>
              </w:rPr>
              <w:t>；油基钻井液产生的岩屑为HW08含油危废（废物代码：072-001-08），在井场方罐暂存，定期委托具有相应危废处置资质的单位处置。</w:t>
            </w:r>
          </w:p>
        </w:tc>
      </w:tr>
      <w:tr w14:paraId="6193C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5783552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tcBorders>
              <w:tl2br w:val="nil"/>
              <w:tr2bl w:val="nil"/>
            </w:tcBorders>
            <w:noWrap w:val="0"/>
            <w:vAlign w:val="center"/>
          </w:tcPr>
          <w:p w14:paraId="04437C7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rPr>
              <w:t>岩屑</w:t>
            </w:r>
          </w:p>
        </w:tc>
        <w:tc>
          <w:tcPr>
            <w:tcW w:w="646" w:type="pct"/>
            <w:tcBorders>
              <w:tl2br w:val="nil"/>
              <w:tr2bl w:val="nil"/>
            </w:tcBorders>
            <w:noWrap w:val="0"/>
            <w:vAlign w:val="center"/>
          </w:tcPr>
          <w:p w14:paraId="6581DAC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rPr>
              <w:t>/</w:t>
            </w:r>
          </w:p>
        </w:tc>
        <w:tc>
          <w:tcPr>
            <w:tcW w:w="624" w:type="pct"/>
            <w:tcBorders>
              <w:tl2br w:val="nil"/>
              <w:tr2bl w:val="nil"/>
            </w:tcBorders>
            <w:noWrap w:val="0"/>
            <w:vAlign w:val="center"/>
          </w:tcPr>
          <w:p w14:paraId="042AEC0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cs="宋体"/>
                <w:color w:val="auto"/>
                <w:spacing w:val="0"/>
                <w:sz w:val="21"/>
                <w:szCs w:val="21"/>
                <w:highlight w:val="none"/>
                <w:u w:val="none"/>
                <w:lang w:val="en-US" w:eastAsia="zh-CN"/>
              </w:rPr>
              <w:t>4941</w:t>
            </w:r>
            <w:r>
              <w:rPr>
                <w:rFonts w:hint="eastAsia" w:ascii="宋体" w:hAnsi="宋体" w:eastAsia="宋体" w:cs="宋体"/>
                <w:color w:val="auto"/>
                <w:spacing w:val="0"/>
                <w:sz w:val="21"/>
                <w:szCs w:val="21"/>
                <w:highlight w:val="none"/>
                <w:u w:val="none"/>
              </w:rPr>
              <w:t>m</w:t>
            </w:r>
            <w:r>
              <w:rPr>
                <w:rFonts w:hint="eastAsia" w:ascii="宋体" w:hAnsi="宋体" w:eastAsia="宋体" w:cs="宋体"/>
                <w:color w:val="auto"/>
                <w:spacing w:val="0"/>
                <w:sz w:val="21"/>
                <w:szCs w:val="21"/>
                <w:highlight w:val="none"/>
                <w:u w:val="none"/>
                <w:vertAlign w:val="superscript"/>
              </w:rPr>
              <w:t>3</w:t>
            </w:r>
          </w:p>
        </w:tc>
        <w:tc>
          <w:tcPr>
            <w:tcW w:w="507" w:type="pct"/>
            <w:tcBorders>
              <w:tl2br w:val="nil"/>
              <w:tr2bl w:val="nil"/>
            </w:tcBorders>
            <w:noWrap w:val="0"/>
            <w:vAlign w:val="center"/>
          </w:tcPr>
          <w:p w14:paraId="17D4211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0</w:t>
            </w:r>
          </w:p>
        </w:tc>
        <w:tc>
          <w:tcPr>
            <w:tcW w:w="2205" w:type="pct"/>
            <w:vMerge w:val="continue"/>
            <w:tcBorders>
              <w:tl2br w:val="nil"/>
              <w:tr2bl w:val="nil"/>
            </w:tcBorders>
            <w:noWrap w:val="0"/>
            <w:vAlign w:val="center"/>
          </w:tcPr>
          <w:p w14:paraId="46B46A9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p>
        </w:tc>
      </w:tr>
      <w:tr w14:paraId="29E10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2C89D63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tcBorders>
              <w:tl2br w:val="nil"/>
              <w:tr2bl w:val="nil"/>
            </w:tcBorders>
            <w:noWrap w:val="0"/>
            <w:vAlign w:val="center"/>
          </w:tcPr>
          <w:p w14:paraId="55A0F45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施工废料</w:t>
            </w:r>
          </w:p>
        </w:tc>
        <w:tc>
          <w:tcPr>
            <w:tcW w:w="646" w:type="pct"/>
            <w:tcBorders>
              <w:tl2br w:val="nil"/>
              <w:tr2bl w:val="nil"/>
            </w:tcBorders>
            <w:noWrap w:val="0"/>
            <w:vAlign w:val="center"/>
          </w:tcPr>
          <w:p w14:paraId="76D9124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w:t>
            </w:r>
          </w:p>
        </w:tc>
        <w:tc>
          <w:tcPr>
            <w:tcW w:w="624" w:type="pct"/>
            <w:tcBorders>
              <w:tl2br w:val="nil"/>
              <w:tr2bl w:val="nil"/>
            </w:tcBorders>
            <w:noWrap w:val="0"/>
            <w:vAlign w:val="center"/>
          </w:tcPr>
          <w:p w14:paraId="2CCB826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cs="宋体"/>
                <w:color w:val="auto"/>
                <w:spacing w:val="0"/>
                <w:sz w:val="21"/>
                <w:szCs w:val="21"/>
                <w:highlight w:val="none"/>
                <w:u w:val="none"/>
                <w:lang w:val="en-US" w:eastAsia="zh-CN"/>
              </w:rPr>
              <w:t>1.48</w:t>
            </w:r>
            <w:r>
              <w:rPr>
                <w:rFonts w:hint="eastAsia" w:ascii="宋体" w:hAnsi="宋体" w:eastAsia="宋体" w:cs="宋体"/>
                <w:color w:val="auto"/>
                <w:spacing w:val="0"/>
                <w:sz w:val="21"/>
                <w:szCs w:val="21"/>
                <w:highlight w:val="none"/>
                <w:u w:val="none"/>
              </w:rPr>
              <w:t>t</w:t>
            </w:r>
          </w:p>
        </w:tc>
        <w:tc>
          <w:tcPr>
            <w:tcW w:w="507" w:type="pct"/>
            <w:tcBorders>
              <w:tl2br w:val="nil"/>
              <w:tr2bl w:val="nil"/>
            </w:tcBorders>
            <w:noWrap w:val="0"/>
            <w:vAlign w:val="center"/>
          </w:tcPr>
          <w:p w14:paraId="776FDBB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0</w:t>
            </w:r>
          </w:p>
        </w:tc>
        <w:tc>
          <w:tcPr>
            <w:tcW w:w="2205" w:type="pct"/>
            <w:tcBorders>
              <w:tl2br w:val="nil"/>
              <w:tr2bl w:val="nil"/>
            </w:tcBorders>
            <w:noWrap w:val="0"/>
            <w:vAlign w:val="center"/>
          </w:tcPr>
          <w:p w14:paraId="026F9541">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rPr>
              <w:t>首先考虑回收利用，不可回收利用部分拉运至当地建筑垃圾填埋场填埋处置</w:t>
            </w:r>
            <w:r>
              <w:rPr>
                <w:rFonts w:hint="eastAsia" w:ascii="宋体" w:hAnsi="宋体" w:eastAsia="宋体" w:cs="宋体"/>
                <w:color w:val="auto"/>
                <w:spacing w:val="0"/>
                <w:sz w:val="21"/>
                <w:szCs w:val="21"/>
                <w:highlight w:val="none"/>
                <w:u w:val="none"/>
                <w:lang w:eastAsia="zh-CN"/>
              </w:rPr>
              <w:t>。</w:t>
            </w:r>
          </w:p>
        </w:tc>
      </w:tr>
      <w:tr w14:paraId="545E9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4EB4223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tcBorders>
              <w:tl2br w:val="nil"/>
              <w:tr2bl w:val="nil"/>
            </w:tcBorders>
            <w:noWrap w:val="0"/>
            <w:vAlign w:val="center"/>
          </w:tcPr>
          <w:p w14:paraId="3623E20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生活垃圾</w:t>
            </w:r>
          </w:p>
        </w:tc>
        <w:tc>
          <w:tcPr>
            <w:tcW w:w="646" w:type="pct"/>
            <w:tcBorders>
              <w:tl2br w:val="nil"/>
              <w:tr2bl w:val="nil"/>
            </w:tcBorders>
            <w:noWrap w:val="0"/>
            <w:vAlign w:val="center"/>
          </w:tcPr>
          <w:p w14:paraId="4CD16D8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w:t>
            </w:r>
          </w:p>
        </w:tc>
        <w:tc>
          <w:tcPr>
            <w:tcW w:w="624" w:type="pct"/>
            <w:tcBorders>
              <w:tl2br w:val="nil"/>
              <w:tr2bl w:val="nil"/>
            </w:tcBorders>
            <w:noWrap w:val="0"/>
            <w:vAlign w:val="center"/>
          </w:tcPr>
          <w:p w14:paraId="41441AC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cs="宋体"/>
                <w:color w:val="auto"/>
                <w:spacing w:val="0"/>
                <w:sz w:val="21"/>
                <w:szCs w:val="21"/>
                <w:highlight w:val="none"/>
                <w:u w:val="none"/>
                <w:lang w:val="en-US" w:eastAsia="zh-CN"/>
              </w:rPr>
              <w:t>5.03</w:t>
            </w:r>
            <w:r>
              <w:rPr>
                <w:rFonts w:hint="eastAsia" w:ascii="宋体" w:hAnsi="宋体" w:eastAsia="宋体" w:cs="宋体"/>
                <w:color w:val="auto"/>
                <w:spacing w:val="0"/>
                <w:sz w:val="21"/>
                <w:szCs w:val="21"/>
                <w:highlight w:val="none"/>
                <w:u w:val="none"/>
              </w:rPr>
              <w:t>t</w:t>
            </w:r>
          </w:p>
        </w:tc>
        <w:tc>
          <w:tcPr>
            <w:tcW w:w="507" w:type="pct"/>
            <w:tcBorders>
              <w:tl2br w:val="nil"/>
              <w:tr2bl w:val="nil"/>
            </w:tcBorders>
            <w:noWrap w:val="0"/>
            <w:vAlign w:val="center"/>
          </w:tcPr>
          <w:p w14:paraId="694E25D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0</w:t>
            </w:r>
          </w:p>
        </w:tc>
        <w:tc>
          <w:tcPr>
            <w:tcW w:w="2205" w:type="pct"/>
            <w:tcBorders>
              <w:tl2br w:val="nil"/>
              <w:tr2bl w:val="nil"/>
            </w:tcBorders>
            <w:noWrap w:val="0"/>
            <w:vAlign w:val="center"/>
          </w:tcPr>
          <w:p w14:paraId="5DA38A68">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集中收集后运至</w:t>
            </w:r>
            <w:r>
              <w:rPr>
                <w:rFonts w:hint="eastAsia" w:ascii="宋体" w:hAnsi="宋体" w:eastAsia="宋体" w:cs="宋体"/>
                <w:color w:val="auto"/>
                <w:spacing w:val="0"/>
                <w:sz w:val="21"/>
                <w:szCs w:val="21"/>
                <w:highlight w:val="none"/>
                <w:u w:val="none"/>
                <w:lang w:eastAsia="zh-CN"/>
              </w:rPr>
              <w:t>乌尔禾区生活垃圾填埋场</w:t>
            </w:r>
            <w:r>
              <w:rPr>
                <w:rFonts w:hint="eastAsia" w:ascii="宋体" w:hAnsi="宋体" w:eastAsia="宋体" w:cs="宋体"/>
                <w:color w:val="auto"/>
                <w:spacing w:val="0"/>
                <w:sz w:val="21"/>
                <w:szCs w:val="21"/>
                <w:highlight w:val="none"/>
                <w:u w:val="none"/>
              </w:rPr>
              <w:t>。</w:t>
            </w:r>
          </w:p>
        </w:tc>
      </w:tr>
      <w:tr w14:paraId="0838A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755EAA4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tcBorders>
              <w:tl2br w:val="nil"/>
              <w:tr2bl w:val="nil"/>
            </w:tcBorders>
            <w:noWrap w:val="0"/>
            <w:vAlign w:val="center"/>
          </w:tcPr>
          <w:p w14:paraId="29030B3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机械设备废油和含油废弃物</w:t>
            </w:r>
          </w:p>
        </w:tc>
        <w:tc>
          <w:tcPr>
            <w:tcW w:w="646" w:type="pct"/>
            <w:tcBorders>
              <w:tl2br w:val="nil"/>
              <w:tr2bl w:val="nil"/>
            </w:tcBorders>
            <w:noWrap w:val="0"/>
            <w:vAlign w:val="center"/>
          </w:tcPr>
          <w:p w14:paraId="7018FD3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w:t>
            </w:r>
          </w:p>
        </w:tc>
        <w:tc>
          <w:tcPr>
            <w:tcW w:w="624" w:type="pct"/>
            <w:tcBorders>
              <w:tl2br w:val="nil"/>
              <w:tr2bl w:val="nil"/>
            </w:tcBorders>
            <w:noWrap w:val="0"/>
            <w:vAlign w:val="center"/>
          </w:tcPr>
          <w:p w14:paraId="49AAE67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val="en-US" w:eastAsia="zh-CN"/>
              </w:rPr>
              <w:t>0.</w:t>
            </w:r>
            <w:r>
              <w:rPr>
                <w:rFonts w:hint="eastAsia" w:ascii="宋体" w:hAnsi="宋体" w:cs="宋体"/>
                <w:color w:val="auto"/>
                <w:spacing w:val="0"/>
                <w:sz w:val="21"/>
                <w:szCs w:val="21"/>
                <w:highlight w:val="none"/>
                <w:u w:val="none"/>
                <w:lang w:val="en-US" w:eastAsia="zh-CN"/>
              </w:rPr>
              <w:t>3</w:t>
            </w:r>
            <w:r>
              <w:rPr>
                <w:rFonts w:hint="eastAsia" w:ascii="宋体" w:hAnsi="宋体" w:eastAsia="宋体" w:cs="宋体"/>
                <w:color w:val="auto"/>
                <w:spacing w:val="0"/>
                <w:sz w:val="21"/>
                <w:szCs w:val="21"/>
                <w:highlight w:val="none"/>
                <w:u w:val="none"/>
              </w:rPr>
              <w:t>t</w:t>
            </w:r>
          </w:p>
        </w:tc>
        <w:tc>
          <w:tcPr>
            <w:tcW w:w="507" w:type="pct"/>
            <w:tcBorders>
              <w:tl2br w:val="nil"/>
              <w:tr2bl w:val="nil"/>
            </w:tcBorders>
            <w:noWrap w:val="0"/>
            <w:vAlign w:val="center"/>
          </w:tcPr>
          <w:p w14:paraId="4F92A30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0</w:t>
            </w:r>
          </w:p>
        </w:tc>
        <w:tc>
          <w:tcPr>
            <w:tcW w:w="2205" w:type="pct"/>
            <w:tcBorders>
              <w:tl2br w:val="nil"/>
              <w:tr2bl w:val="nil"/>
            </w:tcBorders>
            <w:noWrap w:val="0"/>
            <w:vAlign w:val="center"/>
          </w:tcPr>
          <w:p w14:paraId="3B2AB0AB">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委托</w:t>
            </w:r>
            <w:r>
              <w:rPr>
                <w:rFonts w:hint="eastAsia" w:ascii="宋体" w:hAnsi="宋体" w:eastAsia="宋体" w:cs="宋体"/>
                <w:color w:val="auto"/>
                <w:spacing w:val="0"/>
                <w:sz w:val="21"/>
                <w:szCs w:val="21"/>
                <w:highlight w:val="none"/>
                <w:u w:val="none"/>
              </w:rPr>
              <w:t>具有相关危废处置资质的单位处置</w:t>
            </w:r>
            <w:r>
              <w:rPr>
                <w:rFonts w:hint="eastAsia" w:ascii="宋体" w:hAnsi="宋体" w:eastAsia="宋体" w:cs="宋体"/>
                <w:color w:val="auto"/>
                <w:spacing w:val="0"/>
                <w:sz w:val="21"/>
                <w:szCs w:val="21"/>
                <w:highlight w:val="none"/>
                <w:u w:val="none"/>
                <w:lang w:eastAsia="zh-CN"/>
              </w:rPr>
              <w:t>。</w:t>
            </w:r>
          </w:p>
        </w:tc>
      </w:tr>
      <w:tr w14:paraId="12BE1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tcBorders>
              <w:tl2br w:val="nil"/>
              <w:tr2bl w:val="nil"/>
            </w:tcBorders>
            <w:noWrap w:val="0"/>
            <w:vAlign w:val="center"/>
          </w:tcPr>
          <w:p w14:paraId="51D28EC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p>
        </w:tc>
        <w:tc>
          <w:tcPr>
            <w:tcW w:w="647" w:type="pct"/>
            <w:tcBorders>
              <w:tl2br w:val="nil"/>
              <w:tr2bl w:val="nil"/>
            </w:tcBorders>
            <w:noWrap w:val="0"/>
            <w:vAlign w:val="center"/>
          </w:tcPr>
          <w:p w14:paraId="2928C14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废烧碱包装袋</w:t>
            </w:r>
          </w:p>
        </w:tc>
        <w:tc>
          <w:tcPr>
            <w:tcW w:w="646" w:type="pct"/>
            <w:tcBorders>
              <w:tl2br w:val="nil"/>
              <w:tr2bl w:val="nil"/>
            </w:tcBorders>
            <w:noWrap w:val="0"/>
            <w:vAlign w:val="center"/>
          </w:tcPr>
          <w:p w14:paraId="5F96941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w:t>
            </w:r>
          </w:p>
        </w:tc>
        <w:tc>
          <w:tcPr>
            <w:tcW w:w="624" w:type="pct"/>
            <w:tcBorders>
              <w:tl2br w:val="nil"/>
              <w:tr2bl w:val="nil"/>
            </w:tcBorders>
            <w:noWrap w:val="0"/>
            <w:vAlign w:val="center"/>
          </w:tcPr>
          <w:p w14:paraId="67C1FA7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val="en-US" w:eastAsia="zh-CN"/>
              </w:rPr>
              <w:t>0.0</w:t>
            </w:r>
            <w:r>
              <w:rPr>
                <w:rFonts w:hint="eastAsia" w:ascii="宋体" w:hAnsi="宋体" w:cs="宋体"/>
                <w:color w:val="auto"/>
                <w:spacing w:val="0"/>
                <w:sz w:val="21"/>
                <w:szCs w:val="21"/>
                <w:highlight w:val="none"/>
                <w:u w:val="none"/>
                <w:lang w:val="en-US" w:eastAsia="zh-CN"/>
              </w:rPr>
              <w:t>6</w:t>
            </w:r>
            <w:r>
              <w:rPr>
                <w:rFonts w:hint="eastAsia" w:ascii="宋体" w:hAnsi="宋体" w:eastAsia="宋体" w:cs="宋体"/>
                <w:color w:val="auto"/>
                <w:spacing w:val="0"/>
                <w:sz w:val="21"/>
                <w:szCs w:val="21"/>
                <w:highlight w:val="none"/>
                <w:u w:val="none"/>
              </w:rPr>
              <w:t>t</w:t>
            </w:r>
          </w:p>
        </w:tc>
        <w:tc>
          <w:tcPr>
            <w:tcW w:w="507" w:type="pct"/>
            <w:tcBorders>
              <w:tl2br w:val="nil"/>
              <w:tr2bl w:val="nil"/>
            </w:tcBorders>
            <w:noWrap w:val="0"/>
            <w:vAlign w:val="center"/>
          </w:tcPr>
          <w:p w14:paraId="3CC4AAB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0</w:t>
            </w:r>
          </w:p>
        </w:tc>
        <w:tc>
          <w:tcPr>
            <w:tcW w:w="2205" w:type="pct"/>
            <w:tcBorders>
              <w:tl2br w:val="nil"/>
              <w:tr2bl w:val="nil"/>
            </w:tcBorders>
            <w:noWrap w:val="0"/>
            <w:vAlign w:val="center"/>
          </w:tcPr>
          <w:p w14:paraId="4E30B7F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集中收集后委托具有相应危废处置资质的公司接收处置</w:t>
            </w:r>
            <w:r>
              <w:rPr>
                <w:rFonts w:hint="eastAsia" w:ascii="宋体" w:hAnsi="宋体" w:eastAsia="宋体" w:cs="宋体"/>
                <w:color w:val="auto"/>
                <w:spacing w:val="0"/>
                <w:sz w:val="21"/>
                <w:szCs w:val="21"/>
                <w:highlight w:val="none"/>
                <w:u w:val="none"/>
                <w:lang w:eastAsia="zh-CN"/>
              </w:rPr>
              <w:t>。</w:t>
            </w:r>
          </w:p>
        </w:tc>
      </w:tr>
      <w:tr w14:paraId="19B2A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tcBorders>
              <w:tl2br w:val="nil"/>
              <w:tr2bl w:val="nil"/>
            </w:tcBorders>
            <w:noWrap w:val="0"/>
            <w:vAlign w:val="center"/>
          </w:tcPr>
          <w:p w14:paraId="44B3F8F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噪声</w:t>
            </w:r>
          </w:p>
        </w:tc>
        <w:tc>
          <w:tcPr>
            <w:tcW w:w="647" w:type="pct"/>
            <w:tcBorders>
              <w:tl2br w:val="nil"/>
              <w:tr2bl w:val="nil"/>
            </w:tcBorders>
            <w:noWrap w:val="0"/>
            <w:vAlign w:val="center"/>
          </w:tcPr>
          <w:p w14:paraId="5F62165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施工机械、运输车辆</w:t>
            </w:r>
          </w:p>
        </w:tc>
        <w:tc>
          <w:tcPr>
            <w:tcW w:w="646" w:type="pct"/>
            <w:tcBorders>
              <w:tl2br w:val="nil"/>
              <w:tr2bl w:val="nil"/>
            </w:tcBorders>
            <w:noWrap w:val="0"/>
            <w:vAlign w:val="center"/>
          </w:tcPr>
          <w:p w14:paraId="06DE5E3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w:t>
            </w:r>
          </w:p>
        </w:tc>
        <w:tc>
          <w:tcPr>
            <w:tcW w:w="1131" w:type="pct"/>
            <w:gridSpan w:val="2"/>
            <w:tcBorders>
              <w:tl2br w:val="nil"/>
              <w:tr2bl w:val="nil"/>
            </w:tcBorders>
            <w:noWrap w:val="0"/>
            <w:vAlign w:val="center"/>
          </w:tcPr>
          <w:p w14:paraId="3A2B30E2">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90</w:t>
            </w:r>
            <w:r>
              <w:rPr>
                <w:rFonts w:hint="eastAsia" w:ascii="宋体" w:hAnsi="宋体" w:eastAsia="宋体" w:cs="宋体"/>
                <w:color w:val="auto"/>
                <w:spacing w:val="0"/>
                <w:sz w:val="21"/>
                <w:szCs w:val="21"/>
                <w:highlight w:val="none"/>
                <w:u w:val="none"/>
              </w:rPr>
              <w:t>~1</w:t>
            </w:r>
            <w:r>
              <w:rPr>
                <w:rFonts w:hint="eastAsia" w:ascii="宋体" w:hAnsi="宋体" w:eastAsia="宋体" w:cs="宋体"/>
                <w:color w:val="auto"/>
                <w:spacing w:val="0"/>
                <w:sz w:val="21"/>
                <w:szCs w:val="21"/>
                <w:highlight w:val="none"/>
                <w:u w:val="none"/>
                <w:lang w:val="en-US" w:eastAsia="zh-CN"/>
              </w:rPr>
              <w:t>1</w:t>
            </w:r>
            <w:r>
              <w:rPr>
                <w:rFonts w:hint="eastAsia" w:ascii="宋体" w:hAnsi="宋体" w:eastAsia="宋体" w:cs="宋体"/>
                <w:color w:val="auto"/>
                <w:spacing w:val="0"/>
                <w:sz w:val="21"/>
                <w:szCs w:val="21"/>
                <w:highlight w:val="none"/>
                <w:u w:val="none"/>
              </w:rPr>
              <w:t>0dB(A)</w:t>
            </w:r>
          </w:p>
        </w:tc>
        <w:tc>
          <w:tcPr>
            <w:tcW w:w="2205" w:type="pct"/>
            <w:tcBorders>
              <w:tl2br w:val="nil"/>
              <w:tr2bl w:val="nil"/>
            </w:tcBorders>
            <w:noWrap w:val="0"/>
            <w:vAlign w:val="center"/>
          </w:tcPr>
          <w:p w14:paraId="627BF823">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加强施工管理</w:t>
            </w:r>
          </w:p>
        </w:tc>
      </w:tr>
    </w:tbl>
    <w:p w14:paraId="7818EC5D">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4 </w:t>
      </w:r>
      <w:r>
        <w:rPr>
          <w:rFonts w:hint="default" w:ascii="黑体" w:hAnsi="黑体" w:eastAsia="黑体" w:cs="黑体"/>
          <w:b/>
          <w:color w:val="auto"/>
          <w:kern w:val="0"/>
          <w:sz w:val="24"/>
          <w:szCs w:val="24"/>
          <w:highlight w:val="none"/>
          <w:u w:val="none"/>
          <w:lang w:val="en-US" w:eastAsia="zh-CN"/>
        </w:rPr>
        <w:t>运营期污染源分析</w:t>
      </w:r>
    </w:p>
    <w:p w14:paraId="613DE61D">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70" w:name="_Toc30460"/>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 xml:space="preserve">4.4.1 </w:t>
      </w:r>
      <w:r>
        <w:rPr>
          <w:rFonts w:hint="default" w:ascii="宋体" w:hAnsi="宋体" w:eastAsia="宋体" w:cs="宋体"/>
          <w:color w:val="auto"/>
          <w:u w:val="none"/>
          <w:lang w:val="en-US" w:eastAsia="zh-CN"/>
        </w:rPr>
        <w:t>废水污染源</w:t>
      </w:r>
      <w:bookmarkEnd w:id="270"/>
    </w:p>
    <w:p w14:paraId="6D69F4E0">
      <w:pPr>
        <w:pStyle w:val="54"/>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default" w:ascii="Times New Roman" w:hAnsi="Times New Roman" w:cs="Times New Roman"/>
          <w:b/>
          <w:bCs/>
          <w:color w:val="auto"/>
          <w:highlight w:val="none"/>
          <w:u w:val="none"/>
          <w:shd w:val="clear" w:color="auto" w:fill="auto"/>
        </w:rPr>
      </w:pPr>
      <w:bookmarkStart w:id="271" w:name="_Toc11764"/>
      <w:r>
        <w:rPr>
          <w:rFonts w:hint="default" w:ascii="Times New Roman" w:hAnsi="Times New Roman" w:cs="Times New Roman"/>
          <w:b/>
          <w:bCs/>
          <w:color w:val="auto"/>
          <w:highlight w:val="none"/>
          <w:u w:val="none"/>
          <w:shd w:val="clear" w:color="auto" w:fill="auto"/>
        </w:rPr>
        <w:t>（1）采出水</w:t>
      </w:r>
    </w:p>
    <w:p w14:paraId="312A26FD">
      <w:pPr>
        <w:pStyle w:val="63"/>
        <w:keepNext w:val="0"/>
        <w:keepLines w:val="0"/>
        <w:pageBreakBefore w:val="0"/>
        <w:widowControl w:val="0"/>
        <w:kinsoku/>
        <w:wordWrap/>
        <w:overflowPunct/>
        <w:topLinePunct w:val="0"/>
        <w:autoSpaceDE/>
        <w:autoSpaceDN/>
        <w:bidi w:val="0"/>
        <w:spacing w:line="480" w:lineRule="exac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根据开发方案，</w:t>
      </w:r>
      <w:r>
        <w:rPr>
          <w:rFonts w:hint="eastAsia" w:ascii="Times New Roman" w:hAnsi="Times New Roman" w:eastAsia="宋体" w:cs="Times New Roman"/>
          <w:color w:val="auto"/>
          <w:sz w:val="24"/>
          <w:szCs w:val="24"/>
          <w:highlight w:val="none"/>
          <w:u w:val="none"/>
          <w:lang w:val="en-US" w:eastAsia="zh-CN"/>
        </w:rPr>
        <w:t>本工程</w:t>
      </w:r>
      <w:r>
        <w:rPr>
          <w:rFonts w:hint="default" w:ascii="Times New Roman" w:hAnsi="Times New Roman" w:eastAsia="宋体" w:cs="Times New Roman"/>
          <w:color w:val="auto"/>
          <w:sz w:val="24"/>
          <w:szCs w:val="24"/>
          <w:highlight w:val="none"/>
          <w:u w:val="none"/>
          <w:lang w:val="en-US" w:eastAsia="zh-CN"/>
        </w:rPr>
        <w:t>前期采出水量较小，根据方案预测中</w:t>
      </w:r>
      <w:r>
        <w:rPr>
          <w:rFonts w:hint="eastAsia" w:ascii="Times New Roman" w:hAnsi="Times New Roman" w:eastAsia="宋体" w:cs="Times New Roman"/>
          <w:color w:val="auto"/>
          <w:sz w:val="24"/>
          <w:szCs w:val="24"/>
          <w:highlight w:val="none"/>
          <w:u w:val="none"/>
          <w:lang w:val="en-US" w:eastAsia="zh-CN"/>
        </w:rPr>
        <w:t>本工程</w:t>
      </w:r>
      <w:r>
        <w:rPr>
          <w:rFonts w:hint="default" w:ascii="Times New Roman" w:hAnsi="Times New Roman" w:eastAsia="宋体" w:cs="Times New Roman"/>
          <w:color w:val="auto"/>
          <w:sz w:val="24"/>
          <w:szCs w:val="24"/>
          <w:highlight w:val="none"/>
          <w:u w:val="none"/>
          <w:lang w:val="en-US" w:eastAsia="zh-CN"/>
        </w:rPr>
        <w:t>最大采出水量核算为</w:t>
      </w:r>
      <w:r>
        <w:rPr>
          <w:rFonts w:hint="eastAsia" w:ascii="Times New Roman" w:hAnsi="Times New Roman" w:cs="Times New Roman"/>
          <w:color w:val="auto"/>
          <w:sz w:val="24"/>
          <w:szCs w:val="24"/>
          <w:highlight w:val="none"/>
          <w:u w:val="none"/>
          <w:lang w:val="en-US" w:eastAsia="zh-CN"/>
        </w:rPr>
        <w:t>73t</w:t>
      </w:r>
      <w:r>
        <w:rPr>
          <w:rFonts w:hint="default" w:ascii="Times New Roman" w:hAnsi="Times New Roman" w:eastAsia="宋体" w:cs="Times New Roman"/>
          <w:color w:val="auto"/>
          <w:sz w:val="24"/>
          <w:szCs w:val="24"/>
          <w:highlight w:val="none"/>
          <w:u w:val="none"/>
          <w:lang w:val="en-US" w:eastAsia="zh-CN"/>
        </w:rPr>
        <w:t>/d（</w:t>
      </w:r>
      <w:r>
        <w:rPr>
          <w:rFonts w:hint="eastAsia" w:ascii="Times New Roman" w:hAnsi="Times New Roman" w:cs="Times New Roman"/>
          <w:color w:val="auto"/>
          <w:sz w:val="24"/>
          <w:szCs w:val="24"/>
          <w:highlight w:val="none"/>
          <w:u w:val="none"/>
          <w:lang w:val="en-US" w:eastAsia="zh-CN"/>
        </w:rPr>
        <w:t>2.41</w:t>
      </w:r>
      <w:r>
        <w:rPr>
          <w:rFonts w:hint="default" w:ascii="Times New Roman" w:hAnsi="Times New Roman" w:eastAsia="宋体" w:cs="Times New Roman"/>
          <w:color w:val="auto"/>
          <w:sz w:val="24"/>
          <w:szCs w:val="24"/>
          <w:highlight w:val="none"/>
          <w:u w:val="none"/>
          <w:lang w:val="en-US" w:eastAsia="zh-CN"/>
        </w:rPr>
        <w:t>×10</w:t>
      </w:r>
      <w:r>
        <w:rPr>
          <w:rFonts w:hint="default" w:ascii="Times New Roman" w:hAnsi="Times New Roman" w:eastAsia="宋体" w:cs="Times New Roman"/>
          <w:color w:val="auto"/>
          <w:sz w:val="24"/>
          <w:szCs w:val="24"/>
          <w:highlight w:val="none"/>
          <w:u w:val="none"/>
          <w:vertAlign w:val="superscript"/>
          <w:lang w:val="en-US" w:eastAsia="zh-CN"/>
        </w:rPr>
        <w:t>4</w:t>
      </w:r>
      <w:r>
        <w:rPr>
          <w:rFonts w:hint="default" w:ascii="Times New Roman" w:hAnsi="Times New Roman" w:eastAsia="宋体" w:cs="Times New Roman"/>
          <w:color w:val="auto"/>
          <w:sz w:val="24"/>
          <w:szCs w:val="24"/>
          <w:highlight w:val="none"/>
          <w:u w:val="none"/>
          <w:lang w:val="en-US" w:eastAsia="zh-CN"/>
        </w:rPr>
        <w:t>t/a），采出水中主要污染物为SS、COD、石油类、挥发酚等，其浓度分别为44mg/L，4500mg/L，</w:t>
      </w:r>
      <w:r>
        <w:rPr>
          <w:rFonts w:hint="eastAsia" w:ascii="Times New Roman" w:hAnsi="Times New Roman" w:eastAsia="宋体" w:cs="Times New Roman"/>
          <w:color w:val="auto"/>
          <w:sz w:val="24"/>
          <w:szCs w:val="24"/>
          <w:highlight w:val="none"/>
          <w:u w:val="none"/>
          <w:lang w:val="en-US" w:eastAsia="zh-CN"/>
        </w:rPr>
        <w:t>69.53</w:t>
      </w:r>
      <w:r>
        <w:rPr>
          <w:rFonts w:hint="default" w:ascii="Times New Roman" w:hAnsi="Times New Roman" w:eastAsia="宋体" w:cs="Times New Roman"/>
          <w:color w:val="auto"/>
          <w:sz w:val="24"/>
          <w:szCs w:val="24"/>
          <w:highlight w:val="none"/>
          <w:u w:val="none"/>
          <w:lang w:val="en-US" w:eastAsia="zh-CN"/>
        </w:rPr>
        <w:t>mg/L，0.15mg/L。</w:t>
      </w:r>
    </w:p>
    <w:p w14:paraId="3D5BA2AC">
      <w:pPr>
        <w:pStyle w:val="63"/>
        <w:keepNext w:val="0"/>
        <w:keepLines w:val="0"/>
        <w:pageBreakBefore w:val="0"/>
        <w:widowControl w:val="0"/>
        <w:kinsoku/>
        <w:wordWrap/>
        <w:overflowPunct/>
        <w:topLinePunct w:val="0"/>
        <w:autoSpaceDE/>
        <w:autoSpaceDN/>
        <w:bidi w:val="0"/>
        <w:spacing w:line="480" w:lineRule="exac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由此可计算出：本工程SS、COD、石油类、挥发酚的年产生量分别为</w:t>
      </w:r>
      <w:r>
        <w:rPr>
          <w:rFonts w:hint="eastAsia" w:ascii="Times New Roman" w:hAnsi="Times New Roman" w:cs="Times New Roman"/>
          <w:color w:val="auto"/>
          <w:sz w:val="24"/>
          <w:szCs w:val="24"/>
          <w:highlight w:val="none"/>
          <w:u w:val="none"/>
          <w:lang w:val="en-US" w:eastAsia="zh-CN"/>
        </w:rPr>
        <w:t>1.06</w:t>
      </w:r>
      <w:r>
        <w:rPr>
          <w:rFonts w:hint="default" w:ascii="Times New Roman" w:hAnsi="Times New Roman" w:eastAsia="宋体" w:cs="Times New Roman"/>
          <w:color w:val="auto"/>
          <w:sz w:val="24"/>
          <w:szCs w:val="24"/>
          <w:highlight w:val="none"/>
          <w:u w:val="none"/>
          <w:lang w:val="en-US" w:eastAsia="zh-CN"/>
        </w:rPr>
        <w:t>t、</w:t>
      </w:r>
      <w:r>
        <w:rPr>
          <w:rFonts w:hint="eastAsia" w:ascii="Times New Roman" w:hAnsi="Times New Roman" w:cs="Times New Roman"/>
          <w:color w:val="auto"/>
          <w:sz w:val="24"/>
          <w:szCs w:val="24"/>
          <w:highlight w:val="none"/>
          <w:u w:val="none"/>
          <w:lang w:val="en-US" w:eastAsia="zh-CN"/>
        </w:rPr>
        <w:t>108.45</w:t>
      </w:r>
      <w:r>
        <w:rPr>
          <w:rFonts w:hint="default" w:ascii="Times New Roman" w:hAnsi="Times New Roman" w:eastAsia="宋体" w:cs="Times New Roman"/>
          <w:color w:val="auto"/>
          <w:sz w:val="24"/>
          <w:szCs w:val="24"/>
          <w:highlight w:val="none"/>
          <w:u w:val="none"/>
          <w:lang w:val="en-US" w:eastAsia="zh-CN"/>
        </w:rPr>
        <w:t>t、</w:t>
      </w:r>
      <w:r>
        <w:rPr>
          <w:rFonts w:hint="eastAsia" w:ascii="Times New Roman" w:hAnsi="Times New Roman" w:cs="Times New Roman"/>
          <w:color w:val="auto"/>
          <w:sz w:val="24"/>
          <w:szCs w:val="24"/>
          <w:highlight w:val="none"/>
          <w:u w:val="none"/>
          <w:lang w:val="en-US" w:eastAsia="zh-CN"/>
        </w:rPr>
        <w:t>1.68</w:t>
      </w:r>
      <w:r>
        <w:rPr>
          <w:rFonts w:hint="default" w:ascii="Times New Roman" w:hAnsi="Times New Roman" w:eastAsia="宋体" w:cs="Times New Roman"/>
          <w:color w:val="auto"/>
          <w:sz w:val="24"/>
          <w:szCs w:val="24"/>
          <w:highlight w:val="none"/>
          <w:u w:val="none"/>
          <w:lang w:val="en-US" w:eastAsia="zh-CN"/>
        </w:rPr>
        <w:t>t、0.0</w:t>
      </w:r>
      <w:r>
        <w:rPr>
          <w:rFonts w:hint="eastAsia" w:ascii="Times New Roman" w:hAnsi="Times New Roman" w:eastAsia="宋体" w:cs="Times New Roman"/>
          <w:color w:val="auto"/>
          <w:sz w:val="24"/>
          <w:szCs w:val="24"/>
          <w:highlight w:val="none"/>
          <w:u w:val="none"/>
          <w:lang w:val="en-US" w:eastAsia="zh-CN"/>
        </w:rPr>
        <w:t>0</w:t>
      </w:r>
      <w:r>
        <w:rPr>
          <w:rFonts w:hint="eastAsia" w:ascii="Times New Roman" w:hAnsi="Times New Roman"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t。</w:t>
      </w:r>
    </w:p>
    <w:p w14:paraId="51B49316">
      <w:pPr>
        <w:pStyle w:val="63"/>
        <w:keepNext w:val="0"/>
        <w:keepLines w:val="0"/>
        <w:pageBreakBefore w:val="0"/>
        <w:widowControl w:val="0"/>
        <w:kinsoku/>
        <w:wordWrap/>
        <w:overflowPunct/>
        <w:topLinePunct w:val="0"/>
        <w:autoSpaceDE/>
        <w:autoSpaceDN/>
        <w:bidi w:val="0"/>
        <w:spacing w:line="480" w:lineRule="exac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本项目采出水依托莫北转油站采出水处理系统处理，经处理后满足《碎屑岩油藏注水水质指标技术要求及分析方法》（SY/T5329-2022）标准中指标后回注油层，不外排。</w:t>
      </w:r>
    </w:p>
    <w:p w14:paraId="69079AE0">
      <w:pPr>
        <w:pStyle w:val="54"/>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（2）压裂返排液、酸化返排液及废洗井液</w:t>
      </w:r>
    </w:p>
    <w:p w14:paraId="420B5DB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宋体" w:eastAsia="宋体" w:cs="Times New Roman"/>
          <w:color w:val="auto"/>
          <w:sz w:val="24"/>
          <w:highlight w:val="none"/>
          <w:u w:val="none"/>
          <w:lang w:eastAsia="zh-CN" w:bidi="ar"/>
        </w:rPr>
      </w:pPr>
      <w:r>
        <w:rPr>
          <w:rFonts w:hint="eastAsia" w:ascii="Times New Roman" w:hAnsi="宋体" w:eastAsia="宋体" w:cs="Times New Roman"/>
          <w:color w:val="auto"/>
          <w:sz w:val="24"/>
          <w:highlight w:val="none"/>
          <w:u w:val="none"/>
          <w:lang w:eastAsia="zh-CN" w:bidi="ar"/>
        </w:rPr>
        <w:t>井下作业进行酸化、压裂等工序时，会产生一定的压裂返排液、酸化返排液，修井时会产生废洗井液，上述物质的产生量根据《排放源统计调查产排污核算方法和系数手册》中1120石油和天然气开采专业及辅助性活动行业系数手册中的产排污系数进行核算，井下作业每</w:t>
      </w:r>
      <w:r>
        <w:rPr>
          <w:rFonts w:hint="eastAsia" w:ascii="Times New Roman" w:hAnsi="宋体" w:eastAsia="宋体" w:cs="Times New Roman"/>
          <w:color w:val="auto"/>
          <w:sz w:val="24"/>
          <w:highlight w:val="none"/>
          <w:u w:val="none"/>
          <w:lang w:val="en-US" w:eastAsia="zh-CN" w:bidi="ar"/>
        </w:rPr>
        <w:t>2</w:t>
      </w:r>
      <w:r>
        <w:rPr>
          <w:rFonts w:hint="eastAsia" w:ascii="Times New Roman" w:hAnsi="宋体" w:eastAsia="宋体" w:cs="Times New Roman"/>
          <w:color w:val="auto"/>
          <w:sz w:val="24"/>
          <w:highlight w:val="none"/>
          <w:u w:val="none"/>
          <w:lang w:eastAsia="zh-CN" w:bidi="ar"/>
        </w:rPr>
        <w:t>年1次。</w:t>
      </w:r>
    </w:p>
    <w:p w14:paraId="5BEB336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宋体" w:eastAsia="宋体" w:cs="Times New Roman"/>
          <w:color w:val="auto"/>
          <w:sz w:val="24"/>
          <w:highlight w:val="none"/>
          <w:u w:val="none"/>
          <w:lang w:eastAsia="zh-CN" w:bidi="ar"/>
        </w:rPr>
      </w:pPr>
      <w:r>
        <w:rPr>
          <w:rFonts w:hint="eastAsia" w:ascii="Times New Roman" w:hAnsi="宋体" w:eastAsia="宋体" w:cs="Times New Roman"/>
          <w:color w:val="auto"/>
          <w:sz w:val="24"/>
          <w:highlight w:val="none"/>
          <w:u w:val="none"/>
          <w:lang w:eastAsia="zh-CN" w:bidi="ar"/>
        </w:rPr>
        <w:t>具体产污系数及产生量见表</w:t>
      </w:r>
      <w:r>
        <w:rPr>
          <w:rFonts w:hint="eastAsia" w:hAnsi="宋体" w:cs="Times New Roman"/>
          <w:color w:val="auto"/>
          <w:sz w:val="24"/>
          <w:highlight w:val="none"/>
          <w:u w:val="none"/>
          <w:lang w:val="en-US" w:eastAsia="zh-CN" w:bidi="ar"/>
        </w:rPr>
        <w:t>3.</w:t>
      </w:r>
      <w:r>
        <w:rPr>
          <w:rFonts w:hint="eastAsia" w:ascii="Times New Roman" w:hAnsi="宋体" w:eastAsia="宋体" w:cs="Times New Roman"/>
          <w:color w:val="auto"/>
          <w:sz w:val="24"/>
          <w:highlight w:val="none"/>
          <w:u w:val="none"/>
          <w:lang w:val="en-US" w:eastAsia="zh-CN" w:bidi="ar"/>
        </w:rPr>
        <w:t>4-</w:t>
      </w:r>
      <w:r>
        <w:rPr>
          <w:rFonts w:hint="eastAsia" w:hAnsi="宋体" w:cs="Times New Roman"/>
          <w:color w:val="auto"/>
          <w:sz w:val="24"/>
          <w:highlight w:val="none"/>
          <w:u w:val="none"/>
          <w:lang w:val="en-US" w:eastAsia="zh-CN" w:bidi="ar"/>
        </w:rPr>
        <w:t>9</w:t>
      </w:r>
      <w:r>
        <w:rPr>
          <w:rFonts w:hint="eastAsia" w:ascii="Times New Roman" w:hAnsi="宋体" w:eastAsia="宋体" w:cs="Times New Roman"/>
          <w:color w:val="auto"/>
          <w:sz w:val="24"/>
          <w:highlight w:val="none"/>
          <w:u w:val="none"/>
          <w:lang w:eastAsia="zh-CN" w:bidi="ar"/>
        </w:rPr>
        <w:t>。</w:t>
      </w:r>
    </w:p>
    <w:p w14:paraId="7070A8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表3.4-9   井下作业废水量及污染物产生量一览表</w:t>
      </w:r>
    </w:p>
    <w:tbl>
      <w:tblPr>
        <w:tblStyle w:val="37"/>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938"/>
        <w:gridCol w:w="1025"/>
        <w:gridCol w:w="717"/>
        <w:gridCol w:w="1482"/>
        <w:gridCol w:w="871"/>
        <w:gridCol w:w="857"/>
        <w:gridCol w:w="1470"/>
        <w:gridCol w:w="724"/>
      </w:tblGrid>
      <w:tr w14:paraId="52BA2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420" w:type="pct"/>
            <w:tcBorders>
              <w:tl2br w:val="nil"/>
              <w:tr2bl w:val="nil"/>
            </w:tcBorders>
            <w:noWrap w:val="0"/>
            <w:vAlign w:val="center"/>
          </w:tcPr>
          <w:p w14:paraId="628503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产品</w:t>
            </w:r>
          </w:p>
          <w:p w14:paraId="4E65C2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名称</w:t>
            </w:r>
          </w:p>
        </w:tc>
        <w:tc>
          <w:tcPr>
            <w:tcW w:w="531" w:type="pct"/>
            <w:tcBorders>
              <w:tl2br w:val="nil"/>
              <w:tr2bl w:val="nil"/>
            </w:tcBorders>
            <w:noWrap w:val="0"/>
            <w:vAlign w:val="center"/>
          </w:tcPr>
          <w:p w14:paraId="05B76B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原料</w:t>
            </w:r>
          </w:p>
          <w:p w14:paraId="20554A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名称</w:t>
            </w:r>
          </w:p>
        </w:tc>
        <w:tc>
          <w:tcPr>
            <w:tcW w:w="580" w:type="pct"/>
            <w:tcBorders>
              <w:tl2br w:val="nil"/>
              <w:tr2bl w:val="nil"/>
            </w:tcBorders>
            <w:noWrap w:val="0"/>
            <w:vAlign w:val="center"/>
          </w:tcPr>
          <w:p w14:paraId="4D699F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工艺</w:t>
            </w:r>
          </w:p>
          <w:p w14:paraId="5191B3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名称</w:t>
            </w:r>
          </w:p>
        </w:tc>
        <w:tc>
          <w:tcPr>
            <w:tcW w:w="406" w:type="pct"/>
            <w:tcBorders>
              <w:tl2br w:val="nil"/>
              <w:tr2bl w:val="nil"/>
            </w:tcBorders>
            <w:noWrap w:val="0"/>
            <w:vAlign w:val="center"/>
          </w:tcPr>
          <w:p w14:paraId="13685D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规模</w:t>
            </w:r>
          </w:p>
          <w:p w14:paraId="785F5C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等级</w:t>
            </w:r>
          </w:p>
        </w:tc>
        <w:tc>
          <w:tcPr>
            <w:tcW w:w="839" w:type="pct"/>
            <w:tcBorders>
              <w:tl2br w:val="nil"/>
              <w:tr2bl w:val="nil"/>
            </w:tcBorders>
            <w:noWrap w:val="0"/>
            <w:vAlign w:val="center"/>
          </w:tcPr>
          <w:p w14:paraId="62FBBC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污染物指标</w:t>
            </w:r>
          </w:p>
        </w:tc>
        <w:tc>
          <w:tcPr>
            <w:tcW w:w="493" w:type="pct"/>
            <w:tcBorders>
              <w:tl2br w:val="nil"/>
              <w:tr2bl w:val="nil"/>
            </w:tcBorders>
            <w:noWrap w:val="0"/>
            <w:vAlign w:val="center"/>
          </w:tcPr>
          <w:p w14:paraId="768EF8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单位</w:t>
            </w:r>
          </w:p>
        </w:tc>
        <w:tc>
          <w:tcPr>
            <w:tcW w:w="485" w:type="pct"/>
            <w:tcBorders>
              <w:tl2br w:val="nil"/>
              <w:tr2bl w:val="nil"/>
            </w:tcBorders>
            <w:noWrap w:val="0"/>
            <w:vAlign w:val="center"/>
          </w:tcPr>
          <w:p w14:paraId="48215C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产污系数</w:t>
            </w:r>
          </w:p>
        </w:tc>
        <w:tc>
          <w:tcPr>
            <w:tcW w:w="832" w:type="pct"/>
            <w:tcBorders>
              <w:tl2br w:val="nil"/>
              <w:tr2bl w:val="nil"/>
            </w:tcBorders>
            <w:noWrap w:val="0"/>
            <w:vAlign w:val="center"/>
          </w:tcPr>
          <w:p w14:paraId="1EA108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末端治理技术名称</w:t>
            </w:r>
          </w:p>
        </w:tc>
        <w:tc>
          <w:tcPr>
            <w:tcW w:w="410" w:type="pct"/>
            <w:tcBorders>
              <w:tl2br w:val="nil"/>
              <w:tr2bl w:val="nil"/>
            </w:tcBorders>
            <w:noWrap w:val="0"/>
            <w:vAlign w:val="center"/>
          </w:tcPr>
          <w:p w14:paraId="6238C9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排放量</w:t>
            </w:r>
          </w:p>
        </w:tc>
      </w:tr>
      <w:tr w14:paraId="3576A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0" w:type="pct"/>
            <w:vMerge w:val="restart"/>
            <w:tcBorders>
              <w:tl2br w:val="nil"/>
              <w:tr2bl w:val="nil"/>
            </w:tcBorders>
            <w:noWrap w:val="0"/>
            <w:vAlign w:val="center"/>
          </w:tcPr>
          <w:p w14:paraId="0FD02E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井下作业</w:t>
            </w:r>
          </w:p>
        </w:tc>
        <w:tc>
          <w:tcPr>
            <w:tcW w:w="531" w:type="pct"/>
            <w:tcBorders>
              <w:tl2br w:val="nil"/>
              <w:tr2bl w:val="nil"/>
            </w:tcBorders>
            <w:noWrap w:val="0"/>
            <w:vAlign w:val="center"/>
          </w:tcPr>
          <w:p w14:paraId="47CD60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压裂液</w:t>
            </w:r>
          </w:p>
        </w:tc>
        <w:tc>
          <w:tcPr>
            <w:tcW w:w="580" w:type="pct"/>
            <w:tcBorders>
              <w:tl2br w:val="nil"/>
              <w:tr2bl w:val="nil"/>
            </w:tcBorders>
            <w:noWrap w:val="0"/>
            <w:vAlign w:val="center"/>
          </w:tcPr>
          <w:p w14:paraId="5EDEE0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气</w:t>
            </w:r>
            <w:r>
              <w:rPr>
                <w:rFonts w:hint="eastAsia" w:ascii="宋体" w:hAnsi="宋体" w:eastAsia="宋体" w:cs="宋体"/>
                <w:color w:val="auto"/>
                <w:sz w:val="21"/>
                <w:szCs w:val="21"/>
                <w:highlight w:val="none"/>
                <w:u w:val="none"/>
              </w:rPr>
              <w:t>井加砂压裂</w:t>
            </w:r>
          </w:p>
        </w:tc>
        <w:tc>
          <w:tcPr>
            <w:tcW w:w="406" w:type="pct"/>
            <w:tcBorders>
              <w:tl2br w:val="nil"/>
              <w:tr2bl w:val="nil"/>
            </w:tcBorders>
            <w:noWrap w:val="0"/>
            <w:vAlign w:val="center"/>
          </w:tcPr>
          <w:p w14:paraId="5281A2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所有规模</w:t>
            </w:r>
          </w:p>
        </w:tc>
        <w:tc>
          <w:tcPr>
            <w:tcW w:w="839" w:type="pct"/>
            <w:tcBorders>
              <w:tl2br w:val="nil"/>
              <w:tr2bl w:val="nil"/>
            </w:tcBorders>
            <w:noWrap w:val="0"/>
            <w:vAlign w:val="center"/>
          </w:tcPr>
          <w:p w14:paraId="59C7BA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废压裂液（压裂返排液）</w:t>
            </w:r>
          </w:p>
        </w:tc>
        <w:tc>
          <w:tcPr>
            <w:tcW w:w="493" w:type="pct"/>
            <w:tcBorders>
              <w:tl2br w:val="nil"/>
              <w:tr2bl w:val="nil"/>
            </w:tcBorders>
            <w:noWrap w:val="0"/>
            <w:vAlign w:val="center"/>
          </w:tcPr>
          <w:p w14:paraId="2E0C0C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立方米/井</w:t>
            </w:r>
          </w:p>
        </w:tc>
        <w:tc>
          <w:tcPr>
            <w:tcW w:w="485" w:type="pct"/>
            <w:tcBorders>
              <w:tl2br w:val="nil"/>
              <w:tr2bl w:val="nil"/>
            </w:tcBorders>
            <w:noWrap w:val="0"/>
            <w:vAlign w:val="center"/>
          </w:tcPr>
          <w:p w14:paraId="045FF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263.98</w:t>
            </w:r>
          </w:p>
        </w:tc>
        <w:tc>
          <w:tcPr>
            <w:tcW w:w="832" w:type="pct"/>
            <w:tcBorders>
              <w:tl2br w:val="nil"/>
              <w:tr2bl w:val="nil"/>
            </w:tcBorders>
            <w:noWrap w:val="0"/>
            <w:vAlign w:val="center"/>
          </w:tcPr>
          <w:p w14:paraId="5DCDDB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无害化处理/处置/利用</w:t>
            </w:r>
          </w:p>
        </w:tc>
        <w:tc>
          <w:tcPr>
            <w:tcW w:w="410" w:type="pct"/>
            <w:tcBorders>
              <w:tl2br w:val="nil"/>
              <w:tr2bl w:val="nil"/>
            </w:tcBorders>
            <w:noWrap w:val="0"/>
            <w:vAlign w:val="center"/>
          </w:tcPr>
          <w:p w14:paraId="5E0D62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r>
      <w:tr w14:paraId="4DAE6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0" w:type="pct"/>
            <w:vMerge w:val="continue"/>
            <w:tcBorders>
              <w:tl2br w:val="nil"/>
              <w:tr2bl w:val="nil"/>
            </w:tcBorders>
            <w:noWrap w:val="0"/>
            <w:vAlign w:val="center"/>
          </w:tcPr>
          <w:p w14:paraId="4735A4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c>
          <w:tcPr>
            <w:tcW w:w="531" w:type="pct"/>
            <w:tcBorders>
              <w:tl2br w:val="nil"/>
              <w:tr2bl w:val="nil"/>
            </w:tcBorders>
            <w:noWrap w:val="0"/>
            <w:vAlign w:val="center"/>
          </w:tcPr>
          <w:p w14:paraId="168473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酸化液</w:t>
            </w:r>
          </w:p>
        </w:tc>
        <w:tc>
          <w:tcPr>
            <w:tcW w:w="580" w:type="pct"/>
            <w:tcBorders>
              <w:tl2br w:val="nil"/>
              <w:tr2bl w:val="nil"/>
            </w:tcBorders>
            <w:noWrap w:val="0"/>
            <w:vAlign w:val="center"/>
          </w:tcPr>
          <w:p w14:paraId="051975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气</w:t>
            </w:r>
            <w:r>
              <w:rPr>
                <w:rFonts w:hint="eastAsia" w:ascii="宋体" w:hAnsi="宋体" w:eastAsia="宋体" w:cs="宋体"/>
                <w:color w:val="auto"/>
                <w:sz w:val="21"/>
                <w:szCs w:val="21"/>
                <w:highlight w:val="none"/>
                <w:u w:val="none"/>
              </w:rPr>
              <w:t>井酸化压裂</w:t>
            </w:r>
          </w:p>
        </w:tc>
        <w:tc>
          <w:tcPr>
            <w:tcW w:w="406" w:type="pct"/>
            <w:tcBorders>
              <w:tl2br w:val="nil"/>
              <w:tr2bl w:val="nil"/>
            </w:tcBorders>
            <w:noWrap w:val="0"/>
            <w:vAlign w:val="center"/>
          </w:tcPr>
          <w:p w14:paraId="311325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所有规模</w:t>
            </w:r>
          </w:p>
        </w:tc>
        <w:tc>
          <w:tcPr>
            <w:tcW w:w="839" w:type="pct"/>
            <w:tcBorders>
              <w:tl2br w:val="nil"/>
              <w:tr2bl w:val="nil"/>
            </w:tcBorders>
            <w:noWrap w:val="0"/>
            <w:vAlign w:val="center"/>
          </w:tcPr>
          <w:p w14:paraId="5C881D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废酸化液（酸化返排液）</w:t>
            </w:r>
          </w:p>
        </w:tc>
        <w:tc>
          <w:tcPr>
            <w:tcW w:w="493" w:type="pct"/>
            <w:tcBorders>
              <w:tl2br w:val="nil"/>
              <w:tr2bl w:val="nil"/>
            </w:tcBorders>
            <w:noWrap w:val="0"/>
            <w:vAlign w:val="center"/>
          </w:tcPr>
          <w:p w14:paraId="543552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立方米/井</w:t>
            </w:r>
          </w:p>
        </w:tc>
        <w:tc>
          <w:tcPr>
            <w:tcW w:w="485" w:type="pct"/>
            <w:tcBorders>
              <w:tl2br w:val="nil"/>
              <w:tr2bl w:val="nil"/>
            </w:tcBorders>
            <w:noWrap w:val="0"/>
            <w:vAlign w:val="center"/>
          </w:tcPr>
          <w:p w14:paraId="016E3E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82.3</w:t>
            </w:r>
          </w:p>
        </w:tc>
        <w:tc>
          <w:tcPr>
            <w:tcW w:w="832" w:type="pct"/>
            <w:tcBorders>
              <w:tl2br w:val="nil"/>
              <w:tr2bl w:val="nil"/>
            </w:tcBorders>
            <w:noWrap w:val="0"/>
            <w:vAlign w:val="center"/>
          </w:tcPr>
          <w:p w14:paraId="276A43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无害化处理/处置/利用</w:t>
            </w:r>
          </w:p>
        </w:tc>
        <w:tc>
          <w:tcPr>
            <w:tcW w:w="410" w:type="pct"/>
            <w:tcBorders>
              <w:tl2br w:val="nil"/>
              <w:tr2bl w:val="nil"/>
            </w:tcBorders>
            <w:noWrap w:val="0"/>
            <w:vAlign w:val="center"/>
          </w:tcPr>
          <w:p w14:paraId="5BA8A2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r>
      <w:tr w14:paraId="0033F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0" w:type="pct"/>
            <w:vMerge w:val="continue"/>
            <w:tcBorders>
              <w:tl2br w:val="nil"/>
              <w:tr2bl w:val="nil"/>
            </w:tcBorders>
            <w:noWrap w:val="0"/>
            <w:vAlign w:val="center"/>
          </w:tcPr>
          <w:p w14:paraId="628153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p>
        </w:tc>
        <w:tc>
          <w:tcPr>
            <w:tcW w:w="531" w:type="pct"/>
            <w:tcBorders>
              <w:tl2br w:val="nil"/>
              <w:tr2bl w:val="nil"/>
            </w:tcBorders>
            <w:noWrap w:val="0"/>
            <w:vAlign w:val="center"/>
          </w:tcPr>
          <w:p w14:paraId="630893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洗井液</w:t>
            </w:r>
          </w:p>
        </w:tc>
        <w:tc>
          <w:tcPr>
            <w:tcW w:w="580" w:type="pct"/>
            <w:tcBorders>
              <w:tl2br w:val="nil"/>
              <w:tr2bl w:val="nil"/>
            </w:tcBorders>
            <w:noWrap w:val="0"/>
            <w:vAlign w:val="center"/>
          </w:tcPr>
          <w:p w14:paraId="789C0F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修井</w:t>
            </w:r>
          </w:p>
        </w:tc>
        <w:tc>
          <w:tcPr>
            <w:tcW w:w="406" w:type="pct"/>
            <w:tcBorders>
              <w:tl2br w:val="nil"/>
              <w:tr2bl w:val="nil"/>
            </w:tcBorders>
            <w:noWrap w:val="0"/>
            <w:vAlign w:val="center"/>
          </w:tcPr>
          <w:p w14:paraId="0B4FB0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所有规模</w:t>
            </w:r>
          </w:p>
        </w:tc>
        <w:tc>
          <w:tcPr>
            <w:tcW w:w="839" w:type="pct"/>
            <w:tcBorders>
              <w:tl2br w:val="nil"/>
              <w:tr2bl w:val="nil"/>
            </w:tcBorders>
            <w:noWrap w:val="0"/>
            <w:vAlign w:val="center"/>
          </w:tcPr>
          <w:p w14:paraId="0A15E8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废洗井液</w:t>
            </w:r>
          </w:p>
        </w:tc>
        <w:tc>
          <w:tcPr>
            <w:tcW w:w="493" w:type="pct"/>
            <w:tcBorders>
              <w:tl2br w:val="nil"/>
              <w:tr2bl w:val="nil"/>
            </w:tcBorders>
            <w:noWrap w:val="0"/>
            <w:vAlign w:val="center"/>
          </w:tcPr>
          <w:p w14:paraId="718D8D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吨/井</w:t>
            </w:r>
          </w:p>
        </w:tc>
        <w:tc>
          <w:tcPr>
            <w:tcW w:w="485" w:type="pct"/>
            <w:tcBorders>
              <w:tl2br w:val="nil"/>
              <w:tr2bl w:val="nil"/>
            </w:tcBorders>
            <w:noWrap w:val="0"/>
            <w:vAlign w:val="center"/>
          </w:tcPr>
          <w:p w14:paraId="68E895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25.29</w:t>
            </w:r>
          </w:p>
        </w:tc>
        <w:tc>
          <w:tcPr>
            <w:tcW w:w="832" w:type="pct"/>
            <w:tcBorders>
              <w:tl2br w:val="nil"/>
              <w:tr2bl w:val="nil"/>
            </w:tcBorders>
            <w:noWrap w:val="0"/>
            <w:vAlign w:val="center"/>
          </w:tcPr>
          <w:p w14:paraId="78BFBA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无害化处理/处置/利用</w:t>
            </w:r>
          </w:p>
        </w:tc>
        <w:tc>
          <w:tcPr>
            <w:tcW w:w="410" w:type="pct"/>
            <w:tcBorders>
              <w:tl2br w:val="nil"/>
              <w:tr2bl w:val="nil"/>
            </w:tcBorders>
            <w:noWrap w:val="0"/>
            <w:vAlign w:val="center"/>
          </w:tcPr>
          <w:p w14:paraId="6A98F9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r>
    </w:tbl>
    <w:p w14:paraId="5C205DDF">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宋体" w:eastAsia="宋体" w:cs="Times New Roman"/>
          <w:color w:val="auto"/>
          <w:sz w:val="24"/>
          <w:highlight w:val="none"/>
          <w:u w:val="none"/>
          <w:lang w:eastAsia="zh-CN" w:bidi="ar"/>
        </w:rPr>
      </w:pPr>
      <w:r>
        <w:rPr>
          <w:rFonts w:hint="eastAsia" w:ascii="Times New Roman" w:hAnsi="宋体" w:eastAsia="宋体" w:cs="Times New Roman"/>
          <w:color w:val="auto"/>
          <w:sz w:val="24"/>
          <w:highlight w:val="none"/>
          <w:u w:val="none"/>
          <w:lang w:val="en-US" w:eastAsia="zh-CN" w:bidi="ar"/>
        </w:rPr>
        <w:t>本工程共部署</w:t>
      </w:r>
      <w:r>
        <w:rPr>
          <w:rFonts w:hint="eastAsia" w:hAnsi="宋体" w:cs="Times New Roman"/>
          <w:color w:val="auto"/>
          <w:sz w:val="24"/>
          <w:highlight w:val="none"/>
          <w:u w:val="none"/>
          <w:lang w:val="en-US" w:eastAsia="zh-CN" w:bidi="ar"/>
        </w:rPr>
        <w:t>3</w:t>
      </w:r>
      <w:r>
        <w:rPr>
          <w:rFonts w:hint="eastAsia" w:ascii="Times New Roman" w:hAnsi="宋体" w:eastAsia="宋体" w:cs="Times New Roman"/>
          <w:color w:val="auto"/>
          <w:sz w:val="24"/>
          <w:highlight w:val="none"/>
          <w:u w:val="none"/>
          <w:lang w:val="en-US" w:eastAsia="zh-CN" w:bidi="ar"/>
        </w:rPr>
        <w:t>口采</w:t>
      </w:r>
      <w:r>
        <w:rPr>
          <w:rFonts w:hint="eastAsia" w:hAnsi="宋体" w:cs="Times New Roman"/>
          <w:color w:val="auto"/>
          <w:sz w:val="24"/>
          <w:highlight w:val="none"/>
          <w:u w:val="none"/>
          <w:lang w:val="en-US" w:eastAsia="zh-CN" w:bidi="ar"/>
        </w:rPr>
        <w:t>气</w:t>
      </w:r>
      <w:r>
        <w:rPr>
          <w:rFonts w:hint="eastAsia" w:ascii="Times New Roman" w:hAnsi="宋体" w:eastAsia="宋体" w:cs="Times New Roman"/>
          <w:color w:val="auto"/>
          <w:sz w:val="24"/>
          <w:highlight w:val="none"/>
          <w:u w:val="none"/>
          <w:lang w:val="en-US" w:eastAsia="zh-CN" w:bidi="ar"/>
        </w:rPr>
        <w:t>井，</w:t>
      </w:r>
      <w:r>
        <w:rPr>
          <w:rFonts w:hint="eastAsia" w:ascii="Times New Roman" w:hAnsi="宋体" w:eastAsia="宋体" w:cs="Times New Roman"/>
          <w:color w:val="auto"/>
          <w:sz w:val="24"/>
          <w:highlight w:val="none"/>
          <w:u w:val="none"/>
          <w:lang w:eastAsia="zh-CN" w:bidi="ar"/>
        </w:rPr>
        <w:t>根据计算，井下作业过程废压裂液产生量为</w:t>
      </w:r>
      <w:r>
        <w:rPr>
          <w:rFonts w:hint="eastAsia" w:hAnsi="宋体" w:cs="Times New Roman"/>
          <w:color w:val="auto"/>
          <w:sz w:val="24"/>
          <w:highlight w:val="none"/>
          <w:u w:val="none"/>
          <w:lang w:val="en-US" w:eastAsia="zh-CN" w:bidi="ar"/>
        </w:rPr>
        <w:t>791.94</w:t>
      </w:r>
      <w:r>
        <w:rPr>
          <w:rFonts w:hint="eastAsia" w:ascii="Times New Roman" w:hAnsi="宋体" w:eastAsia="宋体" w:cs="Times New Roman"/>
          <w:color w:val="auto"/>
          <w:sz w:val="24"/>
          <w:highlight w:val="none"/>
          <w:u w:val="none"/>
          <w:lang w:eastAsia="zh-CN" w:bidi="ar"/>
        </w:rPr>
        <w:t>m</w:t>
      </w:r>
      <w:r>
        <w:rPr>
          <w:rFonts w:hint="eastAsia" w:ascii="Times New Roman" w:hAnsi="宋体" w:eastAsia="宋体" w:cs="Times New Roman"/>
          <w:color w:val="auto"/>
          <w:sz w:val="24"/>
          <w:highlight w:val="none"/>
          <w:u w:val="none"/>
          <w:vertAlign w:val="superscript"/>
          <w:lang w:eastAsia="zh-CN" w:bidi="ar"/>
        </w:rPr>
        <w:t>3</w:t>
      </w:r>
      <w:r>
        <w:rPr>
          <w:rFonts w:hint="eastAsia" w:ascii="Times New Roman" w:hAnsi="宋体" w:eastAsia="宋体" w:cs="Times New Roman"/>
          <w:color w:val="auto"/>
          <w:sz w:val="24"/>
          <w:highlight w:val="none"/>
          <w:u w:val="none"/>
          <w:lang w:eastAsia="zh-CN" w:bidi="ar"/>
        </w:rPr>
        <w:t>/次，废酸化液产生量为</w:t>
      </w:r>
      <w:r>
        <w:rPr>
          <w:rFonts w:hint="eastAsia" w:hAnsi="宋体" w:cs="Times New Roman"/>
          <w:color w:val="auto"/>
          <w:sz w:val="24"/>
          <w:highlight w:val="none"/>
          <w:u w:val="none"/>
          <w:lang w:val="en-US" w:eastAsia="zh-CN" w:bidi="ar"/>
        </w:rPr>
        <w:t>246.9</w:t>
      </w:r>
      <w:r>
        <w:rPr>
          <w:rFonts w:hint="eastAsia" w:ascii="Times New Roman" w:hAnsi="宋体" w:eastAsia="宋体" w:cs="Times New Roman"/>
          <w:color w:val="auto"/>
          <w:sz w:val="24"/>
          <w:highlight w:val="none"/>
          <w:u w:val="none"/>
          <w:lang w:eastAsia="zh-CN" w:bidi="ar"/>
        </w:rPr>
        <w:t>m</w:t>
      </w:r>
      <w:r>
        <w:rPr>
          <w:rFonts w:hint="eastAsia" w:ascii="Times New Roman" w:hAnsi="宋体" w:eastAsia="宋体" w:cs="Times New Roman"/>
          <w:color w:val="auto"/>
          <w:sz w:val="24"/>
          <w:highlight w:val="none"/>
          <w:u w:val="none"/>
          <w:vertAlign w:val="superscript"/>
          <w:lang w:eastAsia="zh-CN" w:bidi="ar"/>
        </w:rPr>
        <w:t>3</w:t>
      </w:r>
      <w:r>
        <w:rPr>
          <w:rFonts w:hint="eastAsia" w:ascii="Times New Roman" w:hAnsi="宋体" w:eastAsia="宋体" w:cs="Times New Roman"/>
          <w:color w:val="auto"/>
          <w:sz w:val="24"/>
          <w:highlight w:val="none"/>
          <w:u w:val="none"/>
          <w:lang w:eastAsia="zh-CN" w:bidi="ar"/>
        </w:rPr>
        <w:t>/次，废洗井液产生量为</w:t>
      </w:r>
      <w:r>
        <w:rPr>
          <w:rFonts w:hint="eastAsia" w:hAnsi="宋体" w:cs="Times New Roman"/>
          <w:color w:val="auto"/>
          <w:sz w:val="24"/>
          <w:highlight w:val="none"/>
          <w:u w:val="none"/>
          <w:lang w:val="en-US" w:eastAsia="zh-CN" w:bidi="ar"/>
        </w:rPr>
        <w:t>75.87</w:t>
      </w:r>
      <w:r>
        <w:rPr>
          <w:rFonts w:hint="eastAsia" w:ascii="Times New Roman" w:hAnsi="宋体" w:eastAsia="宋体" w:cs="Times New Roman"/>
          <w:color w:val="auto"/>
          <w:sz w:val="24"/>
          <w:highlight w:val="none"/>
          <w:u w:val="none"/>
          <w:lang w:eastAsia="zh-CN" w:bidi="ar"/>
        </w:rPr>
        <w:t>t/次，井下作业带罐作业，产生的井下作业废水（废液）集中收集至专用收集罐中，最终由罐车拉运至石西集中处理站采出水处理系统处理，处理达标后回注。</w:t>
      </w:r>
    </w:p>
    <w:p w14:paraId="3560CA7C">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72" w:name="_Toc29885"/>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4.4</w:t>
      </w:r>
      <w:r>
        <w:rPr>
          <w:rFonts w:hint="default" w:ascii="宋体" w:hAnsi="宋体" w:eastAsia="宋体" w:cs="宋体"/>
          <w:color w:val="auto"/>
          <w:u w:val="none"/>
          <w:lang w:val="en-US" w:eastAsia="zh-CN"/>
        </w:rPr>
        <w:t>.2</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废气污染源</w:t>
      </w:r>
      <w:bookmarkEnd w:id="272"/>
    </w:p>
    <w:p w14:paraId="1504427D">
      <w:pPr>
        <w:keepNext w:val="0"/>
        <w:keepLines w:val="0"/>
        <w:pageBreakBefore w:val="0"/>
        <w:kinsoku/>
        <w:wordWrap/>
        <w:overflowPunct/>
        <w:topLinePunct w:val="0"/>
        <w:bidi w:val="0"/>
        <w:adjustRightInd w:val="0"/>
        <w:snapToGrid w:val="0"/>
        <w:spacing w:line="480" w:lineRule="exact"/>
        <w:ind w:firstLine="480" w:firstLineChars="200"/>
        <w:textAlignment w:val="auto"/>
        <w:rPr>
          <w:rFonts w:hint="default" w:ascii="Times New Roman" w:hAnsi="Times New Roman" w:cs="Times New Roman"/>
          <w:snapToGrid w:val="0"/>
          <w:color w:val="auto"/>
          <w:sz w:val="24"/>
          <w:highlight w:val="none"/>
          <w:u w:val="none"/>
        </w:rPr>
      </w:pPr>
      <w:r>
        <w:rPr>
          <w:rFonts w:hint="default" w:ascii="Times New Roman" w:hAnsi="Times New Roman" w:cs="Times New Roman"/>
          <w:snapToGrid w:val="0"/>
          <w:color w:val="auto"/>
          <w:sz w:val="24"/>
          <w:highlight w:val="none"/>
          <w:u w:val="none"/>
        </w:rPr>
        <w:t>本工程运营期间，对大气环境影响主要为油气集输过程中产生一定量的非甲烷总烃、</w:t>
      </w:r>
      <w:r>
        <w:rPr>
          <w:rFonts w:hint="eastAsia" w:cs="Times New Roman"/>
          <w:snapToGrid w:val="0"/>
          <w:color w:val="auto"/>
          <w:sz w:val="24"/>
          <w:highlight w:val="none"/>
          <w:u w:val="none"/>
          <w:lang w:val="en-US" w:eastAsia="zh-CN"/>
        </w:rPr>
        <w:t>硫化氢排放</w:t>
      </w:r>
      <w:r>
        <w:rPr>
          <w:rFonts w:hint="default" w:ascii="Times New Roman" w:hAnsi="Times New Roman" w:cs="Times New Roman"/>
          <w:snapToGrid w:val="0"/>
          <w:color w:val="auto"/>
          <w:sz w:val="24"/>
          <w:highlight w:val="none"/>
          <w:u w:val="none"/>
        </w:rPr>
        <w:t>。</w:t>
      </w:r>
    </w:p>
    <w:p w14:paraId="6A15277E">
      <w:pPr>
        <w:keepNext w:val="0"/>
        <w:keepLines w:val="0"/>
        <w:pageBreakBefore w:val="0"/>
        <w:widowControl/>
        <w:kinsoku/>
        <w:wordWrap/>
        <w:overflowPunct/>
        <w:topLinePunct w:val="0"/>
        <w:bidi w:val="0"/>
        <w:adjustRightInd w:val="0"/>
        <w:snapToGrid w:val="0"/>
        <w:spacing w:line="480" w:lineRule="exact"/>
        <w:ind w:firstLine="480" w:firstLineChars="200"/>
        <w:jc w:val="left"/>
        <w:textAlignment w:val="auto"/>
        <w:rPr>
          <w:rFonts w:hint="default" w:ascii="Times New Roman" w:hAnsi="Times New Roman" w:cs="Times New Roman"/>
          <w:b/>
          <w:color w:val="auto"/>
          <w:kern w:val="0"/>
          <w:sz w:val="24"/>
          <w:szCs w:val="24"/>
          <w:highlight w:val="none"/>
          <w:u w:val="none"/>
        </w:rPr>
      </w:pPr>
      <w:r>
        <w:rPr>
          <w:rFonts w:hint="eastAsia" w:cs="Times New Roman"/>
          <w:b/>
          <w:color w:val="auto"/>
          <w:kern w:val="0"/>
          <w:sz w:val="24"/>
          <w:szCs w:val="24"/>
          <w:highlight w:val="none"/>
          <w:u w:val="none"/>
          <w:lang w:val="en-US" w:eastAsia="zh-CN"/>
        </w:rPr>
        <w:t>（1）</w:t>
      </w:r>
      <w:r>
        <w:rPr>
          <w:rFonts w:hint="default" w:ascii="Times New Roman" w:hAnsi="Times New Roman" w:cs="Times New Roman"/>
          <w:b/>
          <w:color w:val="auto"/>
          <w:kern w:val="0"/>
          <w:sz w:val="24"/>
          <w:szCs w:val="24"/>
          <w:highlight w:val="none"/>
          <w:u w:val="none"/>
        </w:rPr>
        <w:t>排放非甲烷总烃</w:t>
      </w:r>
    </w:p>
    <w:p w14:paraId="5EAB991E">
      <w:pPr>
        <w:keepNext w:val="0"/>
        <w:keepLines w:val="0"/>
        <w:pageBreakBefore w:val="0"/>
        <w:widowControl/>
        <w:kinsoku/>
        <w:wordWrap/>
        <w:overflowPunct/>
        <w:topLinePunct w:val="0"/>
        <w:autoSpaceDE w:val="0"/>
        <w:autoSpaceDN w:val="0"/>
        <w:bidi w:val="0"/>
        <w:spacing w:line="480" w:lineRule="exact"/>
        <w:ind w:firstLine="480" w:firstLineChars="200"/>
        <w:jc w:val="both"/>
        <w:textAlignment w:val="auto"/>
        <w:rPr>
          <w:rFonts w:hint="default" w:ascii="Times New Roman" w:hAnsi="Times New Roman" w:cs="Times New Roman"/>
          <w:bCs/>
          <w:snapToGrid w:val="0"/>
          <w:color w:val="auto"/>
          <w:kern w:val="0"/>
          <w:sz w:val="24"/>
          <w:szCs w:val="24"/>
          <w:highlight w:val="none"/>
          <w:u w:val="none"/>
        </w:rPr>
      </w:pPr>
      <w:r>
        <w:rPr>
          <w:rFonts w:hint="default" w:ascii="Times New Roman" w:hAnsi="Times New Roman" w:cs="Times New Roman"/>
          <w:bCs/>
          <w:snapToGrid w:val="0"/>
          <w:color w:val="auto"/>
          <w:kern w:val="0"/>
          <w:sz w:val="24"/>
          <w:szCs w:val="24"/>
          <w:highlight w:val="none"/>
          <w:u w:val="none"/>
        </w:rPr>
        <w:t>本工程进入生产运营期间，</w:t>
      </w:r>
      <w:r>
        <w:rPr>
          <w:rFonts w:hint="default" w:ascii="Times New Roman" w:hAnsi="Times New Roman" w:cs="Times New Roman"/>
          <w:bCs/>
          <w:snapToGrid w:val="0"/>
          <w:color w:val="auto"/>
          <w:kern w:val="0"/>
          <w:sz w:val="24"/>
          <w:szCs w:val="24"/>
          <w:highlight w:val="none"/>
          <w:u w:val="none"/>
          <w:lang w:val="en-US" w:eastAsia="zh-CN"/>
        </w:rPr>
        <w:t>采用密闭集输工艺</w:t>
      </w:r>
      <w:r>
        <w:rPr>
          <w:rFonts w:hint="default" w:ascii="Times New Roman" w:hAnsi="Times New Roman" w:cs="Times New Roman"/>
          <w:bCs/>
          <w:snapToGrid w:val="0"/>
          <w:color w:val="auto"/>
          <w:kern w:val="0"/>
          <w:sz w:val="24"/>
          <w:szCs w:val="24"/>
          <w:highlight w:val="none"/>
          <w:u w:val="none"/>
        </w:rPr>
        <w:t>，对大气环境影响主要为油气集输过程中产生的无组织非甲烷总烃挥发，产生点主要集中在井口、管线设备接口、阀门处。</w:t>
      </w:r>
    </w:p>
    <w:p w14:paraId="5B663508">
      <w:pPr>
        <w:keepNext w:val="0"/>
        <w:keepLines w:val="0"/>
        <w:pageBreakBefore w:val="0"/>
        <w:widowControl/>
        <w:kinsoku/>
        <w:wordWrap/>
        <w:overflowPunct/>
        <w:topLinePunct w:val="0"/>
        <w:autoSpaceDE w:val="0"/>
        <w:autoSpaceDN w:val="0"/>
        <w:bidi w:val="0"/>
        <w:spacing w:line="480" w:lineRule="exact"/>
        <w:ind w:firstLine="480" w:firstLineChars="200"/>
        <w:jc w:val="both"/>
        <w:textAlignment w:val="auto"/>
        <w:rPr>
          <w:rFonts w:hint="default" w:ascii="Times New Roman" w:hAnsi="Times New Roman" w:cs="Times New Roman"/>
          <w:bCs/>
          <w:snapToGrid w:val="0"/>
          <w:color w:val="auto"/>
          <w:kern w:val="0"/>
          <w:sz w:val="24"/>
          <w:szCs w:val="24"/>
          <w:highlight w:val="none"/>
          <w:u w:val="none"/>
        </w:rPr>
      </w:pPr>
      <w:r>
        <w:rPr>
          <w:rFonts w:hint="default" w:ascii="Times New Roman" w:hAnsi="Times New Roman" w:cs="Times New Roman"/>
          <w:bCs/>
          <w:snapToGrid w:val="0"/>
          <w:color w:val="auto"/>
          <w:kern w:val="0"/>
          <w:sz w:val="24"/>
          <w:szCs w:val="24"/>
          <w:highlight w:val="none"/>
          <w:u w:val="none"/>
        </w:rPr>
        <w:t>在油气集输环节产生的挥发性有机物（VOCs）主要包括非甲烷总烃（</w:t>
      </w:r>
      <w:r>
        <w:rPr>
          <w:rFonts w:hint="default" w:ascii="Times New Roman" w:hAnsi="Times New Roman" w:cs="Times New Roman"/>
          <w:color w:val="auto"/>
          <w:kern w:val="0"/>
          <w:sz w:val="24"/>
          <w:szCs w:val="24"/>
          <w:highlight w:val="none"/>
          <w:u w:val="none"/>
        </w:rPr>
        <w:t>烷烃、烯烃、芳香烃、炔烃等</w:t>
      </w:r>
      <w:r>
        <w:rPr>
          <w:rFonts w:hint="default" w:ascii="Times New Roman" w:hAnsi="Times New Roman" w:cs="Times New Roman"/>
          <w:bCs/>
          <w:snapToGrid w:val="0"/>
          <w:color w:val="auto"/>
          <w:kern w:val="0"/>
          <w:sz w:val="24"/>
          <w:szCs w:val="24"/>
          <w:highlight w:val="none"/>
          <w:u w:val="none"/>
        </w:rPr>
        <w:t>）、含氧有机化合物（</w:t>
      </w:r>
      <w:r>
        <w:rPr>
          <w:rFonts w:hint="default" w:ascii="Times New Roman" w:hAnsi="Times New Roman" w:cs="Times New Roman"/>
          <w:color w:val="auto"/>
          <w:kern w:val="0"/>
          <w:sz w:val="24"/>
          <w:szCs w:val="24"/>
          <w:highlight w:val="none"/>
          <w:u w:val="none"/>
        </w:rPr>
        <w:t>醛、酮、醇、醚、酯、酚等</w:t>
      </w:r>
      <w:r>
        <w:rPr>
          <w:rFonts w:hint="default" w:ascii="Times New Roman" w:hAnsi="Times New Roman" w:cs="Times New Roman"/>
          <w:bCs/>
          <w:snapToGrid w:val="0"/>
          <w:color w:val="auto"/>
          <w:kern w:val="0"/>
          <w:sz w:val="24"/>
          <w:szCs w:val="24"/>
          <w:highlight w:val="none"/>
          <w:u w:val="none"/>
        </w:rPr>
        <w:t>）、</w:t>
      </w:r>
      <w:r>
        <w:rPr>
          <w:rFonts w:hint="default" w:ascii="Times New Roman" w:hAnsi="Times New Roman" w:cs="Times New Roman"/>
          <w:color w:val="auto"/>
          <w:kern w:val="0"/>
          <w:sz w:val="24"/>
          <w:szCs w:val="24"/>
          <w:highlight w:val="none"/>
          <w:u w:val="none"/>
        </w:rPr>
        <w:t>卤代烃，含氮有机化合物，含硫有机化合物等，对</w:t>
      </w:r>
      <w:r>
        <w:rPr>
          <w:rFonts w:hint="default" w:ascii="Times New Roman" w:hAnsi="Times New Roman" w:cs="Times New Roman"/>
          <w:color w:val="auto"/>
          <w:kern w:val="0"/>
          <w:sz w:val="24"/>
          <w:szCs w:val="24"/>
          <w:highlight w:val="none"/>
          <w:u w:val="none"/>
          <w:lang w:eastAsia="zh-CN"/>
        </w:rPr>
        <w:t>本工程</w:t>
      </w:r>
      <w:r>
        <w:rPr>
          <w:rFonts w:hint="default" w:ascii="Times New Roman" w:hAnsi="Times New Roman" w:cs="Times New Roman"/>
          <w:color w:val="auto"/>
          <w:kern w:val="0"/>
          <w:sz w:val="24"/>
          <w:szCs w:val="24"/>
          <w:highlight w:val="none"/>
          <w:u w:val="none"/>
        </w:rPr>
        <w:t>而言，</w:t>
      </w:r>
      <w:r>
        <w:rPr>
          <w:rFonts w:hint="default" w:ascii="Times New Roman" w:hAnsi="Times New Roman" w:cs="Times New Roman"/>
          <w:bCs/>
          <w:snapToGrid w:val="0"/>
          <w:color w:val="auto"/>
          <w:kern w:val="0"/>
          <w:sz w:val="24"/>
          <w:szCs w:val="24"/>
          <w:highlight w:val="none"/>
          <w:u w:val="none"/>
        </w:rPr>
        <w:t>VOCs主要为非甲烷总烃。</w:t>
      </w:r>
    </w:p>
    <w:p w14:paraId="755F24B1">
      <w:pPr>
        <w:keepNext w:val="0"/>
        <w:keepLines w:val="0"/>
        <w:pageBreakBefore w:val="0"/>
        <w:widowControl w:val="0"/>
        <w:kinsoku/>
        <w:wordWrap/>
        <w:overflowPunct/>
        <w:topLinePunct w:val="0"/>
        <w:bidi w:val="0"/>
        <w:adjustRightInd w:val="0"/>
        <w:snapToGrid w:val="0"/>
        <w:spacing w:line="480" w:lineRule="exact"/>
        <w:ind w:firstLine="480" w:firstLineChars="200"/>
        <w:jc w:val="both"/>
        <w:textAlignment w:val="auto"/>
        <w:rPr>
          <w:rFonts w:hint="default" w:ascii="Times New Roman" w:hAnsi="Times New Roman" w:eastAsia="宋体" w:cs="Times New Roman"/>
          <w:bCs/>
          <w:snapToGrid w:val="0"/>
          <w:color w:val="auto"/>
          <w:kern w:val="2"/>
          <w:sz w:val="24"/>
          <w:szCs w:val="24"/>
          <w:highlight w:val="none"/>
          <w:u w:val="none"/>
          <w:lang w:val="en-US" w:eastAsia="zh-CN" w:bidi="ar-SA"/>
        </w:rPr>
      </w:pPr>
      <w:r>
        <w:rPr>
          <w:rFonts w:hint="default" w:ascii="Times New Roman" w:hAnsi="Times New Roman" w:eastAsia="宋体" w:cs="Times New Roman"/>
          <w:bCs w:val="0"/>
          <w:color w:val="auto"/>
          <w:kern w:val="0"/>
          <w:sz w:val="24"/>
          <w:szCs w:val="24"/>
          <w:highlight w:val="none"/>
          <w:u w:val="none"/>
          <w:lang w:val="en-US" w:eastAsia="zh-CN" w:bidi="ar-SA"/>
        </w:rPr>
        <w:t>本工程</w:t>
      </w:r>
      <w:r>
        <w:rPr>
          <w:rFonts w:hint="default" w:ascii="Times New Roman" w:hAnsi="Times New Roman" w:eastAsia="宋体" w:cs="Times New Roman"/>
          <w:bCs/>
          <w:color w:val="auto"/>
          <w:kern w:val="2"/>
          <w:sz w:val="24"/>
          <w:szCs w:val="24"/>
          <w:highlight w:val="none"/>
          <w:u w:val="none"/>
          <w:lang w:val="en-US" w:eastAsia="zh-CN" w:bidi="ar-SA"/>
        </w:rPr>
        <w:t>运营过程中从阀门、法兰等部分逸散无组织非甲烷总烃</w:t>
      </w:r>
      <w:r>
        <w:rPr>
          <w:rFonts w:hint="default" w:ascii="Times New Roman" w:hAnsi="Times New Roman" w:eastAsia="宋体" w:cs="Times New Roman"/>
          <w:bCs/>
          <w:snapToGrid w:val="0"/>
          <w:color w:val="auto"/>
          <w:kern w:val="2"/>
          <w:sz w:val="24"/>
          <w:szCs w:val="24"/>
          <w:highlight w:val="none"/>
          <w:u w:val="none"/>
          <w:lang w:val="en-US" w:eastAsia="zh-CN" w:bidi="ar-SA"/>
        </w:rPr>
        <w:t>，参照《排污许可证申请与核发技术规范</w:t>
      </w:r>
      <w:r>
        <w:rPr>
          <w:rFonts w:hint="eastAsia" w:cs="Times New Roman"/>
          <w:bCs/>
          <w:snapToGrid w:val="0"/>
          <w:color w:val="auto"/>
          <w:kern w:val="2"/>
          <w:sz w:val="24"/>
          <w:szCs w:val="24"/>
          <w:highlight w:val="none"/>
          <w:u w:val="none"/>
          <w:lang w:val="en-US" w:eastAsia="zh-CN" w:bidi="ar-SA"/>
        </w:rPr>
        <w:t xml:space="preserve"> </w:t>
      </w:r>
      <w:r>
        <w:rPr>
          <w:rFonts w:hint="default" w:ascii="Times New Roman" w:hAnsi="Times New Roman" w:eastAsia="宋体" w:cs="Times New Roman"/>
          <w:bCs/>
          <w:snapToGrid w:val="0"/>
          <w:color w:val="auto"/>
          <w:kern w:val="2"/>
          <w:sz w:val="24"/>
          <w:szCs w:val="24"/>
          <w:highlight w:val="none"/>
          <w:u w:val="none"/>
          <w:lang w:val="en-US" w:eastAsia="zh-CN" w:bidi="ar-SA"/>
        </w:rPr>
        <w:t>石化工业》（HJ853-2017）中设备与管线组件密封点泄漏挥发性有机物的计算公式对源强进行核算</w:t>
      </w:r>
      <w:r>
        <w:rPr>
          <w:rFonts w:hint="eastAsia" w:cs="Times New Roman"/>
          <w:bCs/>
          <w:snapToGrid w:val="0"/>
          <w:color w:val="auto"/>
          <w:kern w:val="2"/>
          <w:sz w:val="24"/>
          <w:szCs w:val="24"/>
          <w:highlight w:val="none"/>
          <w:u w:val="none"/>
          <w:lang w:val="en-US" w:eastAsia="zh-CN" w:bidi="ar-SA"/>
        </w:rPr>
        <w:t>。</w:t>
      </w:r>
    </w:p>
    <w:p w14:paraId="7D9A7640">
      <w:pPr>
        <w:keepNext w:val="0"/>
        <w:keepLines w:val="0"/>
        <w:pageBreakBefore w:val="0"/>
        <w:widowControl w:val="0"/>
        <w:kinsoku/>
        <w:wordWrap/>
        <w:overflowPunct/>
        <w:topLinePunct w:val="0"/>
        <w:bidi w:val="0"/>
        <w:adjustRightInd w:val="0"/>
        <w:snapToGrid w:val="0"/>
        <w:spacing w:line="480" w:lineRule="exact"/>
        <w:ind w:firstLine="480" w:firstLineChars="200"/>
        <w:jc w:val="both"/>
        <w:textAlignment w:val="auto"/>
        <w:rPr>
          <w:rFonts w:hint="default" w:ascii="Times New Roman" w:hAnsi="Times New Roman" w:eastAsia="宋体" w:cs="Times New Roman"/>
          <w:bCs/>
          <w:snapToGrid w:val="0"/>
          <w:color w:val="auto"/>
          <w:kern w:val="2"/>
          <w:sz w:val="24"/>
          <w:szCs w:val="24"/>
          <w:highlight w:val="none"/>
          <w:u w:val="none"/>
          <w:lang w:val="en-US" w:eastAsia="zh-CN" w:bidi="ar-SA"/>
        </w:rPr>
      </w:pPr>
      <w:r>
        <w:rPr>
          <w:rFonts w:hint="default" w:ascii="Times New Roman" w:hAnsi="Times New Roman" w:cs="Times New Roman"/>
          <w:color w:val="auto"/>
          <w:kern w:val="0"/>
          <w:sz w:val="24"/>
          <w:szCs w:val="24"/>
          <w:highlight w:val="none"/>
          <w:u w:val="none"/>
        </w:rPr>
        <w:drawing>
          <wp:anchor distT="0" distB="0" distL="114300" distR="114300" simplePos="0" relativeHeight="251666432" behindDoc="0" locked="0" layoutInCell="1" allowOverlap="1">
            <wp:simplePos x="0" y="0"/>
            <wp:positionH relativeFrom="column">
              <wp:posOffset>1410335</wp:posOffset>
            </wp:positionH>
            <wp:positionV relativeFrom="paragraph">
              <wp:posOffset>298450</wp:posOffset>
            </wp:positionV>
            <wp:extent cx="2666365" cy="535940"/>
            <wp:effectExtent l="0" t="0" r="635" b="16510"/>
            <wp:wrapTopAndBottom/>
            <wp:docPr id="113"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8"/>
                    <pic:cNvPicPr>
                      <a:picLocks noChangeAspect="1"/>
                    </pic:cNvPicPr>
                  </pic:nvPicPr>
                  <pic:blipFill>
                    <a:blip r:embed="rId48"/>
                    <a:stretch>
                      <a:fillRect/>
                    </a:stretch>
                  </pic:blipFill>
                  <pic:spPr>
                    <a:xfrm>
                      <a:off x="0" y="0"/>
                      <a:ext cx="2666365" cy="535940"/>
                    </a:xfrm>
                    <a:prstGeom prst="rect">
                      <a:avLst/>
                    </a:prstGeom>
                    <a:noFill/>
                    <a:ln>
                      <a:noFill/>
                    </a:ln>
                  </pic:spPr>
                </pic:pic>
              </a:graphicData>
            </a:graphic>
          </wp:anchor>
        </w:drawing>
      </w:r>
      <w:r>
        <w:rPr>
          <w:rFonts w:hint="default" w:ascii="Times New Roman" w:hAnsi="Times New Roman" w:eastAsia="宋体" w:cs="Times New Roman"/>
          <w:bCs/>
          <w:snapToGrid w:val="0"/>
          <w:color w:val="auto"/>
          <w:kern w:val="2"/>
          <w:sz w:val="24"/>
          <w:szCs w:val="24"/>
          <w:highlight w:val="none"/>
          <w:u w:val="none"/>
          <w:lang w:val="en-US" w:eastAsia="zh-CN" w:bidi="ar-SA"/>
        </w:rPr>
        <w:t>公式</w:t>
      </w:r>
      <w:r>
        <w:rPr>
          <w:rFonts w:hint="eastAsia" w:cs="Times New Roman"/>
          <w:bCs/>
          <w:snapToGrid w:val="0"/>
          <w:color w:val="auto"/>
          <w:kern w:val="2"/>
          <w:sz w:val="24"/>
          <w:szCs w:val="24"/>
          <w:highlight w:val="none"/>
          <w:u w:val="none"/>
          <w:lang w:val="en-US" w:eastAsia="zh-CN" w:bidi="ar-SA"/>
        </w:rPr>
        <w:t>如下</w:t>
      </w:r>
      <w:r>
        <w:rPr>
          <w:rFonts w:hint="default" w:ascii="Times New Roman" w:hAnsi="Times New Roman" w:eastAsia="宋体" w:cs="Times New Roman"/>
          <w:bCs/>
          <w:snapToGrid w:val="0"/>
          <w:color w:val="auto"/>
          <w:kern w:val="2"/>
          <w:sz w:val="24"/>
          <w:szCs w:val="24"/>
          <w:highlight w:val="none"/>
          <w:u w:val="none"/>
          <w:lang w:val="en-US" w:eastAsia="zh-CN" w:bidi="ar-SA"/>
        </w:rPr>
        <w:t>：</w:t>
      </w:r>
    </w:p>
    <w:p w14:paraId="5D3D534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cs="Times New Roman"/>
          <w:color w:val="auto"/>
          <w:kern w:val="2"/>
          <w:sz w:val="24"/>
          <w:szCs w:val="24"/>
          <w:highlight w:val="none"/>
          <w:u w:val="none"/>
          <w:lang w:val="zh-CN"/>
        </w:rPr>
      </w:pPr>
      <w:r>
        <w:rPr>
          <w:rFonts w:hint="default" w:ascii="Times New Roman" w:hAnsi="Times New Roman" w:cs="Times New Roman"/>
          <w:color w:val="auto"/>
          <w:kern w:val="2"/>
          <w:sz w:val="24"/>
          <w:szCs w:val="24"/>
          <w:highlight w:val="none"/>
          <w:u w:val="none"/>
          <w:lang w:val="zh-CN"/>
        </w:rPr>
        <w:t>式中：</w:t>
      </w:r>
      <w:r>
        <w:rPr>
          <w:rFonts w:hint="default" w:ascii="Times New Roman" w:hAnsi="Times New Roman" w:cs="Times New Roman"/>
          <w:color w:val="auto"/>
          <w:spacing w:val="-6"/>
          <w:kern w:val="2"/>
          <w:sz w:val="24"/>
          <w:szCs w:val="24"/>
          <w:highlight w:val="none"/>
          <w:u w:val="none"/>
        </w:rPr>
        <w:t>E</w:t>
      </w:r>
      <w:r>
        <w:rPr>
          <w:rFonts w:hint="default" w:ascii="Times New Roman" w:hAnsi="Times New Roman" w:cs="Times New Roman"/>
          <w:color w:val="auto"/>
          <w:spacing w:val="-6"/>
          <w:kern w:val="2"/>
          <w:sz w:val="24"/>
          <w:szCs w:val="24"/>
          <w:highlight w:val="none"/>
          <w:u w:val="none"/>
          <w:vertAlign w:val="subscript"/>
          <w:lang w:val="zh-CN"/>
        </w:rPr>
        <w:t>设备</w:t>
      </w:r>
      <w:r>
        <w:rPr>
          <w:rFonts w:hint="default" w:ascii="Times New Roman" w:hAnsi="Times New Roman" w:cs="Times New Roman"/>
          <w:color w:val="auto"/>
          <w:spacing w:val="-6"/>
          <w:kern w:val="2"/>
          <w:sz w:val="24"/>
          <w:szCs w:val="24"/>
          <w:highlight w:val="none"/>
          <w:u w:val="none"/>
          <w:lang w:val="zh-CN"/>
        </w:rPr>
        <w:t>——设备与管线组件密封点泄漏的挥发性有机物年许可排放量，</w:t>
      </w:r>
      <w:r>
        <w:rPr>
          <w:rFonts w:hint="default" w:ascii="Times New Roman" w:hAnsi="Times New Roman" w:cs="Times New Roman"/>
          <w:color w:val="auto"/>
          <w:spacing w:val="-6"/>
          <w:kern w:val="2"/>
          <w:sz w:val="24"/>
          <w:szCs w:val="24"/>
          <w:highlight w:val="none"/>
          <w:u w:val="none"/>
        </w:rPr>
        <w:t>kg/a</w:t>
      </w:r>
      <w:r>
        <w:rPr>
          <w:rFonts w:hint="default" w:ascii="Times New Roman" w:hAnsi="Times New Roman" w:cs="Times New Roman"/>
          <w:color w:val="auto"/>
          <w:spacing w:val="-6"/>
          <w:kern w:val="2"/>
          <w:sz w:val="24"/>
          <w:szCs w:val="24"/>
          <w:highlight w:val="none"/>
          <w:u w:val="none"/>
          <w:lang w:val="zh-CN"/>
        </w:rPr>
        <w:t>；</w:t>
      </w:r>
    </w:p>
    <w:p w14:paraId="4B889BB3">
      <w:pPr>
        <w:keepNext w:val="0"/>
        <w:keepLines w:val="0"/>
        <w:pageBreakBefore w:val="0"/>
        <w:widowControl/>
        <w:kinsoku/>
        <w:wordWrap/>
        <w:overflowPunct/>
        <w:topLinePunct w:val="0"/>
        <w:bidi w:val="0"/>
        <w:adjustRightInd/>
        <w:snapToGrid/>
        <w:spacing w:line="480" w:lineRule="exact"/>
        <w:ind w:firstLine="480" w:firstLineChars="200"/>
        <w:jc w:val="left"/>
        <w:textAlignment w:val="auto"/>
        <w:rPr>
          <w:rFonts w:hint="default" w:ascii="Times New Roman" w:hAnsi="Times New Roman" w:cs="Times New Roman"/>
          <w:color w:val="auto"/>
          <w:kern w:val="2"/>
          <w:sz w:val="24"/>
          <w:szCs w:val="24"/>
          <w:highlight w:val="none"/>
          <w:u w:val="none"/>
          <w:lang w:val="zh-CN"/>
        </w:rPr>
      </w:pPr>
      <w:r>
        <w:rPr>
          <w:rFonts w:hint="default" w:ascii="Times New Roman" w:hAnsi="Times New Roman" w:cs="Times New Roman"/>
          <w:color w:val="auto"/>
          <w:kern w:val="2"/>
          <w:sz w:val="24"/>
          <w:szCs w:val="24"/>
          <w:highlight w:val="none"/>
          <w:u w:val="none"/>
        </w:rPr>
        <w:t>t</w:t>
      </w:r>
      <w:r>
        <w:rPr>
          <w:rFonts w:hint="default" w:ascii="Times New Roman" w:hAnsi="Times New Roman" w:cs="Times New Roman"/>
          <w:color w:val="auto"/>
          <w:kern w:val="2"/>
          <w:sz w:val="24"/>
          <w:szCs w:val="24"/>
          <w:highlight w:val="none"/>
          <w:u w:val="none"/>
          <w:vertAlign w:val="subscript"/>
          <w:lang w:val="zh-CN"/>
        </w:rPr>
        <w:t>i</w:t>
      </w:r>
      <w:r>
        <w:rPr>
          <w:rFonts w:hint="default" w:ascii="Times New Roman" w:hAnsi="Times New Roman" w:cs="Times New Roman"/>
          <w:color w:val="auto"/>
          <w:kern w:val="2"/>
          <w:sz w:val="24"/>
          <w:szCs w:val="24"/>
          <w:highlight w:val="none"/>
          <w:u w:val="none"/>
          <w:lang w:val="zh-CN"/>
        </w:rPr>
        <w:t>——密封点i的年运行时间，</w:t>
      </w:r>
      <w:r>
        <w:rPr>
          <w:rFonts w:hint="default" w:ascii="Times New Roman" w:hAnsi="Times New Roman" w:cs="Times New Roman"/>
          <w:color w:val="auto"/>
          <w:kern w:val="2"/>
          <w:sz w:val="24"/>
          <w:szCs w:val="24"/>
          <w:highlight w:val="none"/>
          <w:u w:val="none"/>
        </w:rPr>
        <w:t>h</w:t>
      </w:r>
      <w:r>
        <w:rPr>
          <w:rFonts w:hint="default" w:ascii="Times New Roman" w:hAnsi="Times New Roman" w:cs="Times New Roman"/>
          <w:color w:val="auto"/>
          <w:kern w:val="2"/>
          <w:sz w:val="24"/>
          <w:szCs w:val="24"/>
          <w:highlight w:val="none"/>
          <w:u w:val="none"/>
          <w:lang w:val="zh-CN"/>
        </w:rPr>
        <w:t>/</w:t>
      </w:r>
      <w:r>
        <w:rPr>
          <w:rFonts w:hint="default" w:ascii="Times New Roman" w:hAnsi="Times New Roman" w:cs="Times New Roman"/>
          <w:color w:val="auto"/>
          <w:kern w:val="2"/>
          <w:sz w:val="24"/>
          <w:szCs w:val="24"/>
          <w:highlight w:val="none"/>
          <w:u w:val="none"/>
        </w:rPr>
        <w:t>a</w:t>
      </w:r>
      <w:r>
        <w:rPr>
          <w:rFonts w:hint="default" w:ascii="Times New Roman" w:hAnsi="Times New Roman" w:cs="Times New Roman"/>
          <w:color w:val="auto"/>
          <w:kern w:val="2"/>
          <w:sz w:val="24"/>
          <w:szCs w:val="24"/>
          <w:highlight w:val="none"/>
          <w:u w:val="none"/>
          <w:lang w:val="zh-CN"/>
        </w:rPr>
        <w:t>；</w:t>
      </w:r>
    </w:p>
    <w:p w14:paraId="49E450D8">
      <w:pPr>
        <w:keepNext w:val="0"/>
        <w:keepLines w:val="0"/>
        <w:pageBreakBefore w:val="0"/>
        <w:widowControl/>
        <w:kinsoku/>
        <w:wordWrap/>
        <w:overflowPunct/>
        <w:topLinePunct w:val="0"/>
        <w:bidi w:val="0"/>
        <w:adjustRightInd/>
        <w:snapToGrid/>
        <w:spacing w:line="480" w:lineRule="exact"/>
        <w:ind w:firstLine="480" w:firstLineChars="200"/>
        <w:jc w:val="left"/>
        <w:textAlignment w:val="auto"/>
        <w:rPr>
          <w:rFonts w:hint="default" w:ascii="Times New Roman" w:hAnsi="Times New Roman" w:cs="Times New Roman"/>
          <w:color w:val="auto"/>
          <w:kern w:val="2"/>
          <w:sz w:val="24"/>
          <w:szCs w:val="24"/>
          <w:highlight w:val="none"/>
          <w:u w:val="none"/>
          <w:lang w:val="zh-CN"/>
        </w:rPr>
      </w:pPr>
      <w:r>
        <w:rPr>
          <w:rFonts w:hint="default" w:ascii="Times New Roman" w:hAnsi="Times New Roman" w:cs="Times New Roman"/>
          <w:color w:val="auto"/>
          <w:kern w:val="2"/>
          <w:sz w:val="24"/>
          <w:szCs w:val="24"/>
          <w:highlight w:val="none"/>
          <w:u w:val="none"/>
        </w:rPr>
        <w:t>e</w:t>
      </w:r>
      <w:r>
        <w:rPr>
          <w:rFonts w:hint="default" w:ascii="Times New Roman" w:hAnsi="Times New Roman" w:cs="Times New Roman"/>
          <w:color w:val="auto"/>
          <w:kern w:val="2"/>
          <w:sz w:val="24"/>
          <w:szCs w:val="24"/>
          <w:highlight w:val="none"/>
          <w:u w:val="none"/>
          <w:vertAlign w:val="subscript"/>
        </w:rPr>
        <w:t>TOC，</w:t>
      </w:r>
      <w:r>
        <w:rPr>
          <w:rFonts w:hint="default" w:ascii="Times New Roman" w:hAnsi="Times New Roman" w:cs="Times New Roman"/>
          <w:color w:val="auto"/>
          <w:kern w:val="2"/>
          <w:sz w:val="24"/>
          <w:szCs w:val="24"/>
          <w:highlight w:val="none"/>
          <w:u w:val="none"/>
          <w:vertAlign w:val="subscript"/>
          <w:lang w:val="zh-CN"/>
        </w:rPr>
        <w:t>i</w:t>
      </w:r>
      <w:r>
        <w:rPr>
          <w:rFonts w:hint="default" w:ascii="Times New Roman" w:hAnsi="Times New Roman" w:cs="Times New Roman"/>
          <w:color w:val="auto"/>
          <w:kern w:val="2"/>
          <w:sz w:val="24"/>
          <w:szCs w:val="24"/>
          <w:highlight w:val="none"/>
          <w:u w:val="none"/>
          <w:lang w:val="zh-CN"/>
        </w:rPr>
        <w:t>——密封点</w:t>
      </w:r>
      <w:r>
        <w:rPr>
          <w:rFonts w:hint="default" w:ascii="Times New Roman" w:hAnsi="Times New Roman" w:cs="Times New Roman"/>
          <w:color w:val="auto"/>
          <w:kern w:val="2"/>
          <w:sz w:val="24"/>
          <w:szCs w:val="24"/>
          <w:highlight w:val="none"/>
          <w:u w:val="none"/>
        </w:rPr>
        <w:t>i的总有机碳排放速率</w:t>
      </w:r>
      <w:r>
        <w:rPr>
          <w:rFonts w:hint="default" w:ascii="Times New Roman" w:hAnsi="Times New Roman" w:cs="Times New Roman"/>
          <w:color w:val="auto"/>
          <w:kern w:val="2"/>
          <w:sz w:val="24"/>
          <w:szCs w:val="24"/>
          <w:highlight w:val="none"/>
          <w:u w:val="none"/>
          <w:lang w:val="zh-CN"/>
        </w:rPr>
        <w:t>，</w:t>
      </w:r>
      <w:r>
        <w:rPr>
          <w:rFonts w:hint="default" w:ascii="Times New Roman" w:hAnsi="Times New Roman" w:cs="Times New Roman"/>
          <w:color w:val="auto"/>
          <w:kern w:val="2"/>
          <w:sz w:val="24"/>
          <w:szCs w:val="24"/>
          <w:highlight w:val="none"/>
          <w:u w:val="none"/>
        </w:rPr>
        <w:t>kg</w:t>
      </w:r>
      <w:r>
        <w:rPr>
          <w:rFonts w:hint="default" w:ascii="Times New Roman" w:hAnsi="Times New Roman" w:cs="Times New Roman"/>
          <w:color w:val="auto"/>
          <w:kern w:val="2"/>
          <w:sz w:val="24"/>
          <w:szCs w:val="24"/>
          <w:highlight w:val="none"/>
          <w:u w:val="none"/>
          <w:lang w:val="zh-CN"/>
        </w:rPr>
        <w:t>/</w:t>
      </w:r>
      <w:r>
        <w:rPr>
          <w:rFonts w:hint="default" w:ascii="Times New Roman" w:hAnsi="Times New Roman" w:cs="Times New Roman"/>
          <w:color w:val="auto"/>
          <w:kern w:val="2"/>
          <w:sz w:val="24"/>
          <w:szCs w:val="24"/>
          <w:highlight w:val="none"/>
          <w:u w:val="none"/>
        </w:rPr>
        <w:t>h；</w:t>
      </w:r>
    </w:p>
    <w:p w14:paraId="610C86BE">
      <w:pPr>
        <w:keepNext w:val="0"/>
        <w:keepLines w:val="0"/>
        <w:pageBreakBefore w:val="0"/>
        <w:widowControl/>
        <w:kinsoku/>
        <w:wordWrap/>
        <w:overflowPunct/>
        <w:topLinePunct w:val="0"/>
        <w:bidi w:val="0"/>
        <w:adjustRightInd/>
        <w:snapToGrid/>
        <w:spacing w:line="480" w:lineRule="exact"/>
        <w:ind w:firstLine="480" w:firstLineChars="200"/>
        <w:jc w:val="left"/>
        <w:textAlignment w:val="auto"/>
        <w:rPr>
          <w:rFonts w:hint="default" w:ascii="Times New Roman" w:hAnsi="Times New Roman" w:cs="Times New Roman"/>
          <w:color w:val="auto"/>
          <w:kern w:val="2"/>
          <w:sz w:val="24"/>
          <w:szCs w:val="24"/>
          <w:highlight w:val="none"/>
          <w:u w:val="none"/>
        </w:rPr>
      </w:pPr>
      <w:r>
        <w:rPr>
          <w:rFonts w:hint="default" w:ascii="Times New Roman" w:hAnsi="Times New Roman" w:cs="Times New Roman"/>
          <w:color w:val="auto"/>
          <w:kern w:val="2"/>
          <w:sz w:val="24"/>
          <w:szCs w:val="24"/>
          <w:highlight w:val="none"/>
          <w:u w:val="none"/>
        </w:rPr>
        <w:t>WF</w:t>
      </w:r>
      <w:r>
        <w:rPr>
          <w:rFonts w:hint="default" w:ascii="Times New Roman" w:hAnsi="Times New Roman" w:cs="Times New Roman"/>
          <w:color w:val="auto"/>
          <w:kern w:val="2"/>
          <w:sz w:val="24"/>
          <w:szCs w:val="24"/>
          <w:highlight w:val="none"/>
          <w:u w:val="none"/>
          <w:vertAlign w:val="subscript"/>
        </w:rPr>
        <w:t>VOCs，</w:t>
      </w:r>
      <w:r>
        <w:rPr>
          <w:rFonts w:hint="default" w:ascii="Times New Roman" w:hAnsi="Times New Roman" w:cs="Times New Roman"/>
          <w:color w:val="auto"/>
          <w:kern w:val="2"/>
          <w:sz w:val="24"/>
          <w:szCs w:val="24"/>
          <w:highlight w:val="none"/>
          <w:u w:val="none"/>
          <w:vertAlign w:val="subscript"/>
          <w:lang w:val="zh-CN"/>
        </w:rPr>
        <w:t>i</w:t>
      </w:r>
      <w:r>
        <w:rPr>
          <w:rFonts w:hint="default" w:ascii="Times New Roman" w:hAnsi="Times New Roman" w:cs="Times New Roman"/>
          <w:color w:val="auto"/>
          <w:kern w:val="2"/>
          <w:sz w:val="24"/>
          <w:szCs w:val="24"/>
          <w:highlight w:val="none"/>
          <w:u w:val="none"/>
          <w:lang w:val="zh-CN"/>
        </w:rPr>
        <w:t>——流经密封点</w:t>
      </w:r>
      <w:r>
        <w:rPr>
          <w:rFonts w:hint="default" w:ascii="Times New Roman" w:hAnsi="Times New Roman" w:cs="Times New Roman"/>
          <w:color w:val="auto"/>
          <w:kern w:val="2"/>
          <w:sz w:val="24"/>
          <w:szCs w:val="24"/>
          <w:highlight w:val="none"/>
          <w:u w:val="none"/>
        </w:rPr>
        <w:t>i的物料中挥发性有机物平均质量分数，根据设计文件取值；</w:t>
      </w:r>
    </w:p>
    <w:p w14:paraId="52FAC8EB">
      <w:pPr>
        <w:keepNext w:val="0"/>
        <w:keepLines w:val="0"/>
        <w:pageBreakBefore w:val="0"/>
        <w:widowControl/>
        <w:kinsoku/>
        <w:wordWrap/>
        <w:overflowPunct/>
        <w:topLinePunct w:val="0"/>
        <w:bidi w:val="0"/>
        <w:adjustRightInd/>
        <w:snapToGrid/>
        <w:spacing w:line="480" w:lineRule="exact"/>
        <w:ind w:firstLine="480" w:firstLineChars="200"/>
        <w:jc w:val="left"/>
        <w:textAlignment w:val="auto"/>
        <w:rPr>
          <w:rFonts w:hint="default" w:ascii="Times New Roman" w:hAnsi="Times New Roman" w:cs="Times New Roman"/>
          <w:color w:val="auto"/>
          <w:kern w:val="2"/>
          <w:sz w:val="24"/>
          <w:szCs w:val="24"/>
          <w:highlight w:val="none"/>
          <w:u w:val="none"/>
        </w:rPr>
      </w:pPr>
      <w:r>
        <w:rPr>
          <w:rFonts w:hint="default" w:ascii="Times New Roman" w:hAnsi="Times New Roman" w:cs="Times New Roman"/>
          <w:color w:val="auto"/>
          <w:kern w:val="2"/>
          <w:sz w:val="24"/>
          <w:szCs w:val="24"/>
          <w:highlight w:val="none"/>
          <w:u w:val="none"/>
        </w:rPr>
        <w:t>WF</w:t>
      </w:r>
      <w:r>
        <w:rPr>
          <w:rFonts w:hint="default" w:ascii="Times New Roman" w:hAnsi="Times New Roman" w:cs="Times New Roman"/>
          <w:color w:val="auto"/>
          <w:kern w:val="2"/>
          <w:sz w:val="24"/>
          <w:szCs w:val="24"/>
          <w:highlight w:val="none"/>
          <w:u w:val="none"/>
          <w:vertAlign w:val="subscript"/>
        </w:rPr>
        <w:t>TOC，</w:t>
      </w:r>
      <w:r>
        <w:rPr>
          <w:rFonts w:hint="default" w:ascii="Times New Roman" w:hAnsi="Times New Roman" w:cs="Times New Roman"/>
          <w:color w:val="auto"/>
          <w:kern w:val="2"/>
          <w:sz w:val="24"/>
          <w:szCs w:val="24"/>
          <w:highlight w:val="none"/>
          <w:u w:val="none"/>
          <w:vertAlign w:val="subscript"/>
          <w:lang w:val="zh-CN"/>
        </w:rPr>
        <w:t>i</w:t>
      </w:r>
      <w:r>
        <w:rPr>
          <w:rFonts w:hint="default" w:ascii="Times New Roman" w:hAnsi="Times New Roman" w:cs="Times New Roman"/>
          <w:color w:val="auto"/>
          <w:kern w:val="2"/>
          <w:sz w:val="24"/>
          <w:szCs w:val="24"/>
          <w:highlight w:val="none"/>
          <w:u w:val="none"/>
          <w:lang w:val="zh-CN"/>
        </w:rPr>
        <w:t>——流经密封点</w:t>
      </w:r>
      <w:r>
        <w:rPr>
          <w:rFonts w:hint="default" w:ascii="Times New Roman" w:hAnsi="Times New Roman" w:cs="Times New Roman"/>
          <w:color w:val="auto"/>
          <w:kern w:val="2"/>
          <w:sz w:val="24"/>
          <w:szCs w:val="24"/>
          <w:highlight w:val="none"/>
          <w:u w:val="none"/>
        </w:rPr>
        <w:t>i的物料中总有机碳平均质量分数，根据设计文件取值；</w:t>
      </w:r>
    </w:p>
    <w:p w14:paraId="7DBD3F06">
      <w:pPr>
        <w:keepNext w:val="0"/>
        <w:keepLines w:val="0"/>
        <w:pageBreakBefore w:val="0"/>
        <w:widowControl/>
        <w:kinsoku/>
        <w:wordWrap/>
        <w:overflowPunct/>
        <w:topLinePunct w:val="0"/>
        <w:autoSpaceDE w:val="0"/>
        <w:autoSpaceDN w:val="0"/>
        <w:bidi w:val="0"/>
        <w:adjustRightInd/>
        <w:snapToGrid/>
        <w:spacing w:line="480" w:lineRule="exact"/>
        <w:ind w:firstLine="480" w:firstLineChars="200"/>
        <w:jc w:val="left"/>
        <w:textAlignment w:val="auto"/>
        <w:rPr>
          <w:rFonts w:hint="default" w:ascii="Times New Roman" w:hAnsi="Times New Roman" w:cs="Times New Roman"/>
          <w:bCs/>
          <w:snapToGrid w:val="0"/>
          <w:color w:val="auto"/>
          <w:kern w:val="0"/>
          <w:sz w:val="24"/>
          <w:szCs w:val="24"/>
          <w:highlight w:val="none"/>
          <w:u w:val="none"/>
        </w:rPr>
      </w:pPr>
      <w:r>
        <w:rPr>
          <w:rFonts w:hint="default" w:ascii="Times New Roman" w:hAnsi="Times New Roman" w:cs="Times New Roman"/>
          <w:color w:val="auto"/>
          <w:kern w:val="2"/>
          <w:sz w:val="24"/>
          <w:szCs w:val="24"/>
          <w:highlight w:val="none"/>
          <w:u w:val="none"/>
        </w:rPr>
        <w:t>n</w:t>
      </w:r>
      <w:r>
        <w:rPr>
          <w:rFonts w:hint="default" w:ascii="Times New Roman" w:hAnsi="Times New Roman" w:cs="Times New Roman"/>
          <w:color w:val="auto"/>
          <w:kern w:val="2"/>
          <w:sz w:val="24"/>
          <w:szCs w:val="24"/>
          <w:highlight w:val="none"/>
          <w:u w:val="none"/>
          <w:lang w:val="zh-CN"/>
        </w:rPr>
        <w:t>——挥发性有机物流经的设备与管线组件密封点数</w:t>
      </w:r>
      <w:r>
        <w:rPr>
          <w:rFonts w:hint="default" w:ascii="Times New Roman" w:hAnsi="Times New Roman" w:cs="Times New Roman"/>
          <w:bCs/>
          <w:snapToGrid w:val="0"/>
          <w:color w:val="auto"/>
          <w:kern w:val="0"/>
          <w:sz w:val="24"/>
          <w:szCs w:val="24"/>
          <w:highlight w:val="none"/>
          <w:u w:val="none"/>
        </w:rPr>
        <w:t>；</w:t>
      </w:r>
    </w:p>
    <w:p w14:paraId="7C63BD8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设备与管线组件eTOC，i取值参数表，见表3.4-</w:t>
      </w:r>
      <w:r>
        <w:rPr>
          <w:rFonts w:hint="eastAsia" w:ascii="宋体" w:hAnsi="宋体" w:cs="宋体"/>
          <w:color w:val="auto"/>
          <w:sz w:val="24"/>
          <w:szCs w:val="24"/>
          <w:u w:val="none"/>
          <w:lang w:val="en-US" w:eastAsia="zh-CN"/>
        </w:rPr>
        <w:t>10</w:t>
      </w:r>
      <w:r>
        <w:rPr>
          <w:rFonts w:hint="eastAsia" w:ascii="宋体" w:hAnsi="宋体" w:eastAsia="宋体" w:cs="宋体"/>
          <w:color w:val="auto"/>
          <w:sz w:val="24"/>
          <w:szCs w:val="24"/>
          <w:u w:val="none"/>
          <w:lang w:val="en-US" w:eastAsia="zh-CN"/>
        </w:rPr>
        <w:t>。</w:t>
      </w:r>
    </w:p>
    <w:p w14:paraId="33A2B5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zh-CN"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 xml:space="preserve">3.4-10    </w:t>
      </w:r>
      <w:r>
        <w:rPr>
          <w:rFonts w:hint="default" w:ascii="黑体" w:hAnsi="黑体" w:eastAsia="黑体" w:cs="黑体"/>
          <w:b w:val="0"/>
          <w:bCs/>
          <w:color w:val="auto"/>
          <w:kern w:val="2"/>
          <w:sz w:val="24"/>
          <w:szCs w:val="24"/>
          <w:u w:val="none"/>
          <w:lang w:val="zh-CN" w:eastAsia="zh-CN" w:bidi="ar-SA"/>
        </w:rPr>
        <w:t>设备与管线组件eTOC，i取值参数表</w:t>
      </w:r>
    </w:p>
    <w:tbl>
      <w:tblPr>
        <w:tblStyle w:val="37"/>
        <w:tblW w:w="85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359"/>
        <w:gridCol w:w="3858"/>
        <w:gridCol w:w="3377"/>
      </w:tblGrid>
      <w:tr w14:paraId="4B736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59" w:type="dxa"/>
            <w:tcBorders>
              <w:tl2br w:val="nil"/>
              <w:tr2bl w:val="nil"/>
            </w:tcBorders>
            <w:noWrap w:val="0"/>
            <w:vAlign w:val="center"/>
          </w:tcPr>
          <w:p w14:paraId="502CD4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r>
              <w:rPr>
                <w:rFonts w:hint="eastAsia" w:ascii="宋体" w:hAnsi="宋体" w:eastAsia="宋体" w:cs="宋体"/>
                <w:color w:val="auto"/>
                <w:spacing w:val="0"/>
                <w:kern w:val="2"/>
                <w:sz w:val="21"/>
                <w:szCs w:val="21"/>
                <w:highlight w:val="none"/>
                <w:u w:val="none"/>
              </w:rPr>
              <w:t>类型</w:t>
            </w:r>
          </w:p>
        </w:tc>
        <w:tc>
          <w:tcPr>
            <w:tcW w:w="3858" w:type="dxa"/>
            <w:tcBorders>
              <w:tl2br w:val="nil"/>
              <w:tr2bl w:val="nil"/>
            </w:tcBorders>
            <w:noWrap w:val="0"/>
            <w:vAlign w:val="center"/>
          </w:tcPr>
          <w:p w14:paraId="074D8C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r>
              <w:rPr>
                <w:rFonts w:hint="eastAsia" w:ascii="宋体" w:hAnsi="宋体" w:eastAsia="宋体" w:cs="宋体"/>
                <w:color w:val="auto"/>
                <w:spacing w:val="0"/>
                <w:kern w:val="2"/>
                <w:sz w:val="21"/>
                <w:szCs w:val="21"/>
                <w:highlight w:val="none"/>
                <w:u w:val="none"/>
              </w:rPr>
              <w:t>设备类型</w:t>
            </w:r>
          </w:p>
        </w:tc>
        <w:tc>
          <w:tcPr>
            <w:tcW w:w="3377" w:type="dxa"/>
            <w:tcBorders>
              <w:tl2br w:val="nil"/>
              <w:tr2bl w:val="nil"/>
            </w:tcBorders>
            <w:noWrap w:val="0"/>
            <w:vAlign w:val="center"/>
          </w:tcPr>
          <w:p w14:paraId="548BC5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r>
              <w:rPr>
                <w:rFonts w:hint="eastAsia" w:ascii="宋体" w:hAnsi="宋体" w:eastAsia="宋体" w:cs="宋体"/>
                <w:color w:val="auto"/>
                <w:spacing w:val="0"/>
                <w:kern w:val="2"/>
                <w:sz w:val="21"/>
                <w:szCs w:val="21"/>
                <w:highlight w:val="none"/>
                <w:u w:val="none"/>
              </w:rPr>
              <w:t>排放速率e</w:t>
            </w:r>
            <w:r>
              <w:rPr>
                <w:rFonts w:hint="eastAsia" w:ascii="宋体" w:hAnsi="宋体" w:eastAsia="宋体" w:cs="宋体"/>
                <w:color w:val="auto"/>
                <w:spacing w:val="0"/>
                <w:kern w:val="2"/>
                <w:sz w:val="21"/>
                <w:szCs w:val="21"/>
                <w:highlight w:val="none"/>
                <w:u w:val="none"/>
                <w:vertAlign w:val="subscript"/>
              </w:rPr>
              <w:t>TOC，i</w:t>
            </w:r>
            <w:r>
              <w:rPr>
                <w:rFonts w:hint="eastAsia" w:ascii="宋体" w:hAnsi="宋体" w:eastAsia="宋体" w:cs="宋体"/>
                <w:color w:val="auto"/>
                <w:spacing w:val="0"/>
                <w:kern w:val="2"/>
                <w:sz w:val="21"/>
                <w:szCs w:val="21"/>
                <w:highlight w:val="none"/>
                <w:u w:val="none"/>
              </w:rPr>
              <w:t>/</w:t>
            </w:r>
            <w:r>
              <w:rPr>
                <w:rFonts w:hint="eastAsia" w:ascii="宋体" w:hAnsi="宋体" w:eastAsia="宋体" w:cs="宋体"/>
                <w:color w:val="auto"/>
                <w:spacing w:val="0"/>
                <w:kern w:val="2"/>
                <w:sz w:val="21"/>
                <w:szCs w:val="21"/>
                <w:highlight w:val="none"/>
                <w:u w:val="none"/>
                <w:lang w:eastAsia="zh-CN"/>
              </w:rPr>
              <w:t>（</w:t>
            </w:r>
            <w:r>
              <w:rPr>
                <w:rFonts w:hint="eastAsia" w:ascii="宋体" w:hAnsi="宋体" w:eastAsia="宋体" w:cs="宋体"/>
                <w:color w:val="auto"/>
                <w:spacing w:val="0"/>
                <w:kern w:val="2"/>
                <w:sz w:val="21"/>
                <w:szCs w:val="21"/>
                <w:highlight w:val="none"/>
                <w:u w:val="none"/>
              </w:rPr>
              <w:t>kg/h排放源</w:t>
            </w:r>
            <w:r>
              <w:rPr>
                <w:rFonts w:hint="eastAsia" w:ascii="宋体" w:hAnsi="宋体" w:eastAsia="宋体" w:cs="宋体"/>
                <w:color w:val="auto"/>
                <w:spacing w:val="0"/>
                <w:kern w:val="2"/>
                <w:sz w:val="21"/>
                <w:szCs w:val="21"/>
                <w:highlight w:val="none"/>
                <w:u w:val="none"/>
                <w:lang w:eastAsia="zh-CN"/>
              </w:rPr>
              <w:t>）</w:t>
            </w:r>
          </w:p>
        </w:tc>
      </w:tr>
      <w:tr w14:paraId="33E74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59" w:type="dxa"/>
            <w:vMerge w:val="restart"/>
            <w:tcBorders>
              <w:tl2br w:val="nil"/>
              <w:tr2bl w:val="nil"/>
            </w:tcBorders>
            <w:noWrap w:val="0"/>
            <w:vAlign w:val="center"/>
          </w:tcPr>
          <w:p w14:paraId="35A455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r>
              <w:rPr>
                <w:rFonts w:hint="eastAsia" w:ascii="宋体" w:hAnsi="宋体" w:eastAsia="宋体" w:cs="宋体"/>
                <w:color w:val="auto"/>
                <w:spacing w:val="0"/>
                <w:kern w:val="2"/>
                <w:sz w:val="21"/>
                <w:szCs w:val="21"/>
                <w:highlight w:val="none"/>
                <w:u w:val="none"/>
              </w:rPr>
              <w:t>石油</w:t>
            </w:r>
            <w:r>
              <w:rPr>
                <w:rFonts w:hint="eastAsia" w:ascii="宋体" w:hAnsi="宋体" w:eastAsia="宋体" w:cs="宋体"/>
                <w:color w:val="auto"/>
                <w:spacing w:val="0"/>
                <w:kern w:val="2"/>
                <w:sz w:val="21"/>
                <w:szCs w:val="21"/>
                <w:highlight w:val="none"/>
                <w:u w:val="none"/>
                <w:lang w:val="en-US" w:eastAsia="zh-CN"/>
              </w:rPr>
              <w:t>炼制</w:t>
            </w:r>
            <w:r>
              <w:rPr>
                <w:rFonts w:hint="eastAsia" w:ascii="宋体" w:hAnsi="宋体" w:eastAsia="宋体" w:cs="宋体"/>
                <w:color w:val="auto"/>
                <w:spacing w:val="0"/>
                <w:kern w:val="2"/>
                <w:sz w:val="21"/>
                <w:szCs w:val="21"/>
                <w:highlight w:val="none"/>
                <w:u w:val="none"/>
              </w:rPr>
              <w:t>工业</w:t>
            </w:r>
          </w:p>
        </w:tc>
        <w:tc>
          <w:tcPr>
            <w:tcW w:w="3858" w:type="dxa"/>
            <w:tcBorders>
              <w:tl2br w:val="nil"/>
              <w:tr2bl w:val="nil"/>
            </w:tcBorders>
            <w:noWrap w:val="0"/>
            <w:vAlign w:val="center"/>
          </w:tcPr>
          <w:p w14:paraId="045397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r>
              <w:rPr>
                <w:rFonts w:hint="eastAsia" w:ascii="宋体" w:hAnsi="宋体" w:eastAsia="宋体" w:cs="宋体"/>
                <w:color w:val="auto"/>
                <w:spacing w:val="0"/>
                <w:kern w:val="2"/>
                <w:sz w:val="21"/>
                <w:szCs w:val="21"/>
                <w:highlight w:val="none"/>
                <w:u w:val="none"/>
              </w:rPr>
              <w:t>阀门</w:t>
            </w:r>
          </w:p>
        </w:tc>
        <w:tc>
          <w:tcPr>
            <w:tcW w:w="3377" w:type="dxa"/>
            <w:tcBorders>
              <w:tl2br w:val="nil"/>
              <w:tr2bl w:val="nil"/>
            </w:tcBorders>
            <w:noWrap w:val="0"/>
            <w:vAlign w:val="center"/>
          </w:tcPr>
          <w:p w14:paraId="4DCCAF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lang w:val="en-US" w:eastAsia="zh-CN"/>
              </w:rPr>
            </w:pPr>
            <w:r>
              <w:rPr>
                <w:rFonts w:hint="eastAsia" w:ascii="宋体" w:hAnsi="宋体" w:eastAsia="宋体" w:cs="宋体"/>
                <w:color w:val="auto"/>
                <w:spacing w:val="0"/>
                <w:kern w:val="2"/>
                <w:sz w:val="21"/>
                <w:szCs w:val="21"/>
                <w:highlight w:val="none"/>
                <w:u w:val="none"/>
                <w:lang w:val="en-US" w:eastAsia="zh-CN"/>
              </w:rPr>
              <w:t>0.064</w:t>
            </w:r>
          </w:p>
        </w:tc>
      </w:tr>
      <w:tr w14:paraId="099EB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59" w:type="dxa"/>
            <w:vMerge w:val="continue"/>
            <w:tcBorders>
              <w:tl2br w:val="nil"/>
              <w:tr2bl w:val="nil"/>
            </w:tcBorders>
            <w:noWrap w:val="0"/>
            <w:vAlign w:val="center"/>
          </w:tcPr>
          <w:p w14:paraId="06B170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p>
        </w:tc>
        <w:tc>
          <w:tcPr>
            <w:tcW w:w="3858" w:type="dxa"/>
            <w:tcBorders>
              <w:tl2br w:val="nil"/>
              <w:tr2bl w:val="nil"/>
            </w:tcBorders>
            <w:noWrap w:val="0"/>
            <w:vAlign w:val="center"/>
          </w:tcPr>
          <w:p w14:paraId="1A8316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lang w:eastAsia="zh-CN"/>
              </w:rPr>
            </w:pPr>
            <w:r>
              <w:rPr>
                <w:rFonts w:hint="eastAsia" w:ascii="宋体" w:hAnsi="宋体" w:eastAsia="宋体" w:cs="宋体"/>
                <w:color w:val="auto"/>
                <w:spacing w:val="0"/>
                <w:kern w:val="2"/>
                <w:sz w:val="21"/>
                <w:szCs w:val="21"/>
                <w:highlight w:val="none"/>
                <w:u w:val="none"/>
                <w:lang w:val="en-US" w:eastAsia="zh-CN"/>
              </w:rPr>
              <w:t>泵</w:t>
            </w:r>
          </w:p>
        </w:tc>
        <w:tc>
          <w:tcPr>
            <w:tcW w:w="3377" w:type="dxa"/>
            <w:tcBorders>
              <w:tl2br w:val="nil"/>
              <w:tr2bl w:val="nil"/>
            </w:tcBorders>
            <w:noWrap w:val="0"/>
            <w:vAlign w:val="center"/>
          </w:tcPr>
          <w:p w14:paraId="46C5C3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lang w:val="en-US" w:eastAsia="zh-CN"/>
              </w:rPr>
            </w:pPr>
            <w:r>
              <w:rPr>
                <w:rFonts w:hint="eastAsia" w:ascii="宋体" w:hAnsi="宋体" w:eastAsia="宋体" w:cs="宋体"/>
                <w:color w:val="auto"/>
                <w:spacing w:val="0"/>
                <w:kern w:val="2"/>
                <w:sz w:val="21"/>
                <w:szCs w:val="21"/>
                <w:highlight w:val="none"/>
                <w:u w:val="none"/>
                <w:lang w:val="en-US" w:eastAsia="zh-CN"/>
              </w:rPr>
              <w:t>0.074</w:t>
            </w:r>
          </w:p>
        </w:tc>
      </w:tr>
      <w:tr w14:paraId="1E560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59" w:type="dxa"/>
            <w:vMerge w:val="continue"/>
            <w:tcBorders>
              <w:tl2br w:val="nil"/>
              <w:tr2bl w:val="nil"/>
            </w:tcBorders>
            <w:noWrap w:val="0"/>
            <w:vAlign w:val="center"/>
          </w:tcPr>
          <w:p w14:paraId="2790F6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p>
        </w:tc>
        <w:tc>
          <w:tcPr>
            <w:tcW w:w="3858" w:type="dxa"/>
            <w:tcBorders>
              <w:tl2br w:val="nil"/>
              <w:tr2bl w:val="nil"/>
            </w:tcBorders>
            <w:noWrap w:val="0"/>
            <w:vAlign w:val="center"/>
          </w:tcPr>
          <w:p w14:paraId="0AC242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lang w:eastAsia="zh-CN"/>
              </w:rPr>
            </w:pPr>
            <w:r>
              <w:rPr>
                <w:rFonts w:hint="eastAsia" w:ascii="宋体" w:hAnsi="宋体" w:eastAsia="宋体" w:cs="宋体"/>
                <w:color w:val="auto"/>
                <w:spacing w:val="0"/>
                <w:kern w:val="2"/>
                <w:sz w:val="21"/>
                <w:szCs w:val="21"/>
                <w:highlight w:val="none"/>
                <w:u w:val="none"/>
                <w:lang w:val="en-US" w:eastAsia="zh-CN"/>
              </w:rPr>
              <w:t>法  兰</w:t>
            </w:r>
          </w:p>
        </w:tc>
        <w:tc>
          <w:tcPr>
            <w:tcW w:w="3377" w:type="dxa"/>
            <w:tcBorders>
              <w:tl2br w:val="nil"/>
              <w:tr2bl w:val="nil"/>
            </w:tcBorders>
            <w:noWrap w:val="0"/>
            <w:vAlign w:val="center"/>
          </w:tcPr>
          <w:p w14:paraId="77BEA6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lang w:val="en-US" w:eastAsia="zh-CN"/>
              </w:rPr>
            </w:pPr>
            <w:r>
              <w:rPr>
                <w:rFonts w:hint="eastAsia" w:ascii="宋体" w:hAnsi="宋体" w:eastAsia="宋体" w:cs="宋体"/>
                <w:color w:val="auto"/>
                <w:spacing w:val="0"/>
                <w:kern w:val="2"/>
                <w:sz w:val="21"/>
                <w:szCs w:val="21"/>
                <w:highlight w:val="none"/>
                <w:u w:val="none"/>
                <w:lang w:val="en-US" w:eastAsia="zh-CN"/>
              </w:rPr>
              <w:t>0.085</w:t>
            </w:r>
          </w:p>
        </w:tc>
      </w:tr>
      <w:tr w14:paraId="51D27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59" w:type="dxa"/>
            <w:vMerge w:val="continue"/>
            <w:tcBorders>
              <w:tl2br w:val="nil"/>
              <w:tr2bl w:val="nil"/>
            </w:tcBorders>
            <w:noWrap w:val="0"/>
            <w:vAlign w:val="center"/>
          </w:tcPr>
          <w:p w14:paraId="09BED5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p>
        </w:tc>
        <w:tc>
          <w:tcPr>
            <w:tcW w:w="3858" w:type="dxa"/>
            <w:tcBorders>
              <w:tl2br w:val="nil"/>
              <w:tr2bl w:val="nil"/>
            </w:tcBorders>
            <w:noWrap w:val="0"/>
            <w:vAlign w:val="center"/>
          </w:tcPr>
          <w:p w14:paraId="555D0D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r>
              <w:rPr>
                <w:rFonts w:hint="eastAsia" w:ascii="宋体" w:hAnsi="宋体" w:eastAsia="宋体" w:cs="宋体"/>
                <w:color w:val="auto"/>
                <w:spacing w:val="0"/>
                <w:kern w:val="2"/>
                <w:sz w:val="21"/>
                <w:szCs w:val="21"/>
                <w:highlight w:val="none"/>
                <w:u w:val="none"/>
              </w:rPr>
              <w:t>压缩机、搅拌器、</w:t>
            </w:r>
            <w:r>
              <w:rPr>
                <w:rFonts w:hint="eastAsia" w:ascii="宋体" w:hAnsi="宋体" w:eastAsia="宋体" w:cs="宋体"/>
                <w:color w:val="auto"/>
                <w:spacing w:val="0"/>
                <w:kern w:val="2"/>
                <w:sz w:val="21"/>
                <w:szCs w:val="21"/>
                <w:highlight w:val="none"/>
                <w:u w:val="none"/>
                <w:lang w:val="en-US" w:eastAsia="zh-CN"/>
              </w:rPr>
              <w:t>液压</w:t>
            </w:r>
            <w:r>
              <w:rPr>
                <w:rFonts w:hint="eastAsia" w:ascii="宋体" w:hAnsi="宋体" w:eastAsia="宋体" w:cs="宋体"/>
                <w:color w:val="auto"/>
                <w:spacing w:val="0"/>
                <w:kern w:val="2"/>
                <w:sz w:val="21"/>
                <w:szCs w:val="21"/>
                <w:highlight w:val="none"/>
                <w:u w:val="none"/>
              </w:rPr>
              <w:t>设备</w:t>
            </w:r>
          </w:p>
        </w:tc>
        <w:tc>
          <w:tcPr>
            <w:tcW w:w="3377" w:type="dxa"/>
            <w:tcBorders>
              <w:tl2br w:val="nil"/>
              <w:tr2bl w:val="nil"/>
            </w:tcBorders>
            <w:noWrap w:val="0"/>
            <w:vAlign w:val="center"/>
          </w:tcPr>
          <w:p w14:paraId="44E9B8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lang w:val="en-US" w:eastAsia="zh-CN"/>
              </w:rPr>
            </w:pPr>
            <w:r>
              <w:rPr>
                <w:rFonts w:hint="eastAsia" w:ascii="宋体" w:hAnsi="宋体" w:eastAsia="宋体" w:cs="宋体"/>
                <w:color w:val="auto"/>
                <w:spacing w:val="0"/>
                <w:kern w:val="2"/>
                <w:sz w:val="21"/>
                <w:szCs w:val="21"/>
                <w:highlight w:val="none"/>
                <w:u w:val="none"/>
                <w:lang w:val="en-US" w:eastAsia="zh-CN"/>
              </w:rPr>
              <w:t>0.073</w:t>
            </w:r>
          </w:p>
        </w:tc>
      </w:tr>
      <w:tr w14:paraId="5E62B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59" w:type="dxa"/>
            <w:vMerge w:val="continue"/>
            <w:tcBorders>
              <w:tl2br w:val="nil"/>
              <w:tr2bl w:val="nil"/>
            </w:tcBorders>
            <w:noWrap w:val="0"/>
            <w:vAlign w:val="center"/>
          </w:tcPr>
          <w:p w14:paraId="12CFD5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p>
        </w:tc>
        <w:tc>
          <w:tcPr>
            <w:tcW w:w="3858" w:type="dxa"/>
            <w:tcBorders>
              <w:tl2br w:val="nil"/>
              <w:tr2bl w:val="nil"/>
            </w:tcBorders>
            <w:noWrap w:val="0"/>
            <w:vAlign w:val="center"/>
          </w:tcPr>
          <w:p w14:paraId="5DB119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r>
              <w:rPr>
                <w:rFonts w:hint="eastAsia" w:ascii="宋体" w:hAnsi="宋体" w:eastAsia="宋体" w:cs="宋体"/>
                <w:color w:val="auto"/>
                <w:spacing w:val="0"/>
                <w:kern w:val="2"/>
                <w:sz w:val="21"/>
                <w:szCs w:val="21"/>
                <w:highlight w:val="none"/>
                <w:u w:val="none"/>
              </w:rPr>
              <w:t>其</w:t>
            </w:r>
            <w:r>
              <w:rPr>
                <w:rFonts w:hint="eastAsia" w:ascii="宋体" w:hAnsi="宋体" w:eastAsia="宋体" w:cs="宋体"/>
                <w:color w:val="auto"/>
                <w:spacing w:val="0"/>
                <w:kern w:val="2"/>
                <w:sz w:val="21"/>
                <w:szCs w:val="21"/>
                <w:highlight w:val="none"/>
                <w:u w:val="none"/>
                <w:lang w:val="en-US" w:eastAsia="zh-CN"/>
              </w:rPr>
              <w:t xml:space="preserve">  </w:t>
            </w:r>
            <w:r>
              <w:rPr>
                <w:rFonts w:hint="eastAsia" w:ascii="宋体" w:hAnsi="宋体" w:eastAsia="宋体" w:cs="宋体"/>
                <w:color w:val="auto"/>
                <w:spacing w:val="0"/>
                <w:kern w:val="2"/>
                <w:sz w:val="21"/>
                <w:szCs w:val="21"/>
                <w:highlight w:val="none"/>
                <w:u w:val="none"/>
              </w:rPr>
              <w:t>他</w:t>
            </w:r>
          </w:p>
        </w:tc>
        <w:tc>
          <w:tcPr>
            <w:tcW w:w="3377" w:type="dxa"/>
            <w:tcBorders>
              <w:tl2br w:val="nil"/>
              <w:tr2bl w:val="nil"/>
            </w:tcBorders>
            <w:noWrap w:val="0"/>
            <w:vAlign w:val="center"/>
          </w:tcPr>
          <w:p w14:paraId="7C2B1F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2"/>
                <w:sz w:val="21"/>
                <w:szCs w:val="21"/>
                <w:highlight w:val="none"/>
                <w:u w:val="none"/>
              </w:rPr>
            </w:pPr>
            <w:r>
              <w:rPr>
                <w:rFonts w:hint="eastAsia" w:ascii="宋体" w:hAnsi="宋体" w:eastAsia="宋体" w:cs="宋体"/>
                <w:color w:val="auto"/>
                <w:spacing w:val="0"/>
                <w:kern w:val="2"/>
                <w:sz w:val="21"/>
                <w:szCs w:val="21"/>
                <w:highlight w:val="none"/>
                <w:u w:val="none"/>
              </w:rPr>
              <w:t>0.073</w:t>
            </w:r>
          </w:p>
        </w:tc>
      </w:tr>
    </w:tbl>
    <w:p w14:paraId="1A83731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2"/>
          <w:sz w:val="24"/>
          <w:szCs w:val="24"/>
          <w:highlight w:val="none"/>
          <w:u w:val="none"/>
        </w:rPr>
      </w:pPr>
      <w:r>
        <w:rPr>
          <w:rFonts w:hint="default" w:ascii="Times New Roman" w:hAnsi="Times New Roman" w:cs="Times New Roman"/>
          <w:color w:val="auto"/>
          <w:kern w:val="2"/>
          <w:sz w:val="24"/>
          <w:szCs w:val="24"/>
          <w:highlight w:val="none"/>
          <w:u w:val="none"/>
        </w:rPr>
        <w:t>参照《石化行业VOCs污染源排查工作指南》，</w:t>
      </w:r>
      <w:r>
        <w:rPr>
          <w:rFonts w:hint="default" w:ascii="Times New Roman" w:hAnsi="Times New Roman" w:cs="Times New Roman"/>
          <w:bCs/>
          <w:snapToGrid w:val="0"/>
          <w:color w:val="auto"/>
          <w:kern w:val="0"/>
          <w:sz w:val="24"/>
          <w:szCs w:val="24"/>
          <w:highlight w:val="none"/>
          <w:u w:val="none"/>
        </w:rPr>
        <w:t>本次评价按保守估计的原则，将TOC全部视为可挥发性有机物VOCs，</w:t>
      </w:r>
      <w:r>
        <w:rPr>
          <w:rFonts w:hint="default" w:ascii="Times New Roman" w:hAnsi="Times New Roman" w:cs="Times New Roman"/>
          <w:color w:val="auto"/>
          <w:kern w:val="2"/>
          <w:sz w:val="24"/>
          <w:szCs w:val="24"/>
          <w:highlight w:val="none"/>
          <w:u w:val="none"/>
        </w:rPr>
        <w:t>则</w:t>
      </w:r>
      <w:r>
        <w:rPr>
          <w:rFonts w:hint="default" w:ascii="Times New Roman" w:hAnsi="Times New Roman" w:cs="Times New Roman"/>
          <w:color w:val="auto"/>
          <w:kern w:val="2"/>
          <w:sz w:val="24"/>
          <w:szCs w:val="24"/>
          <w:highlight w:val="none"/>
          <w:u w:val="none"/>
          <w:lang w:eastAsia="zh-CN"/>
        </w:rPr>
        <w:t>本工程</w:t>
      </w:r>
      <w:r>
        <w:rPr>
          <w:rFonts w:hint="default" w:ascii="Times New Roman" w:hAnsi="Times New Roman" w:cs="Times New Roman"/>
          <w:color w:val="auto"/>
          <w:kern w:val="2"/>
          <w:sz w:val="24"/>
          <w:szCs w:val="24"/>
          <w:highlight w:val="none"/>
          <w:u w:val="none"/>
        </w:rPr>
        <w:t>采出液中WF</w:t>
      </w:r>
      <w:r>
        <w:rPr>
          <w:rFonts w:hint="default" w:ascii="Times New Roman" w:hAnsi="Times New Roman" w:cs="Times New Roman"/>
          <w:color w:val="auto"/>
          <w:kern w:val="2"/>
          <w:sz w:val="24"/>
          <w:szCs w:val="24"/>
          <w:highlight w:val="none"/>
          <w:u w:val="none"/>
          <w:vertAlign w:val="subscript"/>
        </w:rPr>
        <w:t>VOCs，i</w:t>
      </w:r>
      <w:r>
        <w:rPr>
          <w:rFonts w:hint="default" w:ascii="Times New Roman" w:hAnsi="Times New Roman" w:cs="Times New Roman"/>
          <w:color w:val="auto"/>
          <w:kern w:val="2"/>
          <w:sz w:val="24"/>
          <w:szCs w:val="24"/>
          <w:highlight w:val="none"/>
          <w:u w:val="none"/>
          <w:lang w:val="zh-CN"/>
        </w:rPr>
        <w:t>和</w:t>
      </w:r>
      <w:r>
        <w:rPr>
          <w:rFonts w:hint="default" w:ascii="Times New Roman" w:hAnsi="Times New Roman" w:cs="Times New Roman"/>
          <w:color w:val="auto"/>
          <w:kern w:val="2"/>
          <w:sz w:val="24"/>
          <w:szCs w:val="24"/>
          <w:highlight w:val="none"/>
          <w:u w:val="none"/>
        </w:rPr>
        <w:t>WF</w:t>
      </w:r>
      <w:r>
        <w:rPr>
          <w:rFonts w:hint="default" w:ascii="Times New Roman" w:hAnsi="Times New Roman" w:cs="Times New Roman"/>
          <w:color w:val="auto"/>
          <w:kern w:val="2"/>
          <w:sz w:val="24"/>
          <w:szCs w:val="24"/>
          <w:highlight w:val="none"/>
          <w:u w:val="none"/>
          <w:vertAlign w:val="subscript"/>
        </w:rPr>
        <w:t>TOC，i</w:t>
      </w:r>
      <w:r>
        <w:rPr>
          <w:rFonts w:hint="default" w:ascii="Times New Roman" w:hAnsi="Times New Roman" w:cs="Times New Roman"/>
          <w:color w:val="auto"/>
          <w:kern w:val="2"/>
          <w:sz w:val="24"/>
          <w:szCs w:val="24"/>
          <w:highlight w:val="none"/>
          <w:u w:val="none"/>
          <w:lang w:val="zh-CN"/>
        </w:rPr>
        <w:t>比值取1</w:t>
      </w:r>
      <w:r>
        <w:rPr>
          <w:rFonts w:hint="default" w:ascii="Times New Roman" w:hAnsi="Times New Roman" w:cs="Times New Roman"/>
          <w:color w:val="auto"/>
          <w:kern w:val="2"/>
          <w:sz w:val="24"/>
          <w:szCs w:val="24"/>
          <w:highlight w:val="none"/>
          <w:u w:val="none"/>
        </w:rPr>
        <w:t>。</w:t>
      </w:r>
    </w:p>
    <w:p w14:paraId="7BF7382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无组织废气源强一览表</w:t>
      </w:r>
      <w:r>
        <w:rPr>
          <w:rFonts w:hint="eastAsia"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见表</w:t>
      </w:r>
      <w:r>
        <w:rPr>
          <w:rFonts w:hint="default" w:ascii="Times New Roman" w:hAnsi="Times New Roman" w:cs="Times New Roman"/>
          <w:color w:val="auto"/>
          <w:kern w:val="2"/>
          <w:sz w:val="24"/>
          <w:szCs w:val="24"/>
          <w:highlight w:val="none"/>
          <w:u w:val="none"/>
          <w:lang w:val="en-US" w:eastAsia="zh-CN"/>
        </w:rPr>
        <w:t>3.</w:t>
      </w:r>
      <w:r>
        <w:rPr>
          <w:rFonts w:hint="eastAsia" w:cs="Times New Roman"/>
          <w:color w:val="auto"/>
          <w:kern w:val="2"/>
          <w:sz w:val="24"/>
          <w:szCs w:val="24"/>
          <w:highlight w:val="none"/>
          <w:u w:val="none"/>
          <w:lang w:val="en-US" w:eastAsia="zh-CN"/>
        </w:rPr>
        <w:t>4</w:t>
      </w:r>
      <w:r>
        <w:rPr>
          <w:rFonts w:hint="default" w:ascii="Times New Roman" w:hAnsi="Times New Roman" w:cs="Times New Roman"/>
          <w:color w:val="auto"/>
          <w:kern w:val="2"/>
          <w:sz w:val="24"/>
          <w:szCs w:val="24"/>
          <w:highlight w:val="none"/>
          <w:u w:val="none"/>
          <w:lang w:val="en-US" w:eastAsia="zh-CN"/>
        </w:rPr>
        <w:t>-</w:t>
      </w:r>
      <w:r>
        <w:rPr>
          <w:rFonts w:hint="eastAsia" w:cs="Times New Roman"/>
          <w:color w:val="auto"/>
          <w:kern w:val="2"/>
          <w:sz w:val="24"/>
          <w:szCs w:val="24"/>
          <w:highlight w:val="none"/>
          <w:u w:val="none"/>
          <w:lang w:val="en-US" w:eastAsia="zh-CN"/>
        </w:rPr>
        <w:t>11</w:t>
      </w:r>
      <w:r>
        <w:rPr>
          <w:rFonts w:hint="default" w:ascii="Times New Roman" w:hAnsi="Times New Roman" w:cs="Times New Roman"/>
          <w:color w:val="auto"/>
          <w:kern w:val="0"/>
          <w:sz w:val="24"/>
          <w:szCs w:val="24"/>
          <w:highlight w:val="none"/>
          <w:u w:val="none"/>
        </w:rPr>
        <w:t>。</w:t>
      </w:r>
    </w:p>
    <w:p w14:paraId="433FB9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highlight w:val="none"/>
          <w:u w:val="none"/>
          <w:lang w:val="en-US" w:eastAsia="zh-CN" w:bidi="ar-SA"/>
        </w:rPr>
      </w:pPr>
      <w:r>
        <w:rPr>
          <w:rFonts w:hint="default" w:ascii="黑体" w:hAnsi="黑体" w:eastAsia="黑体" w:cs="黑体"/>
          <w:b w:val="0"/>
          <w:bCs/>
          <w:color w:val="auto"/>
          <w:kern w:val="2"/>
          <w:sz w:val="24"/>
          <w:szCs w:val="24"/>
          <w:highlight w:val="none"/>
          <w:u w:val="none"/>
          <w:lang w:val="en-US" w:eastAsia="zh-CN" w:bidi="ar-SA"/>
        </w:rPr>
        <w:t>表3.</w:t>
      </w:r>
      <w:r>
        <w:rPr>
          <w:rFonts w:hint="eastAsia" w:ascii="黑体" w:hAnsi="黑体" w:eastAsia="黑体" w:cs="黑体"/>
          <w:b w:val="0"/>
          <w:bCs/>
          <w:color w:val="auto"/>
          <w:kern w:val="2"/>
          <w:sz w:val="24"/>
          <w:szCs w:val="24"/>
          <w:highlight w:val="none"/>
          <w:u w:val="none"/>
          <w:lang w:val="en-US" w:eastAsia="zh-CN" w:bidi="ar-SA"/>
        </w:rPr>
        <w:t>4</w:t>
      </w:r>
      <w:r>
        <w:rPr>
          <w:rFonts w:hint="default" w:ascii="黑体" w:hAnsi="黑体" w:eastAsia="黑体" w:cs="黑体"/>
          <w:b w:val="0"/>
          <w:bCs/>
          <w:color w:val="auto"/>
          <w:kern w:val="2"/>
          <w:sz w:val="24"/>
          <w:szCs w:val="24"/>
          <w:highlight w:val="none"/>
          <w:u w:val="none"/>
          <w:lang w:val="en-US" w:eastAsia="zh-CN" w:bidi="ar-SA"/>
        </w:rPr>
        <w:t>-</w:t>
      </w:r>
      <w:r>
        <w:rPr>
          <w:rFonts w:hint="eastAsia" w:ascii="黑体" w:hAnsi="黑体" w:eastAsia="黑体" w:cs="黑体"/>
          <w:b w:val="0"/>
          <w:bCs/>
          <w:color w:val="auto"/>
          <w:kern w:val="2"/>
          <w:sz w:val="24"/>
          <w:szCs w:val="24"/>
          <w:highlight w:val="none"/>
          <w:u w:val="none"/>
          <w:lang w:val="en-US" w:eastAsia="zh-CN" w:bidi="ar-SA"/>
        </w:rPr>
        <w:t xml:space="preserve">11 </w:t>
      </w:r>
      <w:r>
        <w:rPr>
          <w:rFonts w:hint="default" w:ascii="黑体" w:hAnsi="黑体" w:eastAsia="黑体" w:cs="黑体"/>
          <w:b w:val="0"/>
          <w:bCs/>
          <w:color w:val="auto"/>
          <w:kern w:val="2"/>
          <w:sz w:val="24"/>
          <w:szCs w:val="24"/>
          <w:highlight w:val="none"/>
          <w:u w:val="none"/>
          <w:lang w:val="en-US" w:eastAsia="zh-CN" w:bidi="ar-SA"/>
        </w:rPr>
        <w:t xml:space="preserve">  </w:t>
      </w:r>
      <w:r>
        <w:rPr>
          <w:rFonts w:hint="eastAsia" w:ascii="黑体" w:hAnsi="黑体" w:eastAsia="黑体" w:cs="黑体"/>
          <w:b w:val="0"/>
          <w:bCs/>
          <w:color w:val="auto"/>
          <w:kern w:val="2"/>
          <w:sz w:val="24"/>
          <w:szCs w:val="24"/>
          <w:highlight w:val="none"/>
          <w:u w:val="none"/>
          <w:lang w:val="en-US" w:eastAsia="zh-CN" w:bidi="ar-SA"/>
        </w:rPr>
        <w:t xml:space="preserve"> </w:t>
      </w:r>
      <w:r>
        <w:rPr>
          <w:rFonts w:hint="default" w:ascii="黑体" w:hAnsi="黑体" w:eastAsia="黑体" w:cs="黑体"/>
          <w:b w:val="0"/>
          <w:bCs/>
          <w:color w:val="auto"/>
          <w:kern w:val="2"/>
          <w:sz w:val="24"/>
          <w:szCs w:val="24"/>
          <w:highlight w:val="none"/>
          <w:u w:val="none"/>
          <w:lang w:val="en-US" w:eastAsia="zh-CN" w:bidi="ar-SA"/>
        </w:rPr>
        <w:t>本工程无组织废气非甲烷总烃核算一览表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10"/>
        <w:gridCol w:w="1320"/>
        <w:gridCol w:w="758"/>
        <w:gridCol w:w="942"/>
        <w:gridCol w:w="1680"/>
        <w:gridCol w:w="1233"/>
        <w:gridCol w:w="1216"/>
        <w:gridCol w:w="1110"/>
      </w:tblGrid>
      <w:tr w14:paraId="299F6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37" w:type="pct"/>
            <w:vMerge w:val="restart"/>
            <w:tcBorders>
              <w:tl2br w:val="nil"/>
              <w:tr2bl w:val="nil"/>
            </w:tcBorders>
            <w:noWrap w:val="0"/>
            <w:vAlign w:val="center"/>
          </w:tcPr>
          <w:p w14:paraId="143E65E0">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序号</w:t>
            </w:r>
          </w:p>
        </w:tc>
        <w:tc>
          <w:tcPr>
            <w:tcW w:w="1198" w:type="pct"/>
            <w:gridSpan w:val="2"/>
            <w:vMerge w:val="restart"/>
            <w:tcBorders>
              <w:tl2br w:val="nil"/>
              <w:tr2bl w:val="nil"/>
            </w:tcBorders>
            <w:noWrap w:val="0"/>
            <w:vAlign w:val="center"/>
          </w:tcPr>
          <w:p w14:paraId="544CD9E3">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设备名称</w:t>
            </w:r>
          </w:p>
        </w:tc>
        <w:tc>
          <w:tcPr>
            <w:tcW w:w="543" w:type="pct"/>
            <w:vMerge w:val="restart"/>
            <w:tcBorders>
              <w:tl2br w:val="nil"/>
              <w:tr2bl w:val="nil"/>
            </w:tcBorders>
            <w:noWrap w:val="0"/>
            <w:vAlign w:val="center"/>
          </w:tcPr>
          <w:p w14:paraId="4BE10FE7">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设备数量(个)</w:t>
            </w:r>
          </w:p>
        </w:tc>
        <w:tc>
          <w:tcPr>
            <w:tcW w:w="969" w:type="pct"/>
            <w:vMerge w:val="restart"/>
            <w:tcBorders>
              <w:tl2br w:val="nil"/>
              <w:tr2bl w:val="nil"/>
            </w:tcBorders>
            <w:noWrap w:val="0"/>
            <w:vAlign w:val="center"/>
          </w:tcPr>
          <w:p w14:paraId="1CC1F88A">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排放速率</w:t>
            </w:r>
            <w:r>
              <w:rPr>
                <w:rFonts w:hint="default" w:ascii="Times New Roman" w:hAnsi="Times New Roman" w:cs="Times New Roman"/>
                <w:color w:val="auto"/>
                <w:spacing w:val="0"/>
                <w:kern w:val="2"/>
                <w:sz w:val="21"/>
                <w:szCs w:val="21"/>
                <w:highlight w:val="none"/>
                <w:u w:val="none"/>
              </w:rPr>
              <w:t>e</w:t>
            </w:r>
            <w:r>
              <w:rPr>
                <w:rFonts w:hint="default" w:ascii="Times New Roman" w:hAnsi="Times New Roman" w:cs="Times New Roman"/>
                <w:color w:val="auto"/>
                <w:spacing w:val="0"/>
                <w:kern w:val="2"/>
                <w:sz w:val="21"/>
                <w:szCs w:val="21"/>
                <w:highlight w:val="none"/>
                <w:u w:val="none"/>
                <w:vertAlign w:val="baseline"/>
              </w:rPr>
              <w:t>TOC</w:t>
            </w:r>
          </w:p>
          <w:p w14:paraId="7CC2C0C2">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(kg/h)</w:t>
            </w:r>
          </w:p>
        </w:tc>
        <w:tc>
          <w:tcPr>
            <w:tcW w:w="710" w:type="pct"/>
            <w:vMerge w:val="restart"/>
            <w:tcBorders>
              <w:tl2br w:val="nil"/>
              <w:tr2bl w:val="nil"/>
            </w:tcBorders>
            <w:noWrap w:val="0"/>
            <w:vAlign w:val="center"/>
          </w:tcPr>
          <w:p w14:paraId="7AFF6F3D">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年</w:t>
            </w:r>
            <w:r>
              <w:rPr>
                <w:rFonts w:hint="eastAsia" w:cs="Times New Roman"/>
                <w:color w:val="auto"/>
                <w:sz w:val="21"/>
                <w:szCs w:val="21"/>
                <w:highlight w:val="none"/>
                <w:u w:val="none"/>
                <w:lang w:val="en-US" w:eastAsia="zh-CN"/>
              </w:rPr>
              <w:t>运营</w:t>
            </w:r>
            <w:r>
              <w:rPr>
                <w:rFonts w:hint="default" w:ascii="Times New Roman" w:hAnsi="Times New Roman" w:cs="Times New Roman"/>
                <w:color w:val="auto"/>
                <w:sz w:val="21"/>
                <w:szCs w:val="21"/>
                <w:highlight w:val="none"/>
                <w:u w:val="none"/>
              </w:rPr>
              <w:t>时间(h)</w:t>
            </w:r>
          </w:p>
        </w:tc>
        <w:tc>
          <w:tcPr>
            <w:tcW w:w="1341" w:type="pct"/>
            <w:gridSpan w:val="2"/>
            <w:tcBorders>
              <w:tl2br w:val="nil"/>
              <w:tr2bl w:val="nil"/>
            </w:tcBorders>
            <w:noWrap w:val="0"/>
            <w:vAlign w:val="center"/>
          </w:tcPr>
          <w:p w14:paraId="289D68C5">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VOC</w:t>
            </w:r>
            <w:r>
              <w:rPr>
                <w:rFonts w:hint="default" w:ascii="Times New Roman" w:hAnsi="Times New Roman" w:cs="Times New Roman"/>
                <w:color w:val="auto"/>
                <w:sz w:val="21"/>
                <w:szCs w:val="21"/>
                <w:highlight w:val="none"/>
                <w:u w:val="none"/>
              </w:rPr>
              <w:t>排放量</w:t>
            </w:r>
          </w:p>
        </w:tc>
      </w:tr>
      <w:tr w14:paraId="77DC3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37" w:type="pct"/>
            <w:vMerge w:val="continue"/>
            <w:tcBorders>
              <w:tl2br w:val="nil"/>
              <w:tr2bl w:val="nil"/>
            </w:tcBorders>
            <w:noWrap w:val="0"/>
            <w:vAlign w:val="center"/>
          </w:tcPr>
          <w:p w14:paraId="2286FB68">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p>
        </w:tc>
        <w:tc>
          <w:tcPr>
            <w:tcW w:w="1198" w:type="pct"/>
            <w:gridSpan w:val="2"/>
            <w:vMerge w:val="continue"/>
            <w:tcBorders>
              <w:tl2br w:val="nil"/>
              <w:tr2bl w:val="nil"/>
            </w:tcBorders>
            <w:noWrap w:val="0"/>
            <w:vAlign w:val="center"/>
          </w:tcPr>
          <w:p w14:paraId="068240E2">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p>
        </w:tc>
        <w:tc>
          <w:tcPr>
            <w:tcW w:w="543" w:type="pct"/>
            <w:vMerge w:val="continue"/>
            <w:tcBorders>
              <w:tl2br w:val="nil"/>
              <w:tr2bl w:val="nil"/>
            </w:tcBorders>
            <w:noWrap w:val="0"/>
            <w:vAlign w:val="center"/>
          </w:tcPr>
          <w:p w14:paraId="36464DA2">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p>
        </w:tc>
        <w:tc>
          <w:tcPr>
            <w:tcW w:w="969" w:type="pct"/>
            <w:vMerge w:val="continue"/>
            <w:tcBorders>
              <w:tl2br w:val="nil"/>
              <w:tr2bl w:val="nil"/>
            </w:tcBorders>
            <w:noWrap w:val="0"/>
            <w:vAlign w:val="center"/>
          </w:tcPr>
          <w:p w14:paraId="2E5D5A98">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p>
        </w:tc>
        <w:tc>
          <w:tcPr>
            <w:tcW w:w="710" w:type="pct"/>
            <w:vMerge w:val="continue"/>
            <w:tcBorders>
              <w:tl2br w:val="nil"/>
              <w:tr2bl w:val="nil"/>
            </w:tcBorders>
            <w:noWrap w:val="0"/>
            <w:vAlign w:val="center"/>
          </w:tcPr>
          <w:p w14:paraId="3939FA92">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p>
        </w:tc>
        <w:tc>
          <w:tcPr>
            <w:tcW w:w="701" w:type="pct"/>
            <w:tcBorders>
              <w:tl2br w:val="nil"/>
              <w:tr2bl w:val="nil"/>
            </w:tcBorders>
            <w:noWrap w:val="0"/>
            <w:vAlign w:val="center"/>
          </w:tcPr>
          <w:p w14:paraId="106AE24F">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kg/h</w:t>
            </w:r>
          </w:p>
        </w:tc>
        <w:tc>
          <w:tcPr>
            <w:tcW w:w="640" w:type="pct"/>
            <w:tcBorders>
              <w:tl2br w:val="nil"/>
              <w:tr2bl w:val="nil"/>
            </w:tcBorders>
            <w:noWrap w:val="0"/>
            <w:vAlign w:val="center"/>
          </w:tcPr>
          <w:p w14:paraId="4240BE4C">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val="en-US" w:eastAsia="zh-CN"/>
              </w:rPr>
              <w:t>t/a</w:t>
            </w:r>
          </w:p>
        </w:tc>
      </w:tr>
      <w:tr w14:paraId="4EEF3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37" w:type="pct"/>
            <w:tcBorders>
              <w:tl2br w:val="nil"/>
              <w:tr2bl w:val="nil"/>
            </w:tcBorders>
            <w:noWrap w:val="0"/>
            <w:vAlign w:val="center"/>
          </w:tcPr>
          <w:p w14:paraId="3856CD32">
            <w:pPr>
              <w:pStyle w:val="70"/>
              <w:keepNext w:val="0"/>
              <w:pageBreakBefore w:val="0"/>
              <w:kinsoku/>
              <w:wordWrap/>
              <w:overflowPunct/>
              <w:topLinePunct w:val="0"/>
              <w:bidi w:val="0"/>
              <w:spacing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w:t>
            </w:r>
          </w:p>
        </w:tc>
        <w:tc>
          <w:tcPr>
            <w:tcW w:w="761" w:type="pct"/>
            <w:vMerge w:val="restart"/>
            <w:tcBorders>
              <w:tl2br w:val="nil"/>
              <w:tr2bl w:val="nil"/>
            </w:tcBorders>
            <w:noWrap w:val="0"/>
            <w:vAlign w:val="center"/>
          </w:tcPr>
          <w:p w14:paraId="6FD6DA54">
            <w:pPr>
              <w:pStyle w:val="70"/>
              <w:keepNext w:val="0"/>
              <w:pageBreakBefore w:val="0"/>
              <w:kinsoku/>
              <w:wordWrap/>
              <w:overflowPunct/>
              <w:topLinePunct w:val="0"/>
              <w:bidi w:val="0"/>
              <w:spacing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单座采气井场</w:t>
            </w:r>
          </w:p>
        </w:tc>
        <w:tc>
          <w:tcPr>
            <w:tcW w:w="437" w:type="pct"/>
            <w:tcBorders>
              <w:tl2br w:val="nil"/>
              <w:tr2bl w:val="nil"/>
            </w:tcBorders>
            <w:noWrap w:val="0"/>
            <w:vAlign w:val="center"/>
          </w:tcPr>
          <w:p w14:paraId="4437524E">
            <w:pPr>
              <w:pStyle w:val="70"/>
              <w:keepNext w:val="0"/>
              <w:pageBreakBefore w:val="0"/>
              <w:kinsoku/>
              <w:wordWrap/>
              <w:overflowPunct/>
              <w:topLinePunct w:val="0"/>
              <w:bidi w:val="0"/>
              <w:spacing w:line="400" w:lineRule="exact"/>
              <w:ind w:left="0" w:leftChars="0" w:right="0" w:rightChars="0" w:firstLine="0" w:firstLineChars="0"/>
              <w:jc w:val="center"/>
              <w:rPr>
                <w:rFonts w:hint="eastAsia"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阀</w:t>
            </w:r>
            <w:r>
              <w:rPr>
                <w:rFonts w:hint="default" w:ascii="Times New Roman" w:hAnsi="Times New Roman" w:cs="Times New Roman"/>
                <w:color w:val="auto"/>
                <w:sz w:val="21"/>
                <w:szCs w:val="21"/>
                <w:highlight w:val="none"/>
                <w:u w:val="none"/>
                <w:lang w:val="en-US" w:eastAsia="zh-CN"/>
              </w:rPr>
              <w:t>门</w:t>
            </w:r>
          </w:p>
        </w:tc>
        <w:tc>
          <w:tcPr>
            <w:tcW w:w="543" w:type="pct"/>
            <w:tcBorders>
              <w:tl2br w:val="nil"/>
              <w:tr2bl w:val="nil"/>
            </w:tcBorders>
            <w:noWrap w:val="0"/>
            <w:vAlign w:val="center"/>
          </w:tcPr>
          <w:p w14:paraId="2DAAC7B2">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35</w:t>
            </w:r>
          </w:p>
        </w:tc>
        <w:tc>
          <w:tcPr>
            <w:tcW w:w="969" w:type="pct"/>
            <w:tcBorders>
              <w:tl2br w:val="nil"/>
              <w:tr2bl w:val="nil"/>
            </w:tcBorders>
            <w:noWrap w:val="0"/>
            <w:vAlign w:val="center"/>
          </w:tcPr>
          <w:p w14:paraId="186E4118">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0.064</w:t>
            </w:r>
          </w:p>
        </w:tc>
        <w:tc>
          <w:tcPr>
            <w:tcW w:w="710" w:type="pct"/>
            <w:tcBorders>
              <w:tl2br w:val="nil"/>
              <w:tr2bl w:val="nil"/>
            </w:tcBorders>
            <w:noWrap w:val="0"/>
            <w:vAlign w:val="center"/>
          </w:tcPr>
          <w:p w14:paraId="30289B5F">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7920</w:t>
            </w:r>
          </w:p>
        </w:tc>
        <w:tc>
          <w:tcPr>
            <w:tcW w:w="701" w:type="pct"/>
            <w:tcBorders>
              <w:tl2br w:val="nil"/>
              <w:tr2bl w:val="nil"/>
            </w:tcBorders>
            <w:noWrap w:val="0"/>
            <w:vAlign w:val="center"/>
          </w:tcPr>
          <w:p w14:paraId="4070DF1A">
            <w:pPr>
              <w:keepNext w:val="0"/>
              <w:keepLines w:val="0"/>
              <w:pageBreakBefore w:val="0"/>
              <w:widowControl/>
              <w:suppressLineNumbers w:val="0"/>
              <w:kinsoku/>
              <w:wordWrap/>
              <w:overflowPunct/>
              <w:topLinePunct w:val="0"/>
              <w:bidi w:val="0"/>
              <w:spacing w:line="400" w:lineRule="exact"/>
              <w:ind w:left="0" w:leftChars="0" w:right="0" w:rightChars="0" w:firstLine="0" w:firstLineChars="0"/>
              <w:jc w:val="center"/>
              <w:textAlignment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0.007</w:t>
            </w:r>
          </w:p>
        </w:tc>
        <w:tc>
          <w:tcPr>
            <w:tcW w:w="640" w:type="pct"/>
            <w:tcBorders>
              <w:tl2br w:val="nil"/>
              <w:tr2bl w:val="nil"/>
            </w:tcBorders>
            <w:noWrap w:val="0"/>
            <w:vAlign w:val="center"/>
          </w:tcPr>
          <w:p w14:paraId="2DCD9B81">
            <w:pPr>
              <w:keepNext w:val="0"/>
              <w:keepLines w:val="0"/>
              <w:pageBreakBefore w:val="0"/>
              <w:widowControl/>
              <w:suppressLineNumbers w:val="0"/>
              <w:kinsoku/>
              <w:wordWrap/>
              <w:overflowPunct/>
              <w:topLinePunct w:val="0"/>
              <w:bidi w:val="0"/>
              <w:spacing w:line="400" w:lineRule="exact"/>
              <w:ind w:left="0" w:leftChars="0" w:right="0" w:rightChars="0" w:firstLine="0" w:firstLineChars="0"/>
              <w:jc w:val="center"/>
              <w:textAlignment w:val="center"/>
              <w:rPr>
                <w:rFonts w:hint="default" w:ascii="Times New Roman" w:hAnsi="Times New Roman" w:cs="Times New Roman"/>
                <w:color w:val="auto"/>
                <w:sz w:val="21"/>
                <w:szCs w:val="21"/>
                <w:highlight w:val="none"/>
                <w:u w:val="none"/>
                <w:lang w:val="en-US" w:eastAsia="zh-CN"/>
              </w:rPr>
            </w:pPr>
            <w:r>
              <w:rPr>
                <w:rFonts w:hint="eastAsia" w:eastAsia="等线" w:cs="Times New Roman"/>
                <w:i w:val="0"/>
                <w:iCs w:val="0"/>
                <w:color w:val="auto"/>
                <w:kern w:val="0"/>
                <w:sz w:val="21"/>
                <w:szCs w:val="21"/>
                <w:highlight w:val="none"/>
                <w:u w:val="none"/>
                <w:lang w:val="en-US" w:eastAsia="zh-CN" w:bidi="ar"/>
              </w:rPr>
              <w:t>0.053</w:t>
            </w:r>
          </w:p>
        </w:tc>
      </w:tr>
      <w:tr w14:paraId="396B6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37" w:type="pct"/>
            <w:tcBorders>
              <w:tl2br w:val="nil"/>
              <w:tr2bl w:val="nil"/>
            </w:tcBorders>
            <w:noWrap w:val="0"/>
            <w:vAlign w:val="center"/>
          </w:tcPr>
          <w:p w14:paraId="70485E5C">
            <w:pPr>
              <w:pStyle w:val="70"/>
              <w:keepNext w:val="0"/>
              <w:pageBreakBefore w:val="0"/>
              <w:kinsoku/>
              <w:wordWrap/>
              <w:overflowPunct/>
              <w:topLinePunct w:val="0"/>
              <w:bidi w:val="0"/>
              <w:spacing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c>
          <w:tcPr>
            <w:tcW w:w="761" w:type="pct"/>
            <w:vMerge w:val="continue"/>
            <w:tcBorders>
              <w:tl2br w:val="nil"/>
              <w:tr2bl w:val="nil"/>
            </w:tcBorders>
            <w:noWrap w:val="0"/>
            <w:vAlign w:val="center"/>
          </w:tcPr>
          <w:p w14:paraId="7E4562BB">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p>
        </w:tc>
        <w:tc>
          <w:tcPr>
            <w:tcW w:w="437" w:type="pct"/>
            <w:tcBorders>
              <w:tl2br w:val="nil"/>
              <w:tr2bl w:val="nil"/>
            </w:tcBorders>
            <w:noWrap w:val="0"/>
            <w:vAlign w:val="center"/>
          </w:tcPr>
          <w:p w14:paraId="35C4CE7A">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法兰</w:t>
            </w:r>
          </w:p>
        </w:tc>
        <w:tc>
          <w:tcPr>
            <w:tcW w:w="543" w:type="pct"/>
            <w:tcBorders>
              <w:tl2br w:val="nil"/>
              <w:tr2bl w:val="nil"/>
            </w:tcBorders>
            <w:noWrap w:val="0"/>
            <w:vAlign w:val="center"/>
          </w:tcPr>
          <w:p w14:paraId="1CC701A9">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70</w:t>
            </w:r>
          </w:p>
        </w:tc>
        <w:tc>
          <w:tcPr>
            <w:tcW w:w="969" w:type="pct"/>
            <w:tcBorders>
              <w:tl2br w:val="nil"/>
              <w:tr2bl w:val="nil"/>
            </w:tcBorders>
            <w:noWrap w:val="0"/>
            <w:vAlign w:val="center"/>
          </w:tcPr>
          <w:p w14:paraId="235A7894">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0.085</w:t>
            </w:r>
          </w:p>
        </w:tc>
        <w:tc>
          <w:tcPr>
            <w:tcW w:w="710" w:type="pct"/>
            <w:tcBorders>
              <w:tl2br w:val="nil"/>
              <w:tr2bl w:val="nil"/>
            </w:tcBorders>
            <w:noWrap w:val="0"/>
            <w:vAlign w:val="center"/>
          </w:tcPr>
          <w:p w14:paraId="54E4D548">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7920</w:t>
            </w:r>
          </w:p>
        </w:tc>
        <w:tc>
          <w:tcPr>
            <w:tcW w:w="701" w:type="pct"/>
            <w:tcBorders>
              <w:tl2br w:val="nil"/>
              <w:tr2bl w:val="nil"/>
            </w:tcBorders>
            <w:noWrap w:val="0"/>
            <w:vAlign w:val="center"/>
          </w:tcPr>
          <w:p w14:paraId="03F7A56E">
            <w:pPr>
              <w:keepNext w:val="0"/>
              <w:keepLines w:val="0"/>
              <w:pageBreakBefore w:val="0"/>
              <w:widowControl/>
              <w:suppressLineNumbers w:val="0"/>
              <w:kinsoku/>
              <w:wordWrap/>
              <w:overflowPunct/>
              <w:topLinePunct w:val="0"/>
              <w:bidi w:val="0"/>
              <w:spacing w:line="400" w:lineRule="exact"/>
              <w:ind w:left="0" w:leftChars="0" w:right="0" w:rightChars="0" w:firstLine="0" w:firstLineChars="0"/>
              <w:jc w:val="center"/>
              <w:textAlignment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0.018</w:t>
            </w:r>
          </w:p>
        </w:tc>
        <w:tc>
          <w:tcPr>
            <w:tcW w:w="640" w:type="pct"/>
            <w:tcBorders>
              <w:tl2br w:val="nil"/>
              <w:tr2bl w:val="nil"/>
            </w:tcBorders>
            <w:noWrap w:val="0"/>
            <w:vAlign w:val="center"/>
          </w:tcPr>
          <w:p w14:paraId="20C7C2D8">
            <w:pPr>
              <w:keepNext w:val="0"/>
              <w:keepLines w:val="0"/>
              <w:pageBreakBefore w:val="0"/>
              <w:widowControl/>
              <w:suppressLineNumbers w:val="0"/>
              <w:kinsoku/>
              <w:wordWrap/>
              <w:overflowPunct/>
              <w:topLinePunct w:val="0"/>
              <w:bidi w:val="0"/>
              <w:spacing w:line="400" w:lineRule="exact"/>
              <w:ind w:left="0" w:leftChars="0" w:right="0" w:rightChars="0" w:firstLine="0" w:firstLineChars="0"/>
              <w:jc w:val="center"/>
              <w:textAlignment w:val="center"/>
              <w:rPr>
                <w:rFonts w:hint="default" w:ascii="Times New Roman" w:hAnsi="Times New Roman" w:cs="Times New Roman"/>
                <w:color w:val="auto"/>
                <w:sz w:val="21"/>
                <w:szCs w:val="21"/>
                <w:highlight w:val="none"/>
                <w:u w:val="none"/>
                <w:lang w:val="en-US" w:eastAsia="zh-CN"/>
              </w:rPr>
            </w:pPr>
            <w:r>
              <w:rPr>
                <w:rFonts w:hint="eastAsia" w:eastAsia="等线" w:cs="Times New Roman"/>
                <w:i w:val="0"/>
                <w:iCs w:val="0"/>
                <w:color w:val="auto"/>
                <w:kern w:val="0"/>
                <w:sz w:val="21"/>
                <w:szCs w:val="21"/>
                <w:highlight w:val="none"/>
                <w:u w:val="none"/>
                <w:lang w:val="en-US" w:eastAsia="zh-CN" w:bidi="ar"/>
              </w:rPr>
              <w:t>0.141</w:t>
            </w:r>
          </w:p>
        </w:tc>
      </w:tr>
      <w:tr w14:paraId="3180C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658" w:type="pct"/>
            <w:gridSpan w:val="6"/>
            <w:tcBorders>
              <w:tl2br w:val="nil"/>
              <w:tr2bl w:val="nil"/>
            </w:tcBorders>
            <w:noWrap w:val="0"/>
            <w:vAlign w:val="center"/>
          </w:tcPr>
          <w:p w14:paraId="238993EC">
            <w:pPr>
              <w:pStyle w:val="70"/>
              <w:keepNext w:val="0"/>
              <w:pageBreakBefore w:val="0"/>
              <w:kinsoku/>
              <w:wordWrap/>
              <w:overflowPunct/>
              <w:topLinePunct w:val="0"/>
              <w:bidi w:val="0"/>
              <w:spacing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合计</w:t>
            </w:r>
          </w:p>
        </w:tc>
        <w:tc>
          <w:tcPr>
            <w:tcW w:w="701" w:type="pct"/>
            <w:tcBorders>
              <w:tl2br w:val="nil"/>
              <w:tr2bl w:val="nil"/>
            </w:tcBorders>
            <w:noWrap w:val="0"/>
            <w:vAlign w:val="center"/>
          </w:tcPr>
          <w:p w14:paraId="20395BF3">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0.025</w:t>
            </w:r>
          </w:p>
        </w:tc>
        <w:tc>
          <w:tcPr>
            <w:tcW w:w="640" w:type="pct"/>
            <w:tcBorders>
              <w:tl2br w:val="nil"/>
              <w:tr2bl w:val="nil"/>
            </w:tcBorders>
            <w:noWrap w:val="0"/>
            <w:vAlign w:val="center"/>
          </w:tcPr>
          <w:p w14:paraId="4BBD0278">
            <w:pPr>
              <w:pStyle w:val="70"/>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0.194</w:t>
            </w:r>
          </w:p>
        </w:tc>
      </w:tr>
      <w:tr w14:paraId="677ED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658" w:type="pct"/>
            <w:gridSpan w:val="6"/>
            <w:tcBorders>
              <w:tl2br w:val="nil"/>
              <w:tr2bl w:val="nil"/>
            </w:tcBorders>
            <w:noWrap w:val="0"/>
            <w:vAlign w:val="center"/>
          </w:tcPr>
          <w:p w14:paraId="2AE7C547">
            <w:pPr>
              <w:pStyle w:val="70"/>
              <w:keepNext w:val="0"/>
              <w:pageBreakBefore w:val="0"/>
              <w:kinsoku/>
              <w:wordWrap/>
              <w:overflowPunct/>
              <w:topLinePunct w:val="0"/>
              <w:bidi w:val="0"/>
              <w:spacing w:line="400" w:lineRule="exact"/>
              <w:ind w:left="0" w:leftChars="0" w:right="0" w:rightChars="0"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3口井合计</w:t>
            </w:r>
          </w:p>
        </w:tc>
        <w:tc>
          <w:tcPr>
            <w:tcW w:w="701" w:type="pct"/>
            <w:tcBorders>
              <w:tl2br w:val="nil"/>
              <w:tr2bl w:val="nil"/>
            </w:tcBorders>
            <w:noWrap w:val="0"/>
            <w:vAlign w:val="center"/>
          </w:tcPr>
          <w:p w14:paraId="4C18EBE3">
            <w:pPr>
              <w:pStyle w:val="70"/>
              <w:keepNext w:val="0"/>
              <w:pageBreakBefore w:val="0"/>
              <w:kinsoku/>
              <w:wordWrap/>
              <w:overflowPunct/>
              <w:topLinePunct w:val="0"/>
              <w:bidi w:val="0"/>
              <w:spacing w:line="400" w:lineRule="exact"/>
              <w:ind w:left="0" w:leftChars="0" w:right="0" w:rightChars="0"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640" w:type="pct"/>
            <w:tcBorders>
              <w:tl2br w:val="nil"/>
              <w:tr2bl w:val="nil"/>
            </w:tcBorders>
            <w:noWrap w:val="0"/>
            <w:vAlign w:val="center"/>
          </w:tcPr>
          <w:p w14:paraId="2E725491">
            <w:pPr>
              <w:pStyle w:val="70"/>
              <w:keepNext w:val="0"/>
              <w:pageBreakBefore w:val="0"/>
              <w:kinsoku/>
              <w:wordWrap/>
              <w:overflowPunct/>
              <w:topLinePunct w:val="0"/>
              <w:bidi w:val="0"/>
              <w:spacing w:line="400" w:lineRule="exact"/>
              <w:ind w:left="0" w:leftChars="0" w:right="0" w:rightChars="0"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0.582</w:t>
            </w:r>
          </w:p>
        </w:tc>
      </w:tr>
    </w:tbl>
    <w:p w14:paraId="0821990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bCs/>
          <w:snapToGrid w:val="0"/>
          <w:color w:val="auto"/>
          <w:kern w:val="2"/>
          <w:sz w:val="24"/>
          <w:szCs w:val="24"/>
          <w:highlight w:val="none"/>
          <w:u w:val="none"/>
          <w:lang w:val="en-US" w:eastAsia="zh-CN" w:bidi="ar-SA"/>
        </w:rPr>
      </w:pPr>
      <w:r>
        <w:rPr>
          <w:rFonts w:hint="eastAsia" w:ascii="Times New Roman" w:hAnsi="Times New Roman" w:eastAsia="宋体" w:cs="Times New Roman"/>
          <w:bCs/>
          <w:snapToGrid w:val="0"/>
          <w:color w:val="auto"/>
          <w:kern w:val="2"/>
          <w:sz w:val="24"/>
          <w:szCs w:val="24"/>
          <w:highlight w:val="none"/>
          <w:u w:val="none"/>
          <w:lang w:val="en-US" w:eastAsia="zh-CN" w:bidi="ar-SA"/>
        </w:rPr>
        <w:t>经核算，本工程单座井场无组织排放非甲烷总烃排放速率约为</w:t>
      </w:r>
      <w:r>
        <w:rPr>
          <w:rFonts w:hint="eastAsia" w:cs="Times New Roman"/>
          <w:bCs/>
          <w:snapToGrid w:val="0"/>
          <w:color w:val="auto"/>
          <w:kern w:val="2"/>
          <w:sz w:val="24"/>
          <w:szCs w:val="24"/>
          <w:highlight w:val="none"/>
          <w:u w:val="none"/>
          <w:lang w:val="en-US" w:eastAsia="zh-CN" w:bidi="ar-SA"/>
        </w:rPr>
        <w:t>0.025</w:t>
      </w:r>
      <w:r>
        <w:rPr>
          <w:rFonts w:hint="eastAsia" w:ascii="Times New Roman" w:hAnsi="Times New Roman" w:eastAsia="宋体" w:cs="Times New Roman"/>
          <w:bCs/>
          <w:snapToGrid w:val="0"/>
          <w:color w:val="auto"/>
          <w:kern w:val="2"/>
          <w:sz w:val="24"/>
          <w:szCs w:val="24"/>
          <w:highlight w:val="none"/>
          <w:u w:val="none"/>
          <w:lang w:val="en-US" w:eastAsia="zh-CN" w:bidi="ar-SA"/>
        </w:rPr>
        <w:t>kg/h，非甲烷总烃年排放量约为</w:t>
      </w:r>
      <w:r>
        <w:rPr>
          <w:rFonts w:hint="eastAsia" w:cs="Times New Roman"/>
          <w:bCs/>
          <w:snapToGrid w:val="0"/>
          <w:color w:val="auto"/>
          <w:kern w:val="2"/>
          <w:sz w:val="24"/>
          <w:szCs w:val="24"/>
          <w:highlight w:val="none"/>
          <w:u w:val="none"/>
          <w:lang w:val="en-US" w:eastAsia="zh-CN" w:bidi="ar-SA"/>
        </w:rPr>
        <w:t>0.194</w:t>
      </w:r>
      <w:r>
        <w:rPr>
          <w:rFonts w:hint="eastAsia" w:ascii="Times New Roman" w:hAnsi="Times New Roman" w:eastAsia="宋体" w:cs="Times New Roman"/>
          <w:bCs/>
          <w:snapToGrid w:val="0"/>
          <w:color w:val="auto"/>
          <w:kern w:val="2"/>
          <w:sz w:val="24"/>
          <w:szCs w:val="24"/>
          <w:highlight w:val="none"/>
          <w:u w:val="none"/>
          <w:lang w:val="en-US" w:eastAsia="zh-CN" w:bidi="ar-SA"/>
        </w:rPr>
        <w:t>t/a，3口井合计</w:t>
      </w:r>
      <w:r>
        <w:rPr>
          <w:rFonts w:hint="eastAsia" w:cs="Times New Roman"/>
          <w:bCs/>
          <w:snapToGrid w:val="0"/>
          <w:color w:val="auto"/>
          <w:kern w:val="2"/>
          <w:sz w:val="24"/>
          <w:szCs w:val="24"/>
          <w:highlight w:val="none"/>
          <w:u w:val="none"/>
          <w:lang w:val="en-US" w:eastAsia="zh-CN" w:bidi="ar-SA"/>
        </w:rPr>
        <w:t>0.582</w:t>
      </w:r>
      <w:r>
        <w:rPr>
          <w:rFonts w:hint="eastAsia" w:ascii="Times New Roman" w:hAnsi="Times New Roman" w:eastAsia="宋体" w:cs="Times New Roman"/>
          <w:bCs/>
          <w:snapToGrid w:val="0"/>
          <w:color w:val="auto"/>
          <w:kern w:val="2"/>
          <w:sz w:val="24"/>
          <w:szCs w:val="24"/>
          <w:highlight w:val="none"/>
          <w:u w:val="none"/>
          <w:lang w:val="en-US" w:eastAsia="zh-CN" w:bidi="ar-SA"/>
        </w:rPr>
        <w:t>t/a</w:t>
      </w:r>
      <w:r>
        <w:rPr>
          <w:rFonts w:hint="eastAsia" w:cs="Times New Roman"/>
          <w:bCs/>
          <w:snapToGrid w:val="0"/>
          <w:color w:val="auto"/>
          <w:kern w:val="2"/>
          <w:sz w:val="24"/>
          <w:szCs w:val="24"/>
          <w:highlight w:val="none"/>
          <w:u w:val="none"/>
          <w:lang w:val="en-US" w:eastAsia="zh-CN" w:bidi="ar-SA"/>
        </w:rPr>
        <w:t>。</w:t>
      </w:r>
    </w:p>
    <w:p w14:paraId="446855B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
          <w:bCs w:val="0"/>
          <w:snapToGrid w:val="0"/>
          <w:color w:val="auto"/>
          <w:kern w:val="2"/>
          <w:sz w:val="24"/>
          <w:szCs w:val="24"/>
          <w:highlight w:val="none"/>
          <w:u w:val="none"/>
          <w:lang w:val="en-US" w:eastAsia="zh-CN" w:bidi="ar-SA"/>
        </w:rPr>
      </w:pPr>
      <w:bookmarkStart w:id="273" w:name="_Toc17544"/>
      <w:r>
        <w:rPr>
          <w:rFonts w:hint="eastAsia" w:cs="Times New Roman"/>
          <w:b/>
          <w:bCs w:val="0"/>
          <w:snapToGrid w:val="0"/>
          <w:color w:val="auto"/>
          <w:kern w:val="2"/>
          <w:sz w:val="24"/>
          <w:szCs w:val="24"/>
          <w:highlight w:val="none"/>
          <w:u w:val="none"/>
          <w:lang w:val="en-US" w:eastAsia="zh-CN" w:bidi="ar-SA"/>
        </w:rPr>
        <w:t>（2）</w:t>
      </w:r>
      <w:r>
        <w:rPr>
          <w:rFonts w:hint="default" w:ascii="Times New Roman" w:hAnsi="Times New Roman" w:eastAsia="宋体" w:cs="Times New Roman"/>
          <w:b/>
          <w:bCs w:val="0"/>
          <w:snapToGrid w:val="0"/>
          <w:color w:val="auto"/>
          <w:kern w:val="2"/>
          <w:sz w:val="24"/>
          <w:szCs w:val="24"/>
          <w:highlight w:val="none"/>
          <w:u w:val="none"/>
          <w:lang w:val="en-US" w:eastAsia="zh-CN" w:bidi="ar-SA"/>
        </w:rPr>
        <w:t>无组织排放</w:t>
      </w:r>
      <w:r>
        <w:rPr>
          <w:rFonts w:hint="eastAsia" w:ascii="Times New Roman" w:hAnsi="Times New Roman" w:eastAsia="宋体" w:cs="Times New Roman"/>
          <w:b/>
          <w:bCs w:val="0"/>
          <w:snapToGrid w:val="0"/>
          <w:color w:val="auto"/>
          <w:kern w:val="2"/>
          <w:sz w:val="24"/>
          <w:szCs w:val="24"/>
          <w:highlight w:val="none"/>
          <w:u w:val="none"/>
          <w:lang w:val="en-US" w:eastAsia="zh-CN" w:bidi="ar-SA"/>
        </w:rPr>
        <w:t>硫化氢</w:t>
      </w:r>
    </w:p>
    <w:p w14:paraId="546FA49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Cs/>
          <w:snapToGrid w:val="0"/>
          <w:color w:val="auto"/>
          <w:kern w:val="2"/>
          <w:sz w:val="24"/>
          <w:szCs w:val="24"/>
          <w:highlight w:val="none"/>
          <w:u w:val="none"/>
          <w:lang w:val="en-US" w:eastAsia="zh-CN" w:bidi="ar-SA"/>
        </w:rPr>
      </w:pPr>
      <w:r>
        <w:rPr>
          <w:rFonts w:hint="default" w:ascii="Times New Roman" w:hAnsi="Times New Roman" w:eastAsia="宋体" w:cs="Times New Roman"/>
          <w:bCs/>
          <w:snapToGrid w:val="0"/>
          <w:color w:val="auto"/>
          <w:kern w:val="2"/>
          <w:sz w:val="24"/>
          <w:szCs w:val="24"/>
          <w:highlight w:val="none"/>
          <w:u w:val="none"/>
          <w:lang w:val="en-US" w:eastAsia="zh-CN" w:bidi="ar-SA"/>
        </w:rPr>
        <w:t>通过无组织排放的非甲烷总烃推算出无组织排放的天然气排放量，根据天然气中</w:t>
      </w:r>
      <w:r>
        <w:rPr>
          <w:rFonts w:hint="eastAsia" w:ascii="Times New Roman" w:hAnsi="Times New Roman" w:eastAsia="宋体" w:cs="Times New Roman"/>
          <w:bCs/>
          <w:snapToGrid w:val="0"/>
          <w:color w:val="auto"/>
          <w:kern w:val="2"/>
          <w:sz w:val="24"/>
          <w:szCs w:val="24"/>
          <w:highlight w:val="none"/>
          <w:u w:val="none"/>
          <w:lang w:val="en-US" w:eastAsia="zh-CN" w:bidi="ar-SA"/>
        </w:rPr>
        <w:t>硫化氢</w:t>
      </w:r>
      <w:r>
        <w:rPr>
          <w:rFonts w:hint="default" w:ascii="Times New Roman" w:hAnsi="Times New Roman" w:eastAsia="宋体" w:cs="Times New Roman"/>
          <w:bCs/>
          <w:snapToGrid w:val="0"/>
          <w:color w:val="auto"/>
          <w:kern w:val="2"/>
          <w:sz w:val="24"/>
          <w:szCs w:val="24"/>
          <w:highlight w:val="none"/>
          <w:u w:val="none"/>
          <w:lang w:val="en-US" w:eastAsia="zh-CN" w:bidi="ar-SA"/>
        </w:rPr>
        <w:t>的</w:t>
      </w:r>
      <w:r>
        <w:rPr>
          <w:rFonts w:hint="eastAsia" w:ascii="Times New Roman" w:hAnsi="Times New Roman" w:eastAsia="宋体" w:cs="Times New Roman"/>
          <w:bCs/>
          <w:snapToGrid w:val="0"/>
          <w:color w:val="auto"/>
          <w:kern w:val="2"/>
          <w:sz w:val="24"/>
          <w:szCs w:val="24"/>
          <w:highlight w:val="none"/>
          <w:u w:val="none"/>
          <w:lang w:val="en-US" w:eastAsia="zh-CN" w:bidi="ar-SA"/>
        </w:rPr>
        <w:t>含量</w:t>
      </w:r>
      <w:r>
        <w:rPr>
          <w:rFonts w:hint="default" w:ascii="Times New Roman" w:hAnsi="Times New Roman" w:eastAsia="宋体" w:cs="Times New Roman"/>
          <w:bCs/>
          <w:snapToGrid w:val="0"/>
          <w:color w:val="auto"/>
          <w:kern w:val="2"/>
          <w:sz w:val="24"/>
          <w:szCs w:val="24"/>
          <w:highlight w:val="none"/>
          <w:u w:val="none"/>
          <w:lang w:val="en-US" w:eastAsia="zh-CN" w:bidi="ar-SA"/>
        </w:rPr>
        <w:t>，计算出</w:t>
      </w:r>
      <w:r>
        <w:rPr>
          <w:rFonts w:hint="eastAsia" w:ascii="Times New Roman" w:hAnsi="Times New Roman" w:eastAsia="宋体" w:cs="Times New Roman"/>
          <w:bCs/>
          <w:snapToGrid w:val="0"/>
          <w:color w:val="auto"/>
          <w:kern w:val="2"/>
          <w:sz w:val="24"/>
          <w:szCs w:val="24"/>
          <w:highlight w:val="none"/>
          <w:u w:val="none"/>
          <w:lang w:val="en-US" w:eastAsia="zh-CN" w:bidi="ar-SA"/>
        </w:rPr>
        <w:t>硫化氢</w:t>
      </w:r>
      <w:r>
        <w:rPr>
          <w:rFonts w:hint="default" w:ascii="Times New Roman" w:hAnsi="Times New Roman" w:eastAsia="宋体" w:cs="Times New Roman"/>
          <w:bCs/>
          <w:snapToGrid w:val="0"/>
          <w:color w:val="auto"/>
          <w:kern w:val="2"/>
          <w:sz w:val="24"/>
          <w:szCs w:val="24"/>
          <w:highlight w:val="none"/>
          <w:u w:val="none"/>
          <w:lang w:val="en-US" w:eastAsia="zh-CN" w:bidi="ar-SA"/>
        </w:rPr>
        <w:t>的排放量，计算过程如下：</w:t>
      </w:r>
    </w:p>
    <w:p w14:paraId="620497C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Cs/>
          <w:snapToGrid w:val="0"/>
          <w:color w:val="auto"/>
          <w:kern w:val="2"/>
          <w:sz w:val="24"/>
          <w:szCs w:val="24"/>
          <w:highlight w:val="none"/>
          <w:u w:val="none"/>
          <w:lang w:val="en-US" w:eastAsia="zh-CN" w:bidi="ar-SA"/>
        </w:rPr>
      </w:pPr>
      <w:r>
        <w:rPr>
          <w:rFonts w:hint="default" w:ascii="Times New Roman" w:hAnsi="Times New Roman" w:eastAsia="宋体" w:cs="Times New Roman"/>
          <w:bCs/>
          <w:snapToGrid w:val="0"/>
          <w:color w:val="auto"/>
          <w:kern w:val="2"/>
          <w:sz w:val="24"/>
          <w:szCs w:val="24"/>
          <w:highlight w:val="none"/>
          <w:u w:val="none"/>
          <w:lang w:val="en-US" w:eastAsia="zh-CN" w:bidi="ar-SA"/>
        </w:rPr>
        <w:t>根据区块天然气样分析，甲烷含量按</w:t>
      </w:r>
      <w:r>
        <w:rPr>
          <w:rFonts w:hint="eastAsia" w:ascii="Times New Roman" w:hAnsi="Times New Roman" w:eastAsia="宋体" w:cs="Times New Roman"/>
          <w:bCs/>
          <w:snapToGrid w:val="0"/>
          <w:color w:val="auto"/>
          <w:kern w:val="2"/>
          <w:sz w:val="24"/>
          <w:szCs w:val="24"/>
          <w:highlight w:val="none"/>
          <w:u w:val="none"/>
          <w:lang w:val="en-US" w:eastAsia="zh-CN" w:bidi="ar-SA"/>
        </w:rPr>
        <w:t>86.62</w:t>
      </w:r>
      <w:r>
        <w:rPr>
          <w:rFonts w:hint="default" w:ascii="Times New Roman" w:hAnsi="Times New Roman" w:eastAsia="宋体" w:cs="Times New Roman"/>
          <w:bCs/>
          <w:snapToGrid w:val="0"/>
          <w:color w:val="auto"/>
          <w:kern w:val="2"/>
          <w:sz w:val="24"/>
          <w:szCs w:val="24"/>
          <w:highlight w:val="none"/>
          <w:u w:val="none"/>
          <w:lang w:val="en-US" w:eastAsia="zh-CN" w:bidi="ar-SA"/>
        </w:rPr>
        <w:t>%计，故非甲烷总烃在天然气中的比例为</w:t>
      </w:r>
      <w:r>
        <w:rPr>
          <w:rFonts w:hint="eastAsia" w:ascii="Times New Roman" w:hAnsi="Times New Roman" w:eastAsia="宋体" w:cs="Times New Roman"/>
          <w:bCs/>
          <w:snapToGrid w:val="0"/>
          <w:color w:val="auto"/>
          <w:kern w:val="2"/>
          <w:sz w:val="24"/>
          <w:szCs w:val="24"/>
          <w:highlight w:val="none"/>
          <w:u w:val="none"/>
          <w:lang w:val="en-US" w:eastAsia="zh-CN" w:bidi="ar-SA"/>
        </w:rPr>
        <w:t>13.38</w:t>
      </w:r>
      <w:r>
        <w:rPr>
          <w:rFonts w:hint="default" w:ascii="Times New Roman" w:hAnsi="Times New Roman" w:eastAsia="宋体" w:cs="Times New Roman"/>
          <w:bCs/>
          <w:snapToGrid w:val="0"/>
          <w:color w:val="auto"/>
          <w:kern w:val="2"/>
          <w:sz w:val="24"/>
          <w:szCs w:val="24"/>
          <w:highlight w:val="none"/>
          <w:u w:val="none"/>
          <w:lang w:val="en-US" w:eastAsia="zh-CN" w:bidi="ar-SA"/>
        </w:rPr>
        <w:t>%。</w:t>
      </w:r>
    </w:p>
    <w:p w14:paraId="4753EEC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Cs/>
          <w:snapToGrid w:val="0"/>
          <w:color w:val="auto"/>
          <w:kern w:val="2"/>
          <w:sz w:val="24"/>
          <w:szCs w:val="24"/>
          <w:highlight w:val="none"/>
          <w:u w:val="none"/>
          <w:lang w:val="en-US" w:eastAsia="zh-CN" w:bidi="ar-SA"/>
        </w:rPr>
      </w:pPr>
      <w:r>
        <w:rPr>
          <w:rFonts w:hint="default" w:ascii="Times New Roman" w:hAnsi="Times New Roman" w:eastAsia="宋体" w:cs="Times New Roman"/>
          <w:bCs/>
          <w:snapToGrid w:val="0"/>
          <w:color w:val="auto"/>
          <w:kern w:val="2"/>
          <w:sz w:val="24"/>
          <w:szCs w:val="24"/>
          <w:highlight w:val="none"/>
          <w:u w:val="none"/>
          <w:lang w:val="en-US" w:eastAsia="zh-CN" w:bidi="ar-SA"/>
        </w:rPr>
        <w:t>1）井场</w:t>
      </w:r>
    </w:p>
    <w:p w14:paraId="038A989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Cs/>
          <w:snapToGrid w:val="0"/>
          <w:color w:val="auto"/>
          <w:kern w:val="2"/>
          <w:sz w:val="24"/>
          <w:szCs w:val="24"/>
          <w:highlight w:val="none"/>
          <w:u w:val="none"/>
          <w:lang w:val="en-US" w:eastAsia="zh-CN" w:bidi="ar-SA"/>
        </w:rPr>
      </w:pPr>
      <w:r>
        <w:rPr>
          <w:rFonts w:hint="default" w:ascii="Times New Roman" w:hAnsi="Times New Roman" w:eastAsia="宋体" w:cs="Times New Roman"/>
          <w:bCs/>
          <w:snapToGrid w:val="0"/>
          <w:color w:val="auto"/>
          <w:kern w:val="2"/>
          <w:sz w:val="24"/>
          <w:szCs w:val="24"/>
          <w:highlight w:val="none"/>
          <w:u w:val="none"/>
          <w:lang w:val="en-US" w:eastAsia="zh-CN" w:bidi="ar-SA"/>
        </w:rPr>
        <w:t>由上文计算可知</w:t>
      </w:r>
      <w:r>
        <w:rPr>
          <w:rFonts w:hint="eastAsia" w:ascii="Times New Roman" w:hAnsi="Times New Roman" w:eastAsia="宋体" w:cs="Times New Roman"/>
          <w:bCs/>
          <w:snapToGrid w:val="0"/>
          <w:color w:val="auto"/>
          <w:kern w:val="2"/>
          <w:sz w:val="24"/>
          <w:szCs w:val="24"/>
          <w:highlight w:val="none"/>
          <w:u w:val="none"/>
          <w:lang w:val="en-US" w:eastAsia="zh-CN" w:bidi="ar-SA"/>
        </w:rPr>
        <w:t>单座井场</w:t>
      </w:r>
      <w:r>
        <w:rPr>
          <w:rFonts w:hint="default" w:ascii="Times New Roman" w:hAnsi="Times New Roman" w:eastAsia="宋体" w:cs="Times New Roman"/>
          <w:bCs/>
          <w:snapToGrid w:val="0"/>
          <w:color w:val="auto"/>
          <w:kern w:val="2"/>
          <w:sz w:val="24"/>
          <w:szCs w:val="24"/>
          <w:highlight w:val="none"/>
          <w:u w:val="none"/>
          <w:lang w:val="en-US" w:eastAsia="zh-CN" w:bidi="ar-SA"/>
        </w:rPr>
        <w:t>非甲烷总烃排放量为</w:t>
      </w:r>
      <w:r>
        <w:rPr>
          <w:rFonts w:hint="eastAsia" w:ascii="Times New Roman" w:hAnsi="Times New Roman" w:eastAsia="宋体" w:cs="Times New Roman"/>
          <w:bCs/>
          <w:snapToGrid w:val="0"/>
          <w:color w:val="auto"/>
          <w:kern w:val="2"/>
          <w:sz w:val="24"/>
          <w:szCs w:val="24"/>
          <w:highlight w:val="none"/>
          <w:u w:val="none"/>
          <w:lang w:val="en-US" w:eastAsia="zh-CN" w:bidi="ar-SA"/>
        </w:rPr>
        <w:t>0.194</w:t>
      </w:r>
      <w:r>
        <w:rPr>
          <w:rFonts w:hint="default" w:ascii="Times New Roman" w:hAnsi="Times New Roman" w:eastAsia="宋体" w:cs="Times New Roman"/>
          <w:bCs/>
          <w:snapToGrid w:val="0"/>
          <w:color w:val="auto"/>
          <w:kern w:val="2"/>
          <w:sz w:val="24"/>
          <w:szCs w:val="24"/>
          <w:highlight w:val="none"/>
          <w:u w:val="none"/>
          <w:lang w:val="en-US" w:eastAsia="zh-CN" w:bidi="ar-SA"/>
        </w:rPr>
        <w:t>t/a，故无组织的天然气排放量为</w:t>
      </w:r>
      <w:r>
        <w:rPr>
          <w:rFonts w:hint="eastAsia" w:ascii="Times New Roman" w:hAnsi="Times New Roman" w:eastAsia="宋体" w:cs="Times New Roman"/>
          <w:bCs/>
          <w:snapToGrid w:val="0"/>
          <w:color w:val="auto"/>
          <w:kern w:val="2"/>
          <w:sz w:val="24"/>
          <w:szCs w:val="24"/>
          <w:highlight w:val="none"/>
          <w:u w:val="none"/>
          <w:lang w:val="en-US" w:eastAsia="zh-CN" w:bidi="ar-SA"/>
        </w:rPr>
        <w:t>0.194</w:t>
      </w:r>
      <w:r>
        <w:rPr>
          <w:rFonts w:hint="default" w:ascii="Times New Roman" w:hAnsi="Times New Roman" w:eastAsia="宋体" w:cs="Times New Roman"/>
          <w:bCs/>
          <w:snapToGrid w:val="0"/>
          <w:color w:val="auto"/>
          <w:kern w:val="2"/>
          <w:sz w:val="24"/>
          <w:szCs w:val="24"/>
          <w:highlight w:val="none"/>
          <w:u w:val="none"/>
          <w:lang w:val="en-US" w:eastAsia="zh-CN" w:bidi="ar-SA"/>
        </w:rPr>
        <w:t>÷</w:t>
      </w:r>
      <w:r>
        <w:rPr>
          <w:rFonts w:hint="eastAsia" w:ascii="Times New Roman" w:hAnsi="Times New Roman" w:eastAsia="宋体" w:cs="Times New Roman"/>
          <w:bCs/>
          <w:snapToGrid w:val="0"/>
          <w:color w:val="auto"/>
          <w:kern w:val="2"/>
          <w:sz w:val="24"/>
          <w:szCs w:val="24"/>
          <w:highlight w:val="none"/>
          <w:u w:val="none"/>
          <w:lang w:val="en-US" w:eastAsia="zh-CN" w:bidi="ar-SA"/>
        </w:rPr>
        <w:t>13.38</w:t>
      </w:r>
      <w:r>
        <w:rPr>
          <w:rFonts w:hint="default" w:ascii="Times New Roman" w:hAnsi="Times New Roman" w:eastAsia="宋体" w:cs="Times New Roman"/>
          <w:bCs/>
          <w:snapToGrid w:val="0"/>
          <w:color w:val="auto"/>
          <w:kern w:val="2"/>
          <w:sz w:val="24"/>
          <w:szCs w:val="24"/>
          <w:highlight w:val="none"/>
          <w:u w:val="none"/>
          <w:lang w:val="en-US" w:eastAsia="zh-CN" w:bidi="ar-SA"/>
        </w:rPr>
        <w:t>%=</w:t>
      </w:r>
      <w:r>
        <w:rPr>
          <w:rFonts w:hint="eastAsia" w:ascii="Times New Roman" w:hAnsi="Times New Roman" w:eastAsia="宋体" w:cs="Times New Roman"/>
          <w:bCs/>
          <w:snapToGrid w:val="0"/>
          <w:color w:val="auto"/>
          <w:kern w:val="2"/>
          <w:sz w:val="24"/>
          <w:szCs w:val="24"/>
          <w:highlight w:val="none"/>
          <w:u w:val="none"/>
          <w:lang w:val="en-US" w:eastAsia="zh-CN" w:bidi="ar-SA"/>
        </w:rPr>
        <w:t>1.45</w:t>
      </w:r>
      <w:r>
        <w:rPr>
          <w:rFonts w:hint="default" w:ascii="Times New Roman" w:hAnsi="Times New Roman" w:eastAsia="宋体" w:cs="Times New Roman"/>
          <w:bCs/>
          <w:snapToGrid w:val="0"/>
          <w:color w:val="auto"/>
          <w:kern w:val="2"/>
          <w:sz w:val="24"/>
          <w:szCs w:val="24"/>
          <w:highlight w:val="none"/>
          <w:u w:val="none"/>
          <w:lang w:val="en-US" w:eastAsia="zh-CN" w:bidi="ar-SA"/>
        </w:rPr>
        <w:t>（t/a）</w:t>
      </w:r>
      <w:r>
        <w:rPr>
          <w:rFonts w:hint="eastAsia" w:ascii="Times New Roman" w:hAnsi="Times New Roman" w:eastAsia="宋体" w:cs="Times New Roman"/>
          <w:bCs/>
          <w:snapToGrid w:val="0"/>
          <w:color w:val="auto"/>
          <w:kern w:val="2"/>
          <w:sz w:val="24"/>
          <w:szCs w:val="24"/>
          <w:highlight w:val="none"/>
          <w:u w:val="none"/>
          <w:lang w:val="en-US" w:eastAsia="zh-CN" w:bidi="ar-SA"/>
        </w:rPr>
        <w:t>，天然气相对密度按照0.67（0.87kg/m³），则天然气体积为1667m</w:t>
      </w:r>
      <w:r>
        <w:rPr>
          <w:rFonts w:hint="eastAsia" w:ascii="Times New Roman" w:hAnsi="Times New Roman" w:eastAsia="宋体" w:cs="Times New Roman"/>
          <w:bCs/>
          <w:snapToGrid w:val="0"/>
          <w:color w:val="auto"/>
          <w:kern w:val="2"/>
          <w:sz w:val="24"/>
          <w:szCs w:val="24"/>
          <w:highlight w:val="none"/>
          <w:u w:val="none"/>
          <w:vertAlign w:val="superscript"/>
          <w:lang w:val="en-US" w:eastAsia="zh-CN" w:bidi="ar-SA"/>
        </w:rPr>
        <w:t>3</w:t>
      </w:r>
      <w:r>
        <w:rPr>
          <w:rFonts w:hint="eastAsia" w:ascii="Times New Roman" w:hAnsi="Times New Roman" w:eastAsia="宋体" w:cs="Times New Roman"/>
          <w:bCs/>
          <w:snapToGrid w:val="0"/>
          <w:color w:val="auto"/>
          <w:kern w:val="2"/>
          <w:sz w:val="24"/>
          <w:szCs w:val="24"/>
          <w:highlight w:val="none"/>
          <w:u w:val="none"/>
          <w:vertAlign w:val="baseline"/>
          <w:lang w:val="en-US" w:eastAsia="zh-CN" w:bidi="ar-SA"/>
        </w:rPr>
        <w:t>。</w:t>
      </w:r>
    </w:p>
    <w:p w14:paraId="19107FE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bCs/>
          <w:snapToGrid w:val="0"/>
          <w:color w:val="auto"/>
          <w:kern w:val="2"/>
          <w:sz w:val="24"/>
          <w:szCs w:val="24"/>
          <w:highlight w:val="none"/>
          <w:u w:val="none"/>
          <w:lang w:val="en-US" w:eastAsia="zh-CN" w:bidi="ar-SA"/>
        </w:rPr>
      </w:pPr>
      <w:r>
        <w:rPr>
          <w:rFonts w:hint="eastAsia" w:ascii="Times New Roman" w:hAnsi="Times New Roman" w:eastAsia="宋体" w:cs="Times New Roman"/>
          <w:bCs/>
          <w:snapToGrid w:val="0"/>
          <w:color w:val="auto"/>
          <w:kern w:val="2"/>
          <w:sz w:val="24"/>
          <w:szCs w:val="24"/>
          <w:highlight w:val="none"/>
          <w:u w:val="none"/>
          <w:lang w:val="en-US" w:eastAsia="zh-CN" w:bidi="ar-SA"/>
        </w:rPr>
        <w:t>根据本项目天然气分析样品分析结果：本次</w:t>
      </w:r>
      <w:r>
        <w:rPr>
          <w:rFonts w:hint="default" w:ascii="Times New Roman" w:hAnsi="Times New Roman" w:eastAsia="宋体" w:cs="Times New Roman"/>
          <w:bCs/>
          <w:snapToGrid w:val="0"/>
          <w:color w:val="auto"/>
          <w:kern w:val="2"/>
          <w:sz w:val="24"/>
          <w:szCs w:val="24"/>
          <w:highlight w:val="none"/>
          <w:u w:val="none"/>
          <w:lang w:val="en-US" w:eastAsia="zh-CN" w:bidi="ar-SA"/>
        </w:rPr>
        <w:t>H</w:t>
      </w:r>
      <w:r>
        <w:rPr>
          <w:rFonts w:hint="default" w:ascii="Times New Roman" w:hAnsi="Times New Roman" w:eastAsia="宋体" w:cs="Times New Roman"/>
          <w:bCs/>
          <w:snapToGrid w:val="0"/>
          <w:color w:val="auto"/>
          <w:kern w:val="2"/>
          <w:sz w:val="24"/>
          <w:szCs w:val="24"/>
          <w:highlight w:val="none"/>
          <w:u w:val="none"/>
          <w:vertAlign w:val="subscript"/>
          <w:lang w:val="en-US" w:eastAsia="zh-CN" w:bidi="ar-SA"/>
        </w:rPr>
        <w:t>2</w:t>
      </w:r>
      <w:r>
        <w:rPr>
          <w:rFonts w:hint="default" w:ascii="Times New Roman" w:hAnsi="Times New Roman" w:eastAsia="宋体" w:cs="Times New Roman"/>
          <w:bCs/>
          <w:snapToGrid w:val="0"/>
          <w:color w:val="auto"/>
          <w:kern w:val="2"/>
          <w:sz w:val="24"/>
          <w:szCs w:val="24"/>
          <w:highlight w:val="none"/>
          <w:u w:val="none"/>
          <w:lang w:val="en-US" w:eastAsia="zh-CN" w:bidi="ar-SA"/>
        </w:rPr>
        <w:t>S含量</w:t>
      </w:r>
      <w:r>
        <w:rPr>
          <w:rFonts w:hint="eastAsia" w:ascii="Times New Roman" w:hAnsi="Times New Roman" w:eastAsia="宋体" w:cs="Times New Roman"/>
          <w:bCs/>
          <w:snapToGrid w:val="0"/>
          <w:color w:val="auto"/>
          <w:kern w:val="2"/>
          <w:sz w:val="24"/>
          <w:szCs w:val="24"/>
          <w:highlight w:val="none"/>
          <w:u w:val="none"/>
          <w:lang w:val="en-US" w:eastAsia="zh-CN" w:bidi="ar-SA"/>
        </w:rPr>
        <w:t>按照24.1mg/m</w:t>
      </w:r>
      <w:r>
        <w:rPr>
          <w:rFonts w:hint="eastAsia" w:ascii="Times New Roman" w:hAnsi="Times New Roman" w:eastAsia="宋体" w:cs="Times New Roman"/>
          <w:bCs/>
          <w:snapToGrid w:val="0"/>
          <w:color w:val="auto"/>
          <w:kern w:val="2"/>
          <w:sz w:val="24"/>
          <w:szCs w:val="24"/>
          <w:highlight w:val="none"/>
          <w:u w:val="none"/>
          <w:vertAlign w:val="superscript"/>
          <w:lang w:val="en-US" w:eastAsia="zh-CN" w:bidi="ar-SA"/>
        </w:rPr>
        <w:t>3</w:t>
      </w:r>
      <w:r>
        <w:rPr>
          <w:rFonts w:hint="eastAsia" w:ascii="Times New Roman" w:hAnsi="Times New Roman" w:eastAsia="宋体" w:cs="Times New Roman"/>
          <w:bCs/>
          <w:snapToGrid w:val="0"/>
          <w:color w:val="auto"/>
          <w:kern w:val="2"/>
          <w:sz w:val="24"/>
          <w:szCs w:val="24"/>
          <w:highlight w:val="none"/>
          <w:u w:val="none"/>
          <w:lang w:val="en-US" w:eastAsia="zh-CN" w:bidi="ar-SA"/>
        </w:rPr>
        <w:t>计算，故本项目单座井场硫化氢无组织排放量约为0.0000402（t/a），排放速率0.000005kg/h，3口井合计排放量约0.00008（t/a）。</w:t>
      </w:r>
    </w:p>
    <w:p w14:paraId="002F9A1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bCs/>
          <w:color w:val="auto"/>
          <w:sz w:val="24"/>
          <w:szCs w:val="24"/>
          <w:u w:val="none"/>
          <w:lang w:val="en-US" w:eastAsia="zh-CN"/>
        </w:rPr>
      </w:pPr>
      <w:r>
        <w:rPr>
          <w:rFonts w:hint="eastAsia" w:ascii="宋体" w:hAnsi="宋体" w:cs="宋体"/>
          <w:b/>
          <w:bCs/>
          <w:color w:val="auto"/>
          <w:sz w:val="24"/>
          <w:szCs w:val="24"/>
          <w:u w:val="none"/>
          <w:lang w:val="en-US" w:eastAsia="zh-CN"/>
        </w:rPr>
        <w:t>（3）</w:t>
      </w:r>
      <w:r>
        <w:rPr>
          <w:rFonts w:hint="eastAsia" w:ascii="宋体" w:hAnsi="宋体" w:eastAsia="宋体" w:cs="宋体"/>
          <w:b/>
          <w:bCs/>
          <w:color w:val="auto"/>
          <w:sz w:val="24"/>
          <w:szCs w:val="24"/>
          <w:u w:val="none"/>
          <w:lang w:val="en-US" w:eastAsia="zh-CN"/>
        </w:rPr>
        <w:t>储层改造废气</w:t>
      </w:r>
    </w:p>
    <w:p w14:paraId="47B7E29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储层改造过程压裂液为外购已配置好的压裂液，废气主要来源于压裂液现场暂存过程、压裂液注入过程以及压裂返排液暂存过程中产生的废气，主要成分为非甲烷总烃等，采取压裂液和压裂返排液密闭罐存放措施，有效降低废气排放。</w:t>
      </w:r>
    </w:p>
    <w:p w14:paraId="6D2A29E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4.4</w:t>
      </w:r>
      <w:r>
        <w:rPr>
          <w:rFonts w:hint="default" w:ascii="宋体" w:hAnsi="宋体" w:eastAsia="宋体" w:cs="宋体"/>
          <w:color w:val="auto"/>
          <w:u w:val="none"/>
          <w:lang w:val="en-US" w:eastAsia="zh-CN"/>
        </w:rPr>
        <w:t>.</w:t>
      </w:r>
      <w:r>
        <w:rPr>
          <w:rFonts w:hint="eastAsia" w:ascii="宋体" w:hAnsi="宋体" w:eastAsia="宋体" w:cs="宋体"/>
          <w:color w:val="auto"/>
          <w:u w:val="none"/>
          <w:lang w:val="en-US" w:eastAsia="zh-CN"/>
        </w:rPr>
        <w:t xml:space="preserve">3 </w:t>
      </w:r>
      <w:r>
        <w:rPr>
          <w:rFonts w:hint="default" w:ascii="宋体" w:hAnsi="宋体" w:eastAsia="宋体" w:cs="宋体"/>
          <w:color w:val="auto"/>
          <w:u w:val="none"/>
          <w:lang w:val="en-US" w:eastAsia="zh-CN"/>
        </w:rPr>
        <w:t>噪声源</w:t>
      </w:r>
    </w:p>
    <w:p w14:paraId="2E9BB09A">
      <w:pPr>
        <w:keepNext w:val="0"/>
        <w:keepLines w:val="0"/>
        <w:pageBreakBefore w:val="0"/>
        <w:widowControl/>
        <w:kinsoku/>
        <w:wordWrap/>
        <w:overflowPunct/>
        <w:topLinePunct w:val="0"/>
        <w:autoSpaceDE/>
        <w:autoSpaceDN/>
        <w:bidi w:val="0"/>
        <w:adjustRightInd/>
        <w:snapToGrid/>
        <w:spacing w:line="480" w:lineRule="exact"/>
        <w:ind w:firstLine="496" w:firstLineChars="200"/>
        <w:jc w:val="left"/>
        <w:textAlignment w:val="auto"/>
        <w:rPr>
          <w:rFonts w:hint="default" w:ascii="Times New Roman" w:hAnsi="Times New Roman" w:cs="Times New Roman"/>
          <w:color w:val="auto"/>
          <w:spacing w:val="4"/>
          <w:kern w:val="24"/>
          <w:sz w:val="24"/>
          <w:szCs w:val="24"/>
          <w:highlight w:val="none"/>
          <w:u w:val="none"/>
        </w:rPr>
      </w:pPr>
      <w:r>
        <w:rPr>
          <w:rFonts w:hint="default" w:ascii="Times New Roman" w:hAnsi="Times New Roman" w:cs="Times New Roman"/>
          <w:color w:val="auto"/>
          <w:spacing w:val="4"/>
          <w:kern w:val="24"/>
          <w:sz w:val="24"/>
          <w:szCs w:val="24"/>
          <w:highlight w:val="none"/>
          <w:u w:val="none"/>
        </w:rPr>
        <w:t>运营期间的噪声源主要包括</w:t>
      </w:r>
      <w:r>
        <w:rPr>
          <w:rFonts w:hint="eastAsia" w:cs="Times New Roman"/>
          <w:color w:val="auto"/>
          <w:spacing w:val="4"/>
          <w:kern w:val="24"/>
          <w:sz w:val="24"/>
          <w:szCs w:val="24"/>
          <w:highlight w:val="none"/>
          <w:u w:val="none"/>
          <w:lang w:val="en-US" w:eastAsia="zh-CN"/>
        </w:rPr>
        <w:t>井场、站场</w:t>
      </w:r>
      <w:r>
        <w:rPr>
          <w:rFonts w:hint="default" w:ascii="Times New Roman" w:hAnsi="Times New Roman" w:cs="Times New Roman"/>
          <w:color w:val="auto"/>
          <w:spacing w:val="4"/>
          <w:kern w:val="24"/>
          <w:sz w:val="24"/>
          <w:szCs w:val="24"/>
          <w:highlight w:val="none"/>
          <w:u w:val="none"/>
        </w:rPr>
        <w:t>设备的运转噪声和巡检车辆的交通噪声等，噪声级为60～</w:t>
      </w:r>
      <w:r>
        <w:rPr>
          <w:rFonts w:hint="default" w:ascii="Times New Roman" w:hAnsi="Times New Roman" w:cs="Times New Roman"/>
          <w:color w:val="auto"/>
          <w:spacing w:val="4"/>
          <w:kern w:val="24"/>
          <w:sz w:val="24"/>
          <w:szCs w:val="24"/>
          <w:highlight w:val="none"/>
          <w:u w:val="none"/>
          <w:lang w:val="en-US" w:eastAsia="zh-CN"/>
        </w:rPr>
        <w:t>120</w:t>
      </w:r>
      <w:r>
        <w:rPr>
          <w:rFonts w:hint="default" w:ascii="Times New Roman" w:hAnsi="Times New Roman" w:cs="Times New Roman"/>
          <w:color w:val="auto"/>
          <w:spacing w:val="4"/>
          <w:kern w:val="24"/>
          <w:sz w:val="24"/>
          <w:szCs w:val="24"/>
          <w:highlight w:val="none"/>
          <w:u w:val="none"/>
        </w:rPr>
        <w:t>dB(A)，见表3.</w:t>
      </w:r>
      <w:r>
        <w:rPr>
          <w:rFonts w:hint="eastAsia" w:cs="Times New Roman"/>
          <w:color w:val="auto"/>
          <w:spacing w:val="4"/>
          <w:kern w:val="24"/>
          <w:sz w:val="24"/>
          <w:szCs w:val="24"/>
          <w:highlight w:val="none"/>
          <w:u w:val="none"/>
          <w:lang w:val="en-US" w:eastAsia="zh-CN"/>
        </w:rPr>
        <w:t>4</w:t>
      </w:r>
      <w:r>
        <w:rPr>
          <w:rFonts w:hint="default" w:ascii="Times New Roman" w:hAnsi="Times New Roman" w:cs="Times New Roman"/>
          <w:color w:val="auto"/>
          <w:spacing w:val="4"/>
          <w:kern w:val="24"/>
          <w:sz w:val="24"/>
          <w:szCs w:val="24"/>
          <w:highlight w:val="none"/>
          <w:u w:val="none"/>
        </w:rPr>
        <w:t>-</w:t>
      </w:r>
      <w:r>
        <w:rPr>
          <w:rFonts w:hint="eastAsia" w:cs="Times New Roman"/>
          <w:color w:val="auto"/>
          <w:spacing w:val="4"/>
          <w:kern w:val="24"/>
          <w:sz w:val="24"/>
          <w:szCs w:val="24"/>
          <w:highlight w:val="none"/>
          <w:u w:val="none"/>
          <w:lang w:val="en-US" w:eastAsia="zh-CN"/>
        </w:rPr>
        <w:t>12</w:t>
      </w:r>
      <w:r>
        <w:rPr>
          <w:rFonts w:hint="default" w:ascii="Times New Roman" w:hAnsi="Times New Roman" w:cs="Times New Roman"/>
          <w:color w:val="auto"/>
          <w:spacing w:val="4"/>
          <w:kern w:val="24"/>
          <w:sz w:val="24"/>
          <w:szCs w:val="24"/>
          <w:highlight w:val="none"/>
          <w:u w:val="none"/>
        </w:rPr>
        <w:t>。</w:t>
      </w:r>
    </w:p>
    <w:p w14:paraId="3120FA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 xml:space="preserve">3.4-12    </w:t>
      </w:r>
      <w:r>
        <w:rPr>
          <w:rFonts w:hint="default" w:ascii="黑体" w:hAnsi="黑体" w:eastAsia="黑体" w:cs="黑体"/>
          <w:b w:val="0"/>
          <w:bCs/>
          <w:color w:val="auto"/>
          <w:kern w:val="2"/>
          <w:sz w:val="24"/>
          <w:szCs w:val="24"/>
          <w:u w:val="none"/>
          <w:lang w:val="en-US" w:eastAsia="zh-CN" w:bidi="ar-SA"/>
        </w:rPr>
        <w:t>噪声源设备</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139"/>
        <w:gridCol w:w="1162"/>
        <w:gridCol w:w="1189"/>
        <w:gridCol w:w="885"/>
        <w:gridCol w:w="885"/>
        <w:gridCol w:w="896"/>
        <w:gridCol w:w="896"/>
        <w:gridCol w:w="897"/>
      </w:tblGrid>
      <w:tr w14:paraId="3C923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01" w:type="pct"/>
            <w:gridSpan w:val="3"/>
            <w:tcBorders>
              <w:tl2br w:val="nil"/>
              <w:tr2bl w:val="nil"/>
            </w:tcBorders>
            <w:noWrap w:val="0"/>
            <w:vAlign w:val="center"/>
          </w:tcPr>
          <w:p w14:paraId="2ADF1B01">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噪声源名称</w:t>
            </w:r>
          </w:p>
        </w:tc>
        <w:tc>
          <w:tcPr>
            <w:tcW w:w="673" w:type="pct"/>
            <w:tcBorders>
              <w:tl2br w:val="nil"/>
              <w:tr2bl w:val="nil"/>
            </w:tcBorders>
            <w:noWrap w:val="0"/>
            <w:vAlign w:val="center"/>
          </w:tcPr>
          <w:p w14:paraId="7FE28277">
            <w:pPr>
              <w:keepNext w:val="0"/>
              <w:keepLines w:val="0"/>
              <w:pageBreakBefore w:val="0"/>
              <w:widowControl w:val="0"/>
              <w:kinsoku/>
              <w:wordWrap/>
              <w:overflowPunct/>
              <w:topLinePunct w:val="0"/>
              <w:autoSpaceDE/>
              <w:autoSpaceDN/>
              <w:bidi w:val="0"/>
              <w:adjustRightInd w:val="0"/>
              <w:snapToGrid w:val="0"/>
              <w:spacing w:line="380" w:lineRule="exact"/>
              <w:ind w:left="-42" w:leftChars="-20" w:right="-42" w:rightChars="-20"/>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声功率级</w:t>
            </w:r>
            <w:r>
              <w:rPr>
                <w:rFonts w:hint="eastAsia" w:ascii="Times New Roman" w:hAnsi="Times New Roman" w:eastAsia="宋体"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dB（A）</w:t>
            </w:r>
            <w:r>
              <w:rPr>
                <w:rFonts w:hint="eastAsia" w:ascii="Times New Roman" w:hAnsi="Times New Roman" w:eastAsia="宋体" w:cs="Times New Roman"/>
                <w:color w:val="auto"/>
                <w:kern w:val="2"/>
                <w:sz w:val="21"/>
                <w:szCs w:val="21"/>
                <w:highlight w:val="none"/>
                <w:u w:val="none"/>
                <w:lang w:val="en-US" w:eastAsia="zh-CN" w:bidi="ar-SA"/>
              </w:rPr>
              <w:t>〕</w:t>
            </w:r>
          </w:p>
        </w:tc>
        <w:tc>
          <w:tcPr>
            <w:tcW w:w="501" w:type="pct"/>
            <w:tcBorders>
              <w:tl2br w:val="nil"/>
              <w:tr2bl w:val="nil"/>
            </w:tcBorders>
            <w:noWrap w:val="0"/>
            <w:vAlign w:val="center"/>
          </w:tcPr>
          <w:p w14:paraId="603730AB">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噪声特性</w:t>
            </w:r>
          </w:p>
        </w:tc>
        <w:tc>
          <w:tcPr>
            <w:tcW w:w="501" w:type="pct"/>
            <w:tcBorders>
              <w:tl2br w:val="nil"/>
              <w:tr2bl w:val="nil"/>
            </w:tcBorders>
            <w:noWrap w:val="0"/>
            <w:vAlign w:val="center"/>
          </w:tcPr>
          <w:p w14:paraId="40CD044A">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排放规律</w:t>
            </w:r>
          </w:p>
        </w:tc>
        <w:tc>
          <w:tcPr>
            <w:tcW w:w="507" w:type="pct"/>
            <w:tcBorders>
              <w:tl2br w:val="nil"/>
              <w:tr2bl w:val="nil"/>
            </w:tcBorders>
            <w:noWrap w:val="0"/>
            <w:vAlign w:val="center"/>
          </w:tcPr>
          <w:p w14:paraId="7A3F3AD0">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备注</w:t>
            </w:r>
          </w:p>
        </w:tc>
        <w:tc>
          <w:tcPr>
            <w:tcW w:w="507" w:type="pct"/>
            <w:tcBorders>
              <w:tl2br w:val="nil"/>
              <w:tr2bl w:val="nil"/>
            </w:tcBorders>
            <w:noWrap w:val="0"/>
            <w:vAlign w:val="center"/>
          </w:tcPr>
          <w:p w14:paraId="1CC3AF1D">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运行时段</w:t>
            </w:r>
          </w:p>
        </w:tc>
        <w:tc>
          <w:tcPr>
            <w:tcW w:w="508" w:type="pct"/>
            <w:tcBorders>
              <w:tl2br w:val="nil"/>
              <w:tr2bl w:val="nil"/>
            </w:tcBorders>
            <w:noWrap w:val="0"/>
            <w:vAlign w:val="center"/>
          </w:tcPr>
          <w:p w14:paraId="2EAC7487">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声源控制措施</w:t>
            </w:r>
          </w:p>
        </w:tc>
      </w:tr>
      <w:tr w14:paraId="210CB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8" w:type="pct"/>
            <w:vMerge w:val="restart"/>
            <w:tcBorders>
              <w:tl2br w:val="nil"/>
              <w:tr2bl w:val="nil"/>
            </w:tcBorders>
            <w:noWrap w:val="0"/>
            <w:vAlign w:val="center"/>
          </w:tcPr>
          <w:p w14:paraId="4B286452">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正常</w:t>
            </w:r>
          </w:p>
          <w:p w14:paraId="0C2A5706">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工况</w:t>
            </w:r>
          </w:p>
        </w:tc>
        <w:tc>
          <w:tcPr>
            <w:tcW w:w="645" w:type="pct"/>
            <w:tcBorders>
              <w:tl2br w:val="nil"/>
              <w:tr2bl w:val="nil"/>
            </w:tcBorders>
            <w:noWrap w:val="0"/>
            <w:vAlign w:val="center"/>
          </w:tcPr>
          <w:p w14:paraId="09CB69A5">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井场、站场设备</w:t>
            </w:r>
          </w:p>
        </w:tc>
        <w:tc>
          <w:tcPr>
            <w:tcW w:w="658" w:type="pct"/>
            <w:tcBorders>
              <w:tl2br w:val="nil"/>
              <w:tr2bl w:val="nil"/>
            </w:tcBorders>
            <w:noWrap w:val="0"/>
            <w:vAlign w:val="center"/>
          </w:tcPr>
          <w:p w14:paraId="377B9B3F">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机泵</w:t>
            </w:r>
          </w:p>
        </w:tc>
        <w:tc>
          <w:tcPr>
            <w:tcW w:w="673" w:type="pct"/>
            <w:tcBorders>
              <w:tl2br w:val="nil"/>
              <w:tr2bl w:val="nil"/>
            </w:tcBorders>
            <w:noWrap w:val="0"/>
            <w:vAlign w:val="center"/>
          </w:tcPr>
          <w:p w14:paraId="0C9A1357">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75~80</w:t>
            </w:r>
          </w:p>
        </w:tc>
        <w:tc>
          <w:tcPr>
            <w:tcW w:w="501" w:type="pct"/>
            <w:tcBorders>
              <w:tl2br w:val="nil"/>
              <w:tr2bl w:val="nil"/>
            </w:tcBorders>
            <w:noWrap w:val="0"/>
            <w:vAlign w:val="center"/>
          </w:tcPr>
          <w:p w14:paraId="4B9D4A90">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机械</w:t>
            </w:r>
          </w:p>
        </w:tc>
        <w:tc>
          <w:tcPr>
            <w:tcW w:w="501" w:type="pct"/>
            <w:tcBorders>
              <w:tl2br w:val="nil"/>
              <w:tr2bl w:val="nil"/>
            </w:tcBorders>
            <w:noWrap w:val="0"/>
            <w:vAlign w:val="center"/>
          </w:tcPr>
          <w:p w14:paraId="6F291542">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连续</w:t>
            </w:r>
          </w:p>
        </w:tc>
        <w:tc>
          <w:tcPr>
            <w:tcW w:w="507" w:type="pct"/>
            <w:tcBorders>
              <w:tl2br w:val="nil"/>
              <w:tr2bl w:val="nil"/>
            </w:tcBorders>
            <w:noWrap w:val="0"/>
            <w:vAlign w:val="center"/>
          </w:tcPr>
          <w:p w14:paraId="7C29F20F">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w:t>
            </w:r>
          </w:p>
        </w:tc>
        <w:tc>
          <w:tcPr>
            <w:tcW w:w="507" w:type="pct"/>
            <w:tcBorders>
              <w:tl2br w:val="nil"/>
              <w:tr2bl w:val="nil"/>
            </w:tcBorders>
            <w:noWrap w:val="0"/>
            <w:vAlign w:val="center"/>
          </w:tcPr>
          <w:p w14:paraId="32D61DED">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昼间至夜间</w:t>
            </w:r>
          </w:p>
        </w:tc>
        <w:tc>
          <w:tcPr>
            <w:tcW w:w="508" w:type="pct"/>
            <w:tcBorders>
              <w:tl2br w:val="nil"/>
              <w:tr2bl w:val="nil"/>
            </w:tcBorders>
            <w:noWrap w:val="0"/>
            <w:vAlign w:val="center"/>
          </w:tcPr>
          <w:p w14:paraId="21DFE1DE">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选用低噪设备</w:t>
            </w:r>
          </w:p>
        </w:tc>
      </w:tr>
      <w:tr w14:paraId="2A79F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8" w:type="pct"/>
            <w:vMerge w:val="continue"/>
            <w:tcBorders>
              <w:tl2br w:val="nil"/>
              <w:tr2bl w:val="nil"/>
            </w:tcBorders>
            <w:noWrap w:val="0"/>
            <w:vAlign w:val="center"/>
          </w:tcPr>
          <w:p w14:paraId="4DE535AB">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p>
        </w:tc>
        <w:tc>
          <w:tcPr>
            <w:tcW w:w="645" w:type="pct"/>
            <w:tcBorders>
              <w:tl2br w:val="nil"/>
              <w:tr2bl w:val="nil"/>
            </w:tcBorders>
            <w:noWrap w:val="0"/>
            <w:vAlign w:val="center"/>
          </w:tcPr>
          <w:p w14:paraId="2D0F5F4A">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交通噪声</w:t>
            </w:r>
          </w:p>
        </w:tc>
        <w:tc>
          <w:tcPr>
            <w:tcW w:w="658" w:type="pct"/>
            <w:tcBorders>
              <w:tl2br w:val="nil"/>
              <w:tr2bl w:val="nil"/>
            </w:tcBorders>
            <w:noWrap w:val="0"/>
            <w:vAlign w:val="center"/>
          </w:tcPr>
          <w:p w14:paraId="0B32ED88">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罐车、巡检车辆</w:t>
            </w:r>
          </w:p>
        </w:tc>
        <w:tc>
          <w:tcPr>
            <w:tcW w:w="673" w:type="pct"/>
            <w:tcBorders>
              <w:tl2br w:val="nil"/>
              <w:tr2bl w:val="nil"/>
            </w:tcBorders>
            <w:noWrap w:val="0"/>
            <w:vAlign w:val="center"/>
          </w:tcPr>
          <w:p w14:paraId="5E89017B">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w:t>
            </w:r>
            <w:r>
              <w:rPr>
                <w:rFonts w:hint="default" w:ascii="Times New Roman" w:hAnsi="Times New Roman" w:eastAsia="宋体" w:cs="Times New Roman"/>
                <w:color w:val="auto"/>
                <w:kern w:val="2"/>
                <w:sz w:val="21"/>
                <w:szCs w:val="21"/>
                <w:highlight w:val="none"/>
                <w:u w:val="none"/>
                <w:lang w:val="en-US" w:eastAsia="zh-CN" w:bidi="ar-SA"/>
              </w:rPr>
              <w:t>0～90</w:t>
            </w:r>
          </w:p>
        </w:tc>
        <w:tc>
          <w:tcPr>
            <w:tcW w:w="501" w:type="pct"/>
            <w:tcBorders>
              <w:tl2br w:val="nil"/>
              <w:tr2bl w:val="nil"/>
            </w:tcBorders>
            <w:noWrap w:val="0"/>
            <w:vAlign w:val="center"/>
          </w:tcPr>
          <w:p w14:paraId="05F70FA3">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机械</w:t>
            </w:r>
          </w:p>
        </w:tc>
        <w:tc>
          <w:tcPr>
            <w:tcW w:w="501" w:type="pct"/>
            <w:tcBorders>
              <w:tl2br w:val="nil"/>
              <w:tr2bl w:val="nil"/>
            </w:tcBorders>
            <w:noWrap w:val="0"/>
            <w:vAlign w:val="center"/>
          </w:tcPr>
          <w:p w14:paraId="44AF38EF">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间歇</w:t>
            </w:r>
          </w:p>
        </w:tc>
        <w:tc>
          <w:tcPr>
            <w:tcW w:w="507" w:type="pct"/>
            <w:tcBorders>
              <w:tl2br w:val="nil"/>
              <w:tr2bl w:val="nil"/>
            </w:tcBorders>
            <w:noWrap w:val="0"/>
            <w:vAlign w:val="center"/>
          </w:tcPr>
          <w:p w14:paraId="0C3890BC">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w:t>
            </w:r>
          </w:p>
        </w:tc>
        <w:tc>
          <w:tcPr>
            <w:tcW w:w="507" w:type="pct"/>
            <w:tcBorders>
              <w:tl2br w:val="nil"/>
              <w:tr2bl w:val="nil"/>
            </w:tcBorders>
            <w:noWrap w:val="0"/>
            <w:vAlign w:val="center"/>
          </w:tcPr>
          <w:p w14:paraId="574EFAA9">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昼间</w:t>
            </w:r>
          </w:p>
        </w:tc>
        <w:tc>
          <w:tcPr>
            <w:tcW w:w="508" w:type="pct"/>
            <w:tcBorders>
              <w:tl2br w:val="nil"/>
              <w:tr2bl w:val="nil"/>
            </w:tcBorders>
            <w:noWrap w:val="0"/>
            <w:vAlign w:val="center"/>
          </w:tcPr>
          <w:p w14:paraId="03C8CCF3">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w:t>
            </w:r>
          </w:p>
        </w:tc>
      </w:tr>
    </w:tbl>
    <w:p w14:paraId="7E610D1E">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4</w:t>
      </w:r>
      <w:r>
        <w:rPr>
          <w:rFonts w:hint="default" w:ascii="宋体" w:hAnsi="宋体" w:eastAsia="宋体" w:cs="宋体"/>
          <w:color w:val="auto"/>
          <w:u w:val="none"/>
          <w:lang w:val="en-US" w:eastAsia="zh-CN"/>
        </w:rPr>
        <w:t>.</w:t>
      </w:r>
      <w:r>
        <w:rPr>
          <w:rFonts w:hint="eastAsia" w:ascii="宋体" w:hAnsi="宋体" w:eastAsia="宋体" w:cs="宋体"/>
          <w:color w:val="auto"/>
          <w:u w:val="none"/>
          <w:lang w:val="en-US" w:eastAsia="zh-CN"/>
        </w:rPr>
        <w:t>4</w:t>
      </w:r>
      <w:r>
        <w:rPr>
          <w:rFonts w:hint="default" w:ascii="宋体" w:hAnsi="宋体" w:eastAsia="宋体" w:cs="宋体"/>
          <w:color w:val="auto"/>
          <w:u w:val="none"/>
          <w:lang w:val="en-US" w:eastAsia="zh-CN"/>
        </w:rPr>
        <w:t>.</w:t>
      </w:r>
      <w:r>
        <w:rPr>
          <w:rFonts w:hint="eastAsia" w:ascii="宋体" w:hAnsi="宋体" w:eastAsia="宋体" w:cs="宋体"/>
          <w:color w:val="auto"/>
          <w:u w:val="none"/>
          <w:lang w:val="en-US" w:eastAsia="zh-CN"/>
        </w:rPr>
        <w:t xml:space="preserve">4 </w:t>
      </w:r>
      <w:r>
        <w:rPr>
          <w:rFonts w:hint="default" w:ascii="宋体" w:hAnsi="宋体" w:eastAsia="宋体" w:cs="宋体"/>
          <w:color w:val="auto"/>
          <w:u w:val="none"/>
          <w:lang w:val="en-US" w:eastAsia="zh-CN"/>
        </w:rPr>
        <w:t>固体废物污染源</w:t>
      </w:r>
      <w:bookmarkEnd w:id="273"/>
    </w:p>
    <w:p w14:paraId="39DDE50E">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b/>
          <w:bCs/>
          <w:color w:val="auto"/>
          <w:highlight w:val="none"/>
          <w:u w:val="none"/>
        </w:rPr>
      </w:pPr>
      <w:bookmarkStart w:id="274" w:name="_Toc20969"/>
      <w:r>
        <w:rPr>
          <w:rFonts w:hint="default" w:ascii="Times New Roman" w:hAnsi="Times New Roman" w:cs="Times New Roman"/>
          <w:b/>
          <w:bCs/>
          <w:color w:val="auto"/>
          <w:highlight w:val="none"/>
          <w:u w:val="none"/>
        </w:rPr>
        <w:t>（1）油泥（砂）</w:t>
      </w:r>
      <w:bookmarkEnd w:id="274"/>
    </w:p>
    <w:p w14:paraId="1A17CFC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snapToGrid w:val="0"/>
          <w:color w:val="auto"/>
          <w:sz w:val="24"/>
          <w:szCs w:val="24"/>
          <w:highlight w:val="none"/>
          <w:u w:val="none"/>
        </w:rPr>
      </w:pPr>
      <w:r>
        <w:rPr>
          <w:rFonts w:hint="default" w:ascii="Times New Roman" w:hAnsi="Times New Roman" w:eastAsia="宋体" w:cs="Times New Roman"/>
          <w:bCs/>
          <w:snapToGrid w:val="0"/>
          <w:color w:val="auto"/>
          <w:sz w:val="24"/>
          <w:szCs w:val="24"/>
          <w:highlight w:val="none"/>
          <w:u w:val="none"/>
        </w:rPr>
        <w:t>油泥砂主要为处理厂的</w:t>
      </w:r>
      <w:r>
        <w:rPr>
          <w:rFonts w:hint="eastAsia" w:ascii="Times New Roman" w:hAnsi="Times New Roman" w:eastAsia="宋体" w:cs="Times New Roman"/>
          <w:bCs/>
          <w:snapToGrid w:val="0"/>
          <w:color w:val="auto"/>
          <w:sz w:val="24"/>
          <w:szCs w:val="24"/>
          <w:highlight w:val="none"/>
          <w:u w:val="none"/>
          <w:lang w:eastAsia="zh-CN"/>
        </w:rPr>
        <w:t>采出水处理系统</w:t>
      </w:r>
      <w:r>
        <w:rPr>
          <w:rFonts w:hint="default" w:ascii="Times New Roman" w:hAnsi="Times New Roman" w:eastAsia="宋体" w:cs="Times New Roman"/>
          <w:bCs/>
          <w:snapToGrid w:val="0"/>
          <w:color w:val="auto"/>
          <w:sz w:val="24"/>
          <w:szCs w:val="24"/>
          <w:highlight w:val="none"/>
          <w:u w:val="none"/>
        </w:rPr>
        <w:t>或沉降油罐产生的沉淀物，部分为原油，部分为泥土等杂质，属于危险废物（HW08）（071-001-08）。</w:t>
      </w:r>
    </w:p>
    <w:p w14:paraId="12AAB9A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snapToGrid w:val="0"/>
          <w:color w:val="auto"/>
          <w:sz w:val="24"/>
          <w:szCs w:val="24"/>
          <w:highlight w:val="none"/>
          <w:u w:val="none"/>
          <w:lang w:eastAsia="zh-CN"/>
        </w:rPr>
      </w:pPr>
      <w:r>
        <w:rPr>
          <w:rFonts w:hint="default" w:ascii="Times New Roman" w:hAnsi="Times New Roman" w:eastAsia="宋体" w:cs="Times New Roman"/>
          <w:bCs/>
          <w:snapToGrid w:val="0"/>
          <w:color w:val="auto"/>
          <w:sz w:val="24"/>
          <w:szCs w:val="24"/>
          <w:highlight w:val="none"/>
          <w:u w:val="none"/>
        </w:rPr>
        <w:t>油泥（砂）产生量与</w:t>
      </w:r>
      <w:r>
        <w:rPr>
          <w:rFonts w:hint="eastAsia" w:cs="Times New Roman"/>
          <w:bCs/>
          <w:snapToGrid w:val="0"/>
          <w:color w:val="auto"/>
          <w:sz w:val="24"/>
          <w:szCs w:val="24"/>
          <w:highlight w:val="none"/>
          <w:u w:val="none"/>
          <w:lang w:val="en-US" w:eastAsia="zh-CN"/>
        </w:rPr>
        <w:t>气</w:t>
      </w:r>
      <w:r>
        <w:rPr>
          <w:rFonts w:hint="eastAsia" w:ascii="Times New Roman" w:hAnsi="Times New Roman" w:eastAsia="宋体" w:cs="Times New Roman"/>
          <w:bCs/>
          <w:snapToGrid w:val="0"/>
          <w:color w:val="auto"/>
          <w:sz w:val="24"/>
          <w:szCs w:val="24"/>
          <w:highlight w:val="none"/>
          <w:u w:val="none"/>
          <w:lang w:val="en-US" w:eastAsia="zh-CN"/>
        </w:rPr>
        <w:t>井</w:t>
      </w:r>
      <w:r>
        <w:rPr>
          <w:rFonts w:hint="default" w:ascii="Times New Roman" w:hAnsi="Times New Roman" w:eastAsia="宋体" w:cs="Times New Roman"/>
          <w:bCs/>
          <w:snapToGrid w:val="0"/>
          <w:color w:val="auto"/>
          <w:sz w:val="24"/>
          <w:szCs w:val="24"/>
          <w:highlight w:val="none"/>
          <w:u w:val="none"/>
        </w:rPr>
        <w:t>的出砂情况有关，根据《排放源统计调查产排污核算方法和系数手册》（2021年）中07石油和天然气开采业行业系数手册（续35）中产污系数核算含油污泥产生量详见表3.</w:t>
      </w:r>
      <w:r>
        <w:rPr>
          <w:rFonts w:hint="eastAsia" w:cs="Times New Roman"/>
          <w:bCs/>
          <w:snapToGrid w:val="0"/>
          <w:color w:val="auto"/>
          <w:sz w:val="24"/>
          <w:szCs w:val="24"/>
          <w:highlight w:val="none"/>
          <w:u w:val="none"/>
          <w:lang w:val="en-US" w:eastAsia="zh-CN"/>
        </w:rPr>
        <w:t>4-13</w:t>
      </w:r>
      <w:r>
        <w:rPr>
          <w:rFonts w:hint="default" w:ascii="Times New Roman" w:hAnsi="Times New Roman" w:eastAsia="宋体" w:cs="Times New Roman"/>
          <w:bCs/>
          <w:snapToGrid w:val="0"/>
          <w:color w:val="auto"/>
          <w:sz w:val="24"/>
          <w:szCs w:val="24"/>
          <w:highlight w:val="none"/>
          <w:u w:val="none"/>
        </w:rPr>
        <w:t>。</w:t>
      </w:r>
    </w:p>
    <w:p w14:paraId="0F4F61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4-13</w:t>
      </w:r>
      <w:r>
        <w:rPr>
          <w:rFonts w:hint="default" w:ascii="黑体" w:hAnsi="黑体" w:eastAsia="黑体" w:cs="黑体"/>
          <w:b w:val="0"/>
          <w:bCs/>
          <w:color w:val="auto"/>
          <w:kern w:val="2"/>
          <w:sz w:val="24"/>
          <w:szCs w:val="24"/>
          <w:u w:val="none"/>
          <w:lang w:val="en-US" w:eastAsia="zh-CN" w:bidi="ar-SA"/>
        </w:rPr>
        <w:t xml:space="preserve">  </w:t>
      </w:r>
      <w:r>
        <w:rPr>
          <w:rFonts w:hint="eastAsia" w:ascii="黑体" w:hAnsi="黑体" w:eastAsia="黑体" w:cs="黑体"/>
          <w:b w:val="0"/>
          <w:bCs/>
          <w:color w:val="auto"/>
          <w:kern w:val="2"/>
          <w:sz w:val="24"/>
          <w:szCs w:val="24"/>
          <w:u w:val="none"/>
          <w:lang w:val="en-US" w:eastAsia="zh-CN" w:bidi="ar-SA"/>
        </w:rPr>
        <w:t xml:space="preserve">  </w:t>
      </w:r>
      <w:r>
        <w:rPr>
          <w:rFonts w:hint="default" w:ascii="黑体" w:hAnsi="黑体" w:eastAsia="黑体" w:cs="黑体"/>
          <w:b w:val="0"/>
          <w:bCs/>
          <w:color w:val="auto"/>
          <w:kern w:val="2"/>
          <w:sz w:val="24"/>
          <w:szCs w:val="24"/>
          <w:u w:val="none"/>
          <w:lang w:val="en-US" w:eastAsia="zh-CN" w:bidi="ar-SA"/>
        </w:rPr>
        <w:t>石油和天然气开采行业专业及辅助性活动行业系数表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858"/>
        <w:gridCol w:w="823"/>
        <w:gridCol w:w="2161"/>
        <w:gridCol w:w="637"/>
        <w:gridCol w:w="759"/>
        <w:gridCol w:w="821"/>
        <w:gridCol w:w="602"/>
        <w:gridCol w:w="1371"/>
        <w:gridCol w:w="639"/>
      </w:tblGrid>
      <w:tr w14:paraId="13DAB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494" w:type="pct"/>
            <w:tcBorders>
              <w:tl2br w:val="nil"/>
              <w:tr2bl w:val="nil"/>
            </w:tcBorders>
            <w:noWrap w:val="0"/>
            <w:vAlign w:val="center"/>
          </w:tcPr>
          <w:p w14:paraId="0416707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产品名称</w:t>
            </w:r>
          </w:p>
        </w:tc>
        <w:tc>
          <w:tcPr>
            <w:tcW w:w="474" w:type="pct"/>
            <w:tcBorders>
              <w:tl2br w:val="nil"/>
              <w:tr2bl w:val="nil"/>
            </w:tcBorders>
            <w:noWrap w:val="0"/>
            <w:vAlign w:val="center"/>
          </w:tcPr>
          <w:p w14:paraId="12C58CD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原料名称</w:t>
            </w:r>
          </w:p>
        </w:tc>
        <w:tc>
          <w:tcPr>
            <w:tcW w:w="1245" w:type="pct"/>
            <w:tcBorders>
              <w:tl2br w:val="nil"/>
              <w:tr2bl w:val="nil"/>
            </w:tcBorders>
            <w:noWrap w:val="0"/>
            <w:vAlign w:val="center"/>
          </w:tcPr>
          <w:p w14:paraId="5BC6B2F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工艺名称</w:t>
            </w:r>
          </w:p>
        </w:tc>
        <w:tc>
          <w:tcPr>
            <w:tcW w:w="367" w:type="pct"/>
            <w:tcBorders>
              <w:tl2br w:val="nil"/>
              <w:tr2bl w:val="nil"/>
            </w:tcBorders>
            <w:noWrap w:val="0"/>
            <w:vAlign w:val="center"/>
          </w:tcPr>
          <w:p w14:paraId="1954C6B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规模等级</w:t>
            </w:r>
          </w:p>
        </w:tc>
        <w:tc>
          <w:tcPr>
            <w:tcW w:w="437" w:type="pct"/>
            <w:tcBorders>
              <w:tl2br w:val="nil"/>
              <w:tr2bl w:val="nil"/>
            </w:tcBorders>
            <w:noWrap w:val="0"/>
            <w:vAlign w:val="center"/>
          </w:tcPr>
          <w:p w14:paraId="7AB0273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污染物类别</w:t>
            </w:r>
          </w:p>
        </w:tc>
        <w:tc>
          <w:tcPr>
            <w:tcW w:w="473" w:type="pct"/>
            <w:tcBorders>
              <w:tl2br w:val="nil"/>
              <w:tr2bl w:val="nil"/>
            </w:tcBorders>
            <w:noWrap w:val="0"/>
            <w:vAlign w:val="center"/>
          </w:tcPr>
          <w:p w14:paraId="7DA42C1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单位</w:t>
            </w:r>
          </w:p>
        </w:tc>
        <w:tc>
          <w:tcPr>
            <w:tcW w:w="347" w:type="pct"/>
            <w:tcBorders>
              <w:tl2br w:val="nil"/>
              <w:tr2bl w:val="nil"/>
            </w:tcBorders>
            <w:noWrap w:val="0"/>
            <w:vAlign w:val="center"/>
          </w:tcPr>
          <w:p w14:paraId="20C1B47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产污</w:t>
            </w:r>
          </w:p>
          <w:p w14:paraId="3827D7A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系数</w:t>
            </w:r>
          </w:p>
        </w:tc>
        <w:tc>
          <w:tcPr>
            <w:tcW w:w="790" w:type="pct"/>
            <w:tcBorders>
              <w:tl2br w:val="nil"/>
              <w:tr2bl w:val="nil"/>
            </w:tcBorders>
            <w:noWrap w:val="0"/>
            <w:vAlign w:val="center"/>
          </w:tcPr>
          <w:p w14:paraId="01D6998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末端治理技术名称</w:t>
            </w:r>
          </w:p>
        </w:tc>
        <w:tc>
          <w:tcPr>
            <w:tcW w:w="368" w:type="pct"/>
            <w:tcBorders>
              <w:tl2br w:val="nil"/>
              <w:tr2bl w:val="nil"/>
            </w:tcBorders>
            <w:noWrap w:val="0"/>
            <w:vAlign w:val="center"/>
          </w:tcPr>
          <w:p w14:paraId="1620196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排污系数</w:t>
            </w:r>
          </w:p>
        </w:tc>
      </w:tr>
      <w:tr w14:paraId="04565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84" w:hRule="atLeast"/>
          <w:jc w:val="center"/>
        </w:trPr>
        <w:tc>
          <w:tcPr>
            <w:tcW w:w="494" w:type="pct"/>
            <w:tcBorders>
              <w:tl2br w:val="nil"/>
              <w:tr2bl w:val="nil"/>
            </w:tcBorders>
            <w:noWrap w:val="0"/>
            <w:vAlign w:val="center"/>
          </w:tcPr>
          <w:p w14:paraId="2DFB1DA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lang w:eastAsia="zh-CN"/>
              </w:rPr>
            </w:pPr>
            <w:r>
              <w:rPr>
                <w:rFonts w:hint="eastAsia" w:ascii="宋体" w:hAnsi="宋体" w:cs="宋体"/>
                <w:b w:val="0"/>
                <w:bCs/>
                <w:color w:val="auto"/>
                <w:kern w:val="0"/>
                <w:sz w:val="21"/>
                <w:szCs w:val="21"/>
                <w:highlight w:val="none"/>
                <w:u w:val="none"/>
                <w:lang w:val="en-US" w:eastAsia="zh-CN"/>
              </w:rPr>
              <w:t>天然气（含煤层气）</w:t>
            </w:r>
          </w:p>
        </w:tc>
        <w:tc>
          <w:tcPr>
            <w:tcW w:w="474" w:type="pct"/>
            <w:tcBorders>
              <w:tl2br w:val="nil"/>
              <w:tr2bl w:val="nil"/>
            </w:tcBorders>
            <w:noWrap w:val="0"/>
            <w:vAlign w:val="center"/>
          </w:tcPr>
          <w:p w14:paraId="5599101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cs="宋体"/>
                <w:b w:val="0"/>
                <w:bCs/>
                <w:color w:val="auto"/>
                <w:kern w:val="0"/>
                <w:sz w:val="21"/>
                <w:szCs w:val="21"/>
                <w:highlight w:val="none"/>
                <w:u w:val="none"/>
                <w:lang w:val="en-US" w:eastAsia="zh-CN"/>
              </w:rPr>
              <w:t>天然气（含煤层气）</w:t>
            </w:r>
          </w:p>
        </w:tc>
        <w:tc>
          <w:tcPr>
            <w:tcW w:w="1245" w:type="pct"/>
            <w:tcBorders>
              <w:tl2br w:val="nil"/>
              <w:tr2bl w:val="nil"/>
            </w:tcBorders>
            <w:noWrap w:val="0"/>
            <w:vAlign w:val="center"/>
          </w:tcPr>
          <w:p w14:paraId="1A69541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检修清罐、</w:t>
            </w:r>
            <w:r>
              <w:rPr>
                <w:rFonts w:hint="eastAsia" w:ascii="宋体" w:hAnsi="宋体" w:eastAsia="宋体" w:cs="宋体"/>
                <w:b w:val="0"/>
                <w:bCs/>
                <w:color w:val="auto"/>
                <w:kern w:val="0"/>
                <w:sz w:val="21"/>
                <w:szCs w:val="21"/>
                <w:highlight w:val="none"/>
                <w:u w:val="none"/>
                <w:lang w:val="en-US" w:eastAsia="zh-CN"/>
              </w:rPr>
              <w:t>管线刺漏</w:t>
            </w:r>
            <w:r>
              <w:rPr>
                <w:rFonts w:hint="eastAsia" w:ascii="宋体" w:hAnsi="宋体" w:eastAsia="宋体" w:cs="宋体"/>
                <w:b w:val="0"/>
                <w:bCs/>
                <w:color w:val="auto"/>
                <w:kern w:val="0"/>
                <w:sz w:val="21"/>
                <w:szCs w:val="21"/>
                <w:highlight w:val="none"/>
                <w:u w:val="none"/>
                <w:lang w:eastAsia="zh-CN"/>
              </w:rPr>
              <w:t>、</w:t>
            </w:r>
            <w:r>
              <w:rPr>
                <w:rFonts w:hint="eastAsia" w:ascii="宋体" w:hAnsi="宋体" w:eastAsia="宋体" w:cs="宋体"/>
                <w:b w:val="0"/>
                <w:bCs/>
                <w:color w:val="auto"/>
                <w:kern w:val="0"/>
                <w:sz w:val="21"/>
                <w:szCs w:val="21"/>
                <w:highlight w:val="none"/>
                <w:u w:val="none"/>
                <w:lang w:val="en-US" w:eastAsia="zh-CN"/>
              </w:rPr>
              <w:t>晒水池隔油池清淤等</w:t>
            </w:r>
          </w:p>
        </w:tc>
        <w:tc>
          <w:tcPr>
            <w:tcW w:w="367" w:type="pct"/>
            <w:tcBorders>
              <w:tl2br w:val="nil"/>
              <w:tr2bl w:val="nil"/>
            </w:tcBorders>
            <w:noWrap w:val="0"/>
            <w:vAlign w:val="center"/>
          </w:tcPr>
          <w:p w14:paraId="3873ADC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所有规模</w:t>
            </w:r>
          </w:p>
        </w:tc>
        <w:tc>
          <w:tcPr>
            <w:tcW w:w="437" w:type="pct"/>
            <w:tcBorders>
              <w:tl2br w:val="nil"/>
              <w:tr2bl w:val="nil"/>
            </w:tcBorders>
            <w:noWrap w:val="0"/>
            <w:vAlign w:val="center"/>
          </w:tcPr>
          <w:p w14:paraId="1EAA8F9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含油污泥</w:t>
            </w:r>
          </w:p>
        </w:tc>
        <w:tc>
          <w:tcPr>
            <w:tcW w:w="473" w:type="pct"/>
            <w:tcBorders>
              <w:tl2br w:val="nil"/>
              <w:tr2bl w:val="nil"/>
            </w:tcBorders>
            <w:noWrap w:val="0"/>
            <w:vAlign w:val="center"/>
          </w:tcPr>
          <w:p w14:paraId="72D8AFF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吨-万</w:t>
            </w:r>
            <w:r>
              <w:rPr>
                <w:rFonts w:hint="eastAsia" w:ascii="宋体" w:hAnsi="宋体" w:cs="宋体"/>
                <w:b w:val="0"/>
                <w:bCs/>
                <w:color w:val="auto"/>
                <w:kern w:val="0"/>
                <w:sz w:val="21"/>
                <w:szCs w:val="21"/>
                <w:highlight w:val="none"/>
                <w:u w:val="none"/>
                <w:lang w:val="en-US" w:eastAsia="zh-CN"/>
              </w:rPr>
              <w:t>立方</w:t>
            </w:r>
            <w:r>
              <w:rPr>
                <w:rFonts w:hint="eastAsia" w:ascii="宋体" w:hAnsi="宋体" w:eastAsia="宋体" w:cs="宋体"/>
                <w:b w:val="0"/>
                <w:bCs/>
                <w:color w:val="auto"/>
                <w:kern w:val="0"/>
                <w:sz w:val="21"/>
                <w:szCs w:val="21"/>
                <w:highlight w:val="none"/>
                <w:u w:val="none"/>
              </w:rPr>
              <w:t>产品</w:t>
            </w:r>
          </w:p>
        </w:tc>
        <w:tc>
          <w:tcPr>
            <w:tcW w:w="347" w:type="pct"/>
            <w:tcBorders>
              <w:tl2br w:val="nil"/>
              <w:tr2bl w:val="nil"/>
            </w:tcBorders>
            <w:noWrap w:val="0"/>
            <w:vAlign w:val="center"/>
          </w:tcPr>
          <w:p w14:paraId="3727A68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宋体" w:hAnsi="宋体" w:eastAsia="宋体" w:cs="宋体"/>
                <w:b w:val="0"/>
                <w:bCs/>
                <w:color w:val="auto"/>
                <w:kern w:val="0"/>
                <w:sz w:val="21"/>
                <w:szCs w:val="21"/>
                <w:highlight w:val="none"/>
                <w:u w:val="none"/>
                <w:lang w:val="en-US" w:eastAsia="zh-CN"/>
              </w:rPr>
            </w:pPr>
            <w:r>
              <w:rPr>
                <w:rFonts w:hint="eastAsia" w:ascii="宋体" w:hAnsi="宋体" w:cs="宋体"/>
                <w:b w:val="0"/>
                <w:bCs/>
                <w:color w:val="auto"/>
                <w:kern w:val="0"/>
                <w:sz w:val="21"/>
                <w:szCs w:val="21"/>
                <w:highlight w:val="none"/>
                <w:u w:val="none"/>
                <w:lang w:val="en-US" w:eastAsia="zh-CN"/>
              </w:rPr>
              <w:t>0.007</w:t>
            </w:r>
          </w:p>
        </w:tc>
        <w:tc>
          <w:tcPr>
            <w:tcW w:w="790" w:type="pct"/>
            <w:tcBorders>
              <w:tl2br w:val="nil"/>
              <w:tr2bl w:val="nil"/>
            </w:tcBorders>
            <w:noWrap w:val="0"/>
            <w:vAlign w:val="center"/>
          </w:tcPr>
          <w:p w14:paraId="2AC8034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无害化处理/处置/利用</w:t>
            </w:r>
          </w:p>
        </w:tc>
        <w:tc>
          <w:tcPr>
            <w:tcW w:w="368" w:type="pct"/>
            <w:tcBorders>
              <w:tl2br w:val="nil"/>
              <w:tr2bl w:val="nil"/>
            </w:tcBorders>
            <w:noWrap w:val="0"/>
            <w:vAlign w:val="center"/>
          </w:tcPr>
          <w:p w14:paraId="52A92DD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val="0"/>
                <w:bCs/>
                <w:color w:val="auto"/>
                <w:kern w:val="0"/>
                <w:sz w:val="21"/>
                <w:szCs w:val="21"/>
                <w:highlight w:val="none"/>
                <w:u w:val="none"/>
              </w:rPr>
            </w:pPr>
            <w:r>
              <w:rPr>
                <w:rFonts w:hint="eastAsia" w:ascii="宋体" w:hAnsi="宋体" w:eastAsia="宋体" w:cs="宋体"/>
                <w:b w:val="0"/>
                <w:bCs/>
                <w:color w:val="auto"/>
                <w:kern w:val="0"/>
                <w:sz w:val="21"/>
                <w:szCs w:val="21"/>
                <w:highlight w:val="none"/>
                <w:u w:val="none"/>
              </w:rPr>
              <w:t>0</w:t>
            </w:r>
          </w:p>
        </w:tc>
      </w:tr>
    </w:tbl>
    <w:p w14:paraId="0EF563B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2"/>
          <w:highlight w:val="none"/>
          <w:u w:val="none"/>
        </w:rPr>
      </w:pPr>
      <w:r>
        <w:rPr>
          <w:rFonts w:hint="default" w:ascii="Times New Roman" w:hAnsi="Times New Roman" w:cs="Times New Roman"/>
          <w:color w:val="auto"/>
          <w:sz w:val="24"/>
          <w:szCs w:val="24"/>
          <w:highlight w:val="none"/>
          <w:u w:val="none"/>
        </w:rPr>
        <w:t>根据本</w:t>
      </w:r>
      <w:r>
        <w:rPr>
          <w:rFonts w:hint="default" w:ascii="Times New Roman" w:hAnsi="Times New Roman" w:cs="Times New Roman"/>
          <w:color w:val="auto"/>
          <w:sz w:val="24"/>
          <w:szCs w:val="24"/>
          <w:highlight w:val="none"/>
          <w:u w:val="none"/>
          <w:lang w:val="en-US" w:eastAsia="zh-CN"/>
        </w:rPr>
        <w:t>工程</w:t>
      </w:r>
      <w:r>
        <w:rPr>
          <w:rFonts w:hint="default" w:ascii="Times New Roman" w:hAnsi="Times New Roman" w:cs="Times New Roman"/>
          <w:color w:val="auto"/>
          <w:sz w:val="24"/>
          <w:szCs w:val="24"/>
          <w:highlight w:val="none"/>
          <w:u w:val="none"/>
        </w:rPr>
        <w:t>开发指标预测，</w:t>
      </w:r>
      <w:r>
        <w:rPr>
          <w:rFonts w:hint="default" w:ascii="Times New Roman" w:hAnsi="Times New Roman" w:cs="Times New Roman"/>
          <w:color w:val="auto"/>
          <w:sz w:val="24"/>
          <w:szCs w:val="24"/>
          <w:highlight w:val="none"/>
          <w:u w:val="none"/>
          <w:lang w:val="en-US" w:eastAsia="zh-CN"/>
        </w:rPr>
        <w:t>本工程</w:t>
      </w:r>
      <w:r>
        <w:rPr>
          <w:rFonts w:hint="default" w:ascii="Times New Roman" w:hAnsi="Times New Roman" w:cs="Times New Roman"/>
          <w:color w:val="auto"/>
          <w:sz w:val="24"/>
          <w:szCs w:val="24"/>
          <w:highlight w:val="none"/>
          <w:u w:val="none"/>
        </w:rPr>
        <w:t>投产后</w:t>
      </w:r>
      <w:r>
        <w:rPr>
          <w:rFonts w:hint="eastAsia" w:cs="Times New Roman"/>
          <w:color w:val="auto"/>
          <w:sz w:val="24"/>
          <w:szCs w:val="24"/>
          <w:highlight w:val="none"/>
          <w:u w:val="none"/>
          <w:lang w:val="en-US" w:eastAsia="zh-CN"/>
        </w:rPr>
        <w:t>天然气</w:t>
      </w:r>
      <w:r>
        <w:rPr>
          <w:rFonts w:hint="default" w:ascii="Times New Roman" w:hAnsi="Times New Roman" w:cs="Times New Roman"/>
          <w:color w:val="auto"/>
          <w:sz w:val="24"/>
          <w:szCs w:val="24"/>
          <w:highlight w:val="none"/>
          <w:u w:val="none"/>
          <w:lang w:val="en-US" w:eastAsia="zh-CN"/>
        </w:rPr>
        <w:t>产能</w:t>
      </w:r>
      <w:r>
        <w:rPr>
          <w:rFonts w:hint="eastAsia" w:cs="Times New Roman"/>
          <w:color w:val="auto"/>
          <w:sz w:val="24"/>
          <w:szCs w:val="24"/>
          <w:highlight w:val="none"/>
          <w:u w:val="none"/>
          <w:lang w:val="en-US" w:eastAsia="zh-CN"/>
        </w:rPr>
        <w:t>最大</w:t>
      </w:r>
      <w:r>
        <w:rPr>
          <w:rFonts w:hint="default" w:ascii="Times New Roman" w:hAnsi="Times New Roman" w:cs="Times New Roman"/>
          <w:color w:val="auto"/>
          <w:sz w:val="24"/>
          <w:szCs w:val="24"/>
          <w:highlight w:val="none"/>
          <w:u w:val="none"/>
        </w:rPr>
        <w:t>为</w:t>
      </w:r>
      <w:r>
        <w:rPr>
          <w:rFonts w:hint="eastAsia" w:cs="Times New Roman"/>
          <w:color w:val="auto"/>
          <w:sz w:val="24"/>
          <w:szCs w:val="24"/>
          <w:highlight w:val="none"/>
          <w:u w:val="none"/>
          <w:lang w:val="en-US" w:eastAsia="zh-CN"/>
        </w:rPr>
        <w:t>5.15</w:t>
      </w:r>
      <w:r>
        <w:rPr>
          <w:rFonts w:hint="default" w:ascii="Times New Roman" w:hAnsi="Times New Roman" w:cs="Times New Roman"/>
          <w:color w:val="auto"/>
          <w:sz w:val="24"/>
          <w:szCs w:val="24"/>
          <w:highlight w:val="none"/>
          <w:u w:val="none"/>
        </w:rPr>
        <w:t>×10</w:t>
      </w:r>
      <w:r>
        <w:rPr>
          <w:rFonts w:hint="default" w:ascii="Times New Roman" w:hAnsi="Times New Roman" w:cs="Times New Roman"/>
          <w:color w:val="auto"/>
          <w:sz w:val="24"/>
          <w:szCs w:val="24"/>
          <w:highlight w:val="none"/>
          <w:u w:val="none"/>
          <w:vertAlign w:val="superscript"/>
        </w:rPr>
        <w:t>4</w:t>
      </w:r>
      <w:r>
        <w:rPr>
          <w:rFonts w:hint="eastAsia" w:cs="Times New Roman"/>
          <w:color w:val="auto"/>
          <w:sz w:val="24"/>
          <w:szCs w:val="24"/>
          <w:highlight w:val="none"/>
          <w:u w:val="none"/>
          <w:vertAlign w:val="baseline"/>
          <w:lang w:val="en-US" w:eastAsia="zh-CN"/>
        </w:rPr>
        <w:t>m</w:t>
      </w:r>
      <w:r>
        <w:rPr>
          <w:rFonts w:hint="eastAsia"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rPr>
        <w:t>/</w:t>
      </w:r>
      <w:r>
        <w:rPr>
          <w:rFonts w:hint="eastAsia" w:cs="Times New Roman"/>
          <w:color w:val="auto"/>
          <w:sz w:val="24"/>
          <w:szCs w:val="24"/>
          <w:highlight w:val="none"/>
          <w:u w:val="none"/>
          <w:lang w:val="en-US" w:eastAsia="zh-CN"/>
        </w:rPr>
        <w:t>d（1700</w:t>
      </w:r>
      <w:r>
        <w:rPr>
          <w:rFonts w:hint="default" w:ascii="Times New Roman" w:hAnsi="Times New Roman" w:cs="Times New Roman"/>
          <w:color w:val="auto"/>
          <w:sz w:val="24"/>
          <w:szCs w:val="24"/>
          <w:highlight w:val="none"/>
          <w:u w:val="none"/>
        </w:rPr>
        <w:t>×10</w:t>
      </w:r>
      <w:r>
        <w:rPr>
          <w:rFonts w:hint="default" w:ascii="Times New Roman" w:hAnsi="Times New Roman" w:cs="Times New Roman"/>
          <w:color w:val="auto"/>
          <w:sz w:val="24"/>
          <w:szCs w:val="24"/>
          <w:highlight w:val="none"/>
          <w:u w:val="none"/>
          <w:vertAlign w:val="superscript"/>
        </w:rPr>
        <w:t>4</w:t>
      </w:r>
      <w:r>
        <w:rPr>
          <w:rFonts w:hint="eastAsia" w:cs="Times New Roman"/>
          <w:color w:val="auto"/>
          <w:sz w:val="24"/>
          <w:szCs w:val="24"/>
          <w:highlight w:val="none"/>
          <w:u w:val="none"/>
          <w:vertAlign w:val="baseline"/>
          <w:lang w:val="en-US" w:eastAsia="zh-CN"/>
        </w:rPr>
        <w:t>m</w:t>
      </w:r>
      <w:r>
        <w:rPr>
          <w:rFonts w:hint="eastAsia"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rPr>
        <w:t>/</w:t>
      </w:r>
      <w:r>
        <w:rPr>
          <w:rFonts w:hint="eastAsia" w:cs="Times New Roman"/>
          <w:color w:val="auto"/>
          <w:sz w:val="24"/>
          <w:szCs w:val="24"/>
          <w:highlight w:val="none"/>
          <w:u w:val="none"/>
          <w:lang w:val="en-US" w:eastAsia="zh-CN"/>
        </w:rPr>
        <w:t>a）</w:t>
      </w:r>
      <w:r>
        <w:rPr>
          <w:rFonts w:hint="default" w:ascii="Times New Roman" w:hAnsi="Times New Roman" w:cs="Times New Roman"/>
          <w:color w:val="auto"/>
          <w:sz w:val="24"/>
          <w:szCs w:val="24"/>
          <w:highlight w:val="none"/>
          <w:u w:val="none"/>
        </w:rPr>
        <w:t>，计算含油污泥最大产生量为</w:t>
      </w:r>
      <w:r>
        <w:rPr>
          <w:rFonts w:hint="eastAsia" w:cs="Times New Roman"/>
          <w:color w:val="auto"/>
          <w:sz w:val="24"/>
          <w:szCs w:val="24"/>
          <w:highlight w:val="none"/>
          <w:u w:val="none"/>
          <w:lang w:val="en-US" w:eastAsia="zh-CN"/>
        </w:rPr>
        <w:t>11.9</w:t>
      </w:r>
      <w:r>
        <w:rPr>
          <w:rFonts w:hint="default" w:ascii="Times New Roman" w:hAnsi="Times New Roman" w:cs="Times New Roman"/>
          <w:color w:val="auto"/>
          <w:sz w:val="24"/>
          <w:szCs w:val="24"/>
          <w:highlight w:val="none"/>
          <w:u w:val="none"/>
        </w:rPr>
        <w:t>t/a。</w:t>
      </w:r>
      <w:r>
        <w:rPr>
          <w:rFonts w:hint="default" w:ascii="Times New Roman" w:hAnsi="Times New Roman" w:cs="Times New Roman"/>
          <w:color w:val="auto"/>
          <w:sz w:val="24"/>
          <w:szCs w:val="24"/>
          <w:highlight w:val="none"/>
          <w:u w:val="none"/>
          <w:lang w:eastAsia="zh-CN"/>
        </w:rPr>
        <w:t>本工程</w:t>
      </w:r>
      <w:r>
        <w:rPr>
          <w:rFonts w:hint="default" w:ascii="Times New Roman" w:hAnsi="Times New Roman" w:cs="Times New Roman"/>
          <w:color w:val="auto"/>
          <w:sz w:val="24"/>
          <w:szCs w:val="24"/>
          <w:highlight w:val="none"/>
          <w:u w:val="none"/>
        </w:rPr>
        <w:t>产生的油泥（砂）</w:t>
      </w:r>
      <w:r>
        <w:rPr>
          <w:rFonts w:hint="eastAsia" w:ascii="Times New Roman" w:hAnsi="Times New Roman" w:cs="Times New Roman"/>
          <w:color w:val="auto"/>
          <w:sz w:val="24"/>
          <w:szCs w:val="24"/>
          <w:highlight w:val="none"/>
          <w:u w:val="none"/>
          <w:lang w:val="en-US" w:eastAsia="zh-CN"/>
        </w:rPr>
        <w:t>委托具有相关危废处置资质的单位接收处置</w:t>
      </w:r>
      <w:r>
        <w:rPr>
          <w:rFonts w:hint="default" w:ascii="Times New Roman" w:hAnsi="Times New Roman" w:cs="Times New Roman"/>
          <w:color w:val="auto"/>
          <w:sz w:val="24"/>
          <w:szCs w:val="24"/>
          <w:highlight w:val="none"/>
          <w:u w:val="none"/>
        </w:rPr>
        <w:t>。</w:t>
      </w:r>
    </w:p>
    <w:p w14:paraId="345AB67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bCs/>
          <w:color w:val="auto"/>
          <w:sz w:val="24"/>
          <w:szCs w:val="24"/>
          <w:highlight w:val="none"/>
          <w:u w:val="none"/>
        </w:rPr>
      </w:pPr>
      <w:r>
        <w:rPr>
          <w:rFonts w:hint="eastAsia" w:cs="Times New Roman"/>
          <w:b/>
          <w:bCs/>
          <w:color w:val="auto"/>
          <w:sz w:val="24"/>
          <w:szCs w:val="24"/>
          <w:highlight w:val="none"/>
          <w:u w:val="none"/>
          <w:lang w:eastAsia="zh-CN"/>
        </w:rPr>
        <w:t>（</w:t>
      </w:r>
      <w:r>
        <w:rPr>
          <w:rFonts w:hint="eastAsia" w:cs="Times New Roman"/>
          <w:b/>
          <w:bCs/>
          <w:color w:val="auto"/>
          <w:sz w:val="24"/>
          <w:szCs w:val="24"/>
          <w:highlight w:val="none"/>
          <w:u w:val="none"/>
          <w:lang w:val="en-US" w:eastAsia="zh-CN"/>
        </w:rPr>
        <w:t>2</w:t>
      </w:r>
      <w:r>
        <w:rPr>
          <w:rFonts w:hint="eastAsia" w:cs="Times New Roman"/>
          <w:b/>
          <w:bCs/>
          <w:color w:val="auto"/>
          <w:sz w:val="24"/>
          <w:szCs w:val="24"/>
          <w:highlight w:val="none"/>
          <w:u w:val="none"/>
          <w:lang w:eastAsia="zh-CN"/>
        </w:rPr>
        <w:t>）</w:t>
      </w:r>
      <w:r>
        <w:rPr>
          <w:rFonts w:hint="default" w:ascii="Times New Roman" w:hAnsi="Times New Roman" w:cs="Times New Roman"/>
          <w:b/>
          <w:bCs/>
          <w:color w:val="auto"/>
          <w:sz w:val="24"/>
          <w:szCs w:val="24"/>
          <w:highlight w:val="none"/>
          <w:u w:val="none"/>
        </w:rPr>
        <w:t>清管废渣</w:t>
      </w:r>
    </w:p>
    <w:p w14:paraId="081DA954">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0"/>
        <w:textAlignment w:val="auto"/>
        <w:rPr>
          <w:rFonts w:hint="default" w:ascii="Times New Roman" w:hAnsi="Times New Roman" w:cs="Times New Roman"/>
          <w:color w:val="auto"/>
          <w:szCs w:val="24"/>
          <w:highlight w:val="none"/>
          <w:u w:val="none"/>
        </w:rPr>
      </w:pPr>
      <w:bookmarkStart w:id="275" w:name="_Hlk72018789"/>
      <w:r>
        <w:rPr>
          <w:rFonts w:hint="default" w:ascii="Times New Roman" w:hAnsi="Times New Roman" w:cs="Times New Roman"/>
          <w:color w:val="auto"/>
          <w:szCs w:val="24"/>
          <w:highlight w:val="none"/>
          <w:u w:val="none"/>
        </w:rPr>
        <w:t>集输管线清管作业产生清管废渣，每2年清管1次。根据类别调查，一般清管废渣产生量为1.15kg/km，本工程新建单井采气管线7.4km，每次废渣产生量约</w:t>
      </w:r>
      <w:r>
        <w:rPr>
          <w:rFonts w:hint="eastAsia" w:cs="Times New Roman"/>
          <w:color w:val="auto"/>
          <w:szCs w:val="24"/>
          <w:highlight w:val="none"/>
          <w:u w:val="none"/>
          <w:lang w:val="en-US" w:eastAsia="zh-CN"/>
        </w:rPr>
        <w:t>8.51</w:t>
      </w:r>
      <w:r>
        <w:rPr>
          <w:rFonts w:hint="default" w:ascii="Times New Roman" w:hAnsi="Times New Roman" w:cs="Times New Roman"/>
          <w:color w:val="auto"/>
          <w:szCs w:val="24"/>
          <w:highlight w:val="none"/>
          <w:u w:val="none"/>
        </w:rPr>
        <w:t>kg（</w:t>
      </w:r>
      <w:r>
        <w:rPr>
          <w:rFonts w:hint="eastAsia" w:cs="Times New Roman"/>
          <w:color w:val="auto"/>
          <w:szCs w:val="24"/>
          <w:highlight w:val="none"/>
          <w:u w:val="none"/>
          <w:lang w:val="en-US" w:eastAsia="zh-CN"/>
        </w:rPr>
        <w:t>约0.009</w:t>
      </w:r>
      <w:r>
        <w:rPr>
          <w:rFonts w:hint="default" w:ascii="Times New Roman" w:hAnsi="Times New Roman" w:cs="Times New Roman"/>
          <w:color w:val="auto"/>
          <w:szCs w:val="24"/>
          <w:highlight w:val="none"/>
          <w:u w:val="none"/>
        </w:rPr>
        <w:t>t/</w:t>
      </w:r>
      <w:r>
        <w:rPr>
          <w:rFonts w:hint="eastAsia" w:cs="Times New Roman"/>
          <w:color w:val="auto"/>
          <w:szCs w:val="24"/>
          <w:highlight w:val="none"/>
          <w:u w:val="none"/>
          <w:lang w:val="en-US" w:eastAsia="zh-CN"/>
        </w:rPr>
        <w:t>2</w:t>
      </w:r>
      <w:r>
        <w:rPr>
          <w:rFonts w:hint="default" w:ascii="Times New Roman" w:hAnsi="Times New Roman" w:cs="Times New Roman"/>
          <w:color w:val="auto"/>
          <w:szCs w:val="24"/>
          <w:highlight w:val="none"/>
          <w:u w:val="none"/>
        </w:rPr>
        <w:t>a）。清管废渣的主要成分为SS和氧化铁等，还含有少量管道中的油，属于危险废物HW08（废物代码：</w:t>
      </w:r>
      <w:r>
        <w:rPr>
          <w:rFonts w:hint="eastAsia" w:cs="Times New Roman"/>
          <w:color w:val="auto"/>
          <w:szCs w:val="24"/>
          <w:highlight w:val="none"/>
          <w:u w:val="none"/>
          <w:lang w:val="en-US" w:eastAsia="zh-CN"/>
        </w:rPr>
        <w:t>251-001-08</w:t>
      </w:r>
      <w:r>
        <w:rPr>
          <w:rFonts w:hint="default" w:ascii="Times New Roman" w:hAnsi="Times New Roman" w:cs="Times New Roman"/>
          <w:color w:val="auto"/>
          <w:szCs w:val="24"/>
          <w:highlight w:val="none"/>
          <w:u w:val="none"/>
        </w:rPr>
        <w:t>），严格按危险废物相关技术要求和管理规定进行收集与贮存，</w:t>
      </w:r>
      <w:r>
        <w:rPr>
          <w:rFonts w:hint="eastAsia" w:ascii="Times New Roman" w:hAnsi="Times New Roman" w:cs="Times New Roman"/>
          <w:color w:val="auto"/>
          <w:sz w:val="24"/>
          <w:szCs w:val="24"/>
          <w:highlight w:val="none"/>
          <w:u w:val="none"/>
          <w:lang w:val="en-US" w:eastAsia="zh-CN"/>
        </w:rPr>
        <w:t>委托具有相关危废处置资质的单位处置</w:t>
      </w:r>
      <w:r>
        <w:rPr>
          <w:rFonts w:hint="default" w:ascii="Times New Roman" w:hAnsi="Times New Roman" w:cs="Times New Roman"/>
          <w:color w:val="auto"/>
          <w:sz w:val="24"/>
          <w:szCs w:val="22"/>
          <w:highlight w:val="none"/>
          <w:u w:val="none"/>
        </w:rPr>
        <w:t>。</w:t>
      </w:r>
    </w:p>
    <w:bookmarkEnd w:id="275"/>
    <w:p w14:paraId="72A655DD">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cs="Times New Roman"/>
          <w:b/>
          <w:bCs/>
          <w:color w:val="auto"/>
          <w:sz w:val="24"/>
          <w:highlight w:val="none"/>
          <w:u w:val="none"/>
        </w:rPr>
      </w:pPr>
      <w:r>
        <w:rPr>
          <w:rFonts w:hint="eastAsia" w:ascii="Times New Roman" w:hAnsi="Times New Roman" w:cs="Times New Roman"/>
          <w:b/>
          <w:bCs w:val="0"/>
          <w:color w:val="auto"/>
          <w:highlight w:val="none"/>
          <w:u w:val="none"/>
          <w:lang w:eastAsia="zh-CN"/>
        </w:rPr>
        <w:t>（</w:t>
      </w:r>
      <w:r>
        <w:rPr>
          <w:rFonts w:hint="eastAsia" w:cs="Times New Roman"/>
          <w:b/>
          <w:bCs w:val="0"/>
          <w:color w:val="auto"/>
          <w:highlight w:val="none"/>
          <w:u w:val="none"/>
          <w:lang w:val="en-US" w:eastAsia="zh-CN"/>
        </w:rPr>
        <w:t>3</w:t>
      </w:r>
      <w:r>
        <w:rPr>
          <w:rFonts w:hint="eastAsia" w:ascii="Times New Roman" w:hAnsi="Times New Roman" w:cs="Times New Roman"/>
          <w:b/>
          <w:bCs w:val="0"/>
          <w:color w:val="auto"/>
          <w:highlight w:val="none"/>
          <w:u w:val="none"/>
          <w:lang w:eastAsia="zh-CN"/>
        </w:rPr>
        <w:t>）</w:t>
      </w:r>
      <w:r>
        <w:rPr>
          <w:rFonts w:hint="default" w:ascii="Times New Roman" w:hAnsi="Times New Roman" w:cs="Times New Roman"/>
          <w:b/>
          <w:bCs/>
          <w:color w:val="auto"/>
          <w:sz w:val="24"/>
          <w:highlight w:val="none"/>
          <w:u w:val="none"/>
        </w:rPr>
        <w:t>落地油</w:t>
      </w:r>
    </w:p>
    <w:p w14:paraId="407CC3A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落地油主要产生于阀门、法兰等处事故状态下的泄漏</w:t>
      </w:r>
      <w:r>
        <w:rPr>
          <w:rFonts w:hint="eastAsia" w:cs="Times New Roman"/>
          <w:color w:val="auto"/>
          <w:sz w:val="24"/>
          <w:highlight w:val="none"/>
          <w:u w:val="none"/>
          <w:lang w:val="en-US" w:eastAsia="zh-CN"/>
        </w:rPr>
        <w:t>以及</w:t>
      </w:r>
      <w:r>
        <w:rPr>
          <w:rFonts w:hint="default" w:ascii="Times New Roman" w:hAnsi="Times New Roman" w:cs="Times New Roman"/>
          <w:color w:val="auto"/>
          <w:sz w:val="24"/>
          <w:highlight w:val="none"/>
          <w:u w:val="none"/>
        </w:rPr>
        <w:t>管线破损。按照</w:t>
      </w:r>
      <w:r>
        <w:rPr>
          <w:rFonts w:hint="eastAsia" w:cs="Times New Roman"/>
          <w:color w:val="auto"/>
          <w:sz w:val="24"/>
          <w:highlight w:val="none"/>
          <w:u w:val="none"/>
          <w:lang w:val="en-US" w:eastAsia="zh-CN"/>
        </w:rPr>
        <w:t>井场</w:t>
      </w:r>
      <w:r>
        <w:rPr>
          <w:rFonts w:hint="default" w:ascii="Times New Roman" w:hAnsi="Times New Roman" w:cs="Times New Roman"/>
          <w:color w:val="auto"/>
          <w:sz w:val="24"/>
          <w:highlight w:val="none"/>
          <w:u w:val="none"/>
        </w:rPr>
        <w:t>落地油产生量约0.1t/a计算，本工程运行后落地油总产生量约0.</w:t>
      </w:r>
      <w:r>
        <w:rPr>
          <w:rFonts w:hint="eastAsia" w:cs="Times New Roman"/>
          <w:color w:val="auto"/>
          <w:sz w:val="24"/>
          <w:highlight w:val="none"/>
          <w:u w:val="none"/>
          <w:lang w:val="en-US" w:eastAsia="zh-CN"/>
        </w:rPr>
        <w:t>3</w:t>
      </w:r>
      <w:r>
        <w:rPr>
          <w:rFonts w:hint="default" w:ascii="Times New Roman" w:hAnsi="Times New Roman" w:cs="Times New Roman"/>
          <w:color w:val="auto"/>
          <w:sz w:val="24"/>
          <w:highlight w:val="none"/>
          <w:u w:val="none"/>
        </w:rPr>
        <w:t>t/a，属于危险废物HW08（废物代码：071-001-08）。</w:t>
      </w:r>
    </w:p>
    <w:p w14:paraId="54D9BC6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本项目井下作业时带罐作业，</w:t>
      </w:r>
      <w:bookmarkStart w:id="276" w:name="OLE_LINK1"/>
      <w:r>
        <w:rPr>
          <w:rFonts w:hint="default" w:ascii="Times New Roman" w:hAnsi="Times New Roman" w:cs="Times New Roman"/>
          <w:color w:val="auto"/>
          <w:sz w:val="24"/>
          <w:highlight w:val="none"/>
          <w:u w:val="none"/>
        </w:rPr>
        <w:t>落地油100%回收，</w:t>
      </w:r>
      <w:bookmarkEnd w:id="276"/>
      <w:r>
        <w:rPr>
          <w:rFonts w:hint="default" w:ascii="Times New Roman" w:hAnsi="Times New Roman" w:cs="Times New Roman"/>
          <w:color w:val="auto"/>
          <w:sz w:val="24"/>
          <w:highlight w:val="none"/>
          <w:u w:val="none"/>
        </w:rPr>
        <w:t>回收后的落地原油运至石西集中处理站原油处理系统进行处理。</w:t>
      </w:r>
    </w:p>
    <w:p w14:paraId="439AA18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bCs w:val="0"/>
          <w:snapToGrid w:val="0"/>
          <w:color w:val="auto"/>
          <w:sz w:val="24"/>
          <w:szCs w:val="24"/>
          <w:highlight w:val="none"/>
          <w:u w:val="none"/>
        </w:rPr>
      </w:pPr>
      <w:r>
        <w:rPr>
          <w:rFonts w:hint="default" w:ascii="Times New Roman" w:hAnsi="Times New Roman" w:cs="Times New Roman"/>
          <w:b/>
          <w:bCs w:val="0"/>
          <w:snapToGrid w:val="0"/>
          <w:color w:val="auto"/>
          <w:sz w:val="24"/>
          <w:szCs w:val="24"/>
          <w:highlight w:val="none"/>
          <w:u w:val="none"/>
        </w:rPr>
        <w:t>（</w:t>
      </w:r>
      <w:r>
        <w:rPr>
          <w:rFonts w:hint="eastAsia" w:cs="Times New Roman"/>
          <w:b/>
          <w:bCs w:val="0"/>
          <w:snapToGrid w:val="0"/>
          <w:color w:val="auto"/>
          <w:sz w:val="24"/>
          <w:szCs w:val="24"/>
          <w:highlight w:val="none"/>
          <w:u w:val="none"/>
          <w:lang w:val="en-US" w:eastAsia="zh-CN"/>
        </w:rPr>
        <w:t>4</w:t>
      </w:r>
      <w:r>
        <w:rPr>
          <w:rFonts w:hint="default" w:ascii="Times New Roman" w:hAnsi="Times New Roman" w:cs="Times New Roman"/>
          <w:b/>
          <w:bCs w:val="0"/>
          <w:snapToGrid w:val="0"/>
          <w:color w:val="auto"/>
          <w:sz w:val="24"/>
          <w:szCs w:val="24"/>
          <w:highlight w:val="none"/>
          <w:u w:val="none"/>
        </w:rPr>
        <w:t>）废弃含油抹布、劳保用品</w:t>
      </w:r>
    </w:p>
    <w:p w14:paraId="61F4B01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snapToGrid w:val="0"/>
          <w:color w:val="auto"/>
          <w:sz w:val="24"/>
          <w:szCs w:val="24"/>
          <w:highlight w:val="none"/>
          <w:u w:val="none"/>
        </w:rPr>
      </w:pPr>
      <w:r>
        <w:rPr>
          <w:rFonts w:hint="default" w:ascii="Times New Roman" w:hAnsi="Times New Roman" w:eastAsia="宋体" w:cs="Times New Roman"/>
          <w:bCs/>
          <w:snapToGrid w:val="0"/>
          <w:color w:val="auto"/>
          <w:sz w:val="24"/>
          <w:szCs w:val="24"/>
          <w:highlight w:val="none"/>
          <w:u w:val="none"/>
        </w:rPr>
        <w:t>本项目生产过程中产生的废弃的含油抹布、劳保用品，类别为HW49 其他废物，代码为 900-041-49。</w:t>
      </w:r>
    </w:p>
    <w:p w14:paraId="5E1EC47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snapToGrid w:val="0"/>
          <w:color w:val="auto"/>
          <w:sz w:val="24"/>
          <w:szCs w:val="24"/>
          <w:highlight w:val="none"/>
          <w:u w:val="none"/>
        </w:rPr>
      </w:pPr>
      <w:r>
        <w:rPr>
          <w:rFonts w:hint="default" w:ascii="Times New Roman" w:hAnsi="Times New Roman" w:eastAsia="宋体" w:cs="Times New Roman"/>
          <w:bCs/>
          <w:snapToGrid w:val="0"/>
          <w:color w:val="auto"/>
          <w:sz w:val="24"/>
          <w:szCs w:val="24"/>
          <w:highlight w:val="none"/>
          <w:u w:val="none"/>
        </w:rPr>
        <w:t>根据《危险废物名录》（202</w:t>
      </w:r>
      <w:r>
        <w:rPr>
          <w:rFonts w:hint="eastAsia" w:cs="Times New Roman"/>
          <w:bCs/>
          <w:snapToGrid w:val="0"/>
          <w:color w:val="auto"/>
          <w:sz w:val="24"/>
          <w:szCs w:val="24"/>
          <w:highlight w:val="none"/>
          <w:u w:val="none"/>
          <w:lang w:val="en-US" w:eastAsia="zh-CN"/>
        </w:rPr>
        <w:t>5年版</w:t>
      </w:r>
      <w:r>
        <w:rPr>
          <w:rFonts w:hint="default" w:ascii="Times New Roman" w:hAnsi="Times New Roman" w:eastAsia="宋体" w:cs="Times New Roman"/>
          <w:bCs/>
          <w:snapToGrid w:val="0"/>
          <w:color w:val="auto"/>
          <w:sz w:val="24"/>
          <w:szCs w:val="24"/>
          <w:highlight w:val="none"/>
          <w:u w:val="none"/>
        </w:rPr>
        <w:t>），本项目生产过程中产生的废弃的含油抹布、劳保用品产生量极少，在未分离收集情况下，收集、储存、运输、处置可以不按照危险废物管理，属于全过程豁免的。</w:t>
      </w:r>
    </w:p>
    <w:p w14:paraId="0DC32F9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snapToGrid w:val="0"/>
          <w:color w:val="auto"/>
          <w:sz w:val="24"/>
          <w:szCs w:val="24"/>
          <w:highlight w:val="none"/>
          <w:u w:val="none"/>
        </w:rPr>
      </w:pPr>
      <w:r>
        <w:rPr>
          <w:rFonts w:hint="default" w:ascii="Times New Roman" w:hAnsi="Times New Roman" w:eastAsia="宋体" w:cs="Times New Roman"/>
          <w:bCs/>
          <w:snapToGrid w:val="0"/>
          <w:color w:val="auto"/>
          <w:sz w:val="24"/>
          <w:szCs w:val="24"/>
          <w:highlight w:val="none"/>
          <w:u w:val="none"/>
        </w:rPr>
        <w:t>豁免条件为未分类收可不按危险废物管理，但不得分类收集后混入生活垃圾处理。具备条件时，废含油抹布和劳保用品应尽可能分类收集，交相应的危废处置单位处置。</w:t>
      </w:r>
    </w:p>
    <w:p w14:paraId="599F6AC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bCs w:val="0"/>
          <w:snapToGrid w:val="0"/>
          <w:color w:val="auto"/>
          <w:sz w:val="24"/>
          <w:szCs w:val="24"/>
          <w:highlight w:val="none"/>
          <w:u w:val="none"/>
        </w:rPr>
      </w:pPr>
      <w:r>
        <w:rPr>
          <w:rFonts w:hint="default" w:ascii="Times New Roman" w:hAnsi="Times New Roman" w:cs="Times New Roman"/>
          <w:b/>
          <w:bCs w:val="0"/>
          <w:snapToGrid w:val="0"/>
          <w:color w:val="auto"/>
          <w:sz w:val="24"/>
          <w:szCs w:val="24"/>
          <w:highlight w:val="none"/>
          <w:u w:val="none"/>
        </w:rPr>
        <w:t>（</w:t>
      </w:r>
      <w:r>
        <w:rPr>
          <w:rFonts w:hint="eastAsia" w:cs="Times New Roman"/>
          <w:b/>
          <w:bCs w:val="0"/>
          <w:snapToGrid w:val="0"/>
          <w:color w:val="auto"/>
          <w:sz w:val="24"/>
          <w:szCs w:val="24"/>
          <w:highlight w:val="none"/>
          <w:u w:val="none"/>
          <w:lang w:val="en-US" w:eastAsia="zh-CN"/>
        </w:rPr>
        <w:t>5</w:t>
      </w:r>
      <w:r>
        <w:rPr>
          <w:rFonts w:hint="default" w:ascii="Times New Roman" w:hAnsi="Times New Roman" w:cs="Times New Roman"/>
          <w:b/>
          <w:bCs w:val="0"/>
          <w:snapToGrid w:val="0"/>
          <w:color w:val="auto"/>
          <w:sz w:val="24"/>
          <w:szCs w:val="24"/>
          <w:highlight w:val="none"/>
          <w:u w:val="none"/>
        </w:rPr>
        <w:t>）废防渗材料</w:t>
      </w:r>
    </w:p>
    <w:p w14:paraId="5864C11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snapToGrid w:val="0"/>
          <w:color w:val="auto"/>
          <w:sz w:val="24"/>
          <w:szCs w:val="24"/>
          <w:highlight w:val="none"/>
          <w:u w:val="none"/>
        </w:rPr>
      </w:pPr>
      <w:r>
        <w:rPr>
          <w:rFonts w:hint="default" w:ascii="Times New Roman" w:hAnsi="Times New Roman" w:eastAsia="宋体" w:cs="Times New Roman"/>
          <w:bCs/>
          <w:snapToGrid w:val="0"/>
          <w:color w:val="auto"/>
          <w:sz w:val="24"/>
          <w:szCs w:val="24"/>
          <w:highlight w:val="none"/>
          <w:u w:val="none"/>
        </w:rPr>
        <w:t>本项目运营期井下作业时，作业场地下方铺设防渗布，单块防渗布重约250kg（12m×12m），每口井作业用2块，则</w:t>
      </w:r>
      <w:r>
        <w:rPr>
          <w:rFonts w:hint="eastAsia" w:cs="Times New Roman"/>
          <w:bCs/>
          <w:snapToGrid w:val="0"/>
          <w:color w:val="auto"/>
          <w:sz w:val="24"/>
          <w:szCs w:val="24"/>
          <w:highlight w:val="none"/>
          <w:u w:val="none"/>
          <w:lang w:val="en-US" w:eastAsia="zh-CN"/>
        </w:rPr>
        <w:t>3</w:t>
      </w:r>
      <w:r>
        <w:rPr>
          <w:rFonts w:hint="default" w:ascii="Times New Roman" w:hAnsi="Times New Roman" w:eastAsia="宋体" w:cs="Times New Roman"/>
          <w:bCs/>
          <w:snapToGrid w:val="0"/>
          <w:color w:val="auto"/>
          <w:sz w:val="24"/>
          <w:szCs w:val="24"/>
          <w:highlight w:val="none"/>
          <w:u w:val="none"/>
        </w:rPr>
        <w:t>口井作业1次共产生废弃防渗布约</w:t>
      </w:r>
      <w:r>
        <w:rPr>
          <w:rFonts w:hint="eastAsia" w:cs="Times New Roman"/>
          <w:bCs/>
          <w:snapToGrid w:val="0"/>
          <w:color w:val="auto"/>
          <w:sz w:val="24"/>
          <w:szCs w:val="24"/>
          <w:highlight w:val="none"/>
          <w:u w:val="none"/>
          <w:lang w:val="en-US" w:eastAsia="zh-CN"/>
        </w:rPr>
        <w:t>1.5</w:t>
      </w:r>
      <w:r>
        <w:rPr>
          <w:rFonts w:hint="default" w:ascii="Times New Roman" w:hAnsi="Times New Roman" w:eastAsia="宋体" w:cs="Times New Roman"/>
          <w:bCs/>
          <w:snapToGrid w:val="0"/>
          <w:color w:val="auto"/>
          <w:sz w:val="24"/>
          <w:szCs w:val="24"/>
          <w:highlight w:val="none"/>
          <w:u w:val="none"/>
        </w:rPr>
        <w:t>t，井下作业频次为2年/次，则工程产生废弃防渗材料最大量约</w:t>
      </w:r>
      <w:r>
        <w:rPr>
          <w:rFonts w:hint="eastAsia" w:cs="Times New Roman"/>
          <w:bCs/>
          <w:snapToGrid w:val="0"/>
          <w:color w:val="auto"/>
          <w:sz w:val="24"/>
          <w:szCs w:val="24"/>
          <w:highlight w:val="none"/>
          <w:u w:val="none"/>
          <w:lang w:val="en-US" w:eastAsia="zh-CN"/>
        </w:rPr>
        <w:t>0.75</w:t>
      </w:r>
      <w:r>
        <w:rPr>
          <w:rFonts w:hint="default" w:ascii="Times New Roman" w:hAnsi="Times New Roman" w:eastAsia="宋体" w:cs="Times New Roman"/>
          <w:bCs/>
          <w:snapToGrid w:val="0"/>
          <w:color w:val="auto"/>
          <w:sz w:val="24"/>
          <w:szCs w:val="24"/>
          <w:highlight w:val="none"/>
          <w:u w:val="none"/>
        </w:rPr>
        <w:t>t/a。</w:t>
      </w:r>
    </w:p>
    <w:p w14:paraId="79E039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2"/>
          <w:highlight w:val="none"/>
          <w:u w:val="none"/>
        </w:rPr>
      </w:pPr>
      <w:r>
        <w:rPr>
          <w:rFonts w:hint="default" w:ascii="Times New Roman" w:hAnsi="Times New Roman" w:eastAsia="宋体" w:cs="Times New Roman"/>
          <w:bCs/>
          <w:snapToGrid w:val="0"/>
          <w:color w:val="auto"/>
          <w:sz w:val="24"/>
          <w:szCs w:val="24"/>
          <w:highlight w:val="none"/>
          <w:u w:val="none"/>
        </w:rPr>
        <w:t>作业过程中产生的含油废防渗材料属于危险废物，为HW08类危险废物（废物代码900-249-08其他生产、销售、使用过程中产生的废矿物油及沾染矿物油的废弃包装物）。作业施工结束后，</w:t>
      </w:r>
      <w:r>
        <w:rPr>
          <w:rFonts w:hint="eastAsia" w:ascii="Times New Roman" w:hAnsi="Times New Roman" w:cs="Times New Roman"/>
          <w:color w:val="auto"/>
          <w:sz w:val="24"/>
          <w:szCs w:val="24"/>
          <w:highlight w:val="none"/>
          <w:u w:val="none"/>
          <w:lang w:val="en-US" w:eastAsia="zh-CN"/>
        </w:rPr>
        <w:t>委托具有相关危废处置资质的单位处置</w:t>
      </w:r>
      <w:r>
        <w:rPr>
          <w:rFonts w:hint="default" w:ascii="Times New Roman" w:hAnsi="Times New Roman" w:cs="Times New Roman"/>
          <w:color w:val="auto"/>
          <w:sz w:val="24"/>
          <w:szCs w:val="22"/>
          <w:highlight w:val="none"/>
          <w:u w:val="none"/>
        </w:rPr>
        <w:t>。</w:t>
      </w:r>
    </w:p>
    <w:p w14:paraId="42D60C06">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77" w:name="_Toc20549"/>
      <w:r>
        <w:rPr>
          <w:rFonts w:hint="default" w:ascii="宋体" w:hAnsi="宋体" w:eastAsia="宋体" w:cs="宋体"/>
          <w:color w:val="auto"/>
          <w:u w:val="none"/>
          <w:lang w:val="en-US" w:eastAsia="zh-CN"/>
        </w:rPr>
        <w:t>3.</w:t>
      </w:r>
      <w:r>
        <w:rPr>
          <w:rFonts w:hint="eastAsia" w:ascii="宋体" w:hAnsi="宋体" w:eastAsia="宋体" w:cs="宋体"/>
          <w:color w:val="auto"/>
          <w:u w:val="none"/>
          <w:lang w:val="en-US" w:eastAsia="zh-CN"/>
        </w:rPr>
        <w:t>4.4.</w:t>
      </w:r>
      <w:r>
        <w:rPr>
          <w:rFonts w:hint="default" w:ascii="宋体" w:hAnsi="宋体" w:eastAsia="宋体" w:cs="宋体"/>
          <w:color w:val="auto"/>
          <w:u w:val="none"/>
          <w:lang w:val="en-US" w:eastAsia="zh-CN"/>
        </w:rPr>
        <w:t>5</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运营期污染物排放情况汇总</w:t>
      </w:r>
      <w:bookmarkEnd w:id="277"/>
    </w:p>
    <w:p w14:paraId="6D7D551E">
      <w:pPr>
        <w:keepNext w:val="0"/>
        <w:keepLines w:val="0"/>
        <w:pageBreakBefore w:val="0"/>
        <w:widowControl w:val="0"/>
        <w:kinsoku/>
        <w:wordWrap/>
        <w:overflowPunct/>
        <w:topLinePunct w:val="0"/>
        <w:autoSpaceDE/>
        <w:autoSpaceDN/>
        <w:bidi w:val="0"/>
        <w:adjustRightInd/>
        <w:snapToGrid/>
        <w:spacing w:line="480" w:lineRule="exact"/>
        <w:ind w:firstLine="454"/>
        <w:textAlignment w:val="auto"/>
        <w:rPr>
          <w:rFonts w:hint="default" w:ascii="Times New Roman" w:hAnsi="Times New Roman" w:cs="Times New Roman"/>
          <w:color w:val="auto"/>
          <w:spacing w:val="4"/>
          <w:kern w:val="24"/>
          <w:sz w:val="24"/>
          <w:szCs w:val="22"/>
          <w:highlight w:val="none"/>
          <w:u w:val="none"/>
        </w:rPr>
      </w:pPr>
      <w:r>
        <w:rPr>
          <w:rFonts w:hint="default" w:ascii="Times New Roman" w:hAnsi="Times New Roman" w:cs="Times New Roman"/>
          <w:color w:val="auto"/>
          <w:spacing w:val="4"/>
          <w:kern w:val="24"/>
          <w:sz w:val="24"/>
          <w:szCs w:val="22"/>
          <w:highlight w:val="none"/>
          <w:u w:val="none"/>
        </w:rPr>
        <w:t>本工程运营期三废排放状况</w:t>
      </w:r>
      <w:r>
        <w:rPr>
          <w:rFonts w:hint="eastAsia" w:cs="Times New Roman"/>
          <w:color w:val="auto"/>
          <w:spacing w:val="4"/>
          <w:kern w:val="24"/>
          <w:sz w:val="24"/>
          <w:szCs w:val="22"/>
          <w:highlight w:val="none"/>
          <w:u w:val="none"/>
          <w:lang w:eastAsia="zh-CN"/>
        </w:rPr>
        <w:t>，</w:t>
      </w:r>
      <w:r>
        <w:rPr>
          <w:rFonts w:hint="default" w:ascii="Times New Roman" w:hAnsi="Times New Roman" w:cs="Times New Roman"/>
          <w:color w:val="auto"/>
          <w:spacing w:val="4"/>
          <w:kern w:val="24"/>
          <w:sz w:val="24"/>
          <w:szCs w:val="22"/>
          <w:highlight w:val="none"/>
          <w:u w:val="none"/>
        </w:rPr>
        <w:t>见表3.</w:t>
      </w:r>
      <w:r>
        <w:rPr>
          <w:rFonts w:hint="eastAsia" w:cs="Times New Roman"/>
          <w:color w:val="auto"/>
          <w:spacing w:val="4"/>
          <w:kern w:val="24"/>
          <w:sz w:val="24"/>
          <w:szCs w:val="22"/>
          <w:highlight w:val="none"/>
          <w:u w:val="none"/>
          <w:lang w:val="en-US" w:eastAsia="zh-CN"/>
        </w:rPr>
        <w:t>4</w:t>
      </w:r>
      <w:r>
        <w:rPr>
          <w:rFonts w:hint="default" w:ascii="Times New Roman" w:hAnsi="Times New Roman" w:cs="Times New Roman"/>
          <w:color w:val="auto"/>
          <w:spacing w:val="4"/>
          <w:kern w:val="24"/>
          <w:sz w:val="24"/>
          <w:szCs w:val="22"/>
          <w:highlight w:val="none"/>
          <w:u w:val="none"/>
        </w:rPr>
        <w:t>-1</w:t>
      </w:r>
      <w:r>
        <w:rPr>
          <w:rFonts w:hint="eastAsia" w:cs="Times New Roman"/>
          <w:color w:val="auto"/>
          <w:spacing w:val="4"/>
          <w:kern w:val="24"/>
          <w:sz w:val="24"/>
          <w:szCs w:val="22"/>
          <w:highlight w:val="none"/>
          <w:u w:val="none"/>
          <w:lang w:val="en-US" w:eastAsia="zh-CN"/>
        </w:rPr>
        <w:t>4</w:t>
      </w:r>
      <w:r>
        <w:rPr>
          <w:rFonts w:hint="default" w:ascii="Times New Roman" w:hAnsi="Times New Roman" w:cs="Times New Roman"/>
          <w:color w:val="auto"/>
          <w:spacing w:val="4"/>
          <w:kern w:val="24"/>
          <w:sz w:val="24"/>
          <w:szCs w:val="22"/>
          <w:highlight w:val="none"/>
          <w:u w:val="none"/>
        </w:rPr>
        <w:t>。</w:t>
      </w:r>
    </w:p>
    <w:p w14:paraId="5C66D0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6EE314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13BD79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 xml:space="preserve">3.4-14    </w:t>
      </w:r>
      <w:r>
        <w:rPr>
          <w:rFonts w:hint="default" w:ascii="黑体" w:hAnsi="黑体" w:eastAsia="黑体" w:cs="黑体"/>
          <w:b w:val="0"/>
          <w:bCs/>
          <w:color w:val="auto"/>
          <w:kern w:val="2"/>
          <w:sz w:val="24"/>
          <w:szCs w:val="24"/>
          <w:u w:val="none"/>
          <w:lang w:val="en-US" w:eastAsia="zh-CN" w:bidi="ar-SA"/>
        </w:rPr>
        <w:t>运营期污染物排放汇总</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300"/>
        <w:gridCol w:w="1307"/>
        <w:gridCol w:w="1436"/>
        <w:gridCol w:w="1344"/>
        <w:gridCol w:w="2688"/>
      </w:tblGrid>
      <w:tr w14:paraId="50232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27" w:type="pct"/>
            <w:tcBorders>
              <w:tl2br w:val="nil"/>
              <w:tr2bl w:val="nil"/>
            </w:tcBorders>
            <w:noWrap w:val="0"/>
            <w:vAlign w:val="center"/>
          </w:tcPr>
          <w:p w14:paraId="0D37A3A4">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类别</w:t>
            </w:r>
          </w:p>
        </w:tc>
        <w:tc>
          <w:tcPr>
            <w:tcW w:w="736" w:type="pct"/>
            <w:tcBorders>
              <w:tl2br w:val="nil"/>
              <w:tr2bl w:val="nil"/>
            </w:tcBorders>
            <w:noWrap w:val="0"/>
            <w:vAlign w:val="center"/>
          </w:tcPr>
          <w:p w14:paraId="184BB2A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污染源</w:t>
            </w:r>
          </w:p>
        </w:tc>
        <w:tc>
          <w:tcPr>
            <w:tcW w:w="740" w:type="pct"/>
            <w:tcBorders>
              <w:tl2br w:val="nil"/>
              <w:tr2bl w:val="nil"/>
            </w:tcBorders>
            <w:noWrap w:val="0"/>
            <w:vAlign w:val="center"/>
          </w:tcPr>
          <w:p w14:paraId="627EC31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主要污染物</w:t>
            </w:r>
          </w:p>
        </w:tc>
        <w:tc>
          <w:tcPr>
            <w:tcW w:w="813" w:type="pct"/>
            <w:tcBorders>
              <w:tl2br w:val="nil"/>
              <w:tr2bl w:val="nil"/>
            </w:tcBorders>
            <w:noWrap w:val="0"/>
            <w:vAlign w:val="center"/>
          </w:tcPr>
          <w:p w14:paraId="637539F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产生量</w:t>
            </w:r>
          </w:p>
        </w:tc>
        <w:tc>
          <w:tcPr>
            <w:tcW w:w="761" w:type="pct"/>
            <w:tcBorders>
              <w:tl2br w:val="nil"/>
              <w:tr2bl w:val="nil"/>
            </w:tcBorders>
            <w:noWrap w:val="0"/>
            <w:vAlign w:val="center"/>
          </w:tcPr>
          <w:p w14:paraId="428E397B">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排放量</w:t>
            </w:r>
          </w:p>
        </w:tc>
        <w:tc>
          <w:tcPr>
            <w:tcW w:w="1522" w:type="pct"/>
            <w:tcBorders>
              <w:tl2br w:val="nil"/>
              <w:tr2bl w:val="nil"/>
            </w:tcBorders>
            <w:noWrap w:val="0"/>
            <w:vAlign w:val="center"/>
          </w:tcPr>
          <w:p w14:paraId="6997BC84">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排放去向</w:t>
            </w:r>
          </w:p>
        </w:tc>
      </w:tr>
      <w:tr w14:paraId="2A0DB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27" w:type="pct"/>
            <w:vMerge w:val="restart"/>
            <w:tcBorders>
              <w:tl2br w:val="nil"/>
              <w:tr2bl w:val="nil"/>
            </w:tcBorders>
            <w:noWrap w:val="0"/>
            <w:vAlign w:val="center"/>
          </w:tcPr>
          <w:p w14:paraId="10D0D304">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废气</w:t>
            </w:r>
          </w:p>
        </w:tc>
        <w:tc>
          <w:tcPr>
            <w:tcW w:w="736" w:type="pct"/>
            <w:vMerge w:val="restart"/>
            <w:tcBorders>
              <w:tl2br w:val="nil"/>
              <w:tr2bl w:val="nil"/>
            </w:tcBorders>
            <w:noWrap w:val="0"/>
            <w:vAlign w:val="center"/>
          </w:tcPr>
          <w:p w14:paraId="13E2779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无组织排放</w:t>
            </w:r>
          </w:p>
        </w:tc>
        <w:tc>
          <w:tcPr>
            <w:tcW w:w="740" w:type="pct"/>
            <w:tcBorders>
              <w:tl2br w:val="nil"/>
              <w:tr2bl w:val="nil"/>
            </w:tcBorders>
            <w:noWrap w:val="0"/>
            <w:vAlign w:val="center"/>
          </w:tcPr>
          <w:p w14:paraId="57FC5B7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NMHC</w:t>
            </w:r>
          </w:p>
        </w:tc>
        <w:tc>
          <w:tcPr>
            <w:tcW w:w="813" w:type="pct"/>
            <w:tcBorders>
              <w:tl2br w:val="nil"/>
              <w:tr2bl w:val="nil"/>
            </w:tcBorders>
            <w:noWrap w:val="0"/>
            <w:vAlign w:val="center"/>
          </w:tcPr>
          <w:p w14:paraId="199C35E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0.582</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52ED2E5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0.582</w:t>
            </w:r>
            <w:r>
              <w:rPr>
                <w:rFonts w:hint="eastAsia" w:ascii="宋体" w:hAnsi="宋体" w:eastAsia="宋体" w:cs="宋体"/>
                <w:color w:val="auto"/>
                <w:sz w:val="21"/>
                <w:szCs w:val="21"/>
                <w:highlight w:val="none"/>
                <w:u w:val="none"/>
              </w:rPr>
              <w:t>t/a</w:t>
            </w:r>
          </w:p>
        </w:tc>
        <w:tc>
          <w:tcPr>
            <w:tcW w:w="1522" w:type="pct"/>
            <w:vMerge w:val="restart"/>
            <w:tcBorders>
              <w:tl2br w:val="nil"/>
              <w:tr2bl w:val="nil"/>
            </w:tcBorders>
            <w:noWrap w:val="0"/>
            <w:vAlign w:val="center"/>
          </w:tcPr>
          <w:p w14:paraId="797C9AE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大气</w:t>
            </w:r>
          </w:p>
        </w:tc>
      </w:tr>
      <w:tr w14:paraId="0A14B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27" w:type="pct"/>
            <w:vMerge w:val="continue"/>
            <w:tcBorders>
              <w:tl2br w:val="nil"/>
              <w:tr2bl w:val="nil"/>
            </w:tcBorders>
            <w:noWrap w:val="0"/>
            <w:vAlign w:val="center"/>
          </w:tcPr>
          <w:p w14:paraId="373342C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vMerge w:val="continue"/>
            <w:tcBorders>
              <w:tl2br w:val="nil"/>
              <w:tr2bl w:val="nil"/>
            </w:tcBorders>
            <w:noWrap w:val="0"/>
            <w:vAlign w:val="center"/>
          </w:tcPr>
          <w:p w14:paraId="7933F314">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40" w:type="pct"/>
            <w:tcBorders>
              <w:tl2br w:val="nil"/>
              <w:tr2bl w:val="nil"/>
            </w:tcBorders>
            <w:noWrap w:val="0"/>
            <w:vAlign w:val="center"/>
          </w:tcPr>
          <w:p w14:paraId="470ED41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H</w:t>
            </w:r>
            <w:r>
              <w:rPr>
                <w:rFonts w:hint="eastAsia" w:ascii="宋体" w:hAnsi="宋体" w:cs="宋体"/>
                <w:color w:val="auto"/>
                <w:sz w:val="21"/>
                <w:szCs w:val="21"/>
                <w:highlight w:val="none"/>
                <w:u w:val="none"/>
                <w:vertAlign w:val="subscript"/>
                <w:lang w:val="en-US" w:eastAsia="zh-CN"/>
              </w:rPr>
              <w:t>2</w:t>
            </w:r>
            <w:r>
              <w:rPr>
                <w:rFonts w:hint="eastAsia" w:ascii="宋体" w:hAnsi="宋体" w:cs="宋体"/>
                <w:color w:val="auto"/>
                <w:sz w:val="21"/>
                <w:szCs w:val="21"/>
                <w:highlight w:val="none"/>
                <w:u w:val="none"/>
                <w:lang w:val="en-US" w:eastAsia="zh-CN"/>
              </w:rPr>
              <w:t>S</w:t>
            </w:r>
          </w:p>
        </w:tc>
        <w:tc>
          <w:tcPr>
            <w:tcW w:w="813" w:type="pct"/>
            <w:tcBorders>
              <w:tl2br w:val="nil"/>
              <w:tr2bl w:val="nil"/>
            </w:tcBorders>
            <w:noWrap w:val="0"/>
            <w:vAlign w:val="center"/>
          </w:tcPr>
          <w:p w14:paraId="438BA7A5">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0.00008</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7AA358C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0.00008</w:t>
            </w:r>
            <w:r>
              <w:rPr>
                <w:rFonts w:hint="eastAsia" w:ascii="宋体" w:hAnsi="宋体" w:eastAsia="宋体" w:cs="宋体"/>
                <w:color w:val="auto"/>
                <w:sz w:val="21"/>
                <w:szCs w:val="21"/>
                <w:highlight w:val="none"/>
                <w:u w:val="none"/>
              </w:rPr>
              <w:t>t/a</w:t>
            </w:r>
          </w:p>
        </w:tc>
        <w:tc>
          <w:tcPr>
            <w:tcW w:w="1522" w:type="pct"/>
            <w:vMerge w:val="continue"/>
            <w:tcBorders>
              <w:tl2br w:val="nil"/>
              <w:tr2bl w:val="nil"/>
            </w:tcBorders>
            <w:noWrap w:val="0"/>
            <w:vAlign w:val="center"/>
          </w:tcPr>
          <w:p w14:paraId="6689F1E7">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6317F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27" w:type="pct"/>
            <w:vMerge w:val="continue"/>
            <w:tcBorders>
              <w:tl2br w:val="nil"/>
              <w:tr2bl w:val="nil"/>
            </w:tcBorders>
            <w:noWrap w:val="0"/>
            <w:vAlign w:val="center"/>
          </w:tcPr>
          <w:p w14:paraId="6815B9A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tcBorders>
              <w:tl2br w:val="nil"/>
              <w:tr2bl w:val="nil"/>
            </w:tcBorders>
            <w:noWrap w:val="0"/>
            <w:vAlign w:val="center"/>
          </w:tcPr>
          <w:p w14:paraId="45232BE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储层改造废气</w:t>
            </w:r>
          </w:p>
        </w:tc>
        <w:tc>
          <w:tcPr>
            <w:tcW w:w="740" w:type="pct"/>
            <w:tcBorders>
              <w:tl2br w:val="nil"/>
              <w:tr2bl w:val="nil"/>
            </w:tcBorders>
            <w:noWrap w:val="0"/>
            <w:vAlign w:val="center"/>
          </w:tcPr>
          <w:p w14:paraId="2F3C5E92">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非甲烷总烃等</w:t>
            </w:r>
          </w:p>
        </w:tc>
        <w:tc>
          <w:tcPr>
            <w:tcW w:w="813" w:type="pct"/>
            <w:tcBorders>
              <w:tl2br w:val="nil"/>
              <w:tr2bl w:val="nil"/>
            </w:tcBorders>
            <w:noWrap w:val="0"/>
            <w:vAlign w:val="center"/>
          </w:tcPr>
          <w:p w14:paraId="26E57D0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pacing w:val="0"/>
                <w:sz w:val="21"/>
                <w:szCs w:val="21"/>
                <w:highlight w:val="none"/>
                <w:u w:val="none"/>
              </w:rPr>
              <w:t>少量</w:t>
            </w:r>
          </w:p>
        </w:tc>
        <w:tc>
          <w:tcPr>
            <w:tcW w:w="761" w:type="pct"/>
            <w:tcBorders>
              <w:tl2br w:val="nil"/>
              <w:tr2bl w:val="nil"/>
            </w:tcBorders>
            <w:noWrap w:val="0"/>
            <w:vAlign w:val="center"/>
          </w:tcPr>
          <w:p w14:paraId="1DE076E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pacing w:val="0"/>
                <w:sz w:val="21"/>
                <w:szCs w:val="21"/>
                <w:highlight w:val="none"/>
                <w:u w:val="none"/>
              </w:rPr>
              <w:t>少量</w:t>
            </w:r>
          </w:p>
        </w:tc>
        <w:tc>
          <w:tcPr>
            <w:tcW w:w="1522" w:type="pct"/>
            <w:vMerge w:val="continue"/>
            <w:tcBorders>
              <w:tl2br w:val="nil"/>
              <w:tr2bl w:val="nil"/>
            </w:tcBorders>
            <w:noWrap w:val="0"/>
            <w:vAlign w:val="center"/>
          </w:tcPr>
          <w:p w14:paraId="75B26A44">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val="en-US" w:eastAsia="zh-CN"/>
              </w:rPr>
            </w:pPr>
          </w:p>
        </w:tc>
      </w:tr>
      <w:tr w14:paraId="78528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vMerge w:val="restart"/>
            <w:tcBorders>
              <w:tl2br w:val="nil"/>
              <w:tr2bl w:val="nil"/>
            </w:tcBorders>
            <w:noWrap w:val="0"/>
            <w:vAlign w:val="center"/>
          </w:tcPr>
          <w:p w14:paraId="2243EDF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废水</w:t>
            </w:r>
          </w:p>
        </w:tc>
        <w:tc>
          <w:tcPr>
            <w:tcW w:w="736" w:type="pct"/>
            <w:tcBorders>
              <w:tl2br w:val="nil"/>
              <w:tr2bl w:val="nil"/>
            </w:tcBorders>
            <w:noWrap w:val="0"/>
            <w:vAlign w:val="center"/>
          </w:tcPr>
          <w:p w14:paraId="4A4F73F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采出水</w:t>
            </w:r>
          </w:p>
        </w:tc>
        <w:tc>
          <w:tcPr>
            <w:tcW w:w="740" w:type="pct"/>
            <w:tcBorders>
              <w:tl2br w:val="nil"/>
              <w:tr2bl w:val="nil"/>
            </w:tcBorders>
            <w:noWrap w:val="0"/>
            <w:vAlign w:val="center"/>
          </w:tcPr>
          <w:p w14:paraId="328E245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SS、COD、</w:t>
            </w:r>
          </w:p>
          <w:p w14:paraId="6E9644E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kern w:val="24"/>
                <w:sz w:val="21"/>
                <w:szCs w:val="21"/>
                <w:highlight w:val="none"/>
                <w:u w:val="none"/>
              </w:rPr>
              <w:t>石油类等</w:t>
            </w:r>
          </w:p>
        </w:tc>
        <w:tc>
          <w:tcPr>
            <w:tcW w:w="813" w:type="pct"/>
            <w:tcBorders>
              <w:tl2br w:val="nil"/>
              <w:tr2bl w:val="nil"/>
            </w:tcBorders>
            <w:noWrap w:val="0"/>
            <w:vAlign w:val="center"/>
          </w:tcPr>
          <w:p w14:paraId="56698E0F">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kern w:val="24"/>
                <w:sz w:val="21"/>
                <w:szCs w:val="21"/>
                <w:highlight w:val="none"/>
                <w:u w:val="none"/>
                <w:lang w:val="en-US" w:eastAsia="zh-CN"/>
              </w:rPr>
              <w:t>2.41</w:t>
            </w:r>
            <w:r>
              <w:rPr>
                <w:rFonts w:hint="eastAsia" w:ascii="宋体" w:hAnsi="宋体" w:eastAsia="宋体" w:cs="宋体"/>
                <w:color w:val="auto"/>
                <w:kern w:val="24"/>
                <w:sz w:val="21"/>
                <w:szCs w:val="21"/>
                <w:highlight w:val="none"/>
                <w:u w:val="none"/>
              </w:rPr>
              <w:t>×10</w:t>
            </w:r>
            <w:r>
              <w:rPr>
                <w:rFonts w:hint="eastAsia" w:ascii="宋体" w:hAnsi="宋体" w:eastAsia="宋体" w:cs="宋体"/>
                <w:color w:val="auto"/>
                <w:kern w:val="24"/>
                <w:sz w:val="21"/>
                <w:szCs w:val="21"/>
                <w:highlight w:val="none"/>
                <w:u w:val="none"/>
                <w:vertAlign w:val="superscript"/>
              </w:rPr>
              <w:t>4</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7AF2D22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522" w:type="pct"/>
            <w:tcBorders>
              <w:tl2br w:val="nil"/>
              <w:tr2bl w:val="nil"/>
            </w:tcBorders>
            <w:noWrap w:val="0"/>
            <w:vAlign w:val="center"/>
          </w:tcPr>
          <w:p w14:paraId="73E9768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采出水依托</w:t>
            </w:r>
            <w:r>
              <w:rPr>
                <w:rFonts w:hint="eastAsia" w:ascii="宋体" w:hAnsi="宋体" w:cs="宋体"/>
                <w:color w:val="auto"/>
                <w:sz w:val="21"/>
                <w:szCs w:val="21"/>
                <w:highlight w:val="none"/>
                <w:u w:val="none"/>
                <w:lang w:val="en-US" w:eastAsia="zh-CN"/>
              </w:rPr>
              <w:t>莫北转油站采出水处理系统</w:t>
            </w:r>
            <w:r>
              <w:rPr>
                <w:rFonts w:hint="eastAsia" w:ascii="宋体" w:hAnsi="宋体" w:eastAsia="宋体" w:cs="宋体"/>
                <w:color w:val="auto"/>
                <w:sz w:val="21"/>
                <w:szCs w:val="21"/>
                <w:highlight w:val="none"/>
                <w:u w:val="none"/>
              </w:rPr>
              <w:t>处理</w:t>
            </w:r>
            <w:r>
              <w:rPr>
                <w:rFonts w:hint="eastAsia" w:ascii="宋体" w:hAnsi="宋体" w:eastAsia="宋体" w:cs="宋体"/>
                <w:color w:val="auto"/>
                <w:sz w:val="21"/>
                <w:szCs w:val="21"/>
                <w:highlight w:val="none"/>
                <w:u w:val="none"/>
                <w:lang w:eastAsia="zh-CN"/>
              </w:rPr>
              <w:t>。</w:t>
            </w:r>
          </w:p>
        </w:tc>
      </w:tr>
      <w:tr w14:paraId="5211C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27" w:type="pct"/>
            <w:vMerge w:val="continue"/>
            <w:tcBorders>
              <w:tl2br w:val="nil"/>
              <w:tr2bl w:val="nil"/>
            </w:tcBorders>
            <w:noWrap w:val="0"/>
            <w:vAlign w:val="center"/>
          </w:tcPr>
          <w:p w14:paraId="4D3A5E1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vMerge w:val="restart"/>
            <w:tcBorders>
              <w:tl2br w:val="nil"/>
              <w:tr2bl w:val="nil"/>
            </w:tcBorders>
            <w:noWrap w:val="0"/>
            <w:vAlign w:val="center"/>
          </w:tcPr>
          <w:p w14:paraId="63246BBD">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井下作业废水</w:t>
            </w:r>
          </w:p>
        </w:tc>
        <w:tc>
          <w:tcPr>
            <w:tcW w:w="740" w:type="pct"/>
            <w:tcBorders>
              <w:tl2br w:val="nil"/>
              <w:tr2bl w:val="nil"/>
            </w:tcBorders>
            <w:noWrap w:val="0"/>
            <w:vAlign w:val="center"/>
          </w:tcPr>
          <w:p w14:paraId="022FE2B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压裂液</w:t>
            </w:r>
          </w:p>
        </w:tc>
        <w:tc>
          <w:tcPr>
            <w:tcW w:w="813" w:type="pct"/>
            <w:tcBorders>
              <w:tl2br w:val="nil"/>
              <w:tr2bl w:val="nil"/>
            </w:tcBorders>
            <w:noWrap w:val="0"/>
            <w:vAlign w:val="center"/>
          </w:tcPr>
          <w:p w14:paraId="2F86A81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791.94</w:t>
            </w:r>
            <w:r>
              <w:rPr>
                <w:rFonts w:hint="eastAsia" w:ascii="宋体" w:hAnsi="宋体" w:eastAsia="宋体" w:cs="宋体"/>
                <w:color w:val="auto"/>
                <w:sz w:val="21"/>
                <w:szCs w:val="21"/>
                <w:highlight w:val="none"/>
                <w:u w:val="none"/>
              </w:rPr>
              <w:t>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a</w:t>
            </w:r>
          </w:p>
        </w:tc>
        <w:tc>
          <w:tcPr>
            <w:tcW w:w="761" w:type="pct"/>
            <w:tcBorders>
              <w:tl2br w:val="nil"/>
              <w:tr2bl w:val="nil"/>
            </w:tcBorders>
            <w:noWrap w:val="0"/>
            <w:vAlign w:val="center"/>
          </w:tcPr>
          <w:p w14:paraId="31184BD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522" w:type="pct"/>
            <w:vMerge w:val="restart"/>
            <w:tcBorders>
              <w:tl2br w:val="nil"/>
              <w:tr2bl w:val="nil"/>
            </w:tcBorders>
            <w:noWrap w:val="0"/>
            <w:vAlign w:val="center"/>
          </w:tcPr>
          <w:p w14:paraId="2342C0E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采用专用罐回收，拉运至</w:t>
            </w:r>
            <w:r>
              <w:rPr>
                <w:rFonts w:hint="eastAsia" w:ascii="宋体" w:hAnsi="宋体" w:eastAsia="宋体" w:cs="宋体"/>
                <w:bCs/>
                <w:color w:val="auto"/>
                <w:sz w:val="21"/>
                <w:szCs w:val="21"/>
                <w:highlight w:val="none"/>
                <w:u w:val="none"/>
                <w:lang w:eastAsia="zh-CN"/>
              </w:rPr>
              <w:t>石西集中处理站采出水处理系统</w:t>
            </w:r>
            <w:r>
              <w:rPr>
                <w:rFonts w:hint="eastAsia" w:ascii="宋体" w:hAnsi="宋体" w:eastAsia="宋体" w:cs="宋体"/>
                <w:color w:val="auto"/>
                <w:sz w:val="21"/>
                <w:szCs w:val="21"/>
                <w:highlight w:val="none"/>
                <w:u w:val="none"/>
              </w:rPr>
              <w:t>处理</w:t>
            </w:r>
            <w:r>
              <w:rPr>
                <w:rFonts w:hint="eastAsia" w:ascii="宋体" w:hAnsi="宋体" w:eastAsia="宋体" w:cs="宋体"/>
                <w:color w:val="auto"/>
                <w:sz w:val="21"/>
                <w:szCs w:val="21"/>
                <w:highlight w:val="none"/>
                <w:u w:val="none"/>
                <w:lang w:eastAsia="zh-CN"/>
              </w:rPr>
              <w:t>。</w:t>
            </w:r>
          </w:p>
        </w:tc>
      </w:tr>
      <w:tr w14:paraId="77D32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7" w:type="pct"/>
            <w:vMerge w:val="continue"/>
            <w:tcBorders>
              <w:tl2br w:val="nil"/>
              <w:tr2bl w:val="nil"/>
            </w:tcBorders>
            <w:noWrap w:val="0"/>
            <w:vAlign w:val="center"/>
          </w:tcPr>
          <w:p w14:paraId="3EBD422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vMerge w:val="continue"/>
            <w:tcBorders>
              <w:tl2br w:val="nil"/>
              <w:tr2bl w:val="nil"/>
            </w:tcBorders>
            <w:noWrap w:val="0"/>
            <w:vAlign w:val="center"/>
          </w:tcPr>
          <w:p w14:paraId="1DD41D5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40" w:type="pct"/>
            <w:tcBorders>
              <w:tl2br w:val="nil"/>
              <w:tr2bl w:val="nil"/>
            </w:tcBorders>
            <w:noWrap w:val="0"/>
            <w:vAlign w:val="center"/>
          </w:tcPr>
          <w:p w14:paraId="37E5D06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酸化液</w:t>
            </w:r>
          </w:p>
        </w:tc>
        <w:tc>
          <w:tcPr>
            <w:tcW w:w="813" w:type="pct"/>
            <w:tcBorders>
              <w:tl2br w:val="nil"/>
              <w:tr2bl w:val="nil"/>
            </w:tcBorders>
            <w:noWrap w:val="0"/>
            <w:vAlign w:val="center"/>
          </w:tcPr>
          <w:p w14:paraId="3C04705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246.9</w:t>
            </w:r>
            <w:r>
              <w:rPr>
                <w:rFonts w:hint="eastAsia" w:ascii="宋体" w:hAnsi="宋体" w:eastAsia="宋体" w:cs="宋体"/>
                <w:color w:val="auto"/>
                <w:sz w:val="21"/>
                <w:szCs w:val="21"/>
                <w:highlight w:val="none"/>
                <w:u w:val="none"/>
              </w:rPr>
              <w:t>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a</w:t>
            </w:r>
          </w:p>
        </w:tc>
        <w:tc>
          <w:tcPr>
            <w:tcW w:w="761" w:type="pct"/>
            <w:tcBorders>
              <w:tl2br w:val="nil"/>
              <w:tr2bl w:val="nil"/>
            </w:tcBorders>
            <w:noWrap w:val="0"/>
            <w:vAlign w:val="center"/>
          </w:tcPr>
          <w:p w14:paraId="14F3C8A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1522" w:type="pct"/>
            <w:vMerge w:val="continue"/>
            <w:tcBorders>
              <w:tl2br w:val="nil"/>
              <w:tr2bl w:val="nil"/>
            </w:tcBorders>
            <w:noWrap w:val="0"/>
            <w:vAlign w:val="center"/>
          </w:tcPr>
          <w:p w14:paraId="007E049C">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338D5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427" w:type="pct"/>
            <w:vMerge w:val="continue"/>
            <w:tcBorders>
              <w:tl2br w:val="nil"/>
              <w:tr2bl w:val="nil"/>
            </w:tcBorders>
            <w:noWrap w:val="0"/>
            <w:vAlign w:val="center"/>
          </w:tcPr>
          <w:p w14:paraId="30AB90BF">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vMerge w:val="continue"/>
            <w:tcBorders>
              <w:tl2br w:val="nil"/>
              <w:tr2bl w:val="nil"/>
            </w:tcBorders>
            <w:noWrap w:val="0"/>
            <w:vAlign w:val="center"/>
          </w:tcPr>
          <w:p w14:paraId="15C93CDC">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40" w:type="pct"/>
            <w:tcBorders>
              <w:tl2br w:val="nil"/>
              <w:tr2bl w:val="nil"/>
            </w:tcBorders>
            <w:noWrap w:val="0"/>
            <w:vAlign w:val="center"/>
          </w:tcPr>
          <w:p w14:paraId="1E435ED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洗井液</w:t>
            </w:r>
          </w:p>
        </w:tc>
        <w:tc>
          <w:tcPr>
            <w:tcW w:w="813" w:type="pct"/>
            <w:tcBorders>
              <w:tl2br w:val="nil"/>
              <w:tr2bl w:val="nil"/>
            </w:tcBorders>
            <w:noWrap w:val="0"/>
            <w:vAlign w:val="center"/>
          </w:tcPr>
          <w:p w14:paraId="5CF0BC27">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75.87</w:t>
            </w:r>
            <w:r>
              <w:rPr>
                <w:rFonts w:hint="eastAsia" w:ascii="宋体" w:hAnsi="宋体" w:eastAsia="宋体" w:cs="宋体"/>
                <w:color w:val="auto"/>
                <w:sz w:val="21"/>
                <w:szCs w:val="21"/>
                <w:highlight w:val="none"/>
                <w:u w:val="none"/>
              </w:rPr>
              <w:t>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a</w:t>
            </w:r>
          </w:p>
        </w:tc>
        <w:tc>
          <w:tcPr>
            <w:tcW w:w="761" w:type="pct"/>
            <w:tcBorders>
              <w:tl2br w:val="nil"/>
              <w:tr2bl w:val="nil"/>
            </w:tcBorders>
            <w:noWrap w:val="0"/>
            <w:vAlign w:val="center"/>
          </w:tcPr>
          <w:p w14:paraId="7B9C96BC">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1522" w:type="pct"/>
            <w:vMerge w:val="continue"/>
            <w:tcBorders>
              <w:tl2br w:val="nil"/>
              <w:tr2bl w:val="nil"/>
            </w:tcBorders>
            <w:noWrap w:val="0"/>
            <w:vAlign w:val="center"/>
          </w:tcPr>
          <w:p w14:paraId="55375DA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77319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7" w:type="pct"/>
            <w:vMerge w:val="restart"/>
            <w:tcBorders>
              <w:tl2br w:val="nil"/>
              <w:tr2bl w:val="nil"/>
            </w:tcBorders>
            <w:noWrap w:val="0"/>
            <w:vAlign w:val="center"/>
          </w:tcPr>
          <w:p w14:paraId="3DF2D8A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固体废物</w:t>
            </w:r>
          </w:p>
        </w:tc>
        <w:tc>
          <w:tcPr>
            <w:tcW w:w="736" w:type="pct"/>
            <w:tcBorders>
              <w:tl2br w:val="nil"/>
              <w:tr2bl w:val="nil"/>
            </w:tcBorders>
            <w:noWrap w:val="0"/>
            <w:vAlign w:val="center"/>
          </w:tcPr>
          <w:p w14:paraId="4DFC4E14">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油泥（砂）</w:t>
            </w:r>
          </w:p>
        </w:tc>
        <w:tc>
          <w:tcPr>
            <w:tcW w:w="740" w:type="pct"/>
            <w:tcBorders>
              <w:tl2br w:val="nil"/>
              <w:tr2bl w:val="nil"/>
            </w:tcBorders>
            <w:noWrap w:val="0"/>
            <w:vAlign w:val="center"/>
          </w:tcPr>
          <w:p w14:paraId="370B0194">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石油类</w:t>
            </w:r>
          </w:p>
        </w:tc>
        <w:tc>
          <w:tcPr>
            <w:tcW w:w="813" w:type="pct"/>
            <w:tcBorders>
              <w:tl2br w:val="nil"/>
              <w:tr2bl w:val="nil"/>
            </w:tcBorders>
            <w:noWrap w:val="0"/>
            <w:vAlign w:val="center"/>
          </w:tcPr>
          <w:p w14:paraId="6D2EB6B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11.9</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587FC067">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522" w:type="pct"/>
            <w:vMerge w:val="restart"/>
            <w:tcBorders>
              <w:tl2br w:val="nil"/>
              <w:tr2bl w:val="nil"/>
            </w:tcBorders>
            <w:noWrap w:val="0"/>
            <w:vAlign w:val="center"/>
          </w:tcPr>
          <w:p w14:paraId="63FA838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val="en-US" w:eastAsia="zh-CN"/>
              </w:rPr>
              <w:t>委托具有相关危废处置资质的单位处置</w:t>
            </w:r>
            <w:r>
              <w:rPr>
                <w:rFonts w:hint="eastAsia" w:ascii="宋体" w:hAnsi="宋体" w:eastAsia="宋体" w:cs="宋体"/>
                <w:color w:val="auto"/>
                <w:sz w:val="21"/>
                <w:szCs w:val="21"/>
                <w:highlight w:val="none"/>
                <w:u w:val="none"/>
                <w:lang w:eastAsia="zh-CN"/>
              </w:rPr>
              <w:t>。</w:t>
            </w:r>
          </w:p>
        </w:tc>
      </w:tr>
      <w:tr w14:paraId="7E229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27" w:type="pct"/>
            <w:vMerge w:val="continue"/>
            <w:tcBorders>
              <w:tl2br w:val="nil"/>
              <w:tr2bl w:val="nil"/>
            </w:tcBorders>
            <w:noWrap w:val="0"/>
            <w:vAlign w:val="center"/>
          </w:tcPr>
          <w:p w14:paraId="4EA5AFC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tcBorders>
              <w:tl2br w:val="nil"/>
              <w:tr2bl w:val="nil"/>
            </w:tcBorders>
            <w:noWrap w:val="0"/>
            <w:vAlign w:val="center"/>
          </w:tcPr>
          <w:p w14:paraId="579E23F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清管废渣</w:t>
            </w:r>
          </w:p>
        </w:tc>
        <w:tc>
          <w:tcPr>
            <w:tcW w:w="740" w:type="pct"/>
            <w:tcBorders>
              <w:tl2br w:val="nil"/>
              <w:tr2bl w:val="nil"/>
            </w:tcBorders>
            <w:noWrap w:val="0"/>
            <w:vAlign w:val="center"/>
          </w:tcPr>
          <w:p w14:paraId="390DAA0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石油类、SS和氧化铁等</w:t>
            </w:r>
          </w:p>
        </w:tc>
        <w:tc>
          <w:tcPr>
            <w:tcW w:w="813" w:type="pct"/>
            <w:tcBorders>
              <w:tl2br w:val="nil"/>
              <w:tr2bl w:val="nil"/>
            </w:tcBorders>
            <w:noWrap w:val="0"/>
            <w:vAlign w:val="center"/>
          </w:tcPr>
          <w:p w14:paraId="37ACA5B7">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0.009</w:t>
            </w:r>
            <w:r>
              <w:rPr>
                <w:rFonts w:hint="eastAsia" w:ascii="宋体" w:hAnsi="宋体" w:eastAsia="宋体" w:cs="宋体"/>
                <w:color w:val="auto"/>
                <w:sz w:val="21"/>
                <w:szCs w:val="21"/>
                <w:highlight w:val="none"/>
                <w:u w:val="none"/>
              </w:rPr>
              <w:t>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a</w:t>
            </w:r>
          </w:p>
        </w:tc>
        <w:tc>
          <w:tcPr>
            <w:tcW w:w="761" w:type="pct"/>
            <w:tcBorders>
              <w:tl2br w:val="nil"/>
              <w:tr2bl w:val="nil"/>
            </w:tcBorders>
            <w:noWrap w:val="0"/>
            <w:vAlign w:val="center"/>
          </w:tcPr>
          <w:p w14:paraId="39FA6207">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522" w:type="pct"/>
            <w:vMerge w:val="continue"/>
            <w:tcBorders>
              <w:tl2br w:val="nil"/>
              <w:tr2bl w:val="nil"/>
            </w:tcBorders>
            <w:noWrap w:val="0"/>
            <w:vAlign w:val="center"/>
          </w:tcPr>
          <w:p w14:paraId="141320B5">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47EF4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7" w:type="pct"/>
            <w:vMerge w:val="continue"/>
            <w:tcBorders>
              <w:tl2br w:val="nil"/>
              <w:tr2bl w:val="nil"/>
            </w:tcBorders>
            <w:noWrap w:val="0"/>
            <w:vAlign w:val="center"/>
          </w:tcPr>
          <w:p w14:paraId="6B08FF5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tcBorders>
              <w:tl2br w:val="nil"/>
              <w:tr2bl w:val="nil"/>
            </w:tcBorders>
            <w:noWrap w:val="0"/>
            <w:vAlign w:val="center"/>
          </w:tcPr>
          <w:p w14:paraId="487C211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val="en-US" w:eastAsia="zh-CN"/>
              </w:rPr>
              <w:t>废防渗材料</w:t>
            </w:r>
          </w:p>
        </w:tc>
        <w:tc>
          <w:tcPr>
            <w:tcW w:w="740" w:type="pct"/>
            <w:tcBorders>
              <w:tl2br w:val="nil"/>
              <w:tr2bl w:val="nil"/>
            </w:tcBorders>
            <w:noWrap w:val="0"/>
            <w:vAlign w:val="center"/>
          </w:tcPr>
          <w:p w14:paraId="31D2A665">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石油类</w:t>
            </w:r>
          </w:p>
        </w:tc>
        <w:tc>
          <w:tcPr>
            <w:tcW w:w="813" w:type="pct"/>
            <w:tcBorders>
              <w:tl2br w:val="nil"/>
              <w:tr2bl w:val="nil"/>
            </w:tcBorders>
            <w:noWrap w:val="0"/>
            <w:vAlign w:val="center"/>
          </w:tcPr>
          <w:p w14:paraId="67865E1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0.75</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3CAA261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0</w:t>
            </w:r>
          </w:p>
        </w:tc>
        <w:tc>
          <w:tcPr>
            <w:tcW w:w="1522" w:type="pct"/>
            <w:vMerge w:val="continue"/>
            <w:tcBorders>
              <w:tl2br w:val="nil"/>
              <w:tr2bl w:val="nil"/>
            </w:tcBorders>
            <w:noWrap w:val="0"/>
            <w:vAlign w:val="center"/>
          </w:tcPr>
          <w:p w14:paraId="4751B1D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1AD47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7" w:type="pct"/>
            <w:vMerge w:val="continue"/>
            <w:tcBorders>
              <w:tl2br w:val="nil"/>
              <w:tr2bl w:val="nil"/>
            </w:tcBorders>
            <w:noWrap w:val="0"/>
            <w:vAlign w:val="center"/>
          </w:tcPr>
          <w:p w14:paraId="5FE9552B">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tcBorders>
              <w:tl2br w:val="nil"/>
              <w:tr2bl w:val="nil"/>
            </w:tcBorders>
            <w:noWrap w:val="0"/>
            <w:vAlign w:val="center"/>
          </w:tcPr>
          <w:p w14:paraId="24CDAB1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落地油</w:t>
            </w:r>
          </w:p>
        </w:tc>
        <w:tc>
          <w:tcPr>
            <w:tcW w:w="740" w:type="pct"/>
            <w:tcBorders>
              <w:tl2br w:val="nil"/>
              <w:tr2bl w:val="nil"/>
            </w:tcBorders>
            <w:noWrap w:val="0"/>
            <w:vAlign w:val="center"/>
          </w:tcPr>
          <w:p w14:paraId="44BE027D">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石油类</w:t>
            </w:r>
          </w:p>
        </w:tc>
        <w:tc>
          <w:tcPr>
            <w:tcW w:w="813" w:type="pct"/>
            <w:tcBorders>
              <w:tl2br w:val="nil"/>
              <w:tr2bl w:val="nil"/>
            </w:tcBorders>
            <w:noWrap w:val="0"/>
            <w:vAlign w:val="center"/>
          </w:tcPr>
          <w:p w14:paraId="4A4A58E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0.3</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050ABD3F">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0</w:t>
            </w:r>
          </w:p>
        </w:tc>
        <w:tc>
          <w:tcPr>
            <w:tcW w:w="1522" w:type="pct"/>
            <w:tcBorders>
              <w:tl2br w:val="nil"/>
              <w:tr2bl w:val="nil"/>
            </w:tcBorders>
            <w:noWrap w:val="0"/>
            <w:vAlign w:val="center"/>
          </w:tcPr>
          <w:p w14:paraId="79AD912F">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落地油100%回收，回收后的落地原油运至石西集中处理站原油处理系统进行处理。</w:t>
            </w:r>
          </w:p>
        </w:tc>
      </w:tr>
      <w:tr w14:paraId="4E85E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427" w:type="pct"/>
            <w:vMerge w:val="continue"/>
            <w:tcBorders>
              <w:tl2br w:val="nil"/>
              <w:tr2bl w:val="nil"/>
            </w:tcBorders>
            <w:noWrap w:val="0"/>
            <w:vAlign w:val="center"/>
          </w:tcPr>
          <w:p w14:paraId="7FD73449">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both"/>
              <w:textAlignment w:val="auto"/>
              <w:rPr>
                <w:rFonts w:hint="eastAsia" w:ascii="宋体" w:hAnsi="宋体" w:eastAsia="宋体" w:cs="宋体"/>
                <w:color w:val="auto"/>
                <w:sz w:val="21"/>
                <w:szCs w:val="21"/>
                <w:highlight w:val="none"/>
                <w:u w:val="none"/>
                <w:lang w:val="en-US" w:eastAsia="zh-CN"/>
              </w:rPr>
            </w:pPr>
          </w:p>
        </w:tc>
        <w:tc>
          <w:tcPr>
            <w:tcW w:w="736" w:type="pct"/>
            <w:tcBorders>
              <w:tl2br w:val="nil"/>
              <w:tr2bl w:val="nil"/>
            </w:tcBorders>
            <w:noWrap w:val="0"/>
            <w:vAlign w:val="center"/>
          </w:tcPr>
          <w:p w14:paraId="47AB69A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废弃含油抹布、劳保用品</w:t>
            </w:r>
          </w:p>
        </w:tc>
        <w:tc>
          <w:tcPr>
            <w:tcW w:w="740" w:type="pct"/>
            <w:tcBorders>
              <w:tl2br w:val="nil"/>
              <w:tr2bl w:val="nil"/>
            </w:tcBorders>
            <w:noWrap w:val="0"/>
            <w:vAlign w:val="center"/>
          </w:tcPr>
          <w:p w14:paraId="496DB645">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813" w:type="pct"/>
            <w:tcBorders>
              <w:tl2br w:val="nil"/>
              <w:tr2bl w:val="nil"/>
            </w:tcBorders>
            <w:noWrap w:val="0"/>
            <w:vAlign w:val="center"/>
          </w:tcPr>
          <w:p w14:paraId="36BABB75">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761" w:type="pct"/>
            <w:tcBorders>
              <w:tl2br w:val="nil"/>
              <w:tr2bl w:val="nil"/>
            </w:tcBorders>
            <w:noWrap w:val="0"/>
            <w:vAlign w:val="center"/>
          </w:tcPr>
          <w:p w14:paraId="6769824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w:t>
            </w:r>
          </w:p>
        </w:tc>
        <w:tc>
          <w:tcPr>
            <w:tcW w:w="1522" w:type="pct"/>
            <w:tcBorders>
              <w:tl2br w:val="nil"/>
              <w:tr2bl w:val="nil"/>
            </w:tcBorders>
            <w:noWrap w:val="0"/>
            <w:vAlign w:val="center"/>
          </w:tcPr>
          <w:p w14:paraId="3E01D7E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具备条件时，应尽可能分类收集，交相应的危废处置单位处置。</w:t>
            </w:r>
          </w:p>
        </w:tc>
      </w:tr>
      <w:tr w14:paraId="79482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427" w:type="pct"/>
            <w:tcBorders>
              <w:tl2br w:val="nil"/>
              <w:tr2bl w:val="nil"/>
            </w:tcBorders>
            <w:noWrap w:val="0"/>
            <w:vAlign w:val="center"/>
          </w:tcPr>
          <w:p w14:paraId="0B66ABED">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噪声</w:t>
            </w:r>
          </w:p>
        </w:tc>
        <w:tc>
          <w:tcPr>
            <w:tcW w:w="736" w:type="pct"/>
            <w:tcBorders>
              <w:tl2br w:val="nil"/>
              <w:tr2bl w:val="nil"/>
            </w:tcBorders>
            <w:noWrap w:val="0"/>
            <w:vAlign w:val="center"/>
          </w:tcPr>
          <w:p w14:paraId="283D13A7">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机械噪声</w:t>
            </w:r>
          </w:p>
        </w:tc>
        <w:tc>
          <w:tcPr>
            <w:tcW w:w="740" w:type="pct"/>
            <w:tcBorders>
              <w:tl2br w:val="nil"/>
              <w:tr2bl w:val="nil"/>
            </w:tcBorders>
            <w:noWrap w:val="0"/>
            <w:vAlign w:val="center"/>
          </w:tcPr>
          <w:p w14:paraId="2F1D991C">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w:t>
            </w:r>
          </w:p>
        </w:tc>
        <w:tc>
          <w:tcPr>
            <w:tcW w:w="813" w:type="pct"/>
            <w:tcBorders>
              <w:tl2br w:val="nil"/>
              <w:tr2bl w:val="nil"/>
            </w:tcBorders>
            <w:noWrap w:val="0"/>
            <w:vAlign w:val="center"/>
          </w:tcPr>
          <w:p w14:paraId="1177384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70</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90</w:t>
            </w:r>
            <w:r>
              <w:rPr>
                <w:rFonts w:hint="eastAsia" w:ascii="宋体" w:hAnsi="宋体" w:eastAsia="宋体" w:cs="宋体"/>
                <w:color w:val="auto"/>
                <w:sz w:val="21"/>
                <w:szCs w:val="21"/>
                <w:highlight w:val="none"/>
                <w:u w:val="none"/>
              </w:rPr>
              <w:t>dB(A)</w:t>
            </w:r>
          </w:p>
        </w:tc>
        <w:tc>
          <w:tcPr>
            <w:tcW w:w="761" w:type="pct"/>
            <w:tcBorders>
              <w:tl2br w:val="nil"/>
              <w:tr2bl w:val="nil"/>
            </w:tcBorders>
            <w:noWrap w:val="0"/>
            <w:vAlign w:val="center"/>
          </w:tcPr>
          <w:p w14:paraId="0A4E5C4D">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厂界达标</w:t>
            </w:r>
          </w:p>
        </w:tc>
        <w:tc>
          <w:tcPr>
            <w:tcW w:w="1522" w:type="pct"/>
            <w:tcBorders>
              <w:tl2br w:val="nil"/>
              <w:tr2bl w:val="nil"/>
            </w:tcBorders>
            <w:noWrap w:val="0"/>
            <w:vAlign w:val="center"/>
          </w:tcPr>
          <w:p w14:paraId="228BD77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选用低噪声设备，采取减振、隔声、消声等降噪措施</w:t>
            </w:r>
            <w:r>
              <w:rPr>
                <w:rFonts w:hint="eastAsia" w:ascii="宋体" w:hAnsi="宋体" w:eastAsia="宋体" w:cs="宋体"/>
                <w:color w:val="auto"/>
                <w:sz w:val="21"/>
                <w:szCs w:val="21"/>
                <w:highlight w:val="none"/>
                <w:u w:val="none"/>
                <w:lang w:eastAsia="zh-CN"/>
              </w:rPr>
              <w:t>。</w:t>
            </w:r>
          </w:p>
        </w:tc>
      </w:tr>
    </w:tbl>
    <w:p w14:paraId="46ECAB35">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278" w:name="_Toc339558014"/>
      <w:bookmarkStart w:id="279" w:name="_Toc331761882"/>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6</w:t>
      </w:r>
      <w:r>
        <w:rPr>
          <w:rFonts w:hint="default" w:ascii="黑体" w:hAnsi="黑体" w:eastAsia="黑体" w:cs="黑体"/>
          <w:b/>
          <w:color w:val="auto"/>
          <w:kern w:val="0"/>
          <w:sz w:val="24"/>
          <w:szCs w:val="24"/>
          <w:highlight w:val="none"/>
          <w:u w:val="none"/>
          <w:lang w:val="en-US" w:eastAsia="zh-CN"/>
        </w:rPr>
        <w:t>污染物排放“三本账”</w:t>
      </w:r>
      <w:bookmarkEnd w:id="278"/>
      <w:bookmarkEnd w:id="279"/>
    </w:p>
    <w:p w14:paraId="0CCFE3F9">
      <w:pPr>
        <w:pStyle w:val="54"/>
        <w:keepNext w:val="0"/>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u w:val="none"/>
        </w:rPr>
      </w:pPr>
      <w:bookmarkStart w:id="280" w:name="_Hlk71734815"/>
      <w:r>
        <w:rPr>
          <w:rFonts w:hint="eastAsia"/>
          <w:color w:val="auto"/>
          <w:highlight w:val="none"/>
          <w:u w:val="none"/>
        </w:rPr>
        <w:t>莫116井区属于莫北油田已开发区块，区块开发建设较早，近年来未实施新的产能建设工程，</w:t>
      </w:r>
      <w:r>
        <w:rPr>
          <w:color w:val="auto"/>
          <w:highlight w:val="none"/>
          <w:u w:val="none"/>
        </w:rPr>
        <w:t>本次评价现有工程污染源数据引用</w:t>
      </w:r>
      <w:r>
        <w:rPr>
          <w:rFonts w:hint="eastAsia"/>
          <w:color w:val="auto"/>
          <w:highlight w:val="none"/>
          <w:u w:val="none"/>
          <w:lang w:val="en-US" w:eastAsia="zh-CN"/>
        </w:rPr>
        <w:t>自</w:t>
      </w:r>
      <w:r>
        <w:rPr>
          <w:rFonts w:hint="eastAsia"/>
          <w:color w:val="auto"/>
          <w:highlight w:val="none"/>
          <w:u w:val="none"/>
          <w:lang w:eastAsia="zh-CN"/>
        </w:rPr>
        <w:t>《中国石油新疆油田分公司莫北油田莫116井区2012年产能建设项目环境影响报告书》，</w:t>
      </w:r>
      <w:r>
        <w:rPr>
          <w:rFonts w:hint="eastAsia"/>
          <w:color w:val="auto"/>
          <w:highlight w:val="none"/>
          <w:u w:val="none"/>
          <w:lang w:val="en-US" w:eastAsia="zh-CN"/>
        </w:rPr>
        <w:t>该项目于</w:t>
      </w:r>
      <w:r>
        <w:rPr>
          <w:rFonts w:hint="eastAsia"/>
          <w:color w:val="auto"/>
          <w:highlight w:val="none"/>
          <w:u w:val="none"/>
          <w:lang w:eastAsia="zh-CN"/>
        </w:rPr>
        <w:t>20</w:t>
      </w:r>
      <w:r>
        <w:rPr>
          <w:rFonts w:hint="eastAsia"/>
          <w:color w:val="auto"/>
          <w:highlight w:val="none"/>
          <w:u w:val="none"/>
          <w:lang w:val="en-US" w:eastAsia="zh-CN"/>
        </w:rPr>
        <w:t>13</w:t>
      </w:r>
      <w:r>
        <w:rPr>
          <w:rFonts w:hint="eastAsia"/>
          <w:color w:val="auto"/>
          <w:highlight w:val="none"/>
          <w:u w:val="none"/>
          <w:lang w:eastAsia="zh-CN"/>
        </w:rPr>
        <w:t>年</w:t>
      </w:r>
      <w:r>
        <w:rPr>
          <w:rFonts w:hint="eastAsia"/>
          <w:color w:val="auto"/>
          <w:highlight w:val="none"/>
          <w:u w:val="none"/>
          <w:lang w:val="en-US" w:eastAsia="zh-CN"/>
        </w:rPr>
        <w:t>5</w:t>
      </w:r>
      <w:r>
        <w:rPr>
          <w:rFonts w:hint="eastAsia"/>
          <w:color w:val="auto"/>
          <w:highlight w:val="none"/>
          <w:u w:val="none"/>
          <w:lang w:eastAsia="zh-CN"/>
        </w:rPr>
        <w:t>月</w:t>
      </w:r>
      <w:r>
        <w:rPr>
          <w:rFonts w:hint="eastAsia"/>
          <w:color w:val="auto"/>
          <w:highlight w:val="none"/>
          <w:u w:val="none"/>
          <w:lang w:val="en-US" w:eastAsia="zh-CN"/>
        </w:rPr>
        <w:t>16</w:t>
      </w:r>
      <w:r>
        <w:rPr>
          <w:rFonts w:hint="eastAsia"/>
          <w:color w:val="auto"/>
          <w:highlight w:val="none"/>
          <w:u w:val="none"/>
          <w:lang w:eastAsia="zh-CN"/>
        </w:rPr>
        <w:t>日</w:t>
      </w:r>
      <w:r>
        <w:rPr>
          <w:rFonts w:hint="eastAsia"/>
          <w:color w:val="auto"/>
          <w:highlight w:val="none"/>
          <w:u w:val="none"/>
          <w:lang w:val="en-US" w:eastAsia="zh-CN"/>
        </w:rPr>
        <w:t>取得</w:t>
      </w:r>
      <w:r>
        <w:rPr>
          <w:rFonts w:hint="eastAsia"/>
          <w:color w:val="auto"/>
          <w:highlight w:val="none"/>
          <w:u w:val="none"/>
          <w:lang w:eastAsia="zh-CN"/>
        </w:rPr>
        <w:t>原新疆维吾尔自治区环境保护厅</w:t>
      </w:r>
      <w:r>
        <w:rPr>
          <w:rFonts w:hint="eastAsia"/>
          <w:color w:val="auto"/>
          <w:highlight w:val="none"/>
          <w:u w:val="none"/>
          <w:lang w:val="en-US" w:eastAsia="zh-CN"/>
        </w:rPr>
        <w:t>批复（</w:t>
      </w:r>
      <w:r>
        <w:rPr>
          <w:rFonts w:hint="eastAsia"/>
          <w:color w:val="auto"/>
          <w:highlight w:val="none"/>
          <w:u w:val="none"/>
          <w:lang w:eastAsia="zh-CN"/>
        </w:rPr>
        <w:t>新环评价函〔2013〕382号</w:t>
      </w:r>
      <w:r>
        <w:rPr>
          <w:rFonts w:hint="eastAsia"/>
          <w:color w:val="auto"/>
          <w:highlight w:val="none"/>
          <w:u w:val="none"/>
          <w:lang w:val="en-US" w:eastAsia="zh-CN"/>
        </w:rPr>
        <w:t>）。</w:t>
      </w:r>
      <w:r>
        <w:rPr>
          <w:rFonts w:hint="eastAsia"/>
          <w:color w:val="auto"/>
          <w:highlight w:val="none"/>
          <w:u w:val="none"/>
          <w:lang w:eastAsia="zh-CN"/>
        </w:rPr>
        <w:tab/>
      </w:r>
      <w:r>
        <w:rPr>
          <w:rFonts w:hint="eastAsia"/>
          <w:color w:val="auto"/>
          <w:highlight w:val="none"/>
          <w:u w:val="none"/>
          <w:lang w:eastAsia="zh-CN"/>
        </w:rPr>
        <w:t>本工程</w:t>
      </w:r>
      <w:r>
        <w:rPr>
          <w:color w:val="auto"/>
          <w:highlight w:val="none"/>
          <w:u w:val="none"/>
        </w:rPr>
        <w:t>建成后</w:t>
      </w:r>
      <w:r>
        <w:rPr>
          <w:rFonts w:hint="eastAsia"/>
          <w:color w:val="auto"/>
          <w:highlight w:val="none"/>
          <w:u w:val="none"/>
          <w:lang w:val="en-US" w:eastAsia="zh-CN"/>
        </w:rPr>
        <w:t>运营</w:t>
      </w:r>
      <w:r>
        <w:rPr>
          <w:color w:val="auto"/>
          <w:highlight w:val="none"/>
          <w:u w:val="none"/>
        </w:rPr>
        <w:t>期污染物排放变化情况见表3.</w:t>
      </w:r>
      <w:r>
        <w:rPr>
          <w:rFonts w:hint="eastAsia"/>
          <w:color w:val="auto"/>
          <w:highlight w:val="none"/>
          <w:u w:val="none"/>
          <w:lang w:val="en-US" w:eastAsia="zh-CN"/>
        </w:rPr>
        <w:t>4-15</w:t>
      </w:r>
      <w:r>
        <w:rPr>
          <w:color w:val="auto"/>
          <w:highlight w:val="none"/>
          <w:u w:val="none"/>
        </w:rPr>
        <w:t>。</w:t>
      </w:r>
    </w:p>
    <w:p w14:paraId="2537EC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10331B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057377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4</w:t>
      </w:r>
      <w:r>
        <w:rPr>
          <w:rFonts w:hint="default" w:ascii="黑体" w:hAnsi="黑体" w:eastAsia="黑体" w:cs="黑体"/>
          <w:b w:val="0"/>
          <w:bCs/>
          <w:color w:val="auto"/>
          <w:kern w:val="2"/>
          <w:sz w:val="24"/>
          <w:szCs w:val="24"/>
          <w:u w:val="none"/>
          <w:lang w:val="en-US" w:eastAsia="zh-CN" w:bidi="ar-SA"/>
        </w:rPr>
        <w:t>-1</w:t>
      </w:r>
      <w:r>
        <w:rPr>
          <w:rFonts w:hint="eastAsia" w:ascii="黑体" w:hAnsi="黑体" w:eastAsia="黑体" w:cs="黑体"/>
          <w:b w:val="0"/>
          <w:bCs/>
          <w:color w:val="auto"/>
          <w:kern w:val="2"/>
          <w:sz w:val="24"/>
          <w:szCs w:val="24"/>
          <w:u w:val="none"/>
          <w:lang w:val="en-US" w:eastAsia="zh-CN" w:bidi="ar-SA"/>
        </w:rPr>
        <w:t xml:space="preserve">5  </w:t>
      </w:r>
      <w:r>
        <w:rPr>
          <w:rFonts w:hint="default" w:ascii="黑体" w:hAnsi="黑体" w:eastAsia="黑体" w:cs="黑体"/>
          <w:b w:val="0"/>
          <w:bCs/>
          <w:color w:val="auto"/>
          <w:kern w:val="2"/>
          <w:sz w:val="24"/>
          <w:szCs w:val="24"/>
          <w:u w:val="none"/>
          <w:lang w:val="en-US" w:eastAsia="zh-CN" w:bidi="ar-SA"/>
        </w:rPr>
        <w:t>本工程及现有工程排放量“三本账”一览表</w:t>
      </w:r>
    </w:p>
    <w:tbl>
      <w:tblPr>
        <w:tblStyle w:val="37"/>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1"/>
        <w:gridCol w:w="575"/>
        <w:gridCol w:w="1026"/>
        <w:gridCol w:w="778"/>
        <w:gridCol w:w="917"/>
        <w:gridCol w:w="793"/>
        <w:gridCol w:w="932"/>
        <w:gridCol w:w="1013"/>
        <w:gridCol w:w="921"/>
        <w:gridCol w:w="988"/>
      </w:tblGrid>
      <w:tr w14:paraId="7E166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99" w:type="pct"/>
            <w:vMerge w:val="restart"/>
            <w:tcBorders>
              <w:tl2br w:val="nil"/>
              <w:tr2bl w:val="nil"/>
            </w:tcBorders>
            <w:noWrap w:val="0"/>
            <w:vAlign w:val="center"/>
          </w:tcPr>
          <w:p w14:paraId="24F85EA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rPr>
              <w:t>项目</w:t>
            </w:r>
          </w:p>
          <w:p w14:paraId="54EE693B">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类别</w:t>
            </w:r>
          </w:p>
        </w:tc>
        <w:tc>
          <w:tcPr>
            <w:tcW w:w="325" w:type="pct"/>
            <w:vMerge w:val="restart"/>
            <w:tcBorders>
              <w:tl2br w:val="nil"/>
              <w:tr2bl w:val="nil"/>
            </w:tcBorders>
            <w:noWrap w:val="0"/>
            <w:vAlign w:val="center"/>
          </w:tcPr>
          <w:p w14:paraId="396BECE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单位</w:t>
            </w:r>
          </w:p>
        </w:tc>
        <w:tc>
          <w:tcPr>
            <w:tcW w:w="1022" w:type="pct"/>
            <w:gridSpan w:val="2"/>
            <w:tcBorders>
              <w:tl2br w:val="nil"/>
              <w:tr2bl w:val="nil"/>
            </w:tcBorders>
            <w:noWrap w:val="0"/>
            <w:vAlign w:val="center"/>
          </w:tcPr>
          <w:p w14:paraId="4A7905D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现有工程</w:t>
            </w:r>
          </w:p>
        </w:tc>
        <w:tc>
          <w:tcPr>
            <w:tcW w:w="968" w:type="pct"/>
            <w:gridSpan w:val="2"/>
            <w:tcBorders>
              <w:tl2br w:val="nil"/>
              <w:tr2bl w:val="nil"/>
            </w:tcBorders>
            <w:noWrap w:val="0"/>
            <w:vAlign w:val="center"/>
          </w:tcPr>
          <w:p w14:paraId="7B2FE0D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本工程</w:t>
            </w:r>
          </w:p>
        </w:tc>
        <w:tc>
          <w:tcPr>
            <w:tcW w:w="2183" w:type="pct"/>
            <w:gridSpan w:val="4"/>
            <w:tcBorders>
              <w:tl2br w:val="nil"/>
              <w:tr2bl w:val="nil"/>
            </w:tcBorders>
            <w:noWrap w:val="0"/>
            <w:vAlign w:val="center"/>
          </w:tcPr>
          <w:p w14:paraId="63FCABD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总体工程</w:t>
            </w:r>
          </w:p>
        </w:tc>
      </w:tr>
      <w:tr w14:paraId="58534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9" w:type="pct"/>
            <w:vMerge w:val="continue"/>
            <w:tcBorders>
              <w:tl2br w:val="nil"/>
              <w:tr2bl w:val="nil"/>
            </w:tcBorders>
            <w:noWrap w:val="0"/>
            <w:vAlign w:val="center"/>
          </w:tcPr>
          <w:p w14:paraId="19AD7140">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p>
        </w:tc>
        <w:tc>
          <w:tcPr>
            <w:tcW w:w="325" w:type="pct"/>
            <w:vMerge w:val="continue"/>
            <w:tcBorders>
              <w:tl2br w:val="nil"/>
              <w:tr2bl w:val="nil"/>
            </w:tcBorders>
            <w:noWrap w:val="0"/>
            <w:vAlign w:val="center"/>
          </w:tcPr>
          <w:p w14:paraId="5A6EE4C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p>
        </w:tc>
        <w:tc>
          <w:tcPr>
            <w:tcW w:w="581" w:type="pct"/>
            <w:tcBorders>
              <w:tl2br w:val="nil"/>
              <w:tr2bl w:val="nil"/>
            </w:tcBorders>
            <w:noWrap w:val="0"/>
            <w:vAlign w:val="center"/>
          </w:tcPr>
          <w:p w14:paraId="7DAB3E42">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产生量</w:t>
            </w:r>
          </w:p>
        </w:tc>
        <w:tc>
          <w:tcPr>
            <w:tcW w:w="440" w:type="pct"/>
            <w:tcBorders>
              <w:tl2br w:val="nil"/>
              <w:tr2bl w:val="nil"/>
            </w:tcBorders>
            <w:noWrap w:val="0"/>
            <w:vAlign w:val="center"/>
          </w:tcPr>
          <w:p w14:paraId="1540E644">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排放量</w:t>
            </w:r>
          </w:p>
        </w:tc>
        <w:tc>
          <w:tcPr>
            <w:tcW w:w="519" w:type="pct"/>
            <w:tcBorders>
              <w:tl2br w:val="nil"/>
              <w:tr2bl w:val="nil"/>
            </w:tcBorders>
            <w:noWrap w:val="0"/>
            <w:vAlign w:val="center"/>
          </w:tcPr>
          <w:p w14:paraId="1ADECC8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产生量</w:t>
            </w:r>
          </w:p>
        </w:tc>
        <w:tc>
          <w:tcPr>
            <w:tcW w:w="449" w:type="pct"/>
            <w:tcBorders>
              <w:tl2br w:val="nil"/>
              <w:tr2bl w:val="nil"/>
            </w:tcBorders>
            <w:noWrap w:val="0"/>
            <w:vAlign w:val="center"/>
          </w:tcPr>
          <w:p w14:paraId="29B62E85">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排放量</w:t>
            </w:r>
          </w:p>
        </w:tc>
        <w:tc>
          <w:tcPr>
            <w:tcW w:w="528" w:type="pct"/>
            <w:tcBorders>
              <w:tl2br w:val="nil"/>
              <w:tr2bl w:val="nil"/>
            </w:tcBorders>
            <w:noWrap w:val="0"/>
            <w:vAlign w:val="center"/>
          </w:tcPr>
          <w:p w14:paraId="4BD317E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“以新带老”消减量</w:t>
            </w:r>
          </w:p>
        </w:tc>
        <w:tc>
          <w:tcPr>
            <w:tcW w:w="574" w:type="pct"/>
            <w:tcBorders>
              <w:tl2br w:val="nil"/>
              <w:tr2bl w:val="nil"/>
            </w:tcBorders>
            <w:noWrap w:val="0"/>
            <w:vAlign w:val="center"/>
          </w:tcPr>
          <w:p w14:paraId="68B86F9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产生量</w:t>
            </w:r>
          </w:p>
        </w:tc>
        <w:tc>
          <w:tcPr>
            <w:tcW w:w="521" w:type="pct"/>
            <w:tcBorders>
              <w:tl2br w:val="nil"/>
              <w:tr2bl w:val="nil"/>
            </w:tcBorders>
            <w:noWrap w:val="0"/>
            <w:vAlign w:val="center"/>
          </w:tcPr>
          <w:p w14:paraId="206B7DA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排放量</w:t>
            </w:r>
          </w:p>
        </w:tc>
        <w:tc>
          <w:tcPr>
            <w:tcW w:w="559" w:type="pct"/>
            <w:tcBorders>
              <w:tl2br w:val="nil"/>
              <w:tr2bl w:val="nil"/>
            </w:tcBorders>
            <w:noWrap w:val="0"/>
            <w:vAlign w:val="center"/>
          </w:tcPr>
          <w:p w14:paraId="582C2A12">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增减量</w:t>
            </w:r>
          </w:p>
        </w:tc>
      </w:tr>
      <w:tr w14:paraId="50C33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tcBorders>
              <w:tl2br w:val="nil"/>
              <w:tr2bl w:val="nil"/>
            </w:tcBorders>
            <w:noWrap w:val="0"/>
            <w:vAlign w:val="center"/>
          </w:tcPr>
          <w:p w14:paraId="7AB41759">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废气</w:t>
            </w:r>
          </w:p>
        </w:tc>
      </w:tr>
      <w:tr w14:paraId="4D8BA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l2br w:val="nil"/>
              <w:tr2bl w:val="nil"/>
            </w:tcBorders>
            <w:noWrap w:val="0"/>
            <w:vAlign w:val="center"/>
          </w:tcPr>
          <w:p w14:paraId="54DDF5A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NO</w:t>
            </w:r>
            <w:r>
              <w:rPr>
                <w:rFonts w:hint="eastAsia" w:ascii="宋体" w:hAnsi="宋体" w:cs="宋体"/>
                <w:color w:val="auto"/>
                <w:sz w:val="21"/>
                <w:szCs w:val="21"/>
                <w:highlight w:val="none"/>
                <w:u w:val="none"/>
                <w:vertAlign w:val="subscript"/>
                <w:lang w:val="en-US" w:eastAsia="zh-CN"/>
              </w:rPr>
              <w:t>X</w:t>
            </w:r>
          </w:p>
        </w:tc>
        <w:tc>
          <w:tcPr>
            <w:tcW w:w="325" w:type="pct"/>
            <w:tcBorders>
              <w:tl2br w:val="nil"/>
              <w:tr2bl w:val="nil"/>
            </w:tcBorders>
            <w:noWrap w:val="0"/>
            <w:vAlign w:val="center"/>
          </w:tcPr>
          <w:p w14:paraId="5095BD1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t/a</w:t>
            </w:r>
          </w:p>
        </w:tc>
        <w:tc>
          <w:tcPr>
            <w:tcW w:w="581" w:type="pct"/>
            <w:tcBorders>
              <w:tl2br w:val="nil"/>
              <w:tr2bl w:val="nil"/>
            </w:tcBorders>
            <w:noWrap w:val="0"/>
            <w:vAlign w:val="center"/>
          </w:tcPr>
          <w:p w14:paraId="47142D24">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27.34</w:t>
            </w:r>
          </w:p>
        </w:tc>
        <w:tc>
          <w:tcPr>
            <w:tcW w:w="440" w:type="pct"/>
            <w:tcBorders>
              <w:tl2br w:val="nil"/>
              <w:tr2bl w:val="nil"/>
            </w:tcBorders>
            <w:noWrap w:val="0"/>
            <w:vAlign w:val="center"/>
          </w:tcPr>
          <w:p w14:paraId="3718C415">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27.34</w:t>
            </w:r>
          </w:p>
        </w:tc>
        <w:tc>
          <w:tcPr>
            <w:tcW w:w="519" w:type="pct"/>
            <w:tcBorders>
              <w:tl2br w:val="nil"/>
              <w:tr2bl w:val="nil"/>
            </w:tcBorders>
            <w:noWrap w:val="0"/>
            <w:vAlign w:val="center"/>
          </w:tcPr>
          <w:p w14:paraId="5ACC9F9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449" w:type="pct"/>
            <w:tcBorders>
              <w:tl2br w:val="nil"/>
              <w:tr2bl w:val="nil"/>
            </w:tcBorders>
            <w:noWrap w:val="0"/>
            <w:vAlign w:val="center"/>
          </w:tcPr>
          <w:p w14:paraId="351AE680">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528" w:type="pct"/>
            <w:tcBorders>
              <w:tl2br w:val="nil"/>
              <w:tr2bl w:val="nil"/>
            </w:tcBorders>
            <w:noWrap w:val="0"/>
            <w:vAlign w:val="center"/>
          </w:tcPr>
          <w:p w14:paraId="0A8BED91">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574" w:type="pct"/>
            <w:tcBorders>
              <w:tl2br w:val="nil"/>
              <w:tr2bl w:val="nil"/>
            </w:tcBorders>
            <w:noWrap w:val="0"/>
            <w:vAlign w:val="center"/>
          </w:tcPr>
          <w:p w14:paraId="57AD3159">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27.34</w:t>
            </w:r>
          </w:p>
        </w:tc>
        <w:tc>
          <w:tcPr>
            <w:tcW w:w="521" w:type="pct"/>
            <w:tcBorders>
              <w:tl2br w:val="nil"/>
              <w:tr2bl w:val="nil"/>
            </w:tcBorders>
            <w:noWrap w:val="0"/>
            <w:vAlign w:val="center"/>
          </w:tcPr>
          <w:p w14:paraId="3B34F76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27.34</w:t>
            </w:r>
          </w:p>
        </w:tc>
        <w:tc>
          <w:tcPr>
            <w:tcW w:w="559" w:type="pct"/>
            <w:tcBorders>
              <w:tl2br w:val="nil"/>
              <w:tr2bl w:val="nil"/>
            </w:tcBorders>
            <w:noWrap w:val="0"/>
            <w:vAlign w:val="center"/>
          </w:tcPr>
          <w:p w14:paraId="68D17F8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w:t>
            </w:r>
          </w:p>
        </w:tc>
      </w:tr>
      <w:tr w14:paraId="75DD7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l2br w:val="nil"/>
              <w:tr2bl w:val="nil"/>
            </w:tcBorders>
            <w:noWrap w:val="0"/>
            <w:vAlign w:val="center"/>
          </w:tcPr>
          <w:p w14:paraId="1995347F">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SO</w:t>
            </w:r>
            <w:r>
              <w:rPr>
                <w:rFonts w:hint="eastAsia" w:ascii="宋体" w:hAnsi="宋体" w:cs="宋体"/>
                <w:color w:val="auto"/>
                <w:sz w:val="21"/>
                <w:szCs w:val="21"/>
                <w:highlight w:val="none"/>
                <w:u w:val="none"/>
                <w:vertAlign w:val="subscript"/>
                <w:lang w:val="en-US" w:eastAsia="zh-CN"/>
              </w:rPr>
              <w:t>2</w:t>
            </w:r>
          </w:p>
        </w:tc>
        <w:tc>
          <w:tcPr>
            <w:tcW w:w="325" w:type="pct"/>
            <w:tcBorders>
              <w:tl2br w:val="nil"/>
              <w:tr2bl w:val="nil"/>
            </w:tcBorders>
            <w:noWrap w:val="0"/>
            <w:vAlign w:val="center"/>
          </w:tcPr>
          <w:p w14:paraId="244DE84C">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t/a</w:t>
            </w:r>
          </w:p>
        </w:tc>
        <w:tc>
          <w:tcPr>
            <w:tcW w:w="581" w:type="pct"/>
            <w:tcBorders>
              <w:tl2br w:val="nil"/>
              <w:tr2bl w:val="nil"/>
            </w:tcBorders>
            <w:noWrap w:val="0"/>
            <w:vAlign w:val="center"/>
          </w:tcPr>
          <w:p w14:paraId="6E7742CE">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18.754</w:t>
            </w:r>
          </w:p>
        </w:tc>
        <w:tc>
          <w:tcPr>
            <w:tcW w:w="440" w:type="pct"/>
            <w:tcBorders>
              <w:tl2br w:val="nil"/>
              <w:tr2bl w:val="nil"/>
            </w:tcBorders>
            <w:noWrap w:val="0"/>
            <w:vAlign w:val="center"/>
          </w:tcPr>
          <w:p w14:paraId="796C6DF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18.75</w:t>
            </w:r>
          </w:p>
        </w:tc>
        <w:tc>
          <w:tcPr>
            <w:tcW w:w="519" w:type="pct"/>
            <w:tcBorders>
              <w:tl2br w:val="nil"/>
              <w:tr2bl w:val="nil"/>
            </w:tcBorders>
            <w:noWrap w:val="0"/>
            <w:vAlign w:val="center"/>
          </w:tcPr>
          <w:p w14:paraId="69D751E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449" w:type="pct"/>
            <w:tcBorders>
              <w:tl2br w:val="nil"/>
              <w:tr2bl w:val="nil"/>
            </w:tcBorders>
            <w:noWrap w:val="0"/>
            <w:vAlign w:val="center"/>
          </w:tcPr>
          <w:p w14:paraId="61D58D3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528" w:type="pct"/>
            <w:tcBorders>
              <w:tl2br w:val="nil"/>
              <w:tr2bl w:val="nil"/>
            </w:tcBorders>
            <w:noWrap w:val="0"/>
            <w:vAlign w:val="center"/>
          </w:tcPr>
          <w:p w14:paraId="6F4C5B9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574" w:type="pct"/>
            <w:tcBorders>
              <w:tl2br w:val="nil"/>
              <w:tr2bl w:val="nil"/>
            </w:tcBorders>
            <w:noWrap w:val="0"/>
            <w:vAlign w:val="center"/>
          </w:tcPr>
          <w:p w14:paraId="19BDF73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18.754</w:t>
            </w:r>
          </w:p>
        </w:tc>
        <w:tc>
          <w:tcPr>
            <w:tcW w:w="521" w:type="pct"/>
            <w:tcBorders>
              <w:tl2br w:val="nil"/>
              <w:tr2bl w:val="nil"/>
            </w:tcBorders>
            <w:noWrap w:val="0"/>
            <w:vAlign w:val="center"/>
          </w:tcPr>
          <w:p w14:paraId="1D5F5CD1">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18.75</w:t>
            </w:r>
          </w:p>
        </w:tc>
        <w:tc>
          <w:tcPr>
            <w:tcW w:w="559" w:type="pct"/>
            <w:tcBorders>
              <w:tl2br w:val="nil"/>
              <w:tr2bl w:val="nil"/>
            </w:tcBorders>
            <w:noWrap w:val="0"/>
            <w:vAlign w:val="center"/>
          </w:tcPr>
          <w:p w14:paraId="68AB0945">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w:t>
            </w:r>
          </w:p>
        </w:tc>
      </w:tr>
      <w:tr w14:paraId="66FA0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l2br w:val="nil"/>
              <w:tr2bl w:val="nil"/>
            </w:tcBorders>
            <w:noWrap w:val="0"/>
            <w:vAlign w:val="center"/>
          </w:tcPr>
          <w:p w14:paraId="1314FDF4">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烟尘</w:t>
            </w:r>
          </w:p>
        </w:tc>
        <w:tc>
          <w:tcPr>
            <w:tcW w:w="325" w:type="pct"/>
            <w:tcBorders>
              <w:tl2br w:val="nil"/>
              <w:tr2bl w:val="nil"/>
            </w:tcBorders>
            <w:noWrap w:val="0"/>
            <w:vAlign w:val="center"/>
          </w:tcPr>
          <w:p w14:paraId="3725489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t/a</w:t>
            </w:r>
          </w:p>
        </w:tc>
        <w:tc>
          <w:tcPr>
            <w:tcW w:w="581" w:type="pct"/>
            <w:tcBorders>
              <w:tl2br w:val="nil"/>
              <w:tr2bl w:val="nil"/>
            </w:tcBorders>
            <w:noWrap w:val="0"/>
            <w:vAlign w:val="center"/>
          </w:tcPr>
          <w:p w14:paraId="7DF98CE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9.03</w:t>
            </w:r>
          </w:p>
        </w:tc>
        <w:tc>
          <w:tcPr>
            <w:tcW w:w="440" w:type="pct"/>
            <w:tcBorders>
              <w:tl2br w:val="nil"/>
              <w:tr2bl w:val="nil"/>
            </w:tcBorders>
            <w:noWrap w:val="0"/>
            <w:vAlign w:val="center"/>
          </w:tcPr>
          <w:p w14:paraId="6D02365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9.03</w:t>
            </w:r>
          </w:p>
        </w:tc>
        <w:tc>
          <w:tcPr>
            <w:tcW w:w="519" w:type="pct"/>
            <w:tcBorders>
              <w:tl2br w:val="nil"/>
              <w:tr2bl w:val="nil"/>
            </w:tcBorders>
            <w:noWrap w:val="0"/>
            <w:vAlign w:val="center"/>
          </w:tcPr>
          <w:p w14:paraId="36B78551">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449" w:type="pct"/>
            <w:tcBorders>
              <w:tl2br w:val="nil"/>
              <w:tr2bl w:val="nil"/>
            </w:tcBorders>
            <w:noWrap w:val="0"/>
            <w:vAlign w:val="center"/>
          </w:tcPr>
          <w:p w14:paraId="0803B8AE">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528" w:type="pct"/>
            <w:tcBorders>
              <w:tl2br w:val="nil"/>
              <w:tr2bl w:val="nil"/>
            </w:tcBorders>
            <w:noWrap w:val="0"/>
            <w:vAlign w:val="center"/>
          </w:tcPr>
          <w:p w14:paraId="6D56A21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574" w:type="pct"/>
            <w:tcBorders>
              <w:tl2br w:val="nil"/>
              <w:tr2bl w:val="nil"/>
            </w:tcBorders>
            <w:noWrap w:val="0"/>
            <w:vAlign w:val="center"/>
          </w:tcPr>
          <w:p w14:paraId="3E88714E">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9.03</w:t>
            </w:r>
          </w:p>
        </w:tc>
        <w:tc>
          <w:tcPr>
            <w:tcW w:w="521" w:type="pct"/>
            <w:tcBorders>
              <w:tl2br w:val="nil"/>
              <w:tr2bl w:val="nil"/>
            </w:tcBorders>
            <w:noWrap w:val="0"/>
            <w:vAlign w:val="center"/>
          </w:tcPr>
          <w:p w14:paraId="6B22C58E">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9.03</w:t>
            </w:r>
          </w:p>
        </w:tc>
        <w:tc>
          <w:tcPr>
            <w:tcW w:w="559" w:type="pct"/>
            <w:tcBorders>
              <w:tl2br w:val="nil"/>
              <w:tr2bl w:val="nil"/>
            </w:tcBorders>
            <w:noWrap w:val="0"/>
            <w:vAlign w:val="center"/>
          </w:tcPr>
          <w:p w14:paraId="5D83B10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w:t>
            </w:r>
          </w:p>
        </w:tc>
      </w:tr>
      <w:tr w14:paraId="24357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l2br w:val="nil"/>
              <w:tr2bl w:val="nil"/>
            </w:tcBorders>
            <w:noWrap w:val="0"/>
            <w:vAlign w:val="center"/>
          </w:tcPr>
          <w:p w14:paraId="5746A8B0">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非甲烷</w:t>
            </w:r>
          </w:p>
          <w:p w14:paraId="682A01F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总烃</w:t>
            </w:r>
          </w:p>
        </w:tc>
        <w:tc>
          <w:tcPr>
            <w:tcW w:w="325" w:type="pct"/>
            <w:tcBorders>
              <w:tl2br w:val="nil"/>
              <w:tr2bl w:val="nil"/>
            </w:tcBorders>
            <w:noWrap w:val="0"/>
            <w:vAlign w:val="center"/>
          </w:tcPr>
          <w:p w14:paraId="0C20E081">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t/a</w:t>
            </w:r>
          </w:p>
        </w:tc>
        <w:tc>
          <w:tcPr>
            <w:tcW w:w="581" w:type="pct"/>
            <w:tcBorders>
              <w:tl2br w:val="nil"/>
              <w:tr2bl w:val="nil"/>
            </w:tcBorders>
            <w:noWrap w:val="0"/>
            <w:vAlign w:val="center"/>
          </w:tcPr>
          <w:p w14:paraId="5E92B39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59.28</w:t>
            </w:r>
          </w:p>
        </w:tc>
        <w:tc>
          <w:tcPr>
            <w:tcW w:w="440" w:type="pct"/>
            <w:tcBorders>
              <w:tl2br w:val="nil"/>
              <w:tr2bl w:val="nil"/>
            </w:tcBorders>
            <w:noWrap w:val="0"/>
            <w:vAlign w:val="center"/>
          </w:tcPr>
          <w:p w14:paraId="5A2BC139">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59.28</w:t>
            </w:r>
          </w:p>
        </w:tc>
        <w:tc>
          <w:tcPr>
            <w:tcW w:w="519" w:type="pct"/>
            <w:tcBorders>
              <w:tl2br w:val="nil"/>
              <w:tr2bl w:val="nil"/>
            </w:tcBorders>
            <w:noWrap w:val="0"/>
            <w:vAlign w:val="center"/>
          </w:tcPr>
          <w:p w14:paraId="1391878C">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0.582</w:t>
            </w:r>
          </w:p>
        </w:tc>
        <w:tc>
          <w:tcPr>
            <w:tcW w:w="449" w:type="pct"/>
            <w:tcBorders>
              <w:tl2br w:val="nil"/>
              <w:tr2bl w:val="nil"/>
            </w:tcBorders>
            <w:noWrap w:val="0"/>
            <w:vAlign w:val="center"/>
          </w:tcPr>
          <w:p w14:paraId="7741355E">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0.582</w:t>
            </w:r>
          </w:p>
        </w:tc>
        <w:tc>
          <w:tcPr>
            <w:tcW w:w="528" w:type="pct"/>
            <w:tcBorders>
              <w:tl2br w:val="nil"/>
              <w:tr2bl w:val="nil"/>
            </w:tcBorders>
            <w:noWrap w:val="0"/>
            <w:vAlign w:val="center"/>
          </w:tcPr>
          <w:p w14:paraId="1EC89F7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574" w:type="pct"/>
            <w:tcBorders>
              <w:tl2br w:val="nil"/>
              <w:tr2bl w:val="nil"/>
            </w:tcBorders>
            <w:noWrap w:val="0"/>
            <w:vAlign w:val="center"/>
          </w:tcPr>
          <w:p w14:paraId="753062D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59.862</w:t>
            </w:r>
          </w:p>
        </w:tc>
        <w:tc>
          <w:tcPr>
            <w:tcW w:w="521" w:type="pct"/>
            <w:tcBorders>
              <w:tl2br w:val="nil"/>
              <w:tr2bl w:val="nil"/>
            </w:tcBorders>
            <w:noWrap w:val="0"/>
            <w:vAlign w:val="center"/>
          </w:tcPr>
          <w:p w14:paraId="12A2287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59.862</w:t>
            </w:r>
          </w:p>
        </w:tc>
        <w:tc>
          <w:tcPr>
            <w:tcW w:w="559" w:type="pct"/>
            <w:tcBorders>
              <w:tl2br w:val="nil"/>
              <w:tr2bl w:val="nil"/>
            </w:tcBorders>
            <w:noWrap w:val="0"/>
            <w:vAlign w:val="center"/>
          </w:tcPr>
          <w:p w14:paraId="4709981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+0.582</w:t>
            </w:r>
          </w:p>
        </w:tc>
      </w:tr>
      <w:tr w14:paraId="13D90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tcBorders>
              <w:tl2br w:val="nil"/>
              <w:tr2bl w:val="nil"/>
            </w:tcBorders>
            <w:noWrap w:val="0"/>
            <w:vAlign w:val="center"/>
          </w:tcPr>
          <w:p w14:paraId="08DE2CC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废水</w:t>
            </w:r>
          </w:p>
        </w:tc>
      </w:tr>
      <w:tr w14:paraId="724FA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l2br w:val="nil"/>
              <w:tr2bl w:val="nil"/>
            </w:tcBorders>
            <w:noWrap w:val="0"/>
            <w:vAlign w:val="center"/>
          </w:tcPr>
          <w:p w14:paraId="0DFA5151">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井下作业废水</w:t>
            </w:r>
          </w:p>
        </w:tc>
        <w:tc>
          <w:tcPr>
            <w:tcW w:w="325" w:type="pct"/>
            <w:tcBorders>
              <w:tl2br w:val="nil"/>
              <w:tr2bl w:val="nil"/>
            </w:tcBorders>
            <w:noWrap w:val="0"/>
            <w:vAlign w:val="center"/>
          </w:tcPr>
          <w:p w14:paraId="3A217820">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t/a</w:t>
            </w:r>
          </w:p>
        </w:tc>
        <w:tc>
          <w:tcPr>
            <w:tcW w:w="581" w:type="pct"/>
            <w:tcBorders>
              <w:tl2br w:val="nil"/>
              <w:tr2bl w:val="nil"/>
            </w:tcBorders>
            <w:noWrap w:val="0"/>
            <w:vAlign w:val="center"/>
          </w:tcPr>
          <w:p w14:paraId="4EBD05B3">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1400</w:t>
            </w:r>
          </w:p>
        </w:tc>
        <w:tc>
          <w:tcPr>
            <w:tcW w:w="440" w:type="pct"/>
            <w:tcBorders>
              <w:tl2br w:val="nil"/>
              <w:tr2bl w:val="nil"/>
            </w:tcBorders>
            <w:noWrap w:val="0"/>
            <w:vAlign w:val="center"/>
          </w:tcPr>
          <w:p w14:paraId="69F4EAE2">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19" w:type="pct"/>
            <w:tcBorders>
              <w:tl2br w:val="nil"/>
              <w:tr2bl w:val="nil"/>
            </w:tcBorders>
            <w:noWrap w:val="0"/>
            <w:vAlign w:val="center"/>
          </w:tcPr>
          <w:p w14:paraId="616B1B4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557.36</w:t>
            </w:r>
          </w:p>
        </w:tc>
        <w:tc>
          <w:tcPr>
            <w:tcW w:w="449" w:type="pct"/>
            <w:tcBorders>
              <w:tl2br w:val="nil"/>
              <w:tr2bl w:val="nil"/>
            </w:tcBorders>
            <w:noWrap w:val="0"/>
            <w:vAlign w:val="center"/>
          </w:tcPr>
          <w:p w14:paraId="7F83D544">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28" w:type="pct"/>
            <w:tcBorders>
              <w:tl2br w:val="nil"/>
              <w:tr2bl w:val="nil"/>
            </w:tcBorders>
            <w:noWrap w:val="0"/>
            <w:vAlign w:val="center"/>
          </w:tcPr>
          <w:p w14:paraId="49BD574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74" w:type="pct"/>
            <w:tcBorders>
              <w:tl2br w:val="nil"/>
              <w:tr2bl w:val="nil"/>
            </w:tcBorders>
            <w:noWrap w:val="0"/>
            <w:vAlign w:val="center"/>
          </w:tcPr>
          <w:p w14:paraId="79741C3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1957.36</w:t>
            </w:r>
          </w:p>
        </w:tc>
        <w:tc>
          <w:tcPr>
            <w:tcW w:w="521" w:type="pct"/>
            <w:tcBorders>
              <w:tl2br w:val="nil"/>
              <w:tr2bl w:val="nil"/>
            </w:tcBorders>
            <w:noWrap w:val="0"/>
            <w:vAlign w:val="center"/>
          </w:tcPr>
          <w:p w14:paraId="39BCCAA2">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59" w:type="pct"/>
            <w:tcBorders>
              <w:tl2br w:val="nil"/>
              <w:tr2bl w:val="nil"/>
            </w:tcBorders>
            <w:noWrap w:val="0"/>
            <w:vAlign w:val="center"/>
          </w:tcPr>
          <w:p w14:paraId="0F2DD8D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557.36</w:t>
            </w:r>
          </w:p>
        </w:tc>
      </w:tr>
      <w:tr w14:paraId="44A3C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l2br w:val="nil"/>
              <w:tr2bl w:val="nil"/>
            </w:tcBorders>
            <w:noWrap w:val="0"/>
            <w:vAlign w:val="center"/>
          </w:tcPr>
          <w:p w14:paraId="5A699595">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采出水</w:t>
            </w:r>
          </w:p>
        </w:tc>
        <w:tc>
          <w:tcPr>
            <w:tcW w:w="325" w:type="pct"/>
            <w:tcBorders>
              <w:tl2br w:val="nil"/>
              <w:tr2bl w:val="nil"/>
            </w:tcBorders>
            <w:noWrap w:val="0"/>
            <w:vAlign w:val="center"/>
          </w:tcPr>
          <w:p w14:paraId="2F02735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t/a</w:t>
            </w:r>
          </w:p>
        </w:tc>
        <w:tc>
          <w:tcPr>
            <w:tcW w:w="581" w:type="pct"/>
            <w:tcBorders>
              <w:tl2br w:val="nil"/>
              <w:tr2bl w:val="nil"/>
            </w:tcBorders>
            <w:noWrap w:val="0"/>
            <w:vAlign w:val="center"/>
          </w:tcPr>
          <w:p w14:paraId="152AA1AC">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9289</w:t>
            </w:r>
          </w:p>
        </w:tc>
        <w:tc>
          <w:tcPr>
            <w:tcW w:w="440" w:type="pct"/>
            <w:tcBorders>
              <w:tl2br w:val="nil"/>
              <w:tr2bl w:val="nil"/>
            </w:tcBorders>
            <w:noWrap w:val="0"/>
            <w:vAlign w:val="center"/>
          </w:tcPr>
          <w:p w14:paraId="5533D8C5">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19" w:type="pct"/>
            <w:tcBorders>
              <w:tl2br w:val="nil"/>
              <w:tr2bl w:val="nil"/>
            </w:tcBorders>
            <w:noWrap w:val="0"/>
            <w:vAlign w:val="center"/>
          </w:tcPr>
          <w:p w14:paraId="4E24609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24100</w:t>
            </w:r>
          </w:p>
        </w:tc>
        <w:tc>
          <w:tcPr>
            <w:tcW w:w="449" w:type="pct"/>
            <w:tcBorders>
              <w:tl2br w:val="nil"/>
              <w:tr2bl w:val="nil"/>
            </w:tcBorders>
            <w:noWrap w:val="0"/>
            <w:vAlign w:val="center"/>
          </w:tcPr>
          <w:p w14:paraId="4B7A8C81">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28" w:type="pct"/>
            <w:tcBorders>
              <w:tl2br w:val="nil"/>
              <w:tr2bl w:val="nil"/>
            </w:tcBorders>
            <w:noWrap w:val="0"/>
            <w:vAlign w:val="center"/>
          </w:tcPr>
          <w:p w14:paraId="52018C80">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74" w:type="pct"/>
            <w:tcBorders>
              <w:tl2br w:val="nil"/>
              <w:tr2bl w:val="nil"/>
            </w:tcBorders>
            <w:noWrap w:val="0"/>
            <w:vAlign w:val="center"/>
          </w:tcPr>
          <w:p w14:paraId="03C556B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33389</w:t>
            </w:r>
          </w:p>
        </w:tc>
        <w:tc>
          <w:tcPr>
            <w:tcW w:w="521" w:type="pct"/>
            <w:tcBorders>
              <w:tl2br w:val="nil"/>
              <w:tr2bl w:val="nil"/>
            </w:tcBorders>
            <w:noWrap w:val="0"/>
            <w:vAlign w:val="center"/>
          </w:tcPr>
          <w:p w14:paraId="183E29C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59" w:type="pct"/>
            <w:tcBorders>
              <w:tl2br w:val="nil"/>
              <w:tr2bl w:val="nil"/>
            </w:tcBorders>
            <w:noWrap w:val="0"/>
            <w:vAlign w:val="center"/>
          </w:tcPr>
          <w:p w14:paraId="1967D41C">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24100</w:t>
            </w:r>
          </w:p>
        </w:tc>
      </w:tr>
      <w:tr w14:paraId="17B43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tcBorders>
              <w:tl2br w:val="nil"/>
              <w:tr2bl w:val="nil"/>
            </w:tcBorders>
            <w:noWrap w:val="0"/>
            <w:vAlign w:val="center"/>
          </w:tcPr>
          <w:p w14:paraId="0FDB6790">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固废</w:t>
            </w:r>
          </w:p>
        </w:tc>
      </w:tr>
      <w:tr w14:paraId="149746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l2br w:val="nil"/>
              <w:tr2bl w:val="nil"/>
            </w:tcBorders>
            <w:noWrap w:val="0"/>
            <w:vAlign w:val="center"/>
          </w:tcPr>
          <w:p w14:paraId="43CFE76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油泥（砂）</w:t>
            </w:r>
          </w:p>
        </w:tc>
        <w:tc>
          <w:tcPr>
            <w:tcW w:w="325" w:type="pct"/>
            <w:tcBorders>
              <w:tl2br w:val="nil"/>
              <w:tr2bl w:val="nil"/>
            </w:tcBorders>
            <w:noWrap w:val="0"/>
            <w:vAlign w:val="center"/>
          </w:tcPr>
          <w:p w14:paraId="10C4B4D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t/a</w:t>
            </w:r>
          </w:p>
        </w:tc>
        <w:tc>
          <w:tcPr>
            <w:tcW w:w="581" w:type="pct"/>
            <w:tcBorders>
              <w:tl2br w:val="nil"/>
              <w:tr2bl w:val="nil"/>
            </w:tcBorders>
            <w:noWrap w:val="0"/>
            <w:vAlign w:val="center"/>
          </w:tcPr>
          <w:p w14:paraId="59D5C849">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36.23</w:t>
            </w:r>
          </w:p>
        </w:tc>
        <w:tc>
          <w:tcPr>
            <w:tcW w:w="440" w:type="pct"/>
            <w:tcBorders>
              <w:tl2br w:val="nil"/>
              <w:tr2bl w:val="nil"/>
            </w:tcBorders>
            <w:noWrap w:val="0"/>
            <w:vAlign w:val="center"/>
          </w:tcPr>
          <w:p w14:paraId="4D26784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519" w:type="pct"/>
            <w:tcBorders>
              <w:tl2br w:val="nil"/>
              <w:tr2bl w:val="nil"/>
            </w:tcBorders>
            <w:noWrap w:val="0"/>
            <w:vAlign w:val="center"/>
          </w:tcPr>
          <w:p w14:paraId="681953DA">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11.9</w:t>
            </w:r>
          </w:p>
        </w:tc>
        <w:tc>
          <w:tcPr>
            <w:tcW w:w="449" w:type="pct"/>
            <w:tcBorders>
              <w:tl2br w:val="nil"/>
              <w:tr2bl w:val="nil"/>
            </w:tcBorders>
            <w:noWrap w:val="0"/>
            <w:vAlign w:val="center"/>
          </w:tcPr>
          <w:p w14:paraId="432F4070">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528" w:type="pct"/>
            <w:tcBorders>
              <w:tl2br w:val="nil"/>
              <w:tr2bl w:val="nil"/>
            </w:tcBorders>
            <w:noWrap w:val="0"/>
            <w:vAlign w:val="center"/>
          </w:tcPr>
          <w:p w14:paraId="6EC8992D">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574" w:type="pct"/>
            <w:tcBorders>
              <w:tl2br w:val="nil"/>
              <w:tr2bl w:val="nil"/>
            </w:tcBorders>
            <w:noWrap w:val="0"/>
            <w:vAlign w:val="center"/>
          </w:tcPr>
          <w:p w14:paraId="14FCD1D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48.13</w:t>
            </w:r>
          </w:p>
        </w:tc>
        <w:tc>
          <w:tcPr>
            <w:tcW w:w="521" w:type="pct"/>
            <w:tcBorders>
              <w:tl2br w:val="nil"/>
              <w:tr2bl w:val="nil"/>
            </w:tcBorders>
            <w:noWrap w:val="0"/>
            <w:vAlign w:val="center"/>
          </w:tcPr>
          <w:p w14:paraId="534B1ECC">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59" w:type="pct"/>
            <w:tcBorders>
              <w:tl2br w:val="nil"/>
              <w:tr2bl w:val="nil"/>
            </w:tcBorders>
            <w:noWrap w:val="0"/>
            <w:vAlign w:val="center"/>
          </w:tcPr>
          <w:p w14:paraId="0F7BDBD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color w:val="auto"/>
                <w:u w:val="none"/>
                <w:lang w:val="en-US" w:eastAsia="zh-CN"/>
              </w:rPr>
            </w:pP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11.9</w:t>
            </w:r>
          </w:p>
        </w:tc>
      </w:tr>
      <w:tr w14:paraId="1E42F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l2br w:val="nil"/>
              <w:tr2bl w:val="nil"/>
            </w:tcBorders>
            <w:noWrap w:val="0"/>
            <w:vAlign w:val="center"/>
          </w:tcPr>
          <w:p w14:paraId="4B2D3C54">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落地油</w:t>
            </w:r>
          </w:p>
        </w:tc>
        <w:tc>
          <w:tcPr>
            <w:tcW w:w="325" w:type="pct"/>
            <w:tcBorders>
              <w:tl2br w:val="nil"/>
              <w:tr2bl w:val="nil"/>
            </w:tcBorders>
            <w:noWrap w:val="0"/>
            <w:vAlign w:val="center"/>
          </w:tcPr>
          <w:p w14:paraId="23C3DBDC">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t/a</w:t>
            </w:r>
          </w:p>
        </w:tc>
        <w:tc>
          <w:tcPr>
            <w:tcW w:w="581" w:type="pct"/>
            <w:tcBorders>
              <w:tl2br w:val="nil"/>
              <w:tr2bl w:val="nil"/>
            </w:tcBorders>
            <w:noWrap w:val="0"/>
            <w:vAlign w:val="center"/>
          </w:tcPr>
          <w:p w14:paraId="44397460">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2.9</w:t>
            </w:r>
          </w:p>
        </w:tc>
        <w:tc>
          <w:tcPr>
            <w:tcW w:w="440" w:type="pct"/>
            <w:tcBorders>
              <w:tl2br w:val="nil"/>
              <w:tr2bl w:val="nil"/>
            </w:tcBorders>
            <w:noWrap w:val="0"/>
            <w:vAlign w:val="center"/>
          </w:tcPr>
          <w:p w14:paraId="1B841E1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19" w:type="pct"/>
            <w:tcBorders>
              <w:tl2br w:val="nil"/>
              <w:tr2bl w:val="nil"/>
            </w:tcBorders>
            <w:noWrap w:val="0"/>
            <w:vAlign w:val="center"/>
          </w:tcPr>
          <w:p w14:paraId="55065381">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0.3</w:t>
            </w:r>
          </w:p>
        </w:tc>
        <w:tc>
          <w:tcPr>
            <w:tcW w:w="449" w:type="pct"/>
            <w:tcBorders>
              <w:tl2br w:val="nil"/>
              <w:tr2bl w:val="nil"/>
            </w:tcBorders>
            <w:noWrap w:val="0"/>
            <w:vAlign w:val="center"/>
          </w:tcPr>
          <w:p w14:paraId="3DF4E80E">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28" w:type="pct"/>
            <w:tcBorders>
              <w:tl2br w:val="nil"/>
              <w:tr2bl w:val="nil"/>
            </w:tcBorders>
            <w:noWrap w:val="0"/>
            <w:vAlign w:val="center"/>
          </w:tcPr>
          <w:p w14:paraId="3A96A29E">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74" w:type="pct"/>
            <w:tcBorders>
              <w:tl2br w:val="nil"/>
              <w:tr2bl w:val="nil"/>
            </w:tcBorders>
            <w:noWrap w:val="0"/>
            <w:vAlign w:val="center"/>
          </w:tcPr>
          <w:p w14:paraId="737E3181">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3.2</w:t>
            </w:r>
          </w:p>
        </w:tc>
        <w:tc>
          <w:tcPr>
            <w:tcW w:w="521" w:type="pct"/>
            <w:tcBorders>
              <w:tl2br w:val="nil"/>
              <w:tr2bl w:val="nil"/>
            </w:tcBorders>
            <w:noWrap w:val="0"/>
            <w:vAlign w:val="center"/>
          </w:tcPr>
          <w:p w14:paraId="1653E69B">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559" w:type="pct"/>
            <w:tcBorders>
              <w:tl2br w:val="nil"/>
              <w:tr2bl w:val="nil"/>
            </w:tcBorders>
            <w:noWrap w:val="0"/>
            <w:vAlign w:val="center"/>
          </w:tcPr>
          <w:p w14:paraId="36462208">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r>
              <w:rPr>
                <w:rFonts w:hint="eastAsia" w:ascii="宋体" w:hAnsi="宋体" w:cs="宋体"/>
                <w:color w:val="auto"/>
                <w:sz w:val="21"/>
                <w:szCs w:val="21"/>
                <w:highlight w:val="none"/>
                <w:u w:val="none"/>
                <w:lang w:val="en-US" w:eastAsia="zh-CN"/>
              </w:rPr>
              <w:t>0.3</w:t>
            </w:r>
          </w:p>
        </w:tc>
      </w:tr>
      <w:bookmarkEnd w:id="280"/>
    </w:tbl>
    <w:p w14:paraId="02849B6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4.6 </w:t>
      </w:r>
      <w:r>
        <w:rPr>
          <w:rFonts w:hint="default" w:ascii="黑体" w:hAnsi="黑体" w:eastAsia="黑体" w:cs="黑体"/>
          <w:b/>
          <w:color w:val="auto"/>
          <w:kern w:val="0"/>
          <w:sz w:val="24"/>
          <w:szCs w:val="24"/>
          <w:highlight w:val="none"/>
          <w:u w:val="none"/>
          <w:lang w:val="en-US" w:eastAsia="zh-CN"/>
        </w:rPr>
        <w:t>退役期污染源及其防治措施</w:t>
      </w:r>
    </w:p>
    <w:p w14:paraId="2174EF9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szCs w:val="22"/>
          <w:u w:val="none"/>
          <w:lang w:eastAsia="zh-CN"/>
        </w:rPr>
      </w:pPr>
      <w:r>
        <w:rPr>
          <w:rFonts w:hint="default" w:ascii="Times New Roman" w:hAnsi="Times New Roman" w:cs="Times New Roman"/>
          <w:color w:val="auto"/>
          <w:sz w:val="24"/>
          <w:szCs w:val="22"/>
          <w:u w:val="none"/>
          <w:lang w:val="en-US" w:eastAsia="zh-CN"/>
        </w:rPr>
        <w:t>退役期</w:t>
      </w:r>
      <w:r>
        <w:rPr>
          <w:rFonts w:hint="default" w:ascii="Times New Roman" w:hAnsi="Times New Roman" w:cs="Times New Roman"/>
          <w:color w:val="auto"/>
          <w:sz w:val="24"/>
          <w:szCs w:val="22"/>
          <w:u w:val="none"/>
        </w:rPr>
        <w:t>废气污染源主要为施工扬尘，采取洒水抑尘的措施；噪声污染源主要为车辆噪声，要求合理安排作业时间，控制车辆速度等措施；固废污染源主要为废弃建筑残渣等一般工业固体废物，严格按照《废弃井封井回填技术指南（试行）》相关要求，拆除地面设施、清理井场等，收集后拉运至</w:t>
      </w:r>
      <w:r>
        <w:rPr>
          <w:rFonts w:hint="eastAsia" w:cs="Times New Roman"/>
          <w:color w:val="auto"/>
          <w:sz w:val="24"/>
          <w:szCs w:val="22"/>
          <w:u w:val="none"/>
          <w:lang w:val="en-US" w:eastAsia="zh-CN"/>
        </w:rPr>
        <w:t>当地建筑垃圾填埋场填埋处置</w:t>
      </w:r>
      <w:r>
        <w:rPr>
          <w:rFonts w:hint="eastAsia" w:cs="Times New Roman"/>
          <w:color w:val="auto"/>
          <w:sz w:val="24"/>
          <w:szCs w:val="22"/>
          <w:u w:val="none"/>
          <w:lang w:eastAsia="zh-CN"/>
        </w:rPr>
        <w:t>；设施拆除过程遗落地面的油泥委托具有相关危废处置资质的单位处置；沾油管线或设备内物质应清空干净并按要求进行吹扫，确保管线内无残留采出液，管线两端使用盲板封堵，防治污油泄漏污染土壤，要求铺膜作业。</w:t>
      </w:r>
      <w:bookmarkEnd w:id="152"/>
    </w:p>
    <w:p w14:paraId="42AA0CC8">
      <w:pPr>
        <w:keepNext/>
        <w:keepLines/>
        <w:pageBreakBefore w:val="0"/>
        <w:widowControl w:val="0"/>
        <w:tabs>
          <w:tab w:val="left" w:pos="5325"/>
        </w:tabs>
        <w:kinsoku/>
        <w:wordWrap/>
        <w:overflowPunct/>
        <w:topLinePunct w:val="0"/>
        <w:autoSpaceDE/>
        <w:autoSpaceDN/>
        <w:bidi w:val="0"/>
        <w:adjustRightInd/>
        <w:snapToGrid/>
        <w:spacing w:beforeAutospacing="0" w:afterLines="0" w:afterAutospacing="0" w:line="360" w:lineRule="auto"/>
        <w:textAlignment w:val="auto"/>
        <w:outlineLvl w:val="2"/>
        <w:rPr>
          <w:rFonts w:hint="default" w:ascii="Times New Roman" w:hAnsi="Times New Roman" w:eastAsia="宋体" w:cs="Times New Roman"/>
          <w:b/>
          <w:color w:val="auto"/>
          <w:kern w:val="44"/>
          <w:sz w:val="30"/>
          <w:szCs w:val="20"/>
          <w:highlight w:val="none"/>
          <w:u w:val="none"/>
          <w:lang w:val="en-US" w:eastAsia="zh-CN" w:bidi="ar-SA"/>
        </w:rPr>
      </w:pPr>
      <w:bookmarkStart w:id="281" w:name="_Toc13053"/>
      <w:bookmarkStart w:id="282" w:name="_Toc32573"/>
      <w:bookmarkStart w:id="283" w:name="_Toc2041"/>
      <w:bookmarkStart w:id="284" w:name="_Toc17192"/>
      <w:bookmarkStart w:id="285" w:name="_Toc119915009"/>
      <w:bookmarkStart w:id="286" w:name="_Toc3145"/>
      <w:bookmarkStart w:id="287" w:name="_Toc9424"/>
      <w:bookmarkStart w:id="288" w:name="_Toc109382920"/>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4.7 </w:t>
      </w:r>
      <w:r>
        <w:rPr>
          <w:rFonts w:hint="default" w:ascii="黑体" w:hAnsi="黑体" w:eastAsia="黑体" w:cs="黑体"/>
          <w:b/>
          <w:color w:val="auto"/>
          <w:kern w:val="0"/>
          <w:sz w:val="24"/>
          <w:szCs w:val="24"/>
          <w:highlight w:val="none"/>
          <w:u w:val="none"/>
          <w:lang w:val="en-US" w:eastAsia="zh-CN"/>
        </w:rPr>
        <w:t>清洁生产水平分析</w:t>
      </w:r>
      <w:bookmarkEnd w:id="281"/>
      <w:bookmarkEnd w:id="282"/>
      <w:bookmarkEnd w:id="283"/>
      <w:bookmarkEnd w:id="284"/>
      <w:bookmarkEnd w:id="285"/>
      <w:bookmarkEnd w:id="286"/>
      <w:r>
        <w:rPr>
          <w:rFonts w:hint="default" w:ascii="Times New Roman" w:hAnsi="Times New Roman" w:eastAsia="宋体" w:cs="Times New Roman"/>
          <w:b/>
          <w:color w:val="auto"/>
          <w:kern w:val="44"/>
          <w:sz w:val="30"/>
          <w:szCs w:val="20"/>
          <w:highlight w:val="none"/>
          <w:u w:val="none"/>
          <w:lang w:val="en-US" w:eastAsia="zh-CN" w:bidi="ar-SA"/>
        </w:rPr>
        <w:tab/>
      </w:r>
    </w:p>
    <w:p w14:paraId="13D9644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所谓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p>
    <w:p w14:paraId="0518993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清洁生产是一种新的、创造性的思维方式，它以节能、降耗、减污、增效为目标，以技术和管理为手段，通过对生产全过程的排污审核、筛选并实施污染防治措施，以消除和减少工业生产对人类健康与生态环境的影响，达到防治污染、提高经济效益的双重目的。</w:t>
      </w:r>
    </w:p>
    <w:p w14:paraId="7ED72F0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本工程为</w:t>
      </w:r>
      <w:r>
        <w:rPr>
          <w:rFonts w:hint="eastAsia" w:ascii="Times New Roman" w:hAnsi="Times New Roman" w:eastAsia="宋体" w:cs="Times New Roman"/>
          <w:color w:val="auto"/>
          <w:sz w:val="24"/>
          <w:szCs w:val="22"/>
          <w:u w:val="none"/>
          <w:lang w:val="en-US" w:eastAsia="zh-CN"/>
        </w:rPr>
        <w:t>油气田</w:t>
      </w:r>
      <w:r>
        <w:rPr>
          <w:rFonts w:hint="default" w:ascii="Times New Roman" w:hAnsi="Times New Roman" w:eastAsia="宋体" w:cs="Times New Roman"/>
          <w:color w:val="auto"/>
          <w:sz w:val="24"/>
          <w:szCs w:val="22"/>
          <w:u w:val="none"/>
          <w:lang w:val="en-US" w:eastAsia="zh-CN"/>
        </w:rPr>
        <w:t>开发建设项目，生产过程主要包括</w:t>
      </w:r>
      <w:r>
        <w:rPr>
          <w:rFonts w:hint="eastAsia" w:ascii="Times New Roman" w:hAnsi="Times New Roman" w:eastAsia="宋体" w:cs="Times New Roman"/>
          <w:color w:val="auto"/>
          <w:sz w:val="24"/>
          <w:szCs w:val="22"/>
          <w:u w:val="none"/>
          <w:lang w:val="en-US" w:eastAsia="zh-CN"/>
        </w:rPr>
        <w:t>钻井、采气</w:t>
      </w:r>
      <w:r>
        <w:rPr>
          <w:rFonts w:hint="default" w:ascii="Times New Roman" w:hAnsi="Times New Roman" w:eastAsia="宋体" w:cs="Times New Roman"/>
          <w:color w:val="auto"/>
          <w:sz w:val="24"/>
          <w:szCs w:val="22"/>
          <w:u w:val="none"/>
          <w:lang w:val="en-US" w:eastAsia="zh-CN"/>
        </w:rPr>
        <w:t>、油气集输和井下作业及辅助生产等。针对项目特点，本次评价对污染防治措施先进性及集输工艺先进性进行清洁生产分析。</w:t>
      </w:r>
    </w:p>
    <w:p w14:paraId="402EFF49">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289" w:name="_Toc445842172"/>
      <w:bookmarkStart w:id="290" w:name="_Toc445840430"/>
      <w:bookmarkStart w:id="291" w:name="_Toc30202"/>
      <w:bookmarkStart w:id="292" w:name="_Toc445996487"/>
      <w:r>
        <w:rPr>
          <w:rFonts w:hint="default" w:ascii="宋体" w:hAnsi="宋体" w:eastAsia="宋体" w:cs="宋体"/>
          <w:color w:val="auto"/>
          <w:u w:val="none"/>
          <w:lang w:val="en-US" w:eastAsia="zh-CN"/>
        </w:rPr>
        <w:t>3.</w:t>
      </w:r>
      <w:r>
        <w:rPr>
          <w:rFonts w:hint="eastAsia" w:ascii="宋体" w:hAnsi="宋体" w:cs="宋体"/>
          <w:color w:val="auto"/>
          <w:u w:val="none"/>
          <w:lang w:val="en-US" w:eastAsia="zh-CN"/>
        </w:rPr>
        <w:t xml:space="preserve">4.7.1 </w:t>
      </w:r>
      <w:r>
        <w:rPr>
          <w:rFonts w:hint="default" w:ascii="宋体" w:hAnsi="宋体" w:eastAsia="宋体" w:cs="宋体"/>
          <w:color w:val="auto"/>
          <w:u w:val="none"/>
          <w:lang w:val="en-US" w:eastAsia="zh-CN"/>
        </w:rPr>
        <w:t>清洁生产水平技术指标对比分析</w:t>
      </w:r>
      <w:bookmarkEnd w:id="289"/>
      <w:bookmarkEnd w:id="290"/>
      <w:bookmarkEnd w:id="291"/>
      <w:bookmarkEnd w:id="292"/>
    </w:p>
    <w:p w14:paraId="4284F4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石油天然气开采业建设项目清洁生产分析指标主要包括生产工艺与装备要求、资源能源利用指标、污染物产生指标、废物回收利用指标和环境管理要求等。根据国家发展改革委、工业和信息化部2009年联合发布的《石油天然气开采行业清洁生产评价指标体系</w:t>
      </w:r>
      <w:r>
        <w:rPr>
          <w:rFonts w:hint="eastAsia" w:cs="Times New Roman"/>
          <w:color w:val="auto"/>
          <w:sz w:val="24"/>
          <w:szCs w:val="22"/>
          <w:u w:val="none"/>
          <w:lang w:val="en-US" w:eastAsia="zh-CN"/>
        </w:rPr>
        <w:t>（试行）》</w:t>
      </w:r>
      <w:r>
        <w:rPr>
          <w:rFonts w:hint="default" w:ascii="Times New Roman" w:hAnsi="Times New Roman" w:eastAsia="宋体" w:cs="Times New Roman"/>
          <w:color w:val="auto"/>
          <w:sz w:val="24"/>
          <w:szCs w:val="22"/>
          <w:u w:val="none"/>
          <w:lang w:val="en-US" w:eastAsia="zh-CN"/>
        </w:rPr>
        <w:t>对本工程的清洁生产水平进行评价。</w:t>
      </w:r>
    </w:p>
    <w:p w14:paraId="0ED3E21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bookmarkStart w:id="293" w:name="_Toc15942"/>
      <w:bookmarkStart w:id="294" w:name="_Toc445842173"/>
      <w:bookmarkStart w:id="295" w:name="_Toc2655"/>
      <w:r>
        <w:rPr>
          <w:rFonts w:hint="default" w:ascii="Times New Roman" w:hAnsi="Times New Roman" w:eastAsia="宋体" w:cs="Times New Roman"/>
          <w:color w:val="auto"/>
          <w:sz w:val="24"/>
          <w:szCs w:val="22"/>
          <w:u w:val="none"/>
          <w:lang w:val="en-US" w:eastAsia="zh-CN"/>
        </w:rPr>
        <w:t>（1）评价指标体系</w:t>
      </w:r>
      <w:bookmarkEnd w:id="293"/>
      <w:bookmarkEnd w:id="294"/>
      <w:bookmarkEnd w:id="295"/>
    </w:p>
    <w:p w14:paraId="66AAA1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清洁生产评价指标体系由相互联系、相对独立、互相补充的系列清洁生产评价指标所组成的，是用于评价清洁生产绩效的指标集合。根据清洁生产的原则要求和指标的可度量性，评价指标体系分为定量评价和定性要求两大部分。</w:t>
      </w:r>
    </w:p>
    <w:p w14:paraId="4133E8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——定量评价指标</w:t>
      </w:r>
    </w:p>
    <w:p w14:paraId="1F28610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选取有代表性的、能反映“节约能源、降低消耗、减轻污染、增加效益”等有关清洁生产最终目标的指标，建立评价模式；通过对比各项指标的实际达到值、评价基础值和指标权重值，经过计算和评分，综合考评清洁生产的状况和水平。</w:t>
      </w:r>
    </w:p>
    <w:p w14:paraId="79B76DA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——定性评价指标</w:t>
      </w:r>
    </w:p>
    <w:p w14:paraId="49FEBF2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根据国家有关推行清洁生产的产业发展和技术进步政策、资源环境保护政策规定以及行业发展规划选取，用于定性考核建设单位对有关政策、法规的符合性及清洁生产工作实施情况。</w:t>
      </w:r>
    </w:p>
    <w:p w14:paraId="0468EE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bookmarkStart w:id="296" w:name="_Toc2798"/>
      <w:r>
        <w:rPr>
          <w:rFonts w:hint="default" w:ascii="Times New Roman" w:hAnsi="Times New Roman" w:eastAsia="宋体" w:cs="Times New Roman"/>
          <w:color w:val="auto"/>
          <w:sz w:val="24"/>
          <w:szCs w:val="22"/>
          <w:u w:val="none"/>
          <w:lang w:val="en-US" w:eastAsia="zh-CN"/>
        </w:rPr>
        <w:t>（2）评价依据</w:t>
      </w:r>
      <w:bookmarkEnd w:id="296"/>
    </w:p>
    <w:p w14:paraId="3B2CFBA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在定量评价指标体系中，各指标的评价基准值是衡量该项指标是否符合清洁生产基本要求的评价基准。本评价指标体系确定各定量评价指标的评价基准值的依据：</w:t>
      </w:r>
    </w:p>
    <w:p w14:paraId="361D0C5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——凡国家或行业在有关政策、规划等文件中对该项指标已有明确要求的，执行国家要求的数值。</w:t>
      </w:r>
    </w:p>
    <w:p w14:paraId="3E61C9A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——凡国家或行业对该项指标尚无明确要求值的，则选用国内重点大中型油气勘探开发企业近年来清洁生产所实际达到的中上等以上水平的指标值。</w:t>
      </w:r>
    </w:p>
    <w:p w14:paraId="5F4DBDE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——定量评价指标体系的评价基准值代表行业清洁生产的平均先进水平。</w:t>
      </w:r>
    </w:p>
    <w:p w14:paraId="1ADFFF5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在定性评价指标体系中，衡量该项指标是否贯彻执行国家有关政策、法规的情况，按“是”或“否”两种选择来评定。</w:t>
      </w:r>
    </w:p>
    <w:p w14:paraId="1C12314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bookmarkStart w:id="297" w:name="_Toc143"/>
      <w:r>
        <w:rPr>
          <w:rFonts w:hint="default" w:ascii="Times New Roman" w:hAnsi="Times New Roman" w:eastAsia="宋体" w:cs="Times New Roman"/>
          <w:color w:val="auto"/>
          <w:sz w:val="24"/>
          <w:szCs w:val="22"/>
          <w:u w:val="none"/>
          <w:lang w:val="en-US" w:eastAsia="zh-CN"/>
        </w:rPr>
        <w:t>（3）权重分值</w:t>
      </w:r>
      <w:bookmarkEnd w:id="297"/>
    </w:p>
    <w:p w14:paraId="2102E6C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清洁生产评价指标的权重值反映了该指标在整个清洁生产评价指标体系中所占的比重。它原则上是根据该项指标对油气勘探开发企业清洁生产实际效益和水平的影响程度大小及其实施的难易程度来确定的。</w:t>
      </w:r>
    </w:p>
    <w:p w14:paraId="5C9137A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bookmarkStart w:id="298" w:name="_Toc25134"/>
      <w:r>
        <w:rPr>
          <w:rFonts w:hint="default" w:ascii="Times New Roman" w:hAnsi="Times New Roman" w:eastAsia="宋体" w:cs="Times New Roman"/>
          <w:color w:val="auto"/>
          <w:sz w:val="24"/>
          <w:szCs w:val="22"/>
          <w:u w:val="none"/>
          <w:lang w:val="en-US" w:eastAsia="zh-CN"/>
        </w:rPr>
        <w:t>（4）评价指标</w:t>
      </w:r>
      <w:bookmarkEnd w:id="298"/>
    </w:p>
    <w:p w14:paraId="701B433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评价指标分为定量指标和定性指标。定量指标和定性指标又分为一级指标和二级指标。一级指标为普遍性、概括性的指标；二级指标为反映油气勘探开发企业清洁生产各方面具有代表性的、易于评价考核的指标。定量评价的二级指标从其数值情况来看，可分为两类情况：一类是该指标的数值越低（小）越符合清洁生产要求（如物料消耗量、取水量、综合能耗、污染物产生量等指标）；另一类是该指标的数值越高（大）越符合清洁生产要求（如水的钻井液循环利用率、含油污泥资源化利用率、余热余能利用率等指标）。因此，对二级指标的考核评分，根据其类别采用不同的计算模式。</w:t>
      </w:r>
    </w:p>
    <w:p w14:paraId="628396D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在行业评价指标项目、权重及基准值中未出现的指标，按照最高值进行确定，即清洁生产具有较高水平。</w:t>
      </w:r>
    </w:p>
    <w:p w14:paraId="503354F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bookmarkStart w:id="299" w:name="_Toc4600"/>
      <w:bookmarkStart w:id="300" w:name="_Toc445842174"/>
      <w:r>
        <w:rPr>
          <w:rFonts w:hint="eastAsia" w:ascii="Times New Roman" w:hAnsi="Times New Roman" w:eastAsia="宋体" w:cs="Times New Roman"/>
          <w:color w:val="auto"/>
          <w:sz w:val="24"/>
          <w:szCs w:val="22"/>
          <w:u w:val="none"/>
          <w:lang w:val="en-US" w:eastAsia="zh-CN"/>
        </w:rPr>
        <w:t>采气</w:t>
      </w:r>
      <w:r>
        <w:rPr>
          <w:rFonts w:hint="default" w:ascii="Times New Roman" w:hAnsi="Times New Roman" w:eastAsia="宋体" w:cs="Times New Roman"/>
          <w:color w:val="auto"/>
          <w:sz w:val="24"/>
          <w:szCs w:val="22"/>
          <w:u w:val="none"/>
          <w:lang w:val="en-US" w:eastAsia="zh-CN"/>
        </w:rPr>
        <w:t>和集输作业定量和定性评价指标项目、权重及基准值见表3.</w:t>
      </w:r>
      <w:r>
        <w:rPr>
          <w:rFonts w:hint="eastAsia" w:ascii="Times New Roman" w:hAnsi="Times New Roman" w:eastAsia="宋体" w:cs="Times New Roman"/>
          <w:color w:val="auto"/>
          <w:sz w:val="24"/>
          <w:szCs w:val="22"/>
          <w:u w:val="none"/>
          <w:lang w:val="en-US" w:eastAsia="zh-CN"/>
        </w:rPr>
        <w:t>5</w:t>
      </w:r>
      <w:r>
        <w:rPr>
          <w:rFonts w:hint="default" w:ascii="Times New Roman" w:hAnsi="Times New Roman" w:eastAsia="宋体" w:cs="Times New Roman"/>
          <w:color w:val="auto"/>
          <w:sz w:val="24"/>
          <w:szCs w:val="22"/>
          <w:u w:val="none"/>
          <w:lang w:val="en-US" w:eastAsia="zh-CN"/>
        </w:rPr>
        <w:t>-1</w:t>
      </w:r>
      <w:r>
        <w:rPr>
          <w:rFonts w:hint="eastAsia" w:ascii="Times New Roman" w:hAnsi="Times New Roman" w:eastAsia="宋体" w:cs="Times New Roman"/>
          <w:color w:val="auto"/>
          <w:sz w:val="24"/>
          <w:szCs w:val="22"/>
          <w:u w:val="none"/>
          <w:lang w:val="en-US" w:eastAsia="zh-CN"/>
        </w:rPr>
        <w:t>~</w:t>
      </w:r>
      <w:r>
        <w:rPr>
          <w:rFonts w:hint="default" w:ascii="Times New Roman" w:hAnsi="Times New Roman" w:eastAsia="宋体" w:cs="Times New Roman"/>
          <w:color w:val="auto"/>
          <w:sz w:val="24"/>
          <w:szCs w:val="22"/>
          <w:u w:val="none"/>
          <w:lang w:val="en-US" w:eastAsia="zh-CN"/>
        </w:rPr>
        <w:t>3.</w:t>
      </w:r>
      <w:r>
        <w:rPr>
          <w:rFonts w:hint="eastAsia" w:ascii="Times New Roman" w:hAnsi="Times New Roman" w:eastAsia="宋体" w:cs="Times New Roman"/>
          <w:color w:val="auto"/>
          <w:sz w:val="24"/>
          <w:szCs w:val="22"/>
          <w:u w:val="none"/>
          <w:lang w:val="en-US" w:eastAsia="zh-CN"/>
        </w:rPr>
        <w:t>5</w:t>
      </w:r>
      <w:r>
        <w:rPr>
          <w:rFonts w:hint="default" w:ascii="Times New Roman" w:hAnsi="Times New Roman" w:eastAsia="宋体" w:cs="Times New Roman"/>
          <w:color w:val="auto"/>
          <w:sz w:val="24"/>
          <w:szCs w:val="22"/>
          <w:u w:val="none"/>
          <w:lang w:val="en-US" w:eastAsia="zh-CN"/>
        </w:rPr>
        <w:t>-</w:t>
      </w:r>
      <w:r>
        <w:rPr>
          <w:rFonts w:hint="eastAsia" w:ascii="Times New Roman" w:hAnsi="Times New Roman" w:eastAsia="宋体" w:cs="Times New Roman"/>
          <w:color w:val="auto"/>
          <w:sz w:val="24"/>
          <w:szCs w:val="22"/>
          <w:u w:val="none"/>
          <w:lang w:val="en-US" w:eastAsia="zh-CN"/>
        </w:rPr>
        <w:t>3</w:t>
      </w:r>
      <w:r>
        <w:rPr>
          <w:rFonts w:hint="default" w:ascii="Times New Roman" w:hAnsi="Times New Roman" w:eastAsia="宋体" w:cs="Times New Roman"/>
          <w:color w:val="auto"/>
          <w:sz w:val="24"/>
          <w:szCs w:val="22"/>
          <w:u w:val="none"/>
          <w:lang w:val="en-US" w:eastAsia="zh-CN"/>
        </w:rPr>
        <w:t>。</w:t>
      </w:r>
    </w:p>
    <w:p w14:paraId="28A566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bookmarkStart w:id="301" w:name="_Toc15483"/>
      <w:r>
        <w:rPr>
          <w:rFonts w:hint="default" w:ascii="Times New Roman" w:hAnsi="Times New Roman" w:eastAsia="宋体" w:cs="Times New Roman"/>
          <w:color w:val="auto"/>
          <w:sz w:val="24"/>
          <w:szCs w:val="22"/>
          <w:u w:val="none"/>
          <w:lang w:val="en-US" w:eastAsia="zh-CN"/>
        </w:rPr>
        <w:t>（5）评价指标考核评分计算</w:t>
      </w:r>
      <w:bookmarkEnd w:id="299"/>
      <w:bookmarkEnd w:id="300"/>
      <w:bookmarkEnd w:id="301"/>
    </w:p>
    <w:p w14:paraId="347AA65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1）定量评价考核总分值计算</w:t>
      </w:r>
    </w:p>
    <w:p w14:paraId="2CF1F6F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①</w:t>
      </w:r>
      <w:r>
        <w:rPr>
          <w:rFonts w:hint="eastAsia" w:ascii="Times New Roman" w:hAnsi="Times New Roman" w:eastAsia="宋体" w:cs="Times New Roman"/>
          <w:color w:val="auto"/>
          <w:sz w:val="24"/>
          <w:szCs w:val="22"/>
          <w:u w:val="none"/>
          <w:lang w:val="en-US" w:eastAsia="zh-CN"/>
        </w:rPr>
        <w:t xml:space="preserve"> </w:t>
      </w:r>
      <w:r>
        <w:rPr>
          <w:rFonts w:hint="default" w:ascii="Times New Roman" w:hAnsi="Times New Roman" w:eastAsia="宋体" w:cs="Times New Roman"/>
          <w:color w:val="auto"/>
          <w:sz w:val="24"/>
          <w:szCs w:val="22"/>
          <w:u w:val="none"/>
          <w:lang w:val="en-US" w:eastAsia="zh-CN"/>
        </w:rPr>
        <w:t>单项评价指数计算</w:t>
      </w:r>
    </w:p>
    <w:p w14:paraId="5E0CB30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对指标数值越高（大）越符合清洁生产要求的指标，其计算公式为：</w:t>
      </w:r>
    </w:p>
    <w:p w14:paraId="6B76EB2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Si=Sxi/Soi</w:t>
      </w:r>
    </w:p>
    <w:p w14:paraId="66899D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对指标数值越低（小）越符合清洁生产要求的指标，其计算公式为：</w:t>
      </w:r>
    </w:p>
    <w:p w14:paraId="32DD9A3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Si=Soi/Sxi</w:t>
      </w:r>
    </w:p>
    <w:p w14:paraId="339F59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式中：Si—第i项评价指标的单项评价指数。</w:t>
      </w:r>
    </w:p>
    <w:p w14:paraId="2A7C403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Sxi—第i项评价指标的实际值</w:t>
      </w:r>
    </w:p>
    <w:p w14:paraId="390A035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Soi—第i项评价指标的评价基准值</w:t>
      </w:r>
    </w:p>
    <w:p w14:paraId="48FD95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本评价指标体系各二级指标的单项评价指数的正常值一般在1.0左右，但当实际数值远小于（或远大于）评价基准值时，计算得出的Si值就会越大，计算结果就会偏离实际，对其他评价指标的单项评价指数产生较大干扰。为了消除这种不合理影响，应对此进行修正处理。修正的方法是：当Si＞k/m时（其中k为该类一级指标的权重值，m为该类一级指标中实际参与考核的二级指标的项目数），取Si值为k/m。</w:t>
      </w:r>
    </w:p>
    <w:p w14:paraId="128A30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②</w:t>
      </w:r>
      <w:r>
        <w:rPr>
          <w:rFonts w:hint="eastAsia" w:ascii="Times New Roman" w:hAnsi="Times New Roman" w:eastAsia="宋体" w:cs="Times New Roman"/>
          <w:color w:val="auto"/>
          <w:sz w:val="24"/>
          <w:szCs w:val="22"/>
          <w:u w:val="none"/>
          <w:lang w:val="en-US" w:eastAsia="zh-CN"/>
        </w:rPr>
        <w:t xml:space="preserve"> </w:t>
      </w:r>
      <w:r>
        <w:rPr>
          <w:rFonts w:hint="default" w:ascii="Times New Roman" w:hAnsi="Times New Roman" w:eastAsia="宋体" w:cs="Times New Roman"/>
          <w:color w:val="auto"/>
          <w:sz w:val="24"/>
          <w:szCs w:val="22"/>
          <w:u w:val="none"/>
        </w:rPr>
        <w:t>定量评价考核总分值计算</w:t>
      </w:r>
    </w:p>
    <w:p w14:paraId="4F0FD7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定量评价考核总分值计算的计算公式为：</w:t>
      </w:r>
    </w:p>
    <w:p w14:paraId="4E7EDD9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drawing>
          <wp:anchor distT="0" distB="0" distL="114300" distR="114300" simplePos="0" relativeHeight="251668480" behindDoc="0" locked="0" layoutInCell="1" allowOverlap="1">
            <wp:simplePos x="0" y="0"/>
            <wp:positionH relativeFrom="column">
              <wp:posOffset>2155190</wp:posOffset>
            </wp:positionH>
            <wp:positionV relativeFrom="paragraph">
              <wp:posOffset>15240</wp:posOffset>
            </wp:positionV>
            <wp:extent cx="1063625" cy="535940"/>
            <wp:effectExtent l="0" t="0" r="3175" b="16510"/>
            <wp:wrapNone/>
            <wp:docPr id="122" name="图片 2" descr="C:\Users\ADMINI~1\AppData\Local\Temp\ksohtml\wpsBB3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descr="C:\Users\ADMINI~1\AppData\Local\Temp\ksohtml\wpsBB30.tmp.jpg"/>
                    <pic:cNvPicPr>
                      <a:picLocks noChangeAspect="1" noChangeArrowheads="1"/>
                    </pic:cNvPicPr>
                  </pic:nvPicPr>
                  <pic:blipFill>
                    <a:blip r:embed="rId49" cstate="print"/>
                    <a:srcRect/>
                    <a:stretch>
                      <a:fillRect/>
                    </a:stretch>
                  </pic:blipFill>
                  <pic:spPr>
                    <a:xfrm>
                      <a:off x="0" y="0"/>
                      <a:ext cx="1096010" cy="424180"/>
                    </a:xfrm>
                    <a:prstGeom prst="rect">
                      <a:avLst/>
                    </a:prstGeom>
                    <a:noFill/>
                    <a:ln w="9525">
                      <a:noFill/>
                      <a:miter lim="800000"/>
                      <a:headEnd/>
                      <a:tailEnd/>
                    </a:ln>
                    <a:effectLst/>
                  </pic:spPr>
                </pic:pic>
              </a:graphicData>
            </a:graphic>
          </wp:anchor>
        </w:drawing>
      </w:r>
    </w:p>
    <w:p w14:paraId="622076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p>
    <w:p w14:paraId="3A9DAAA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式中：P1—定量评价考核总分值；</w:t>
      </w:r>
    </w:p>
    <w:p w14:paraId="44C53A3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n—参与定量评价考核的二级指标项目总数；</w:t>
      </w:r>
    </w:p>
    <w:p w14:paraId="42B5BCD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Si—第i项评价指标的单项评价指数；</w:t>
      </w:r>
    </w:p>
    <w:p w14:paraId="228F111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Ki—第i项评价指标的权重值。</w:t>
      </w:r>
    </w:p>
    <w:p w14:paraId="74D6E4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2）定性评级指标的考核评分计算</w:t>
      </w:r>
    </w:p>
    <w:p w14:paraId="573B85C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定性评级指标的考核总分值的计算公式为：</w:t>
      </w:r>
    </w:p>
    <w:p w14:paraId="02D7297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rPr>
        <w:drawing>
          <wp:anchor distT="0" distB="0" distL="114300" distR="114300" simplePos="0" relativeHeight="251667456" behindDoc="0" locked="0" layoutInCell="1" allowOverlap="1">
            <wp:simplePos x="0" y="0"/>
            <wp:positionH relativeFrom="column">
              <wp:posOffset>2397760</wp:posOffset>
            </wp:positionH>
            <wp:positionV relativeFrom="paragraph">
              <wp:posOffset>84455</wp:posOffset>
            </wp:positionV>
            <wp:extent cx="1112520" cy="848995"/>
            <wp:effectExtent l="0" t="0" r="11430" b="8255"/>
            <wp:wrapTopAndBottom/>
            <wp:docPr id="3" name="图片 3" descr="C:\Users\ADMINI~1\AppData\Local\Temp\ksohtml\wpsBB3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wpsBB31.tmp.jpg"/>
                    <pic:cNvPicPr>
                      <a:picLocks noChangeAspect="1" noChangeArrowheads="1"/>
                    </pic:cNvPicPr>
                  </pic:nvPicPr>
                  <pic:blipFill>
                    <a:blip r:embed="rId50" cstate="print"/>
                    <a:srcRect/>
                    <a:stretch>
                      <a:fillRect/>
                    </a:stretch>
                  </pic:blipFill>
                  <pic:spPr>
                    <a:xfrm>
                      <a:off x="0" y="0"/>
                      <a:ext cx="1112520" cy="848995"/>
                    </a:xfrm>
                    <a:prstGeom prst="rect">
                      <a:avLst/>
                    </a:prstGeom>
                    <a:noFill/>
                    <a:ln w="9525">
                      <a:noFill/>
                      <a:miter lim="800000"/>
                      <a:headEnd/>
                      <a:tailEnd/>
                    </a:ln>
                    <a:effectLst/>
                  </pic:spPr>
                </pic:pic>
              </a:graphicData>
            </a:graphic>
          </wp:anchor>
        </w:drawing>
      </w:r>
      <w:r>
        <w:rPr>
          <w:rFonts w:hint="default" w:ascii="Times New Roman" w:hAnsi="Times New Roman" w:eastAsia="宋体" w:cs="Times New Roman"/>
          <w:color w:val="auto"/>
          <w:sz w:val="24"/>
          <w:szCs w:val="22"/>
          <w:u w:val="none"/>
          <w:lang w:val="en-US" w:eastAsia="zh-CN"/>
        </w:rPr>
        <w:t>式中：P2—定性评价二级指标考核总分值；</w:t>
      </w:r>
    </w:p>
    <w:p w14:paraId="566592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Fi—定性评价指标体系中第i项二级指标的得分值；</w:t>
      </w:r>
    </w:p>
    <w:p w14:paraId="7B7487E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n—参与考核的定性评价二级指标的项目总数。</w:t>
      </w:r>
    </w:p>
    <w:p w14:paraId="44E1689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bookmarkStart w:id="302" w:name="_Toc7172"/>
      <w:r>
        <w:rPr>
          <w:rFonts w:hint="default" w:ascii="Times New Roman" w:hAnsi="Times New Roman" w:eastAsia="宋体" w:cs="Times New Roman"/>
          <w:color w:val="auto"/>
          <w:sz w:val="24"/>
          <w:szCs w:val="22"/>
          <w:u w:val="none"/>
          <w:lang w:val="en-US" w:eastAsia="zh-CN"/>
        </w:rPr>
        <w:t>3）综合评价指数考核评分计算</w:t>
      </w:r>
      <w:bookmarkEnd w:id="302"/>
    </w:p>
    <w:p w14:paraId="16521D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综合评价指数考核总分值的计算公式为：</w:t>
      </w:r>
    </w:p>
    <w:p w14:paraId="00E8983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P=0.6P1+0.4P2</w:t>
      </w:r>
    </w:p>
    <w:p w14:paraId="43F1AD6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式中：P—清洁生产综合评价指数</w:t>
      </w:r>
    </w:p>
    <w:p w14:paraId="44781DD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P1—定量评价考核总分值；</w:t>
      </w:r>
    </w:p>
    <w:p w14:paraId="2CF3B46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P2—定性评价二级指标考核总分值。</w:t>
      </w:r>
    </w:p>
    <w:p w14:paraId="7BE6336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color w:val="auto"/>
          <w:sz w:val="24"/>
          <w:szCs w:val="22"/>
          <w:u w:val="none"/>
          <w:lang w:val="en-US" w:eastAsia="zh-CN"/>
        </w:rPr>
        <w:t>根据目前我国石油和天然气开采行业的实际情况，不同等级的清洁生产企业的综合评价指标</w:t>
      </w:r>
      <w:r>
        <w:rPr>
          <w:rFonts w:hint="eastAsia" w:ascii="Times New Roman" w:hAnsi="Times New Roman" w:eastAsia="宋体" w:cs="Times New Roman"/>
          <w:color w:val="auto"/>
          <w:sz w:val="24"/>
          <w:szCs w:val="22"/>
          <w:u w:val="none"/>
          <w:lang w:val="en-US" w:eastAsia="zh-CN"/>
        </w:rPr>
        <w:t>，</w:t>
      </w:r>
      <w:r>
        <w:rPr>
          <w:rFonts w:hint="default" w:ascii="Times New Roman" w:hAnsi="Times New Roman" w:eastAsia="宋体" w:cs="Times New Roman"/>
          <w:color w:val="auto"/>
          <w:sz w:val="24"/>
          <w:szCs w:val="22"/>
          <w:u w:val="none"/>
          <w:lang w:val="en-US" w:eastAsia="zh-CN"/>
        </w:rPr>
        <w:t>见表3.</w:t>
      </w:r>
      <w:r>
        <w:rPr>
          <w:rFonts w:hint="eastAsia" w:ascii="Times New Roman" w:hAnsi="Times New Roman" w:eastAsia="宋体" w:cs="Times New Roman"/>
          <w:color w:val="auto"/>
          <w:sz w:val="24"/>
          <w:szCs w:val="22"/>
          <w:u w:val="none"/>
          <w:lang w:val="en-US" w:eastAsia="zh-CN"/>
        </w:rPr>
        <w:t>5-1</w:t>
      </w:r>
      <w:r>
        <w:rPr>
          <w:rFonts w:hint="default" w:ascii="Times New Roman" w:hAnsi="Times New Roman" w:eastAsia="宋体" w:cs="Times New Roman"/>
          <w:color w:val="auto"/>
          <w:sz w:val="24"/>
          <w:szCs w:val="22"/>
          <w:u w:val="none"/>
          <w:lang w:val="en-US" w:eastAsia="zh-CN"/>
        </w:rPr>
        <w:t>。</w:t>
      </w:r>
    </w:p>
    <w:p w14:paraId="6D98342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 xml:space="preserve">5-1  </w:t>
      </w:r>
      <w:r>
        <w:rPr>
          <w:rFonts w:hint="default" w:ascii="黑体" w:hAnsi="黑体" w:eastAsia="黑体" w:cs="黑体"/>
          <w:b w:val="0"/>
          <w:bCs/>
          <w:color w:val="auto"/>
          <w:kern w:val="2"/>
          <w:sz w:val="24"/>
          <w:szCs w:val="24"/>
          <w:u w:val="none"/>
          <w:lang w:val="en-US" w:eastAsia="zh-CN" w:bidi="ar-SA"/>
        </w:rPr>
        <w:t>石油和天然气开采行业不同等级清洁生产企业综合评价指数</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7E56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261" w:type="dxa"/>
            <w:tcBorders>
              <w:tl2br w:val="nil"/>
              <w:tr2bl w:val="nil"/>
            </w:tcBorders>
            <w:noWrap w:val="0"/>
            <w:vAlign w:val="center"/>
          </w:tcPr>
          <w:p w14:paraId="22E9661D">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清洁生产企业等级</w:t>
            </w:r>
          </w:p>
        </w:tc>
        <w:tc>
          <w:tcPr>
            <w:tcW w:w="4261" w:type="dxa"/>
            <w:tcBorders>
              <w:tl2br w:val="nil"/>
              <w:tr2bl w:val="nil"/>
            </w:tcBorders>
            <w:noWrap w:val="0"/>
            <w:vAlign w:val="center"/>
          </w:tcPr>
          <w:p w14:paraId="2A822E3E">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清洁生产综合评价指数</w:t>
            </w:r>
          </w:p>
        </w:tc>
      </w:tr>
      <w:tr w14:paraId="621EC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14:paraId="763568EC">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清洁生产先进企业</w:t>
            </w:r>
          </w:p>
        </w:tc>
        <w:tc>
          <w:tcPr>
            <w:tcW w:w="4261" w:type="dxa"/>
            <w:tcBorders>
              <w:tl2br w:val="nil"/>
              <w:tr2bl w:val="nil"/>
            </w:tcBorders>
            <w:noWrap w:val="0"/>
            <w:vAlign w:val="center"/>
          </w:tcPr>
          <w:p w14:paraId="62D9782F">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P≥90</w:t>
            </w:r>
          </w:p>
        </w:tc>
      </w:tr>
      <w:tr w14:paraId="02571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14:paraId="0F342A19">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清洁生产企业</w:t>
            </w:r>
          </w:p>
        </w:tc>
        <w:tc>
          <w:tcPr>
            <w:tcW w:w="4261" w:type="dxa"/>
            <w:tcBorders>
              <w:tl2br w:val="nil"/>
              <w:tr2bl w:val="nil"/>
            </w:tcBorders>
            <w:noWrap w:val="0"/>
            <w:vAlign w:val="center"/>
          </w:tcPr>
          <w:p w14:paraId="48D01BD2">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75≤P＜90</w:t>
            </w:r>
          </w:p>
        </w:tc>
      </w:tr>
    </w:tbl>
    <w:p w14:paraId="492A288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由表3.5-1~3.5-3计算可得：</w:t>
      </w:r>
    </w:p>
    <w:p w14:paraId="55517C1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——钻井作业：定量指标100分，定性指标95分，综合评价98分。</w:t>
      </w:r>
    </w:p>
    <w:p w14:paraId="71B0BB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——井下作业：定量指标90分，定性指标100分，综合评价94分。</w:t>
      </w:r>
    </w:p>
    <w:p w14:paraId="01A518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sz w:val="24"/>
          <w:szCs w:val="22"/>
          <w:u w:val="none"/>
          <w:lang w:val="en-US" w:eastAsia="zh-CN"/>
        </w:rPr>
        <w:t>——采油</w:t>
      </w:r>
      <w:r>
        <w:rPr>
          <w:rFonts w:hint="eastAsia" w:ascii="Times New Roman" w:hAnsi="Times New Roman" w:eastAsia="宋体" w:cs="Times New Roman"/>
          <w:color w:val="auto"/>
          <w:sz w:val="24"/>
          <w:szCs w:val="22"/>
          <w:u w:val="none"/>
          <w:lang w:val="en-US" w:eastAsia="zh-CN"/>
        </w:rPr>
        <w:t>（气）</w:t>
      </w:r>
      <w:r>
        <w:rPr>
          <w:rFonts w:hint="default" w:ascii="Times New Roman" w:hAnsi="Times New Roman" w:eastAsia="宋体" w:cs="Times New Roman"/>
          <w:color w:val="auto"/>
          <w:sz w:val="24"/>
          <w:szCs w:val="22"/>
          <w:u w:val="none"/>
          <w:lang w:val="en-US" w:eastAsia="zh-CN"/>
        </w:rPr>
        <w:t>和集输：定量指标</w:t>
      </w:r>
      <w:r>
        <w:rPr>
          <w:rFonts w:hint="eastAsia" w:ascii="Times New Roman" w:hAnsi="Times New Roman" w:eastAsia="宋体" w:cs="Times New Roman"/>
          <w:color w:val="auto"/>
          <w:sz w:val="24"/>
          <w:szCs w:val="22"/>
          <w:u w:val="none"/>
          <w:lang w:val="en-US" w:eastAsia="zh-CN"/>
        </w:rPr>
        <w:t>90</w:t>
      </w:r>
      <w:r>
        <w:rPr>
          <w:rFonts w:hint="default" w:ascii="Times New Roman" w:hAnsi="Times New Roman" w:eastAsia="宋体" w:cs="Times New Roman"/>
          <w:color w:val="auto"/>
          <w:sz w:val="24"/>
          <w:szCs w:val="22"/>
          <w:u w:val="none"/>
          <w:lang w:val="en-US" w:eastAsia="zh-CN"/>
        </w:rPr>
        <w:t>分，定性指标100分，综合评价</w:t>
      </w:r>
      <w:r>
        <w:rPr>
          <w:rFonts w:hint="eastAsia" w:ascii="Times New Roman" w:hAnsi="Times New Roman" w:eastAsia="宋体" w:cs="Times New Roman"/>
          <w:color w:val="auto"/>
          <w:sz w:val="24"/>
          <w:szCs w:val="22"/>
          <w:u w:val="none"/>
          <w:lang w:val="en-US" w:eastAsia="zh-CN"/>
        </w:rPr>
        <w:t>94</w:t>
      </w:r>
      <w:r>
        <w:rPr>
          <w:rFonts w:hint="default" w:ascii="Times New Roman" w:hAnsi="Times New Roman" w:eastAsia="宋体" w:cs="Times New Roman"/>
          <w:color w:val="auto"/>
          <w:sz w:val="24"/>
          <w:szCs w:val="22"/>
          <w:u w:val="none"/>
          <w:lang w:val="en-US" w:eastAsia="zh-CN"/>
        </w:rPr>
        <w:t>分。</w:t>
      </w:r>
    </w:p>
    <w:p w14:paraId="7CAC66AB">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bookmarkStart w:id="303" w:name="_Hlk512531051"/>
      <w:r>
        <w:rPr>
          <w:rFonts w:hint="eastAsia" w:ascii="宋体" w:hAnsi="宋体" w:cs="宋体"/>
          <w:color w:val="auto"/>
          <w:u w:val="none"/>
          <w:lang w:val="en-US" w:eastAsia="zh-CN"/>
        </w:rPr>
        <w:t>3.4.7.2</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清洁生产水平结论</w:t>
      </w:r>
    </w:p>
    <w:p w14:paraId="086AB00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根据综合评价指数得分判定，本工程清洁生产企业等级为：清洁生产</w:t>
      </w:r>
      <w:r>
        <w:rPr>
          <w:rFonts w:hint="eastAsia" w:ascii="Times New Roman" w:hAnsi="Times New Roman" w:eastAsia="宋体" w:cs="Times New Roman"/>
          <w:color w:val="auto"/>
          <w:sz w:val="24"/>
          <w:szCs w:val="22"/>
          <w:u w:val="none"/>
          <w:lang w:val="en-US" w:eastAsia="zh-CN"/>
        </w:rPr>
        <w:t>先进</w:t>
      </w:r>
      <w:r>
        <w:rPr>
          <w:rFonts w:hint="default" w:ascii="Times New Roman" w:hAnsi="Times New Roman" w:eastAsia="宋体" w:cs="Times New Roman"/>
          <w:color w:val="auto"/>
          <w:sz w:val="24"/>
          <w:szCs w:val="22"/>
          <w:u w:val="none"/>
          <w:lang w:val="en-US" w:eastAsia="zh-CN"/>
        </w:rPr>
        <w:t>企业</w:t>
      </w:r>
      <w:bookmarkEnd w:id="303"/>
      <w:r>
        <w:rPr>
          <w:rFonts w:hint="default" w:ascii="Times New Roman" w:hAnsi="Times New Roman" w:eastAsia="宋体" w:cs="Times New Roman"/>
          <w:color w:val="auto"/>
          <w:sz w:val="24"/>
          <w:szCs w:val="22"/>
          <w:u w:val="none"/>
          <w:lang w:val="en-US" w:eastAsia="zh-CN"/>
        </w:rPr>
        <w:t>。</w:t>
      </w:r>
    </w:p>
    <w:p w14:paraId="11F74CA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2"/>
          <w:u w:val="none"/>
          <w:lang w:val="en-US" w:eastAsia="zh-CN"/>
        </w:rPr>
      </w:pPr>
      <w:r>
        <w:rPr>
          <w:rFonts w:hint="default" w:ascii="Times New Roman" w:hAnsi="Times New Roman" w:eastAsia="宋体" w:cs="Times New Roman"/>
          <w:color w:val="auto"/>
          <w:sz w:val="24"/>
          <w:szCs w:val="22"/>
          <w:u w:val="none"/>
          <w:lang w:val="en-US" w:eastAsia="zh-CN"/>
        </w:rPr>
        <w:t>本工程采用的清洁生产技术遵循“减量化、再利用、资源化”的原则。开发各阶段、各作业环境均采取了避免和减缓不利环境影响的措施，高效利用并节约使用各类能源、资源（水、土地等）；使用油气开发效率高的先进工艺技术与设备；制定了合理有效的废物管理方案，采用源削减技术，减少了施工废物、废水、废气等污染物的产生量，实现了废物的循环利用与资源化利用。</w:t>
      </w:r>
    </w:p>
    <w:bookmarkEnd w:id="243"/>
    <w:bookmarkEnd w:id="271"/>
    <w:bookmarkEnd w:id="287"/>
    <w:bookmarkEnd w:id="288"/>
    <w:p w14:paraId="6A03782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pacing w:val="0"/>
          <w:u w:val="none"/>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eastAsia="宋体" w:cs="Times New Roman"/>
          <w:color w:val="auto"/>
          <w:sz w:val="24"/>
          <w:szCs w:val="22"/>
          <w:u w:val="none"/>
        </w:rPr>
        <w:t>定量和定性评价指标项目、权重及基准值，见表3.</w:t>
      </w:r>
      <w:r>
        <w:rPr>
          <w:rFonts w:hint="eastAsia" w:cs="Times New Roman"/>
          <w:color w:val="auto"/>
          <w:sz w:val="24"/>
          <w:szCs w:val="22"/>
          <w:u w:val="none"/>
          <w:lang w:val="en-US" w:eastAsia="zh-CN"/>
        </w:rPr>
        <w:t>4-16</w:t>
      </w:r>
      <w:r>
        <w:rPr>
          <w:rFonts w:hint="default" w:ascii="Times New Roman" w:hAnsi="Times New Roman" w:eastAsia="宋体" w:cs="Times New Roman"/>
          <w:color w:val="auto"/>
          <w:sz w:val="24"/>
          <w:szCs w:val="22"/>
          <w:u w:val="none"/>
        </w:rPr>
        <w:t>～</w:t>
      </w:r>
      <w:r>
        <w:rPr>
          <w:rFonts w:hint="eastAsia" w:ascii="Times New Roman" w:hAnsi="Times New Roman" w:eastAsia="宋体" w:cs="Times New Roman"/>
          <w:color w:val="auto"/>
          <w:sz w:val="24"/>
          <w:szCs w:val="22"/>
          <w:u w:val="none"/>
          <w:lang w:val="en-US" w:eastAsia="zh-CN"/>
        </w:rPr>
        <w:t>3.</w:t>
      </w:r>
      <w:r>
        <w:rPr>
          <w:rFonts w:hint="eastAsia" w:cs="Times New Roman"/>
          <w:color w:val="auto"/>
          <w:sz w:val="24"/>
          <w:szCs w:val="22"/>
          <w:u w:val="none"/>
          <w:lang w:val="en-US" w:eastAsia="zh-CN"/>
        </w:rPr>
        <w:t>4-18</w:t>
      </w:r>
      <w:r>
        <w:rPr>
          <w:rFonts w:hint="default" w:ascii="Times New Roman" w:hAnsi="Times New Roman" w:eastAsia="宋体" w:cs="Times New Roman"/>
          <w:color w:val="auto"/>
          <w:sz w:val="24"/>
          <w:szCs w:val="22"/>
          <w:u w:val="none"/>
        </w:rPr>
        <w:t>。</w:t>
      </w:r>
    </w:p>
    <w:p w14:paraId="2F7507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bookmarkStart w:id="304" w:name="_Ref12534966"/>
      <w:r>
        <w:rPr>
          <w:rFonts w:hint="eastAsia" w:ascii="黑体" w:hAnsi="黑体" w:eastAsia="黑体" w:cs="黑体"/>
          <w:b w:val="0"/>
          <w:bCs/>
          <w:color w:val="auto"/>
          <w:kern w:val="2"/>
          <w:sz w:val="24"/>
          <w:szCs w:val="24"/>
          <w:u w:val="none"/>
          <w:lang w:val="en-US" w:eastAsia="zh-CN" w:bidi="ar-SA"/>
        </w:rPr>
        <w:t>表</w:t>
      </w:r>
      <w:bookmarkEnd w:id="304"/>
      <w:r>
        <w:rPr>
          <w:rFonts w:hint="eastAsia" w:ascii="黑体" w:hAnsi="黑体" w:eastAsia="黑体" w:cs="黑体"/>
          <w:b w:val="0"/>
          <w:bCs/>
          <w:color w:val="auto"/>
          <w:kern w:val="2"/>
          <w:sz w:val="24"/>
          <w:szCs w:val="24"/>
          <w:u w:val="none"/>
          <w:lang w:val="en-US" w:eastAsia="zh-CN" w:bidi="ar-SA"/>
        </w:rPr>
        <w:t>3.4-16  钻井作业定量和定性评价指标项目、权重及基准值</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35"/>
        <w:gridCol w:w="1021"/>
        <w:gridCol w:w="918"/>
        <w:gridCol w:w="1127"/>
        <w:gridCol w:w="140"/>
        <w:gridCol w:w="2994"/>
        <w:gridCol w:w="184"/>
        <w:gridCol w:w="1202"/>
        <w:gridCol w:w="3263"/>
        <w:gridCol w:w="269"/>
        <w:gridCol w:w="1037"/>
        <w:gridCol w:w="921"/>
      </w:tblGrid>
      <w:tr w14:paraId="7A6FE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372" w:type="pct"/>
            <w:gridSpan w:val="10"/>
            <w:tcBorders>
              <w:tl2br w:val="nil"/>
              <w:tr2bl w:val="nil"/>
            </w:tcBorders>
            <w:noWrap w:val="0"/>
            <w:vAlign w:val="center"/>
          </w:tcPr>
          <w:p w14:paraId="76E26E4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定量指标</w:t>
            </w:r>
          </w:p>
        </w:tc>
        <w:tc>
          <w:tcPr>
            <w:tcW w:w="627" w:type="pct"/>
            <w:gridSpan w:val="2"/>
            <w:tcBorders>
              <w:tl2br w:val="nil"/>
              <w:tr2bl w:val="nil"/>
            </w:tcBorders>
            <w:noWrap w:val="0"/>
            <w:vAlign w:val="center"/>
          </w:tcPr>
          <w:p w14:paraId="2210656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lang w:eastAsia="zh-CN"/>
              </w:rPr>
            </w:pPr>
            <w:r>
              <w:rPr>
                <w:rFonts w:hint="eastAsia" w:ascii="宋体" w:hAnsi="宋体" w:eastAsia="宋体" w:cs="宋体"/>
                <w:b w:val="0"/>
                <w:bCs/>
                <w:color w:val="auto"/>
                <w:spacing w:val="4"/>
                <w:sz w:val="21"/>
                <w:szCs w:val="21"/>
                <w:highlight w:val="none"/>
                <w:u w:val="none"/>
                <w:lang w:eastAsia="zh-CN"/>
              </w:rPr>
              <w:t>本工程</w:t>
            </w:r>
          </w:p>
        </w:tc>
      </w:tr>
      <w:tr w14:paraId="0B973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2" w:type="pct"/>
            <w:tcBorders>
              <w:tl2br w:val="nil"/>
              <w:tr2bl w:val="nil"/>
            </w:tcBorders>
            <w:noWrap w:val="0"/>
            <w:vAlign w:val="center"/>
          </w:tcPr>
          <w:p w14:paraId="38CE6F4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一级指标</w:t>
            </w:r>
          </w:p>
        </w:tc>
        <w:tc>
          <w:tcPr>
            <w:tcW w:w="327" w:type="pct"/>
            <w:tcBorders>
              <w:tl2br w:val="nil"/>
              <w:tr2bl w:val="nil"/>
            </w:tcBorders>
            <w:noWrap w:val="0"/>
            <w:vAlign w:val="center"/>
          </w:tcPr>
          <w:p w14:paraId="7035E497">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权重值</w:t>
            </w:r>
          </w:p>
        </w:tc>
        <w:tc>
          <w:tcPr>
            <w:tcW w:w="655" w:type="pct"/>
            <w:gridSpan w:val="2"/>
            <w:tcBorders>
              <w:tl2br w:val="nil"/>
              <w:tr2bl w:val="nil"/>
            </w:tcBorders>
            <w:noWrap w:val="0"/>
            <w:vAlign w:val="center"/>
          </w:tcPr>
          <w:p w14:paraId="4C6135C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二级指标</w:t>
            </w:r>
          </w:p>
        </w:tc>
        <w:tc>
          <w:tcPr>
            <w:tcW w:w="1004" w:type="pct"/>
            <w:gridSpan w:val="2"/>
            <w:tcBorders>
              <w:tl2br w:val="nil"/>
              <w:tr2bl w:val="nil"/>
            </w:tcBorders>
            <w:noWrap w:val="0"/>
            <w:vAlign w:val="center"/>
          </w:tcPr>
          <w:p w14:paraId="7FEF0E2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单位</w:t>
            </w:r>
          </w:p>
        </w:tc>
        <w:tc>
          <w:tcPr>
            <w:tcW w:w="444" w:type="pct"/>
            <w:gridSpan w:val="2"/>
            <w:tcBorders>
              <w:tl2br w:val="nil"/>
              <w:tr2bl w:val="nil"/>
            </w:tcBorders>
            <w:noWrap w:val="0"/>
            <w:vAlign w:val="center"/>
          </w:tcPr>
          <w:p w14:paraId="400733D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权重分值</w:t>
            </w:r>
          </w:p>
        </w:tc>
        <w:tc>
          <w:tcPr>
            <w:tcW w:w="1126" w:type="pct"/>
            <w:gridSpan w:val="2"/>
            <w:tcBorders>
              <w:tl2br w:val="nil"/>
              <w:tr2bl w:val="nil"/>
            </w:tcBorders>
            <w:noWrap w:val="0"/>
            <w:vAlign w:val="center"/>
          </w:tcPr>
          <w:p w14:paraId="61A9D31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评价基准值</w:t>
            </w:r>
          </w:p>
        </w:tc>
        <w:tc>
          <w:tcPr>
            <w:tcW w:w="331" w:type="pct"/>
            <w:tcBorders>
              <w:tl2br w:val="nil"/>
              <w:tr2bl w:val="nil"/>
            </w:tcBorders>
            <w:noWrap w:val="0"/>
            <w:vAlign w:val="center"/>
          </w:tcPr>
          <w:p w14:paraId="3655C4F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估算值</w:t>
            </w:r>
          </w:p>
        </w:tc>
        <w:tc>
          <w:tcPr>
            <w:tcW w:w="296" w:type="pct"/>
            <w:tcBorders>
              <w:tl2br w:val="nil"/>
              <w:tr2bl w:val="nil"/>
            </w:tcBorders>
            <w:noWrap w:val="0"/>
            <w:vAlign w:val="center"/>
          </w:tcPr>
          <w:p w14:paraId="790E5002">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评分</w:t>
            </w:r>
          </w:p>
        </w:tc>
      </w:tr>
      <w:tr w14:paraId="3D21D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12" w:type="pct"/>
            <w:vMerge w:val="restart"/>
            <w:tcBorders>
              <w:tl2br w:val="nil"/>
              <w:tr2bl w:val="nil"/>
            </w:tcBorders>
            <w:noWrap w:val="0"/>
            <w:vAlign w:val="center"/>
          </w:tcPr>
          <w:p w14:paraId="3B5C8ED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(1)资源和能源消耗指标</w:t>
            </w:r>
          </w:p>
        </w:tc>
        <w:tc>
          <w:tcPr>
            <w:tcW w:w="327" w:type="pct"/>
            <w:vMerge w:val="restart"/>
            <w:tcBorders>
              <w:tl2br w:val="nil"/>
              <w:tr2bl w:val="nil"/>
            </w:tcBorders>
            <w:noWrap w:val="0"/>
            <w:vAlign w:val="center"/>
          </w:tcPr>
          <w:p w14:paraId="175A44A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30</w:t>
            </w:r>
          </w:p>
        </w:tc>
        <w:tc>
          <w:tcPr>
            <w:tcW w:w="655" w:type="pct"/>
            <w:gridSpan w:val="2"/>
            <w:tcBorders>
              <w:tl2br w:val="nil"/>
              <w:tr2bl w:val="nil"/>
            </w:tcBorders>
            <w:noWrap w:val="0"/>
            <w:vAlign w:val="center"/>
          </w:tcPr>
          <w:p w14:paraId="14B9497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占地面积</w:t>
            </w:r>
          </w:p>
        </w:tc>
        <w:tc>
          <w:tcPr>
            <w:tcW w:w="1004" w:type="pct"/>
            <w:gridSpan w:val="2"/>
            <w:tcBorders>
              <w:tl2br w:val="nil"/>
              <w:tr2bl w:val="nil"/>
            </w:tcBorders>
            <w:noWrap w:val="0"/>
            <w:vAlign w:val="center"/>
          </w:tcPr>
          <w:p w14:paraId="0BF1759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m</w:t>
            </w:r>
            <w:r>
              <w:rPr>
                <w:rFonts w:hint="eastAsia" w:ascii="宋体" w:hAnsi="宋体" w:eastAsia="宋体" w:cs="宋体"/>
                <w:b w:val="0"/>
                <w:bCs/>
                <w:color w:val="auto"/>
                <w:spacing w:val="4"/>
                <w:sz w:val="21"/>
                <w:szCs w:val="21"/>
                <w:highlight w:val="none"/>
                <w:u w:val="none"/>
                <w:vertAlign w:val="superscript"/>
              </w:rPr>
              <w:t>2</w:t>
            </w:r>
          </w:p>
        </w:tc>
        <w:tc>
          <w:tcPr>
            <w:tcW w:w="444" w:type="pct"/>
            <w:gridSpan w:val="2"/>
            <w:tcBorders>
              <w:tl2br w:val="nil"/>
              <w:tr2bl w:val="nil"/>
            </w:tcBorders>
            <w:noWrap w:val="0"/>
            <w:vAlign w:val="center"/>
          </w:tcPr>
          <w:p w14:paraId="40AC9CC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15</w:t>
            </w:r>
          </w:p>
        </w:tc>
        <w:tc>
          <w:tcPr>
            <w:tcW w:w="1126" w:type="pct"/>
            <w:gridSpan w:val="2"/>
            <w:tcBorders>
              <w:tl2br w:val="nil"/>
              <w:tr2bl w:val="nil"/>
            </w:tcBorders>
            <w:noWrap w:val="0"/>
            <w:vAlign w:val="center"/>
          </w:tcPr>
          <w:p w14:paraId="5ADF2B4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符合行业标准要求</w:t>
            </w:r>
          </w:p>
        </w:tc>
        <w:tc>
          <w:tcPr>
            <w:tcW w:w="331" w:type="pct"/>
            <w:tcBorders>
              <w:tl2br w:val="nil"/>
              <w:tr2bl w:val="nil"/>
            </w:tcBorders>
            <w:noWrap w:val="0"/>
            <w:vAlign w:val="center"/>
          </w:tcPr>
          <w:p w14:paraId="1DDBC22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符合</w:t>
            </w:r>
          </w:p>
        </w:tc>
        <w:tc>
          <w:tcPr>
            <w:tcW w:w="296" w:type="pct"/>
            <w:tcBorders>
              <w:tl2br w:val="nil"/>
              <w:tr2bl w:val="nil"/>
            </w:tcBorders>
            <w:noWrap w:val="0"/>
            <w:vAlign w:val="center"/>
          </w:tcPr>
          <w:p w14:paraId="1AF4F0B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15</w:t>
            </w:r>
          </w:p>
        </w:tc>
      </w:tr>
      <w:tr w14:paraId="14245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12" w:type="pct"/>
            <w:vMerge w:val="continue"/>
            <w:tcBorders>
              <w:tl2br w:val="nil"/>
              <w:tr2bl w:val="nil"/>
            </w:tcBorders>
            <w:noWrap w:val="0"/>
            <w:vAlign w:val="center"/>
          </w:tcPr>
          <w:p w14:paraId="376EAD83">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327" w:type="pct"/>
            <w:vMerge w:val="continue"/>
            <w:tcBorders>
              <w:tl2br w:val="nil"/>
              <w:tr2bl w:val="nil"/>
            </w:tcBorders>
            <w:noWrap w:val="0"/>
            <w:vAlign w:val="center"/>
          </w:tcPr>
          <w:p w14:paraId="3167BEC7">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655" w:type="pct"/>
            <w:gridSpan w:val="2"/>
            <w:tcBorders>
              <w:tl2br w:val="nil"/>
              <w:tr2bl w:val="nil"/>
            </w:tcBorders>
            <w:noWrap w:val="0"/>
            <w:vAlign w:val="center"/>
          </w:tcPr>
          <w:p w14:paraId="617361C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新鲜水消耗</w:t>
            </w:r>
          </w:p>
        </w:tc>
        <w:tc>
          <w:tcPr>
            <w:tcW w:w="1004" w:type="pct"/>
            <w:gridSpan w:val="2"/>
            <w:tcBorders>
              <w:tl2br w:val="nil"/>
              <w:tr2bl w:val="nil"/>
            </w:tcBorders>
            <w:noWrap w:val="0"/>
            <w:vAlign w:val="center"/>
          </w:tcPr>
          <w:p w14:paraId="00AE477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t/100m标准进尺</w:t>
            </w:r>
          </w:p>
        </w:tc>
        <w:tc>
          <w:tcPr>
            <w:tcW w:w="444" w:type="pct"/>
            <w:gridSpan w:val="2"/>
            <w:tcBorders>
              <w:tl2br w:val="nil"/>
              <w:tr2bl w:val="nil"/>
            </w:tcBorders>
            <w:noWrap w:val="0"/>
            <w:vAlign w:val="center"/>
          </w:tcPr>
          <w:p w14:paraId="6E9BEAC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15</w:t>
            </w:r>
          </w:p>
        </w:tc>
        <w:tc>
          <w:tcPr>
            <w:tcW w:w="1126" w:type="pct"/>
            <w:gridSpan w:val="2"/>
            <w:tcBorders>
              <w:tl2br w:val="nil"/>
              <w:tr2bl w:val="nil"/>
            </w:tcBorders>
            <w:noWrap w:val="0"/>
            <w:vAlign w:val="center"/>
          </w:tcPr>
          <w:p w14:paraId="1FF6FDA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≤25</w:t>
            </w:r>
          </w:p>
        </w:tc>
        <w:tc>
          <w:tcPr>
            <w:tcW w:w="331" w:type="pct"/>
            <w:tcBorders>
              <w:tl2br w:val="nil"/>
              <w:tr2bl w:val="nil"/>
            </w:tcBorders>
            <w:noWrap w:val="0"/>
            <w:vAlign w:val="center"/>
          </w:tcPr>
          <w:p w14:paraId="6D0F567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符合</w:t>
            </w:r>
          </w:p>
        </w:tc>
        <w:tc>
          <w:tcPr>
            <w:tcW w:w="296" w:type="pct"/>
            <w:tcBorders>
              <w:tl2br w:val="nil"/>
              <w:tr2bl w:val="nil"/>
            </w:tcBorders>
            <w:noWrap w:val="0"/>
            <w:vAlign w:val="center"/>
          </w:tcPr>
          <w:p w14:paraId="03B6A76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15</w:t>
            </w:r>
          </w:p>
        </w:tc>
      </w:tr>
      <w:tr w14:paraId="671C3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12" w:type="pct"/>
            <w:tcBorders>
              <w:tl2br w:val="nil"/>
              <w:tr2bl w:val="nil"/>
            </w:tcBorders>
            <w:noWrap w:val="0"/>
            <w:vAlign w:val="center"/>
          </w:tcPr>
          <w:p w14:paraId="5808147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(2)生产技术特征指标</w:t>
            </w:r>
          </w:p>
        </w:tc>
        <w:tc>
          <w:tcPr>
            <w:tcW w:w="327" w:type="pct"/>
            <w:tcBorders>
              <w:tl2br w:val="nil"/>
              <w:tr2bl w:val="nil"/>
            </w:tcBorders>
            <w:noWrap w:val="0"/>
            <w:vAlign w:val="center"/>
          </w:tcPr>
          <w:p w14:paraId="0E588B0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655" w:type="pct"/>
            <w:gridSpan w:val="2"/>
            <w:tcBorders>
              <w:tl2br w:val="nil"/>
              <w:tr2bl w:val="nil"/>
            </w:tcBorders>
            <w:noWrap w:val="0"/>
            <w:vAlign w:val="center"/>
          </w:tcPr>
          <w:p w14:paraId="2E56E4B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rPr>
              <w:t>固井质量合格率</w:t>
            </w:r>
          </w:p>
        </w:tc>
        <w:tc>
          <w:tcPr>
            <w:tcW w:w="1004" w:type="pct"/>
            <w:gridSpan w:val="2"/>
            <w:tcBorders>
              <w:tl2br w:val="nil"/>
              <w:tr2bl w:val="nil"/>
            </w:tcBorders>
            <w:noWrap w:val="0"/>
            <w:vAlign w:val="center"/>
          </w:tcPr>
          <w:p w14:paraId="1FBC921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w:t>
            </w:r>
          </w:p>
        </w:tc>
        <w:tc>
          <w:tcPr>
            <w:tcW w:w="444" w:type="pct"/>
            <w:gridSpan w:val="2"/>
            <w:tcBorders>
              <w:tl2br w:val="nil"/>
              <w:tr2bl w:val="nil"/>
            </w:tcBorders>
            <w:noWrap w:val="0"/>
            <w:vAlign w:val="center"/>
          </w:tcPr>
          <w:p w14:paraId="2838E5A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1126" w:type="pct"/>
            <w:gridSpan w:val="2"/>
            <w:tcBorders>
              <w:tl2br w:val="nil"/>
              <w:tr2bl w:val="nil"/>
            </w:tcBorders>
            <w:noWrap w:val="0"/>
            <w:vAlign w:val="center"/>
          </w:tcPr>
          <w:p w14:paraId="7CF8D5F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≥95%</w:t>
            </w:r>
          </w:p>
        </w:tc>
        <w:tc>
          <w:tcPr>
            <w:tcW w:w="331" w:type="pct"/>
            <w:tcBorders>
              <w:tl2br w:val="nil"/>
              <w:tr2bl w:val="nil"/>
            </w:tcBorders>
            <w:noWrap w:val="0"/>
            <w:vAlign w:val="center"/>
          </w:tcPr>
          <w:p w14:paraId="53132FB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＞95%</w:t>
            </w:r>
          </w:p>
        </w:tc>
        <w:tc>
          <w:tcPr>
            <w:tcW w:w="296" w:type="pct"/>
            <w:tcBorders>
              <w:tl2br w:val="nil"/>
              <w:tr2bl w:val="nil"/>
            </w:tcBorders>
            <w:noWrap w:val="0"/>
            <w:vAlign w:val="center"/>
          </w:tcPr>
          <w:p w14:paraId="041877C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2A051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12" w:type="pct"/>
            <w:vMerge w:val="restart"/>
            <w:tcBorders>
              <w:tl2br w:val="nil"/>
              <w:tr2bl w:val="nil"/>
            </w:tcBorders>
            <w:noWrap w:val="0"/>
            <w:vAlign w:val="center"/>
          </w:tcPr>
          <w:p w14:paraId="0A29879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(3)资源综合利用指标</w:t>
            </w:r>
          </w:p>
        </w:tc>
        <w:tc>
          <w:tcPr>
            <w:tcW w:w="327" w:type="pct"/>
            <w:vMerge w:val="restart"/>
            <w:tcBorders>
              <w:tl2br w:val="nil"/>
              <w:tr2bl w:val="nil"/>
            </w:tcBorders>
            <w:noWrap w:val="0"/>
            <w:vAlign w:val="center"/>
          </w:tcPr>
          <w:p w14:paraId="79F2E58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30</w:t>
            </w:r>
          </w:p>
        </w:tc>
        <w:tc>
          <w:tcPr>
            <w:tcW w:w="655" w:type="pct"/>
            <w:gridSpan w:val="2"/>
            <w:tcBorders>
              <w:tl2br w:val="nil"/>
              <w:tr2bl w:val="nil"/>
            </w:tcBorders>
            <w:noWrap w:val="0"/>
            <w:vAlign w:val="center"/>
          </w:tcPr>
          <w:p w14:paraId="3AAB53C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钻井液循环率</w:t>
            </w:r>
          </w:p>
        </w:tc>
        <w:tc>
          <w:tcPr>
            <w:tcW w:w="1004" w:type="pct"/>
            <w:gridSpan w:val="2"/>
            <w:tcBorders>
              <w:tl2br w:val="nil"/>
              <w:tr2bl w:val="nil"/>
            </w:tcBorders>
            <w:noWrap w:val="0"/>
            <w:vAlign w:val="center"/>
          </w:tcPr>
          <w:p w14:paraId="497723C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井深：2000m以下；2000m～3000m；3000m以上</w:t>
            </w:r>
          </w:p>
        </w:tc>
        <w:tc>
          <w:tcPr>
            <w:tcW w:w="444" w:type="pct"/>
            <w:gridSpan w:val="2"/>
            <w:tcBorders>
              <w:tl2br w:val="nil"/>
              <w:tr2bl w:val="nil"/>
            </w:tcBorders>
            <w:noWrap w:val="0"/>
            <w:vAlign w:val="center"/>
          </w:tcPr>
          <w:p w14:paraId="638B50D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1126" w:type="pct"/>
            <w:gridSpan w:val="2"/>
            <w:tcBorders>
              <w:tl2br w:val="nil"/>
              <w:tr2bl w:val="nil"/>
            </w:tcBorders>
            <w:noWrap w:val="0"/>
            <w:vAlign w:val="center"/>
          </w:tcPr>
          <w:p w14:paraId="0F7BED1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≥40%；≥50%；≥60%</w:t>
            </w:r>
          </w:p>
        </w:tc>
        <w:tc>
          <w:tcPr>
            <w:tcW w:w="331" w:type="pct"/>
            <w:tcBorders>
              <w:tl2br w:val="nil"/>
              <w:tr2bl w:val="nil"/>
            </w:tcBorders>
            <w:noWrap w:val="0"/>
            <w:vAlign w:val="center"/>
          </w:tcPr>
          <w:p w14:paraId="03FA11A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95%</w:t>
            </w:r>
          </w:p>
        </w:tc>
        <w:tc>
          <w:tcPr>
            <w:tcW w:w="296" w:type="pct"/>
            <w:tcBorders>
              <w:tl2br w:val="nil"/>
              <w:tr2bl w:val="nil"/>
            </w:tcBorders>
            <w:noWrap w:val="0"/>
            <w:vAlign w:val="center"/>
          </w:tcPr>
          <w:p w14:paraId="7184ED1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r>
      <w:tr w14:paraId="694FF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12" w:type="pct"/>
            <w:vMerge w:val="continue"/>
            <w:tcBorders>
              <w:tl2br w:val="nil"/>
              <w:tr2bl w:val="nil"/>
            </w:tcBorders>
            <w:noWrap w:val="0"/>
            <w:vAlign w:val="center"/>
          </w:tcPr>
          <w:p w14:paraId="794DD7BA">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327" w:type="pct"/>
            <w:vMerge w:val="continue"/>
            <w:tcBorders>
              <w:tl2br w:val="nil"/>
              <w:tr2bl w:val="nil"/>
            </w:tcBorders>
            <w:noWrap w:val="0"/>
            <w:vAlign w:val="center"/>
          </w:tcPr>
          <w:p w14:paraId="5D78AD74">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655" w:type="pct"/>
            <w:gridSpan w:val="2"/>
            <w:tcBorders>
              <w:tl2br w:val="nil"/>
              <w:tr2bl w:val="nil"/>
            </w:tcBorders>
            <w:noWrap w:val="0"/>
            <w:vAlign w:val="center"/>
          </w:tcPr>
          <w:p w14:paraId="67EE941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柴油机效率</w:t>
            </w:r>
          </w:p>
        </w:tc>
        <w:tc>
          <w:tcPr>
            <w:tcW w:w="1004" w:type="pct"/>
            <w:gridSpan w:val="2"/>
            <w:tcBorders>
              <w:tl2br w:val="nil"/>
              <w:tr2bl w:val="nil"/>
            </w:tcBorders>
            <w:noWrap w:val="0"/>
            <w:vAlign w:val="center"/>
          </w:tcPr>
          <w:p w14:paraId="48AE3B2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w:t>
            </w:r>
          </w:p>
        </w:tc>
        <w:tc>
          <w:tcPr>
            <w:tcW w:w="444" w:type="pct"/>
            <w:gridSpan w:val="2"/>
            <w:tcBorders>
              <w:tl2br w:val="nil"/>
              <w:tr2bl w:val="nil"/>
            </w:tcBorders>
            <w:noWrap w:val="0"/>
            <w:vAlign w:val="center"/>
          </w:tcPr>
          <w:p w14:paraId="26EA410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1126" w:type="pct"/>
            <w:gridSpan w:val="2"/>
            <w:tcBorders>
              <w:tl2br w:val="nil"/>
              <w:tr2bl w:val="nil"/>
            </w:tcBorders>
            <w:noWrap w:val="0"/>
            <w:vAlign w:val="center"/>
          </w:tcPr>
          <w:p w14:paraId="6471A50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≥80</w:t>
            </w:r>
          </w:p>
        </w:tc>
        <w:tc>
          <w:tcPr>
            <w:tcW w:w="331" w:type="pct"/>
            <w:tcBorders>
              <w:tl2br w:val="nil"/>
              <w:tr2bl w:val="nil"/>
            </w:tcBorders>
            <w:noWrap w:val="0"/>
            <w:vAlign w:val="center"/>
          </w:tcPr>
          <w:p w14:paraId="6C7DB8F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＞80</w:t>
            </w:r>
          </w:p>
        </w:tc>
        <w:tc>
          <w:tcPr>
            <w:tcW w:w="296" w:type="pct"/>
            <w:tcBorders>
              <w:tl2br w:val="nil"/>
              <w:tr2bl w:val="nil"/>
            </w:tcBorders>
            <w:noWrap w:val="0"/>
            <w:vAlign w:val="center"/>
          </w:tcPr>
          <w:p w14:paraId="1FA486B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r>
      <w:tr w14:paraId="0CE29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12" w:type="pct"/>
            <w:vMerge w:val="continue"/>
            <w:tcBorders>
              <w:tl2br w:val="nil"/>
              <w:tr2bl w:val="nil"/>
            </w:tcBorders>
            <w:noWrap w:val="0"/>
            <w:vAlign w:val="center"/>
          </w:tcPr>
          <w:p w14:paraId="4C91DCD9">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327" w:type="pct"/>
            <w:vMerge w:val="continue"/>
            <w:tcBorders>
              <w:tl2br w:val="nil"/>
              <w:tr2bl w:val="nil"/>
            </w:tcBorders>
            <w:noWrap w:val="0"/>
            <w:vAlign w:val="center"/>
          </w:tcPr>
          <w:p w14:paraId="408ADFE9">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655" w:type="pct"/>
            <w:gridSpan w:val="2"/>
            <w:tcBorders>
              <w:tl2br w:val="nil"/>
              <w:tr2bl w:val="nil"/>
            </w:tcBorders>
            <w:noWrap w:val="0"/>
            <w:vAlign w:val="center"/>
          </w:tcPr>
          <w:p w14:paraId="09B88FB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污油回收率</w:t>
            </w:r>
          </w:p>
        </w:tc>
        <w:tc>
          <w:tcPr>
            <w:tcW w:w="1004" w:type="pct"/>
            <w:gridSpan w:val="2"/>
            <w:tcBorders>
              <w:tl2br w:val="nil"/>
              <w:tr2bl w:val="nil"/>
            </w:tcBorders>
            <w:noWrap w:val="0"/>
            <w:vAlign w:val="center"/>
          </w:tcPr>
          <w:p w14:paraId="48ED701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w:t>
            </w:r>
          </w:p>
        </w:tc>
        <w:tc>
          <w:tcPr>
            <w:tcW w:w="444" w:type="pct"/>
            <w:gridSpan w:val="2"/>
            <w:tcBorders>
              <w:tl2br w:val="nil"/>
              <w:tr2bl w:val="nil"/>
            </w:tcBorders>
            <w:noWrap w:val="0"/>
            <w:vAlign w:val="center"/>
          </w:tcPr>
          <w:p w14:paraId="00A36AA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1126" w:type="pct"/>
            <w:gridSpan w:val="2"/>
            <w:tcBorders>
              <w:tl2br w:val="nil"/>
              <w:tr2bl w:val="nil"/>
            </w:tcBorders>
            <w:noWrap w:val="0"/>
            <w:vAlign w:val="center"/>
          </w:tcPr>
          <w:p w14:paraId="3F52BE4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≥90</w:t>
            </w:r>
          </w:p>
        </w:tc>
        <w:tc>
          <w:tcPr>
            <w:tcW w:w="331" w:type="pct"/>
            <w:tcBorders>
              <w:tl2br w:val="nil"/>
              <w:tr2bl w:val="nil"/>
            </w:tcBorders>
            <w:noWrap w:val="0"/>
            <w:vAlign w:val="center"/>
          </w:tcPr>
          <w:p w14:paraId="10A7C56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100</w:t>
            </w:r>
          </w:p>
        </w:tc>
        <w:tc>
          <w:tcPr>
            <w:tcW w:w="296" w:type="pct"/>
            <w:tcBorders>
              <w:tl2br w:val="nil"/>
              <w:tr2bl w:val="nil"/>
            </w:tcBorders>
            <w:noWrap w:val="0"/>
            <w:vAlign w:val="center"/>
          </w:tcPr>
          <w:p w14:paraId="5412F45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r>
      <w:tr w14:paraId="08FD6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812" w:type="pct"/>
            <w:vMerge w:val="restart"/>
            <w:tcBorders>
              <w:tl2br w:val="nil"/>
              <w:tr2bl w:val="nil"/>
            </w:tcBorders>
            <w:noWrap w:val="0"/>
            <w:vAlign w:val="center"/>
          </w:tcPr>
          <w:p w14:paraId="17FE00D8">
            <w:pPr>
              <w:keepNext w:val="0"/>
              <w:keepLines w:val="0"/>
              <w:pageBreakBefore w:val="0"/>
              <w:widowControl w:val="0"/>
              <w:kinsoku/>
              <w:wordWrap/>
              <w:overflowPunct/>
              <w:topLinePunct w:val="0"/>
              <w:autoSpaceDE/>
              <w:autoSpaceDN/>
              <w:bidi w:val="0"/>
              <w:adjustRightInd w:val="0"/>
              <w:snapToGrid w:val="0"/>
              <w:spacing w:line="260" w:lineRule="exact"/>
              <w:ind w:firstLine="218" w:firstLineChars="100"/>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(4)污染物产生指标</w:t>
            </w:r>
          </w:p>
        </w:tc>
        <w:tc>
          <w:tcPr>
            <w:tcW w:w="327" w:type="pct"/>
            <w:vMerge w:val="restart"/>
            <w:tcBorders>
              <w:tl2br w:val="nil"/>
              <w:tr2bl w:val="nil"/>
            </w:tcBorders>
            <w:noWrap w:val="0"/>
            <w:vAlign w:val="center"/>
          </w:tcPr>
          <w:p w14:paraId="2E8A47A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35</w:t>
            </w:r>
          </w:p>
        </w:tc>
        <w:tc>
          <w:tcPr>
            <w:tcW w:w="655" w:type="pct"/>
            <w:gridSpan w:val="2"/>
            <w:tcBorders>
              <w:tl2br w:val="nil"/>
              <w:tr2bl w:val="nil"/>
            </w:tcBorders>
            <w:noWrap w:val="0"/>
            <w:vAlign w:val="center"/>
          </w:tcPr>
          <w:p w14:paraId="2B981E2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钻井废水</w:t>
            </w:r>
          </w:p>
        </w:tc>
        <w:tc>
          <w:tcPr>
            <w:tcW w:w="1004" w:type="pct"/>
            <w:gridSpan w:val="2"/>
            <w:tcBorders>
              <w:tl2br w:val="nil"/>
              <w:tr2bl w:val="nil"/>
            </w:tcBorders>
            <w:noWrap w:val="0"/>
            <w:vAlign w:val="center"/>
          </w:tcPr>
          <w:p w14:paraId="55AD523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t/100m标准进尺</w:t>
            </w:r>
          </w:p>
        </w:tc>
        <w:tc>
          <w:tcPr>
            <w:tcW w:w="444" w:type="pct"/>
            <w:gridSpan w:val="2"/>
            <w:tcBorders>
              <w:tl2br w:val="nil"/>
              <w:tr2bl w:val="nil"/>
            </w:tcBorders>
            <w:noWrap w:val="0"/>
            <w:vAlign w:val="center"/>
          </w:tcPr>
          <w:p w14:paraId="08660B9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1126" w:type="pct"/>
            <w:gridSpan w:val="2"/>
            <w:tcBorders>
              <w:tl2br w:val="nil"/>
              <w:tr2bl w:val="nil"/>
            </w:tcBorders>
            <w:noWrap w:val="0"/>
            <w:vAlign w:val="center"/>
          </w:tcPr>
          <w:p w14:paraId="70B8C6E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甲类区：≤30；乙类区：≤35</w:t>
            </w:r>
          </w:p>
        </w:tc>
        <w:tc>
          <w:tcPr>
            <w:tcW w:w="331" w:type="pct"/>
            <w:tcBorders>
              <w:tl2br w:val="nil"/>
              <w:tr2bl w:val="nil"/>
            </w:tcBorders>
            <w:noWrap w:val="0"/>
            <w:vAlign w:val="center"/>
          </w:tcPr>
          <w:p w14:paraId="7A8AADF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lang w:val="en-US" w:eastAsia="zh-CN"/>
              </w:rPr>
            </w:pPr>
            <w:r>
              <w:rPr>
                <w:rFonts w:hint="eastAsia" w:ascii="宋体" w:hAnsi="宋体" w:eastAsia="宋体" w:cs="宋体"/>
                <w:b w:val="0"/>
                <w:bCs/>
                <w:color w:val="auto"/>
                <w:spacing w:val="4"/>
                <w:sz w:val="21"/>
                <w:szCs w:val="21"/>
                <w:highlight w:val="none"/>
                <w:u w:val="none"/>
                <w:lang w:val="en-US" w:eastAsia="zh-CN"/>
              </w:rPr>
              <w:t>29.73</w:t>
            </w:r>
          </w:p>
        </w:tc>
        <w:tc>
          <w:tcPr>
            <w:tcW w:w="296" w:type="pct"/>
            <w:tcBorders>
              <w:tl2br w:val="nil"/>
              <w:tr2bl w:val="nil"/>
            </w:tcBorders>
            <w:noWrap w:val="0"/>
            <w:vAlign w:val="center"/>
          </w:tcPr>
          <w:p w14:paraId="2132483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lang w:val="en-US" w:eastAsia="zh-CN"/>
              </w:rPr>
            </w:pPr>
            <w:r>
              <w:rPr>
                <w:rFonts w:hint="eastAsia" w:ascii="宋体" w:hAnsi="宋体" w:eastAsia="宋体" w:cs="宋体"/>
                <w:b w:val="0"/>
                <w:bCs/>
                <w:color w:val="auto"/>
                <w:spacing w:val="4"/>
                <w:sz w:val="21"/>
                <w:szCs w:val="21"/>
                <w:highlight w:val="none"/>
                <w:u w:val="none"/>
                <w:lang w:val="en-US" w:eastAsia="zh-CN"/>
              </w:rPr>
              <w:t>10</w:t>
            </w:r>
          </w:p>
        </w:tc>
      </w:tr>
      <w:tr w14:paraId="389B2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12" w:type="pct"/>
            <w:vMerge w:val="continue"/>
            <w:tcBorders>
              <w:tl2br w:val="nil"/>
              <w:tr2bl w:val="nil"/>
            </w:tcBorders>
            <w:noWrap w:val="0"/>
            <w:vAlign w:val="center"/>
          </w:tcPr>
          <w:p w14:paraId="26AB77E5">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327" w:type="pct"/>
            <w:vMerge w:val="continue"/>
            <w:tcBorders>
              <w:tl2br w:val="nil"/>
              <w:tr2bl w:val="nil"/>
            </w:tcBorders>
            <w:noWrap w:val="0"/>
            <w:vAlign w:val="center"/>
          </w:tcPr>
          <w:p w14:paraId="36661C1C">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655" w:type="pct"/>
            <w:gridSpan w:val="2"/>
            <w:tcBorders>
              <w:tl2br w:val="nil"/>
              <w:tr2bl w:val="nil"/>
            </w:tcBorders>
            <w:noWrap w:val="0"/>
            <w:vAlign w:val="center"/>
          </w:tcPr>
          <w:p w14:paraId="67DCBB1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废弃钻井液</w:t>
            </w:r>
          </w:p>
        </w:tc>
        <w:tc>
          <w:tcPr>
            <w:tcW w:w="1004" w:type="pct"/>
            <w:gridSpan w:val="2"/>
            <w:tcBorders>
              <w:tl2br w:val="nil"/>
              <w:tr2bl w:val="nil"/>
            </w:tcBorders>
            <w:noWrap w:val="0"/>
            <w:vAlign w:val="center"/>
          </w:tcPr>
          <w:p w14:paraId="6B52CE9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m</w:t>
            </w:r>
            <w:r>
              <w:rPr>
                <w:rFonts w:hint="eastAsia" w:ascii="宋体" w:hAnsi="宋体" w:eastAsia="宋体" w:cs="宋体"/>
                <w:b w:val="0"/>
                <w:bCs/>
                <w:color w:val="auto"/>
                <w:spacing w:val="4"/>
                <w:sz w:val="21"/>
                <w:szCs w:val="21"/>
                <w:highlight w:val="none"/>
                <w:u w:val="none"/>
                <w:vertAlign w:val="superscript"/>
              </w:rPr>
              <w:t>3</w:t>
            </w:r>
            <w:r>
              <w:rPr>
                <w:rFonts w:hint="eastAsia" w:ascii="宋体" w:hAnsi="宋体" w:eastAsia="宋体" w:cs="宋体"/>
                <w:b w:val="0"/>
                <w:bCs/>
                <w:color w:val="auto"/>
                <w:spacing w:val="4"/>
                <w:sz w:val="21"/>
                <w:szCs w:val="21"/>
                <w:highlight w:val="none"/>
                <w:u w:val="none"/>
              </w:rPr>
              <w:t>/100m标准进尺</w:t>
            </w:r>
          </w:p>
        </w:tc>
        <w:tc>
          <w:tcPr>
            <w:tcW w:w="444" w:type="pct"/>
            <w:gridSpan w:val="2"/>
            <w:tcBorders>
              <w:tl2br w:val="nil"/>
              <w:tr2bl w:val="nil"/>
            </w:tcBorders>
            <w:noWrap w:val="0"/>
            <w:vAlign w:val="center"/>
          </w:tcPr>
          <w:p w14:paraId="217A30E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1126" w:type="pct"/>
            <w:gridSpan w:val="2"/>
            <w:tcBorders>
              <w:tl2br w:val="nil"/>
              <w:tr2bl w:val="nil"/>
            </w:tcBorders>
            <w:noWrap w:val="0"/>
            <w:vAlign w:val="center"/>
          </w:tcPr>
          <w:p w14:paraId="332BA1F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331" w:type="pct"/>
            <w:tcBorders>
              <w:tl2br w:val="nil"/>
              <w:tr2bl w:val="nil"/>
            </w:tcBorders>
            <w:noWrap w:val="0"/>
            <w:vAlign w:val="center"/>
          </w:tcPr>
          <w:p w14:paraId="57E4BC5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296" w:type="pct"/>
            <w:tcBorders>
              <w:tl2br w:val="nil"/>
              <w:tr2bl w:val="nil"/>
            </w:tcBorders>
            <w:noWrap w:val="0"/>
            <w:vAlign w:val="center"/>
          </w:tcPr>
          <w:p w14:paraId="2D565E6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r>
      <w:tr w14:paraId="513D9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12" w:type="pct"/>
            <w:vMerge w:val="continue"/>
            <w:tcBorders>
              <w:tl2br w:val="nil"/>
              <w:tr2bl w:val="nil"/>
            </w:tcBorders>
            <w:noWrap w:val="0"/>
            <w:vAlign w:val="center"/>
          </w:tcPr>
          <w:p w14:paraId="38718DC4">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327" w:type="pct"/>
            <w:vMerge w:val="continue"/>
            <w:tcBorders>
              <w:tl2br w:val="nil"/>
              <w:tr2bl w:val="nil"/>
            </w:tcBorders>
            <w:noWrap w:val="0"/>
            <w:vAlign w:val="center"/>
          </w:tcPr>
          <w:p w14:paraId="113CB471">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655" w:type="pct"/>
            <w:gridSpan w:val="2"/>
            <w:tcBorders>
              <w:tl2br w:val="nil"/>
              <w:tr2bl w:val="nil"/>
            </w:tcBorders>
            <w:noWrap w:val="0"/>
            <w:vAlign w:val="center"/>
          </w:tcPr>
          <w:p w14:paraId="6DAA26D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lang w:val="en-US" w:eastAsia="zh-CN"/>
              </w:rPr>
              <w:t>柴</w:t>
            </w:r>
            <w:r>
              <w:rPr>
                <w:rFonts w:hint="eastAsia" w:ascii="宋体" w:hAnsi="宋体" w:eastAsia="宋体" w:cs="宋体"/>
                <w:b w:val="0"/>
                <w:bCs/>
                <w:color w:val="auto"/>
                <w:spacing w:val="4"/>
                <w:sz w:val="21"/>
                <w:szCs w:val="21"/>
                <w:highlight w:val="none"/>
                <w:u w:val="none"/>
              </w:rPr>
              <w:t>油机烟气</w:t>
            </w:r>
          </w:p>
        </w:tc>
        <w:tc>
          <w:tcPr>
            <w:tcW w:w="1004" w:type="pct"/>
            <w:gridSpan w:val="2"/>
            <w:tcBorders>
              <w:tl2br w:val="nil"/>
              <w:tr2bl w:val="nil"/>
            </w:tcBorders>
            <w:noWrap w:val="0"/>
            <w:vAlign w:val="center"/>
          </w:tcPr>
          <w:p w14:paraId="1ABD812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w:t>
            </w:r>
          </w:p>
        </w:tc>
        <w:tc>
          <w:tcPr>
            <w:tcW w:w="444" w:type="pct"/>
            <w:gridSpan w:val="2"/>
            <w:tcBorders>
              <w:tl2br w:val="nil"/>
              <w:tr2bl w:val="nil"/>
            </w:tcBorders>
            <w:noWrap w:val="0"/>
            <w:vAlign w:val="center"/>
          </w:tcPr>
          <w:p w14:paraId="0FE166A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1126" w:type="pct"/>
            <w:gridSpan w:val="2"/>
            <w:tcBorders>
              <w:tl2br w:val="nil"/>
              <w:tr2bl w:val="nil"/>
            </w:tcBorders>
            <w:noWrap w:val="0"/>
            <w:vAlign w:val="center"/>
          </w:tcPr>
          <w:p w14:paraId="773E6FA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符合排放标准要求</w:t>
            </w:r>
          </w:p>
        </w:tc>
        <w:tc>
          <w:tcPr>
            <w:tcW w:w="331" w:type="pct"/>
            <w:tcBorders>
              <w:tl2br w:val="nil"/>
              <w:tr2bl w:val="nil"/>
            </w:tcBorders>
            <w:noWrap w:val="0"/>
            <w:vAlign w:val="center"/>
          </w:tcPr>
          <w:p w14:paraId="12591B2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符合</w:t>
            </w:r>
          </w:p>
        </w:tc>
        <w:tc>
          <w:tcPr>
            <w:tcW w:w="296" w:type="pct"/>
            <w:tcBorders>
              <w:tl2br w:val="nil"/>
              <w:tr2bl w:val="nil"/>
            </w:tcBorders>
            <w:noWrap w:val="0"/>
            <w:vAlign w:val="center"/>
          </w:tcPr>
          <w:p w14:paraId="606DD2B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05772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12" w:type="pct"/>
            <w:vMerge w:val="continue"/>
            <w:tcBorders>
              <w:tl2br w:val="nil"/>
              <w:tr2bl w:val="nil"/>
            </w:tcBorders>
            <w:noWrap w:val="0"/>
            <w:vAlign w:val="center"/>
          </w:tcPr>
          <w:p w14:paraId="60074705">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327" w:type="pct"/>
            <w:vMerge w:val="continue"/>
            <w:tcBorders>
              <w:tl2br w:val="nil"/>
              <w:tr2bl w:val="nil"/>
            </w:tcBorders>
            <w:noWrap w:val="0"/>
            <w:vAlign w:val="center"/>
          </w:tcPr>
          <w:p w14:paraId="249ED1F9">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655" w:type="pct"/>
            <w:gridSpan w:val="2"/>
            <w:tcBorders>
              <w:tl2br w:val="nil"/>
              <w:tr2bl w:val="nil"/>
            </w:tcBorders>
            <w:noWrap w:val="0"/>
            <w:vAlign w:val="center"/>
          </w:tcPr>
          <w:p w14:paraId="34C8903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石油类</w:t>
            </w:r>
          </w:p>
        </w:tc>
        <w:tc>
          <w:tcPr>
            <w:tcW w:w="1004" w:type="pct"/>
            <w:gridSpan w:val="2"/>
            <w:tcBorders>
              <w:tl2br w:val="nil"/>
              <w:tr2bl w:val="nil"/>
            </w:tcBorders>
            <w:noWrap w:val="0"/>
            <w:vAlign w:val="center"/>
          </w:tcPr>
          <w:p w14:paraId="3471DDD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mg/L</w:t>
            </w:r>
          </w:p>
        </w:tc>
        <w:tc>
          <w:tcPr>
            <w:tcW w:w="444" w:type="pct"/>
            <w:gridSpan w:val="2"/>
            <w:tcBorders>
              <w:tl2br w:val="nil"/>
              <w:tr2bl w:val="nil"/>
            </w:tcBorders>
            <w:noWrap w:val="0"/>
            <w:vAlign w:val="center"/>
          </w:tcPr>
          <w:p w14:paraId="6F98E082">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1126" w:type="pct"/>
            <w:gridSpan w:val="2"/>
            <w:tcBorders>
              <w:tl2br w:val="nil"/>
              <w:tr2bl w:val="nil"/>
            </w:tcBorders>
            <w:noWrap w:val="0"/>
            <w:vAlign w:val="center"/>
          </w:tcPr>
          <w:p w14:paraId="2FB84DB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331" w:type="pct"/>
            <w:tcBorders>
              <w:tl2br w:val="nil"/>
              <w:tr2bl w:val="nil"/>
            </w:tcBorders>
            <w:noWrap w:val="0"/>
            <w:vAlign w:val="center"/>
          </w:tcPr>
          <w:p w14:paraId="1394417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296" w:type="pct"/>
            <w:tcBorders>
              <w:tl2br w:val="nil"/>
              <w:tr2bl w:val="nil"/>
            </w:tcBorders>
            <w:noWrap w:val="0"/>
            <w:vAlign w:val="center"/>
          </w:tcPr>
          <w:p w14:paraId="01109BC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09A6E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12" w:type="pct"/>
            <w:vMerge w:val="continue"/>
            <w:tcBorders>
              <w:tl2br w:val="nil"/>
              <w:tr2bl w:val="nil"/>
            </w:tcBorders>
            <w:noWrap w:val="0"/>
            <w:vAlign w:val="center"/>
          </w:tcPr>
          <w:p w14:paraId="55898C9A">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327" w:type="pct"/>
            <w:vMerge w:val="continue"/>
            <w:tcBorders>
              <w:tl2br w:val="nil"/>
              <w:tr2bl w:val="nil"/>
            </w:tcBorders>
            <w:noWrap w:val="0"/>
            <w:vAlign w:val="center"/>
          </w:tcPr>
          <w:p w14:paraId="5AB7351A">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655" w:type="pct"/>
            <w:gridSpan w:val="2"/>
            <w:tcBorders>
              <w:tl2br w:val="nil"/>
              <w:tr2bl w:val="nil"/>
            </w:tcBorders>
            <w:noWrap w:val="0"/>
            <w:vAlign w:val="center"/>
          </w:tcPr>
          <w:p w14:paraId="69B9E3C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COD</w:t>
            </w:r>
          </w:p>
        </w:tc>
        <w:tc>
          <w:tcPr>
            <w:tcW w:w="1004" w:type="pct"/>
            <w:gridSpan w:val="2"/>
            <w:tcBorders>
              <w:tl2br w:val="nil"/>
              <w:tr2bl w:val="nil"/>
            </w:tcBorders>
            <w:noWrap w:val="0"/>
            <w:vAlign w:val="center"/>
          </w:tcPr>
          <w:p w14:paraId="7F7FA90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mgL</w:t>
            </w:r>
          </w:p>
        </w:tc>
        <w:tc>
          <w:tcPr>
            <w:tcW w:w="444" w:type="pct"/>
            <w:gridSpan w:val="2"/>
            <w:tcBorders>
              <w:tl2br w:val="nil"/>
              <w:tr2bl w:val="nil"/>
            </w:tcBorders>
            <w:noWrap w:val="0"/>
            <w:vAlign w:val="center"/>
          </w:tcPr>
          <w:p w14:paraId="42105DA2">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1126" w:type="pct"/>
            <w:gridSpan w:val="2"/>
            <w:tcBorders>
              <w:tl2br w:val="nil"/>
              <w:tr2bl w:val="nil"/>
            </w:tcBorders>
            <w:noWrap w:val="0"/>
            <w:vAlign w:val="center"/>
          </w:tcPr>
          <w:p w14:paraId="40E90B8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甲类区：≤100；乙类区：≤150</w:t>
            </w:r>
          </w:p>
        </w:tc>
        <w:tc>
          <w:tcPr>
            <w:tcW w:w="331" w:type="pct"/>
            <w:tcBorders>
              <w:tl2br w:val="nil"/>
              <w:tr2bl w:val="nil"/>
            </w:tcBorders>
            <w:noWrap w:val="0"/>
            <w:vAlign w:val="center"/>
          </w:tcPr>
          <w:p w14:paraId="7C5082D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＜150</w:t>
            </w:r>
          </w:p>
        </w:tc>
        <w:tc>
          <w:tcPr>
            <w:tcW w:w="296" w:type="pct"/>
            <w:tcBorders>
              <w:tl2br w:val="nil"/>
              <w:tr2bl w:val="nil"/>
            </w:tcBorders>
            <w:noWrap w:val="0"/>
            <w:vAlign w:val="center"/>
          </w:tcPr>
          <w:p w14:paraId="66C0CF7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11D3D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000" w:type="pct"/>
            <w:gridSpan w:val="12"/>
            <w:tcBorders>
              <w:tl2br w:val="nil"/>
              <w:tr2bl w:val="nil"/>
            </w:tcBorders>
            <w:noWrap w:val="0"/>
            <w:vAlign w:val="center"/>
          </w:tcPr>
          <w:p w14:paraId="598A7FB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定性指标</w:t>
            </w:r>
          </w:p>
        </w:tc>
      </w:tr>
      <w:tr w14:paraId="4B566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tcBorders>
              <w:tl2br w:val="nil"/>
              <w:tr2bl w:val="nil"/>
            </w:tcBorders>
            <w:noWrap w:val="0"/>
            <w:vAlign w:val="center"/>
          </w:tcPr>
          <w:p w14:paraId="67EE977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一级指标</w:t>
            </w:r>
          </w:p>
        </w:tc>
        <w:tc>
          <w:tcPr>
            <w:tcW w:w="406" w:type="pct"/>
            <w:gridSpan w:val="2"/>
            <w:tcBorders>
              <w:tl2br w:val="nil"/>
              <w:tr2bl w:val="nil"/>
            </w:tcBorders>
            <w:noWrap w:val="0"/>
            <w:vAlign w:val="center"/>
          </w:tcPr>
          <w:p w14:paraId="0DE7301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指标分值</w:t>
            </w:r>
          </w:p>
        </w:tc>
        <w:tc>
          <w:tcPr>
            <w:tcW w:w="2448" w:type="pct"/>
            <w:gridSpan w:val="4"/>
            <w:tcBorders>
              <w:tl2br w:val="nil"/>
              <w:tr2bl w:val="nil"/>
            </w:tcBorders>
            <w:noWrap w:val="0"/>
            <w:vAlign w:val="center"/>
          </w:tcPr>
          <w:p w14:paraId="7CAACCB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二级指标</w:t>
            </w:r>
          </w:p>
        </w:tc>
        <w:tc>
          <w:tcPr>
            <w:tcW w:w="414" w:type="pct"/>
            <w:gridSpan w:val="2"/>
            <w:tcBorders>
              <w:tl2br w:val="nil"/>
              <w:tr2bl w:val="nil"/>
            </w:tcBorders>
            <w:noWrap w:val="0"/>
            <w:vAlign w:val="center"/>
          </w:tcPr>
          <w:p w14:paraId="47F6A1B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指标分值</w:t>
            </w:r>
          </w:p>
        </w:tc>
        <w:tc>
          <w:tcPr>
            <w:tcW w:w="296" w:type="pct"/>
            <w:tcBorders>
              <w:tl2br w:val="nil"/>
              <w:tr2bl w:val="nil"/>
            </w:tcBorders>
            <w:noWrap w:val="0"/>
            <w:vAlign w:val="center"/>
          </w:tcPr>
          <w:p w14:paraId="319D6B4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评分</w:t>
            </w:r>
          </w:p>
        </w:tc>
      </w:tr>
      <w:tr w14:paraId="7087D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restart"/>
            <w:tcBorders>
              <w:tl2br w:val="nil"/>
              <w:tr2bl w:val="nil"/>
            </w:tcBorders>
            <w:noWrap w:val="0"/>
            <w:vAlign w:val="center"/>
          </w:tcPr>
          <w:p w14:paraId="1C00D32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（1）原辅材料</w:t>
            </w:r>
          </w:p>
        </w:tc>
        <w:tc>
          <w:tcPr>
            <w:tcW w:w="406" w:type="pct"/>
            <w:gridSpan w:val="2"/>
            <w:vMerge w:val="restart"/>
            <w:tcBorders>
              <w:tl2br w:val="nil"/>
              <w:tr2bl w:val="nil"/>
            </w:tcBorders>
            <w:noWrap w:val="0"/>
            <w:vAlign w:val="center"/>
          </w:tcPr>
          <w:p w14:paraId="0422E30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15</w:t>
            </w:r>
          </w:p>
        </w:tc>
        <w:tc>
          <w:tcPr>
            <w:tcW w:w="1018" w:type="pct"/>
            <w:gridSpan w:val="2"/>
            <w:tcBorders>
              <w:tl2br w:val="nil"/>
              <w:tr2bl w:val="nil"/>
            </w:tcBorders>
            <w:noWrap w:val="0"/>
            <w:vAlign w:val="center"/>
          </w:tcPr>
          <w:p w14:paraId="65F48E0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钻井液毒性</w:t>
            </w:r>
          </w:p>
        </w:tc>
        <w:tc>
          <w:tcPr>
            <w:tcW w:w="1429" w:type="pct"/>
            <w:gridSpan w:val="2"/>
            <w:tcBorders>
              <w:tl2br w:val="nil"/>
              <w:tr2bl w:val="nil"/>
            </w:tcBorders>
            <w:noWrap w:val="0"/>
            <w:vAlign w:val="center"/>
          </w:tcPr>
          <w:p w14:paraId="0A5F126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可生物降解或无毒钻井液</w:t>
            </w:r>
          </w:p>
        </w:tc>
        <w:tc>
          <w:tcPr>
            <w:tcW w:w="414" w:type="pct"/>
            <w:gridSpan w:val="2"/>
            <w:tcBorders>
              <w:tl2br w:val="nil"/>
              <w:tr2bl w:val="nil"/>
            </w:tcBorders>
            <w:noWrap w:val="0"/>
            <w:vAlign w:val="center"/>
          </w:tcPr>
          <w:p w14:paraId="7A651F4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296" w:type="pct"/>
            <w:tcBorders>
              <w:tl2br w:val="nil"/>
              <w:tr2bl w:val="nil"/>
            </w:tcBorders>
            <w:noWrap w:val="0"/>
            <w:vAlign w:val="center"/>
          </w:tcPr>
          <w:p w14:paraId="467DF8F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r>
      <w:tr w14:paraId="484E5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continue"/>
            <w:tcBorders>
              <w:tl2br w:val="nil"/>
              <w:tr2bl w:val="nil"/>
            </w:tcBorders>
            <w:noWrap w:val="0"/>
            <w:vAlign w:val="center"/>
          </w:tcPr>
          <w:p w14:paraId="7B237460">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725716A3">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1018" w:type="pct"/>
            <w:gridSpan w:val="2"/>
            <w:tcBorders>
              <w:tl2br w:val="nil"/>
              <w:tr2bl w:val="nil"/>
            </w:tcBorders>
            <w:noWrap w:val="0"/>
            <w:vAlign w:val="center"/>
          </w:tcPr>
          <w:p w14:paraId="4A72C6A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柴油消耗</w:t>
            </w:r>
          </w:p>
        </w:tc>
        <w:tc>
          <w:tcPr>
            <w:tcW w:w="1429" w:type="pct"/>
            <w:gridSpan w:val="2"/>
            <w:tcBorders>
              <w:tl2br w:val="nil"/>
              <w:tr2bl w:val="nil"/>
            </w:tcBorders>
            <w:noWrap w:val="0"/>
            <w:vAlign w:val="center"/>
          </w:tcPr>
          <w:p w14:paraId="547525B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具有节油措施</w:t>
            </w:r>
          </w:p>
        </w:tc>
        <w:tc>
          <w:tcPr>
            <w:tcW w:w="414" w:type="pct"/>
            <w:gridSpan w:val="2"/>
            <w:tcBorders>
              <w:tl2br w:val="nil"/>
              <w:tr2bl w:val="nil"/>
            </w:tcBorders>
            <w:noWrap w:val="0"/>
            <w:vAlign w:val="center"/>
          </w:tcPr>
          <w:p w14:paraId="75692D8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532D932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0</w:t>
            </w:r>
          </w:p>
        </w:tc>
      </w:tr>
      <w:tr w14:paraId="04014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restart"/>
            <w:tcBorders>
              <w:tl2br w:val="nil"/>
              <w:tr2bl w:val="nil"/>
            </w:tcBorders>
            <w:noWrap w:val="0"/>
            <w:vAlign w:val="center"/>
          </w:tcPr>
          <w:p w14:paraId="2FC04F2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（2）生产工艺及设备要求</w:t>
            </w:r>
          </w:p>
        </w:tc>
        <w:tc>
          <w:tcPr>
            <w:tcW w:w="406" w:type="pct"/>
            <w:gridSpan w:val="2"/>
            <w:vMerge w:val="restart"/>
            <w:tcBorders>
              <w:tl2br w:val="nil"/>
              <w:tr2bl w:val="nil"/>
            </w:tcBorders>
            <w:noWrap w:val="0"/>
            <w:vAlign w:val="center"/>
          </w:tcPr>
          <w:p w14:paraId="2E70473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30</w:t>
            </w:r>
          </w:p>
        </w:tc>
        <w:tc>
          <w:tcPr>
            <w:tcW w:w="1018" w:type="pct"/>
            <w:gridSpan w:val="2"/>
            <w:tcBorders>
              <w:tl2br w:val="nil"/>
              <w:tr2bl w:val="nil"/>
            </w:tcBorders>
            <w:noWrap w:val="0"/>
            <w:vAlign w:val="center"/>
          </w:tcPr>
          <w:p w14:paraId="3C5B3ED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钻井设备</w:t>
            </w:r>
          </w:p>
        </w:tc>
        <w:tc>
          <w:tcPr>
            <w:tcW w:w="1429" w:type="pct"/>
            <w:gridSpan w:val="2"/>
            <w:tcBorders>
              <w:tl2br w:val="nil"/>
              <w:tr2bl w:val="nil"/>
            </w:tcBorders>
            <w:noWrap w:val="0"/>
            <w:vAlign w:val="center"/>
          </w:tcPr>
          <w:p w14:paraId="50D6E3D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国内领先</w:t>
            </w:r>
          </w:p>
        </w:tc>
        <w:tc>
          <w:tcPr>
            <w:tcW w:w="414" w:type="pct"/>
            <w:gridSpan w:val="2"/>
            <w:tcBorders>
              <w:tl2br w:val="nil"/>
              <w:tr2bl w:val="nil"/>
            </w:tcBorders>
            <w:noWrap w:val="0"/>
            <w:vAlign w:val="center"/>
          </w:tcPr>
          <w:p w14:paraId="3192330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2276C322">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32E39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continue"/>
            <w:tcBorders>
              <w:tl2br w:val="nil"/>
              <w:tr2bl w:val="nil"/>
            </w:tcBorders>
            <w:noWrap w:val="0"/>
            <w:vAlign w:val="center"/>
          </w:tcPr>
          <w:p w14:paraId="0925D1F6">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20FA0899">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1018" w:type="pct"/>
            <w:gridSpan w:val="2"/>
            <w:tcBorders>
              <w:tl2br w:val="nil"/>
              <w:tr2bl w:val="nil"/>
            </w:tcBorders>
            <w:noWrap w:val="0"/>
            <w:vAlign w:val="center"/>
          </w:tcPr>
          <w:p w14:paraId="5B98DAD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压力平衡技术</w:t>
            </w:r>
          </w:p>
        </w:tc>
        <w:tc>
          <w:tcPr>
            <w:tcW w:w="1429" w:type="pct"/>
            <w:gridSpan w:val="2"/>
            <w:tcBorders>
              <w:tl2br w:val="nil"/>
              <w:tr2bl w:val="nil"/>
            </w:tcBorders>
            <w:noWrap w:val="0"/>
            <w:vAlign w:val="center"/>
          </w:tcPr>
          <w:p w14:paraId="37C8DBE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具备平衡技术</w:t>
            </w:r>
          </w:p>
        </w:tc>
        <w:tc>
          <w:tcPr>
            <w:tcW w:w="414" w:type="pct"/>
            <w:gridSpan w:val="2"/>
            <w:tcBorders>
              <w:tl2br w:val="nil"/>
              <w:tr2bl w:val="nil"/>
            </w:tcBorders>
            <w:noWrap w:val="0"/>
            <w:vAlign w:val="center"/>
          </w:tcPr>
          <w:p w14:paraId="4E0F1EC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36B075DB">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00C34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continue"/>
            <w:tcBorders>
              <w:tl2br w:val="nil"/>
              <w:tr2bl w:val="nil"/>
            </w:tcBorders>
            <w:noWrap w:val="0"/>
            <w:vAlign w:val="center"/>
          </w:tcPr>
          <w:p w14:paraId="56BF3475">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4B8919AB">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1018" w:type="pct"/>
            <w:gridSpan w:val="2"/>
            <w:tcBorders>
              <w:tl2br w:val="nil"/>
              <w:tr2bl w:val="nil"/>
            </w:tcBorders>
            <w:noWrap w:val="0"/>
            <w:vAlign w:val="center"/>
          </w:tcPr>
          <w:p w14:paraId="18B599A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钻井液收集设施</w:t>
            </w:r>
          </w:p>
        </w:tc>
        <w:tc>
          <w:tcPr>
            <w:tcW w:w="1429" w:type="pct"/>
            <w:gridSpan w:val="2"/>
            <w:tcBorders>
              <w:tl2br w:val="nil"/>
              <w:tr2bl w:val="nil"/>
            </w:tcBorders>
            <w:noWrap w:val="0"/>
            <w:vAlign w:val="center"/>
          </w:tcPr>
          <w:p w14:paraId="65A3072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配有收集设施，且使钻井液不落地</w:t>
            </w:r>
          </w:p>
        </w:tc>
        <w:tc>
          <w:tcPr>
            <w:tcW w:w="414" w:type="pct"/>
            <w:gridSpan w:val="2"/>
            <w:tcBorders>
              <w:tl2br w:val="nil"/>
              <w:tr2bl w:val="nil"/>
            </w:tcBorders>
            <w:noWrap w:val="0"/>
            <w:vAlign w:val="center"/>
          </w:tcPr>
          <w:p w14:paraId="6B102C8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1902AAA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64171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433" w:type="pct"/>
            <w:gridSpan w:val="3"/>
            <w:vMerge w:val="continue"/>
            <w:tcBorders>
              <w:tl2br w:val="nil"/>
              <w:tr2bl w:val="nil"/>
            </w:tcBorders>
            <w:noWrap w:val="0"/>
            <w:vAlign w:val="center"/>
          </w:tcPr>
          <w:p w14:paraId="50A92F35">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3899ADB2">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1018" w:type="pct"/>
            <w:gridSpan w:val="2"/>
            <w:tcBorders>
              <w:tl2br w:val="nil"/>
              <w:tr2bl w:val="nil"/>
            </w:tcBorders>
            <w:noWrap w:val="0"/>
            <w:vAlign w:val="center"/>
          </w:tcPr>
          <w:p w14:paraId="621CFE5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固井设备</w:t>
            </w:r>
          </w:p>
        </w:tc>
        <w:tc>
          <w:tcPr>
            <w:tcW w:w="1429" w:type="pct"/>
            <w:gridSpan w:val="2"/>
            <w:tcBorders>
              <w:tl2br w:val="nil"/>
              <w:tr2bl w:val="nil"/>
            </w:tcBorders>
            <w:noWrap w:val="0"/>
            <w:vAlign w:val="center"/>
          </w:tcPr>
          <w:p w14:paraId="32445B0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配备振动筛、除气器、除泥器、除砂器、离心机等固控设备</w:t>
            </w:r>
          </w:p>
        </w:tc>
        <w:tc>
          <w:tcPr>
            <w:tcW w:w="414" w:type="pct"/>
            <w:gridSpan w:val="2"/>
            <w:tcBorders>
              <w:tl2br w:val="nil"/>
              <w:tr2bl w:val="nil"/>
            </w:tcBorders>
            <w:noWrap w:val="0"/>
            <w:vAlign w:val="center"/>
          </w:tcPr>
          <w:p w14:paraId="6E7C6FD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2EFFF20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37BD3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continue"/>
            <w:tcBorders>
              <w:tl2br w:val="nil"/>
              <w:tr2bl w:val="nil"/>
            </w:tcBorders>
            <w:noWrap w:val="0"/>
            <w:vAlign w:val="center"/>
          </w:tcPr>
          <w:p w14:paraId="3C767FB5">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049BCAAA">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1018" w:type="pct"/>
            <w:gridSpan w:val="2"/>
            <w:tcBorders>
              <w:tl2br w:val="nil"/>
              <w:tr2bl w:val="nil"/>
            </w:tcBorders>
            <w:noWrap w:val="0"/>
            <w:vAlign w:val="center"/>
          </w:tcPr>
          <w:p w14:paraId="1003B46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井控措施</w:t>
            </w:r>
          </w:p>
        </w:tc>
        <w:tc>
          <w:tcPr>
            <w:tcW w:w="1429" w:type="pct"/>
            <w:gridSpan w:val="2"/>
            <w:tcBorders>
              <w:tl2br w:val="nil"/>
              <w:tr2bl w:val="nil"/>
            </w:tcBorders>
            <w:noWrap w:val="0"/>
            <w:vAlign w:val="center"/>
          </w:tcPr>
          <w:p w14:paraId="6884C2D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具备</w:t>
            </w:r>
          </w:p>
        </w:tc>
        <w:tc>
          <w:tcPr>
            <w:tcW w:w="414" w:type="pct"/>
            <w:gridSpan w:val="2"/>
            <w:tcBorders>
              <w:tl2br w:val="nil"/>
              <w:tr2bl w:val="nil"/>
            </w:tcBorders>
            <w:noWrap w:val="0"/>
            <w:vAlign w:val="center"/>
          </w:tcPr>
          <w:p w14:paraId="70650DB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78400DF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152AF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continue"/>
            <w:tcBorders>
              <w:tl2br w:val="nil"/>
              <w:tr2bl w:val="nil"/>
            </w:tcBorders>
            <w:noWrap w:val="0"/>
            <w:vAlign w:val="center"/>
          </w:tcPr>
          <w:p w14:paraId="3FDD48DC">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1DD1CB28">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1018" w:type="pct"/>
            <w:gridSpan w:val="2"/>
            <w:tcBorders>
              <w:tl2br w:val="nil"/>
              <w:tr2bl w:val="nil"/>
            </w:tcBorders>
            <w:noWrap w:val="0"/>
            <w:vAlign w:val="center"/>
          </w:tcPr>
          <w:p w14:paraId="610A0F63">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有无防噪措施</w:t>
            </w:r>
          </w:p>
        </w:tc>
        <w:tc>
          <w:tcPr>
            <w:tcW w:w="1429" w:type="pct"/>
            <w:gridSpan w:val="2"/>
            <w:tcBorders>
              <w:tl2br w:val="nil"/>
              <w:tr2bl w:val="nil"/>
            </w:tcBorders>
            <w:noWrap w:val="0"/>
            <w:vAlign w:val="center"/>
          </w:tcPr>
          <w:p w14:paraId="1A62E1E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有</w:t>
            </w:r>
          </w:p>
        </w:tc>
        <w:tc>
          <w:tcPr>
            <w:tcW w:w="414" w:type="pct"/>
            <w:gridSpan w:val="2"/>
            <w:tcBorders>
              <w:tl2br w:val="nil"/>
              <w:tr2bl w:val="nil"/>
            </w:tcBorders>
            <w:noWrap w:val="0"/>
            <w:vAlign w:val="center"/>
          </w:tcPr>
          <w:p w14:paraId="2D1F808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31645585">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2700F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restart"/>
            <w:tcBorders>
              <w:tl2br w:val="nil"/>
              <w:tr2bl w:val="nil"/>
            </w:tcBorders>
            <w:noWrap w:val="0"/>
            <w:vAlign w:val="center"/>
          </w:tcPr>
          <w:p w14:paraId="4E2E1A1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（3）管理体系建设及清洁生产审核</w:t>
            </w:r>
          </w:p>
        </w:tc>
        <w:tc>
          <w:tcPr>
            <w:tcW w:w="406" w:type="pct"/>
            <w:gridSpan w:val="2"/>
            <w:vMerge w:val="restart"/>
            <w:tcBorders>
              <w:tl2br w:val="nil"/>
              <w:tr2bl w:val="nil"/>
            </w:tcBorders>
            <w:noWrap w:val="0"/>
            <w:vAlign w:val="center"/>
          </w:tcPr>
          <w:p w14:paraId="7E5EBF5C">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35</w:t>
            </w:r>
          </w:p>
        </w:tc>
        <w:tc>
          <w:tcPr>
            <w:tcW w:w="2448" w:type="pct"/>
            <w:gridSpan w:val="4"/>
            <w:tcBorders>
              <w:tl2br w:val="nil"/>
              <w:tr2bl w:val="nil"/>
            </w:tcBorders>
            <w:noWrap w:val="0"/>
            <w:vAlign w:val="center"/>
          </w:tcPr>
          <w:p w14:paraId="774F26F7">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建立HSE管理体系并通过认证</w:t>
            </w:r>
          </w:p>
        </w:tc>
        <w:tc>
          <w:tcPr>
            <w:tcW w:w="414" w:type="pct"/>
            <w:gridSpan w:val="2"/>
            <w:tcBorders>
              <w:tl2br w:val="nil"/>
              <w:tr2bl w:val="nil"/>
            </w:tcBorders>
            <w:noWrap w:val="0"/>
            <w:vAlign w:val="center"/>
          </w:tcPr>
          <w:p w14:paraId="00D96C34">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296" w:type="pct"/>
            <w:tcBorders>
              <w:tl2br w:val="nil"/>
              <w:tr2bl w:val="nil"/>
            </w:tcBorders>
            <w:noWrap w:val="0"/>
            <w:vAlign w:val="center"/>
          </w:tcPr>
          <w:p w14:paraId="74D7B19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r>
      <w:tr w14:paraId="4866B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continue"/>
            <w:tcBorders>
              <w:tl2br w:val="nil"/>
              <w:tr2bl w:val="nil"/>
            </w:tcBorders>
            <w:noWrap w:val="0"/>
            <w:vAlign w:val="center"/>
          </w:tcPr>
          <w:p w14:paraId="10400F0B">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22F3B73E">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2448" w:type="pct"/>
            <w:gridSpan w:val="4"/>
            <w:tcBorders>
              <w:tl2br w:val="nil"/>
              <w:tr2bl w:val="nil"/>
            </w:tcBorders>
            <w:noWrap w:val="0"/>
            <w:vAlign w:val="center"/>
          </w:tcPr>
          <w:p w14:paraId="1ADA284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开展清洁生产审核，并通过验收</w:t>
            </w:r>
          </w:p>
        </w:tc>
        <w:tc>
          <w:tcPr>
            <w:tcW w:w="414" w:type="pct"/>
            <w:gridSpan w:val="2"/>
            <w:tcBorders>
              <w:tl2br w:val="nil"/>
              <w:tr2bl w:val="nil"/>
            </w:tcBorders>
            <w:noWrap w:val="0"/>
            <w:vAlign w:val="center"/>
          </w:tcPr>
          <w:p w14:paraId="15056A4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20</w:t>
            </w:r>
          </w:p>
        </w:tc>
        <w:tc>
          <w:tcPr>
            <w:tcW w:w="296" w:type="pct"/>
            <w:tcBorders>
              <w:tl2br w:val="nil"/>
              <w:tr2bl w:val="nil"/>
            </w:tcBorders>
            <w:noWrap w:val="0"/>
            <w:vAlign w:val="center"/>
          </w:tcPr>
          <w:p w14:paraId="3B9D3C9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20</w:t>
            </w:r>
          </w:p>
        </w:tc>
      </w:tr>
      <w:tr w14:paraId="76EE9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continue"/>
            <w:tcBorders>
              <w:tl2br w:val="nil"/>
              <w:tr2bl w:val="nil"/>
            </w:tcBorders>
            <w:noWrap w:val="0"/>
            <w:vAlign w:val="center"/>
          </w:tcPr>
          <w:p w14:paraId="0CE6D783">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36A83657">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2448" w:type="pct"/>
            <w:gridSpan w:val="4"/>
            <w:tcBorders>
              <w:tl2br w:val="nil"/>
              <w:tr2bl w:val="nil"/>
            </w:tcBorders>
            <w:noWrap w:val="0"/>
            <w:vAlign w:val="center"/>
          </w:tcPr>
          <w:p w14:paraId="1F7553E1">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制定节能减排工作计划</w:t>
            </w:r>
          </w:p>
        </w:tc>
        <w:tc>
          <w:tcPr>
            <w:tcW w:w="414" w:type="pct"/>
            <w:gridSpan w:val="2"/>
            <w:tcBorders>
              <w:tl2br w:val="nil"/>
              <w:tr2bl w:val="nil"/>
            </w:tcBorders>
            <w:noWrap w:val="0"/>
            <w:vAlign w:val="center"/>
          </w:tcPr>
          <w:p w14:paraId="70D1739D">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7777929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5188E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restart"/>
            <w:tcBorders>
              <w:tl2br w:val="nil"/>
              <w:tr2bl w:val="nil"/>
            </w:tcBorders>
            <w:noWrap w:val="0"/>
            <w:vAlign w:val="center"/>
          </w:tcPr>
          <w:p w14:paraId="097AA587">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（4）贯彻执行环境保护法规的符合性</w:t>
            </w:r>
          </w:p>
        </w:tc>
        <w:tc>
          <w:tcPr>
            <w:tcW w:w="406" w:type="pct"/>
            <w:gridSpan w:val="2"/>
            <w:vMerge w:val="restart"/>
            <w:tcBorders>
              <w:tl2br w:val="nil"/>
              <w:tr2bl w:val="nil"/>
            </w:tcBorders>
            <w:noWrap w:val="0"/>
            <w:vAlign w:val="center"/>
          </w:tcPr>
          <w:p w14:paraId="5D7668CE">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20</w:t>
            </w:r>
          </w:p>
        </w:tc>
        <w:tc>
          <w:tcPr>
            <w:tcW w:w="2448" w:type="pct"/>
            <w:gridSpan w:val="4"/>
            <w:tcBorders>
              <w:tl2br w:val="nil"/>
              <w:tr2bl w:val="nil"/>
            </w:tcBorders>
            <w:noWrap w:val="0"/>
            <w:vAlign w:val="center"/>
          </w:tcPr>
          <w:p w14:paraId="10F3EB1A">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废弃钻井液处置措施满足法规要求</w:t>
            </w:r>
          </w:p>
        </w:tc>
        <w:tc>
          <w:tcPr>
            <w:tcW w:w="414" w:type="pct"/>
            <w:gridSpan w:val="2"/>
            <w:tcBorders>
              <w:tl2br w:val="nil"/>
              <w:tr2bl w:val="nil"/>
            </w:tcBorders>
            <w:noWrap w:val="0"/>
            <w:vAlign w:val="center"/>
          </w:tcPr>
          <w:p w14:paraId="6685B9D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c>
          <w:tcPr>
            <w:tcW w:w="296" w:type="pct"/>
            <w:tcBorders>
              <w:tl2br w:val="nil"/>
              <w:tr2bl w:val="nil"/>
            </w:tcBorders>
            <w:noWrap w:val="0"/>
            <w:vAlign w:val="center"/>
          </w:tcPr>
          <w:p w14:paraId="5C3F238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10</w:t>
            </w:r>
          </w:p>
        </w:tc>
      </w:tr>
      <w:tr w14:paraId="42E9A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33" w:type="pct"/>
            <w:gridSpan w:val="3"/>
            <w:vMerge w:val="continue"/>
            <w:tcBorders>
              <w:tl2br w:val="nil"/>
              <w:tr2bl w:val="nil"/>
            </w:tcBorders>
            <w:noWrap w:val="0"/>
            <w:vAlign w:val="center"/>
          </w:tcPr>
          <w:p w14:paraId="17421EA4">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5811142F">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2448" w:type="pct"/>
            <w:gridSpan w:val="4"/>
            <w:tcBorders>
              <w:tl2br w:val="nil"/>
              <w:tr2bl w:val="nil"/>
            </w:tcBorders>
            <w:noWrap w:val="0"/>
            <w:vAlign w:val="center"/>
          </w:tcPr>
          <w:p w14:paraId="72819D0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污染物排放总量控制与减排措施情况</w:t>
            </w:r>
          </w:p>
        </w:tc>
        <w:tc>
          <w:tcPr>
            <w:tcW w:w="414" w:type="pct"/>
            <w:gridSpan w:val="2"/>
            <w:tcBorders>
              <w:tl2br w:val="nil"/>
              <w:tr2bl w:val="nil"/>
            </w:tcBorders>
            <w:noWrap w:val="0"/>
            <w:vAlign w:val="center"/>
          </w:tcPr>
          <w:p w14:paraId="0796A478">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7BE9C19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r w14:paraId="37E25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433" w:type="pct"/>
            <w:gridSpan w:val="3"/>
            <w:vMerge w:val="continue"/>
            <w:tcBorders>
              <w:tl2br w:val="nil"/>
              <w:tr2bl w:val="nil"/>
            </w:tcBorders>
            <w:noWrap w:val="0"/>
            <w:vAlign w:val="center"/>
          </w:tcPr>
          <w:p w14:paraId="0D896D6B">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406" w:type="pct"/>
            <w:gridSpan w:val="2"/>
            <w:vMerge w:val="continue"/>
            <w:tcBorders>
              <w:tl2br w:val="nil"/>
              <w:tr2bl w:val="nil"/>
            </w:tcBorders>
            <w:noWrap w:val="0"/>
            <w:vAlign w:val="center"/>
          </w:tcPr>
          <w:p w14:paraId="6DC529BE">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eastAsia="宋体" w:cs="宋体"/>
                <w:b w:val="0"/>
                <w:bCs/>
                <w:color w:val="auto"/>
                <w:spacing w:val="4"/>
                <w:sz w:val="21"/>
                <w:szCs w:val="21"/>
                <w:highlight w:val="none"/>
                <w:u w:val="none"/>
              </w:rPr>
            </w:pPr>
          </w:p>
        </w:tc>
        <w:tc>
          <w:tcPr>
            <w:tcW w:w="2448" w:type="pct"/>
            <w:gridSpan w:val="4"/>
            <w:tcBorders>
              <w:tl2br w:val="nil"/>
              <w:tr2bl w:val="nil"/>
            </w:tcBorders>
            <w:noWrap w:val="0"/>
            <w:vAlign w:val="center"/>
          </w:tcPr>
          <w:p w14:paraId="38F44F60">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满足其他法律法规要求</w:t>
            </w:r>
          </w:p>
        </w:tc>
        <w:tc>
          <w:tcPr>
            <w:tcW w:w="414" w:type="pct"/>
            <w:gridSpan w:val="2"/>
            <w:tcBorders>
              <w:tl2br w:val="nil"/>
              <w:tr2bl w:val="nil"/>
            </w:tcBorders>
            <w:noWrap w:val="0"/>
            <w:vAlign w:val="center"/>
          </w:tcPr>
          <w:p w14:paraId="07ABF676">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c>
          <w:tcPr>
            <w:tcW w:w="296" w:type="pct"/>
            <w:tcBorders>
              <w:tl2br w:val="nil"/>
              <w:tr2bl w:val="nil"/>
            </w:tcBorders>
            <w:noWrap w:val="0"/>
            <w:vAlign w:val="center"/>
          </w:tcPr>
          <w:p w14:paraId="00A05C7F">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宋体" w:hAnsi="宋体" w:eastAsia="宋体" w:cs="宋体"/>
                <w:b w:val="0"/>
                <w:bCs/>
                <w:color w:val="auto"/>
                <w:spacing w:val="4"/>
                <w:sz w:val="21"/>
                <w:szCs w:val="21"/>
                <w:highlight w:val="none"/>
                <w:u w:val="none"/>
              </w:rPr>
            </w:pPr>
            <w:r>
              <w:rPr>
                <w:rFonts w:hint="eastAsia" w:ascii="宋体" w:hAnsi="宋体" w:eastAsia="宋体" w:cs="宋体"/>
                <w:b w:val="0"/>
                <w:bCs/>
                <w:color w:val="auto"/>
                <w:spacing w:val="4"/>
                <w:sz w:val="21"/>
                <w:szCs w:val="21"/>
                <w:highlight w:val="none"/>
                <w:u w:val="none"/>
              </w:rPr>
              <w:t>5</w:t>
            </w:r>
          </w:p>
        </w:tc>
      </w:tr>
    </w:tbl>
    <w:p w14:paraId="417B498C">
      <w:pPr>
        <w:rPr>
          <w:rFonts w:hint="default" w:asciiTheme="majorEastAsia" w:hAnsiTheme="majorEastAsia" w:eastAsiaTheme="majorEastAsia" w:cstheme="majorEastAsia"/>
          <w:b/>
          <w:bCs w:val="0"/>
          <w:color w:val="auto"/>
          <w:kern w:val="2"/>
          <w:sz w:val="24"/>
          <w:szCs w:val="24"/>
          <w:u w:val="none"/>
          <w:lang w:val="en-US" w:eastAsia="zh-CN" w:bidi="ar-SA"/>
        </w:rPr>
      </w:pPr>
      <w:r>
        <w:rPr>
          <w:rFonts w:hint="default" w:asciiTheme="majorEastAsia" w:hAnsiTheme="majorEastAsia" w:eastAsiaTheme="majorEastAsia" w:cstheme="majorEastAsia"/>
          <w:b/>
          <w:bCs w:val="0"/>
          <w:color w:val="auto"/>
          <w:kern w:val="2"/>
          <w:sz w:val="24"/>
          <w:szCs w:val="24"/>
          <w:u w:val="none"/>
          <w:lang w:val="en-US" w:eastAsia="zh-CN" w:bidi="ar-SA"/>
        </w:rPr>
        <w:br w:type="page"/>
      </w:r>
    </w:p>
    <w:p w14:paraId="18BB9D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 xml:space="preserve">4-17  </w:t>
      </w:r>
      <w:r>
        <w:rPr>
          <w:rFonts w:hint="default" w:ascii="黑体" w:hAnsi="黑体" w:eastAsia="黑体" w:cs="黑体"/>
          <w:b w:val="0"/>
          <w:bCs/>
          <w:color w:val="auto"/>
          <w:kern w:val="2"/>
          <w:sz w:val="24"/>
          <w:szCs w:val="24"/>
          <w:u w:val="none"/>
          <w:lang w:val="en-US" w:eastAsia="zh-CN" w:bidi="ar-SA"/>
        </w:rPr>
        <w:t>井下作业定量和定性评价指标项目、权重及基准值</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47"/>
        <w:gridCol w:w="990"/>
        <w:gridCol w:w="637"/>
        <w:gridCol w:w="1280"/>
        <w:gridCol w:w="1205"/>
        <w:gridCol w:w="1583"/>
        <w:gridCol w:w="681"/>
        <w:gridCol w:w="690"/>
        <w:gridCol w:w="3434"/>
        <w:gridCol w:w="153"/>
        <w:gridCol w:w="1127"/>
        <w:gridCol w:w="119"/>
        <w:gridCol w:w="865"/>
      </w:tblGrid>
      <w:tr w14:paraId="4DB9B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324" w:type="pct"/>
            <w:gridSpan w:val="10"/>
            <w:tcBorders>
              <w:tl2br w:val="nil"/>
              <w:tr2bl w:val="nil"/>
            </w:tcBorders>
            <w:noWrap w:val="0"/>
            <w:vAlign w:val="center"/>
          </w:tcPr>
          <w:p w14:paraId="2DACBE6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定量指标</w:t>
            </w:r>
          </w:p>
        </w:tc>
        <w:tc>
          <w:tcPr>
            <w:tcW w:w="675" w:type="pct"/>
            <w:gridSpan w:val="3"/>
            <w:tcBorders>
              <w:tl2br w:val="nil"/>
              <w:tr2bl w:val="nil"/>
            </w:tcBorders>
            <w:noWrap w:val="0"/>
            <w:vAlign w:val="center"/>
          </w:tcPr>
          <w:p w14:paraId="21C393E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lang w:eastAsia="zh-CN"/>
              </w:rPr>
            </w:pPr>
            <w:r>
              <w:rPr>
                <w:rFonts w:hint="eastAsia" w:ascii="宋体" w:hAnsi="宋体" w:eastAsia="宋体" w:cs="宋体"/>
                <w:color w:val="auto"/>
                <w:spacing w:val="4"/>
                <w:sz w:val="21"/>
                <w:szCs w:val="21"/>
                <w:highlight w:val="none"/>
                <w:u w:val="none"/>
                <w:lang w:eastAsia="zh-CN"/>
              </w:rPr>
              <w:t>本工程</w:t>
            </w:r>
          </w:p>
        </w:tc>
      </w:tr>
      <w:tr w14:paraId="3A31E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tcBorders>
              <w:tl2br w:val="nil"/>
              <w:tr2bl w:val="nil"/>
            </w:tcBorders>
            <w:noWrap w:val="0"/>
            <w:vAlign w:val="center"/>
          </w:tcPr>
          <w:p w14:paraId="49659EA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一级指标</w:t>
            </w:r>
          </w:p>
        </w:tc>
        <w:tc>
          <w:tcPr>
            <w:tcW w:w="317" w:type="pct"/>
            <w:tcBorders>
              <w:tl2br w:val="nil"/>
              <w:tr2bl w:val="nil"/>
            </w:tcBorders>
            <w:noWrap w:val="0"/>
            <w:vAlign w:val="center"/>
          </w:tcPr>
          <w:p w14:paraId="7B13EA3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权重值</w:t>
            </w:r>
          </w:p>
        </w:tc>
        <w:tc>
          <w:tcPr>
            <w:tcW w:w="1000" w:type="pct"/>
            <w:gridSpan w:val="3"/>
            <w:tcBorders>
              <w:tl2br w:val="nil"/>
              <w:tr2bl w:val="nil"/>
            </w:tcBorders>
            <w:noWrap w:val="0"/>
            <w:vAlign w:val="center"/>
          </w:tcPr>
          <w:p w14:paraId="0DED065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二级指标</w:t>
            </w:r>
          </w:p>
        </w:tc>
        <w:tc>
          <w:tcPr>
            <w:tcW w:w="507" w:type="pct"/>
            <w:tcBorders>
              <w:tl2br w:val="nil"/>
              <w:tr2bl w:val="nil"/>
            </w:tcBorders>
            <w:noWrap w:val="0"/>
            <w:vAlign w:val="center"/>
          </w:tcPr>
          <w:p w14:paraId="7629501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单位</w:t>
            </w:r>
          </w:p>
        </w:tc>
        <w:tc>
          <w:tcPr>
            <w:tcW w:w="439" w:type="pct"/>
            <w:gridSpan w:val="2"/>
            <w:tcBorders>
              <w:tl2br w:val="nil"/>
              <w:tr2bl w:val="nil"/>
            </w:tcBorders>
            <w:noWrap w:val="0"/>
            <w:vAlign w:val="center"/>
          </w:tcPr>
          <w:p w14:paraId="22C40A1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权重分值</w:t>
            </w:r>
          </w:p>
        </w:tc>
        <w:tc>
          <w:tcPr>
            <w:tcW w:w="1147" w:type="pct"/>
            <w:gridSpan w:val="2"/>
            <w:tcBorders>
              <w:tl2br w:val="nil"/>
              <w:tr2bl w:val="nil"/>
            </w:tcBorders>
            <w:noWrap w:val="0"/>
            <w:vAlign w:val="center"/>
          </w:tcPr>
          <w:p w14:paraId="452052B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评价基准值</w:t>
            </w:r>
          </w:p>
        </w:tc>
        <w:tc>
          <w:tcPr>
            <w:tcW w:w="399" w:type="pct"/>
            <w:gridSpan w:val="2"/>
            <w:tcBorders>
              <w:tl2br w:val="nil"/>
              <w:tr2bl w:val="nil"/>
            </w:tcBorders>
            <w:noWrap w:val="0"/>
            <w:vAlign w:val="center"/>
          </w:tcPr>
          <w:p w14:paraId="018AED3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估算值</w:t>
            </w:r>
          </w:p>
        </w:tc>
        <w:tc>
          <w:tcPr>
            <w:tcW w:w="275" w:type="pct"/>
            <w:tcBorders>
              <w:tl2br w:val="nil"/>
              <w:tr2bl w:val="nil"/>
            </w:tcBorders>
            <w:noWrap w:val="0"/>
            <w:vAlign w:val="center"/>
          </w:tcPr>
          <w:p w14:paraId="62DBF8A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评分</w:t>
            </w:r>
          </w:p>
        </w:tc>
      </w:tr>
      <w:tr w14:paraId="1AEB4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restart"/>
            <w:tcBorders>
              <w:tl2br w:val="nil"/>
              <w:tr2bl w:val="nil"/>
            </w:tcBorders>
            <w:noWrap w:val="0"/>
            <w:vAlign w:val="center"/>
          </w:tcPr>
          <w:p w14:paraId="113BB94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（1）资源和能源消耗指标</w:t>
            </w:r>
          </w:p>
        </w:tc>
        <w:tc>
          <w:tcPr>
            <w:tcW w:w="317" w:type="pct"/>
            <w:vMerge w:val="restart"/>
            <w:tcBorders>
              <w:tl2br w:val="nil"/>
              <w:tr2bl w:val="nil"/>
            </w:tcBorders>
            <w:noWrap w:val="0"/>
            <w:vAlign w:val="center"/>
          </w:tcPr>
          <w:p w14:paraId="70C6735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30</w:t>
            </w:r>
          </w:p>
        </w:tc>
        <w:tc>
          <w:tcPr>
            <w:tcW w:w="1000" w:type="pct"/>
            <w:gridSpan w:val="3"/>
            <w:tcBorders>
              <w:tl2br w:val="nil"/>
              <w:tr2bl w:val="nil"/>
            </w:tcBorders>
            <w:noWrap w:val="0"/>
            <w:vAlign w:val="center"/>
          </w:tcPr>
          <w:p w14:paraId="0FE0DCB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作业液消耗</w:t>
            </w:r>
          </w:p>
        </w:tc>
        <w:tc>
          <w:tcPr>
            <w:tcW w:w="507" w:type="pct"/>
            <w:tcBorders>
              <w:tl2br w:val="nil"/>
              <w:tr2bl w:val="nil"/>
            </w:tcBorders>
            <w:noWrap w:val="0"/>
            <w:vAlign w:val="center"/>
          </w:tcPr>
          <w:p w14:paraId="5BF6813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m</w:t>
            </w:r>
            <w:r>
              <w:rPr>
                <w:rFonts w:hint="eastAsia" w:ascii="宋体" w:hAnsi="宋体" w:eastAsia="宋体" w:cs="宋体"/>
                <w:color w:val="auto"/>
                <w:spacing w:val="4"/>
                <w:sz w:val="21"/>
                <w:szCs w:val="21"/>
                <w:highlight w:val="none"/>
                <w:u w:val="none"/>
                <w:vertAlign w:val="superscript"/>
              </w:rPr>
              <w:t>3</w:t>
            </w:r>
            <w:r>
              <w:rPr>
                <w:rFonts w:hint="eastAsia" w:ascii="宋体" w:hAnsi="宋体" w:eastAsia="宋体" w:cs="宋体"/>
                <w:color w:val="auto"/>
                <w:spacing w:val="4"/>
                <w:sz w:val="21"/>
                <w:szCs w:val="21"/>
                <w:highlight w:val="none"/>
                <w:u w:val="none"/>
              </w:rPr>
              <w:t>/井次</w:t>
            </w:r>
          </w:p>
        </w:tc>
        <w:tc>
          <w:tcPr>
            <w:tcW w:w="439" w:type="pct"/>
            <w:gridSpan w:val="2"/>
            <w:tcBorders>
              <w:tl2br w:val="nil"/>
              <w:tr2bl w:val="nil"/>
            </w:tcBorders>
            <w:noWrap w:val="0"/>
            <w:vAlign w:val="center"/>
          </w:tcPr>
          <w:p w14:paraId="3E810A5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c>
          <w:tcPr>
            <w:tcW w:w="1147" w:type="pct"/>
            <w:gridSpan w:val="2"/>
            <w:tcBorders>
              <w:tl2br w:val="nil"/>
              <w:tr2bl w:val="nil"/>
            </w:tcBorders>
            <w:noWrap w:val="0"/>
            <w:vAlign w:val="center"/>
          </w:tcPr>
          <w:p w14:paraId="19E248B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≤5.0</w:t>
            </w:r>
          </w:p>
        </w:tc>
        <w:tc>
          <w:tcPr>
            <w:tcW w:w="399" w:type="pct"/>
            <w:gridSpan w:val="2"/>
            <w:tcBorders>
              <w:tl2br w:val="nil"/>
              <w:tr2bl w:val="nil"/>
            </w:tcBorders>
            <w:noWrap w:val="0"/>
            <w:vAlign w:val="center"/>
          </w:tcPr>
          <w:p w14:paraId="49827DF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符合</w:t>
            </w:r>
          </w:p>
        </w:tc>
        <w:tc>
          <w:tcPr>
            <w:tcW w:w="275" w:type="pct"/>
            <w:tcBorders>
              <w:tl2br w:val="nil"/>
              <w:tr2bl w:val="nil"/>
            </w:tcBorders>
            <w:noWrap w:val="0"/>
            <w:vAlign w:val="center"/>
          </w:tcPr>
          <w:p w14:paraId="6BF275F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r>
      <w:tr w14:paraId="7AE63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continue"/>
            <w:tcBorders>
              <w:tl2br w:val="nil"/>
              <w:tr2bl w:val="nil"/>
            </w:tcBorders>
            <w:noWrap w:val="0"/>
            <w:vAlign w:val="center"/>
          </w:tcPr>
          <w:p w14:paraId="4FDCF3A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317" w:type="pct"/>
            <w:vMerge w:val="continue"/>
            <w:tcBorders>
              <w:tl2br w:val="nil"/>
              <w:tr2bl w:val="nil"/>
            </w:tcBorders>
            <w:noWrap w:val="0"/>
            <w:vAlign w:val="center"/>
          </w:tcPr>
          <w:p w14:paraId="43D2C35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000" w:type="pct"/>
            <w:gridSpan w:val="3"/>
            <w:tcBorders>
              <w:tl2br w:val="nil"/>
              <w:tr2bl w:val="nil"/>
            </w:tcBorders>
            <w:noWrap w:val="0"/>
            <w:vAlign w:val="center"/>
          </w:tcPr>
          <w:p w14:paraId="042A50B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新鲜水消耗</w:t>
            </w:r>
          </w:p>
        </w:tc>
        <w:tc>
          <w:tcPr>
            <w:tcW w:w="507" w:type="pct"/>
            <w:tcBorders>
              <w:tl2br w:val="nil"/>
              <w:tr2bl w:val="nil"/>
            </w:tcBorders>
            <w:noWrap w:val="0"/>
            <w:vAlign w:val="center"/>
          </w:tcPr>
          <w:p w14:paraId="5A0943E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m</w:t>
            </w:r>
            <w:r>
              <w:rPr>
                <w:rFonts w:hint="eastAsia" w:ascii="宋体" w:hAnsi="宋体" w:eastAsia="宋体" w:cs="宋体"/>
                <w:color w:val="auto"/>
                <w:spacing w:val="4"/>
                <w:sz w:val="21"/>
                <w:szCs w:val="21"/>
                <w:highlight w:val="none"/>
                <w:u w:val="none"/>
                <w:vertAlign w:val="superscript"/>
              </w:rPr>
              <w:t>3</w:t>
            </w:r>
            <w:r>
              <w:rPr>
                <w:rFonts w:hint="eastAsia" w:ascii="宋体" w:hAnsi="宋体" w:eastAsia="宋体" w:cs="宋体"/>
                <w:color w:val="auto"/>
                <w:spacing w:val="4"/>
                <w:sz w:val="21"/>
                <w:szCs w:val="21"/>
                <w:highlight w:val="none"/>
                <w:u w:val="none"/>
              </w:rPr>
              <w:t>/井次</w:t>
            </w:r>
          </w:p>
        </w:tc>
        <w:tc>
          <w:tcPr>
            <w:tcW w:w="439" w:type="pct"/>
            <w:gridSpan w:val="2"/>
            <w:tcBorders>
              <w:tl2br w:val="nil"/>
              <w:tr2bl w:val="nil"/>
            </w:tcBorders>
            <w:noWrap w:val="0"/>
            <w:vAlign w:val="center"/>
          </w:tcPr>
          <w:p w14:paraId="3DD2C56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c>
          <w:tcPr>
            <w:tcW w:w="1147" w:type="pct"/>
            <w:gridSpan w:val="2"/>
            <w:tcBorders>
              <w:tl2br w:val="nil"/>
              <w:tr2bl w:val="nil"/>
            </w:tcBorders>
            <w:noWrap w:val="0"/>
            <w:vAlign w:val="center"/>
          </w:tcPr>
          <w:p w14:paraId="6C046D7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≤5.0</w:t>
            </w:r>
          </w:p>
        </w:tc>
        <w:tc>
          <w:tcPr>
            <w:tcW w:w="399" w:type="pct"/>
            <w:gridSpan w:val="2"/>
            <w:tcBorders>
              <w:tl2br w:val="nil"/>
              <w:tr2bl w:val="nil"/>
            </w:tcBorders>
            <w:noWrap w:val="0"/>
            <w:vAlign w:val="center"/>
          </w:tcPr>
          <w:p w14:paraId="6501F22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符合</w:t>
            </w:r>
          </w:p>
        </w:tc>
        <w:tc>
          <w:tcPr>
            <w:tcW w:w="275" w:type="pct"/>
            <w:tcBorders>
              <w:tl2br w:val="nil"/>
              <w:tr2bl w:val="nil"/>
            </w:tcBorders>
            <w:noWrap w:val="0"/>
            <w:vAlign w:val="center"/>
          </w:tcPr>
          <w:p w14:paraId="1E63309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lang w:val="en-US" w:eastAsia="zh-CN"/>
              </w:rPr>
            </w:pPr>
            <w:r>
              <w:rPr>
                <w:rFonts w:hint="eastAsia" w:ascii="宋体" w:hAnsi="宋体" w:eastAsia="宋体" w:cs="宋体"/>
                <w:color w:val="auto"/>
                <w:spacing w:val="4"/>
                <w:sz w:val="21"/>
                <w:szCs w:val="21"/>
                <w:highlight w:val="none"/>
                <w:u w:val="none"/>
                <w:lang w:val="en-US" w:eastAsia="zh-CN"/>
              </w:rPr>
              <w:t>10</w:t>
            </w:r>
          </w:p>
        </w:tc>
      </w:tr>
      <w:tr w14:paraId="767D9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continue"/>
            <w:tcBorders>
              <w:tl2br w:val="nil"/>
              <w:tr2bl w:val="nil"/>
            </w:tcBorders>
            <w:noWrap w:val="0"/>
            <w:vAlign w:val="center"/>
          </w:tcPr>
          <w:p w14:paraId="54F5C00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317" w:type="pct"/>
            <w:vMerge w:val="continue"/>
            <w:tcBorders>
              <w:tl2br w:val="nil"/>
              <w:tr2bl w:val="nil"/>
            </w:tcBorders>
            <w:noWrap w:val="0"/>
            <w:vAlign w:val="center"/>
          </w:tcPr>
          <w:p w14:paraId="00D3567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000" w:type="pct"/>
            <w:gridSpan w:val="3"/>
            <w:tcBorders>
              <w:tl2br w:val="nil"/>
              <w:tr2bl w:val="nil"/>
            </w:tcBorders>
            <w:noWrap w:val="0"/>
            <w:vAlign w:val="center"/>
          </w:tcPr>
          <w:p w14:paraId="65EC26C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单位能耗</w:t>
            </w:r>
          </w:p>
        </w:tc>
        <w:tc>
          <w:tcPr>
            <w:tcW w:w="507" w:type="pct"/>
            <w:tcBorders>
              <w:tl2br w:val="nil"/>
              <w:tr2bl w:val="nil"/>
            </w:tcBorders>
            <w:noWrap w:val="0"/>
            <w:vAlign w:val="center"/>
          </w:tcPr>
          <w:p w14:paraId="41E2F82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w:t>
            </w:r>
          </w:p>
        </w:tc>
        <w:tc>
          <w:tcPr>
            <w:tcW w:w="439" w:type="pct"/>
            <w:gridSpan w:val="2"/>
            <w:tcBorders>
              <w:tl2br w:val="nil"/>
              <w:tr2bl w:val="nil"/>
            </w:tcBorders>
            <w:noWrap w:val="0"/>
            <w:vAlign w:val="center"/>
          </w:tcPr>
          <w:p w14:paraId="7B68F62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c>
          <w:tcPr>
            <w:tcW w:w="1147" w:type="pct"/>
            <w:gridSpan w:val="2"/>
            <w:tcBorders>
              <w:tl2br w:val="nil"/>
              <w:tr2bl w:val="nil"/>
            </w:tcBorders>
            <w:noWrap w:val="0"/>
            <w:vAlign w:val="center"/>
          </w:tcPr>
          <w:p w14:paraId="144C77B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行业基本水平</w:t>
            </w:r>
          </w:p>
        </w:tc>
        <w:tc>
          <w:tcPr>
            <w:tcW w:w="399" w:type="pct"/>
            <w:gridSpan w:val="2"/>
            <w:tcBorders>
              <w:tl2br w:val="nil"/>
              <w:tr2bl w:val="nil"/>
            </w:tcBorders>
            <w:noWrap w:val="0"/>
            <w:vAlign w:val="center"/>
          </w:tcPr>
          <w:p w14:paraId="3DD036E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基本水平</w:t>
            </w:r>
          </w:p>
        </w:tc>
        <w:tc>
          <w:tcPr>
            <w:tcW w:w="275" w:type="pct"/>
            <w:tcBorders>
              <w:tl2br w:val="nil"/>
              <w:tr2bl w:val="nil"/>
            </w:tcBorders>
            <w:noWrap w:val="0"/>
            <w:vAlign w:val="center"/>
          </w:tcPr>
          <w:p w14:paraId="324F3F6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r>
      <w:tr w14:paraId="759465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tcBorders>
              <w:tl2br w:val="nil"/>
              <w:tr2bl w:val="nil"/>
            </w:tcBorders>
            <w:noWrap w:val="0"/>
            <w:vAlign w:val="center"/>
          </w:tcPr>
          <w:p w14:paraId="2AE3164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（2）生产技术特征指标</w:t>
            </w:r>
          </w:p>
        </w:tc>
        <w:tc>
          <w:tcPr>
            <w:tcW w:w="317" w:type="pct"/>
            <w:tcBorders>
              <w:tl2br w:val="nil"/>
              <w:tr2bl w:val="nil"/>
            </w:tcBorders>
            <w:noWrap w:val="0"/>
            <w:vAlign w:val="center"/>
          </w:tcPr>
          <w:p w14:paraId="12AD030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20</w:t>
            </w:r>
          </w:p>
        </w:tc>
        <w:tc>
          <w:tcPr>
            <w:tcW w:w="1000" w:type="pct"/>
            <w:gridSpan w:val="3"/>
            <w:tcBorders>
              <w:tl2br w:val="nil"/>
              <w:tr2bl w:val="nil"/>
            </w:tcBorders>
            <w:noWrap w:val="0"/>
            <w:vAlign w:val="center"/>
          </w:tcPr>
          <w:p w14:paraId="4CD2CE6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压裂放喷返排入罐率</w:t>
            </w:r>
          </w:p>
        </w:tc>
        <w:tc>
          <w:tcPr>
            <w:tcW w:w="507" w:type="pct"/>
            <w:tcBorders>
              <w:tl2br w:val="nil"/>
              <w:tr2bl w:val="nil"/>
            </w:tcBorders>
            <w:noWrap w:val="0"/>
            <w:vAlign w:val="center"/>
          </w:tcPr>
          <w:p w14:paraId="4539450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w:t>
            </w:r>
          </w:p>
        </w:tc>
        <w:tc>
          <w:tcPr>
            <w:tcW w:w="439" w:type="pct"/>
            <w:gridSpan w:val="2"/>
            <w:tcBorders>
              <w:tl2br w:val="nil"/>
              <w:tr2bl w:val="nil"/>
            </w:tcBorders>
            <w:noWrap w:val="0"/>
            <w:vAlign w:val="center"/>
          </w:tcPr>
          <w:p w14:paraId="6A0CB6C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20</w:t>
            </w:r>
          </w:p>
        </w:tc>
        <w:tc>
          <w:tcPr>
            <w:tcW w:w="1147" w:type="pct"/>
            <w:gridSpan w:val="2"/>
            <w:tcBorders>
              <w:tl2br w:val="nil"/>
              <w:tr2bl w:val="nil"/>
            </w:tcBorders>
            <w:noWrap w:val="0"/>
            <w:vAlign w:val="center"/>
          </w:tcPr>
          <w:p w14:paraId="08933F3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100</w:t>
            </w:r>
          </w:p>
        </w:tc>
        <w:tc>
          <w:tcPr>
            <w:tcW w:w="399" w:type="pct"/>
            <w:gridSpan w:val="2"/>
            <w:tcBorders>
              <w:tl2br w:val="nil"/>
              <w:tr2bl w:val="nil"/>
            </w:tcBorders>
            <w:noWrap w:val="0"/>
            <w:vAlign w:val="center"/>
          </w:tcPr>
          <w:p w14:paraId="3127A38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100</w:t>
            </w:r>
          </w:p>
        </w:tc>
        <w:tc>
          <w:tcPr>
            <w:tcW w:w="275" w:type="pct"/>
            <w:tcBorders>
              <w:tl2br w:val="nil"/>
              <w:tr2bl w:val="nil"/>
            </w:tcBorders>
            <w:noWrap w:val="0"/>
            <w:vAlign w:val="center"/>
          </w:tcPr>
          <w:p w14:paraId="0E305E2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20</w:t>
            </w:r>
          </w:p>
        </w:tc>
      </w:tr>
      <w:tr w14:paraId="12356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restart"/>
            <w:tcBorders>
              <w:tl2br w:val="nil"/>
              <w:tr2bl w:val="nil"/>
            </w:tcBorders>
            <w:noWrap w:val="0"/>
            <w:vAlign w:val="center"/>
          </w:tcPr>
          <w:p w14:paraId="38EF702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（3）资源综合利用指标</w:t>
            </w:r>
          </w:p>
        </w:tc>
        <w:tc>
          <w:tcPr>
            <w:tcW w:w="317" w:type="pct"/>
            <w:vMerge w:val="restart"/>
            <w:tcBorders>
              <w:tl2br w:val="nil"/>
              <w:tr2bl w:val="nil"/>
            </w:tcBorders>
            <w:noWrap w:val="0"/>
            <w:vAlign w:val="center"/>
          </w:tcPr>
          <w:p w14:paraId="1B71A36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20</w:t>
            </w:r>
          </w:p>
        </w:tc>
        <w:tc>
          <w:tcPr>
            <w:tcW w:w="1000" w:type="pct"/>
            <w:gridSpan w:val="3"/>
            <w:tcBorders>
              <w:tl2br w:val="nil"/>
              <w:tr2bl w:val="nil"/>
            </w:tcBorders>
            <w:noWrap w:val="0"/>
            <w:vAlign w:val="center"/>
          </w:tcPr>
          <w:p w14:paraId="4B35634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落地原油回收利用率</w:t>
            </w:r>
          </w:p>
        </w:tc>
        <w:tc>
          <w:tcPr>
            <w:tcW w:w="507" w:type="pct"/>
            <w:tcBorders>
              <w:tl2br w:val="nil"/>
              <w:tr2bl w:val="nil"/>
            </w:tcBorders>
            <w:noWrap w:val="0"/>
            <w:vAlign w:val="center"/>
          </w:tcPr>
          <w:p w14:paraId="2F8CB07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w:t>
            </w:r>
          </w:p>
        </w:tc>
        <w:tc>
          <w:tcPr>
            <w:tcW w:w="439" w:type="pct"/>
            <w:gridSpan w:val="2"/>
            <w:tcBorders>
              <w:tl2br w:val="nil"/>
              <w:tr2bl w:val="nil"/>
            </w:tcBorders>
            <w:noWrap w:val="0"/>
            <w:vAlign w:val="center"/>
          </w:tcPr>
          <w:p w14:paraId="503BADE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c>
          <w:tcPr>
            <w:tcW w:w="1147" w:type="pct"/>
            <w:gridSpan w:val="2"/>
            <w:tcBorders>
              <w:tl2br w:val="nil"/>
              <w:tr2bl w:val="nil"/>
            </w:tcBorders>
            <w:noWrap w:val="0"/>
            <w:vAlign w:val="center"/>
          </w:tcPr>
          <w:p w14:paraId="52A17F4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100</w:t>
            </w:r>
          </w:p>
        </w:tc>
        <w:tc>
          <w:tcPr>
            <w:tcW w:w="399" w:type="pct"/>
            <w:gridSpan w:val="2"/>
            <w:tcBorders>
              <w:tl2br w:val="nil"/>
              <w:tr2bl w:val="nil"/>
            </w:tcBorders>
            <w:noWrap w:val="0"/>
            <w:vAlign w:val="center"/>
          </w:tcPr>
          <w:p w14:paraId="6DDDC93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100</w:t>
            </w:r>
          </w:p>
        </w:tc>
        <w:tc>
          <w:tcPr>
            <w:tcW w:w="275" w:type="pct"/>
            <w:tcBorders>
              <w:tl2br w:val="nil"/>
              <w:tr2bl w:val="nil"/>
            </w:tcBorders>
            <w:noWrap w:val="0"/>
            <w:vAlign w:val="center"/>
          </w:tcPr>
          <w:p w14:paraId="40646AE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r>
      <w:tr w14:paraId="36EAE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continue"/>
            <w:tcBorders>
              <w:tl2br w:val="nil"/>
              <w:tr2bl w:val="nil"/>
            </w:tcBorders>
            <w:noWrap w:val="0"/>
            <w:vAlign w:val="center"/>
          </w:tcPr>
          <w:p w14:paraId="439AD1E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317" w:type="pct"/>
            <w:vMerge w:val="continue"/>
            <w:tcBorders>
              <w:tl2br w:val="nil"/>
              <w:tr2bl w:val="nil"/>
            </w:tcBorders>
            <w:noWrap w:val="0"/>
            <w:vAlign w:val="center"/>
          </w:tcPr>
          <w:p w14:paraId="041F660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000" w:type="pct"/>
            <w:gridSpan w:val="3"/>
            <w:tcBorders>
              <w:tl2br w:val="nil"/>
              <w:tr2bl w:val="nil"/>
            </w:tcBorders>
            <w:noWrap w:val="0"/>
            <w:vAlign w:val="center"/>
          </w:tcPr>
          <w:p w14:paraId="21EAF62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生产过程中排出物利用率</w:t>
            </w:r>
          </w:p>
        </w:tc>
        <w:tc>
          <w:tcPr>
            <w:tcW w:w="507" w:type="pct"/>
            <w:tcBorders>
              <w:tl2br w:val="nil"/>
              <w:tr2bl w:val="nil"/>
            </w:tcBorders>
            <w:noWrap w:val="0"/>
            <w:vAlign w:val="center"/>
          </w:tcPr>
          <w:p w14:paraId="79F31FF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w:t>
            </w:r>
          </w:p>
        </w:tc>
        <w:tc>
          <w:tcPr>
            <w:tcW w:w="439" w:type="pct"/>
            <w:gridSpan w:val="2"/>
            <w:tcBorders>
              <w:tl2br w:val="nil"/>
              <w:tr2bl w:val="nil"/>
            </w:tcBorders>
            <w:noWrap w:val="0"/>
            <w:vAlign w:val="center"/>
          </w:tcPr>
          <w:p w14:paraId="7B21398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c>
          <w:tcPr>
            <w:tcW w:w="1147" w:type="pct"/>
            <w:gridSpan w:val="2"/>
            <w:tcBorders>
              <w:tl2br w:val="nil"/>
              <w:tr2bl w:val="nil"/>
            </w:tcBorders>
            <w:noWrap w:val="0"/>
            <w:vAlign w:val="center"/>
          </w:tcPr>
          <w:p w14:paraId="01D7EE1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100</w:t>
            </w:r>
          </w:p>
        </w:tc>
        <w:tc>
          <w:tcPr>
            <w:tcW w:w="399" w:type="pct"/>
            <w:gridSpan w:val="2"/>
            <w:tcBorders>
              <w:tl2br w:val="nil"/>
              <w:tr2bl w:val="nil"/>
            </w:tcBorders>
            <w:noWrap w:val="0"/>
            <w:vAlign w:val="center"/>
          </w:tcPr>
          <w:p w14:paraId="6F5D594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100</w:t>
            </w:r>
          </w:p>
        </w:tc>
        <w:tc>
          <w:tcPr>
            <w:tcW w:w="275" w:type="pct"/>
            <w:tcBorders>
              <w:tl2br w:val="nil"/>
              <w:tr2bl w:val="nil"/>
            </w:tcBorders>
            <w:noWrap w:val="0"/>
            <w:vAlign w:val="center"/>
          </w:tcPr>
          <w:p w14:paraId="515C01A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r>
      <w:tr w14:paraId="53ADC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restart"/>
            <w:tcBorders>
              <w:tl2br w:val="nil"/>
              <w:tr2bl w:val="nil"/>
            </w:tcBorders>
            <w:noWrap w:val="0"/>
            <w:vAlign w:val="center"/>
          </w:tcPr>
          <w:p w14:paraId="4876C0D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（4）污染物产生指标</w:t>
            </w:r>
          </w:p>
        </w:tc>
        <w:tc>
          <w:tcPr>
            <w:tcW w:w="317" w:type="pct"/>
            <w:vMerge w:val="restart"/>
            <w:tcBorders>
              <w:tl2br w:val="nil"/>
              <w:tr2bl w:val="nil"/>
            </w:tcBorders>
            <w:noWrap w:val="0"/>
            <w:vAlign w:val="center"/>
          </w:tcPr>
          <w:p w14:paraId="44C9EDE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30</w:t>
            </w:r>
          </w:p>
        </w:tc>
        <w:tc>
          <w:tcPr>
            <w:tcW w:w="1000" w:type="pct"/>
            <w:gridSpan w:val="3"/>
            <w:tcBorders>
              <w:tl2br w:val="nil"/>
              <w:tr2bl w:val="nil"/>
            </w:tcBorders>
            <w:noWrap w:val="0"/>
            <w:vAlign w:val="center"/>
          </w:tcPr>
          <w:p w14:paraId="0E36947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作业废液量</w:t>
            </w:r>
          </w:p>
        </w:tc>
        <w:tc>
          <w:tcPr>
            <w:tcW w:w="507" w:type="pct"/>
            <w:tcBorders>
              <w:tl2br w:val="nil"/>
              <w:tr2bl w:val="nil"/>
            </w:tcBorders>
            <w:noWrap w:val="0"/>
            <w:vAlign w:val="center"/>
          </w:tcPr>
          <w:p w14:paraId="75E7E4B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m</w:t>
            </w:r>
            <w:r>
              <w:rPr>
                <w:rFonts w:hint="eastAsia" w:ascii="宋体" w:hAnsi="宋体" w:eastAsia="宋体" w:cs="宋体"/>
                <w:color w:val="auto"/>
                <w:spacing w:val="4"/>
                <w:sz w:val="21"/>
                <w:szCs w:val="21"/>
                <w:highlight w:val="none"/>
                <w:u w:val="none"/>
                <w:vertAlign w:val="superscript"/>
              </w:rPr>
              <w:t>3</w:t>
            </w:r>
            <w:r>
              <w:rPr>
                <w:rFonts w:hint="eastAsia" w:ascii="宋体" w:hAnsi="宋体" w:eastAsia="宋体" w:cs="宋体"/>
                <w:color w:val="auto"/>
                <w:spacing w:val="4"/>
                <w:sz w:val="21"/>
                <w:szCs w:val="21"/>
                <w:highlight w:val="none"/>
                <w:u w:val="none"/>
              </w:rPr>
              <w:t>/井次</w:t>
            </w:r>
          </w:p>
        </w:tc>
        <w:tc>
          <w:tcPr>
            <w:tcW w:w="439" w:type="pct"/>
            <w:gridSpan w:val="2"/>
            <w:tcBorders>
              <w:tl2br w:val="nil"/>
              <w:tr2bl w:val="nil"/>
            </w:tcBorders>
            <w:noWrap w:val="0"/>
            <w:vAlign w:val="center"/>
          </w:tcPr>
          <w:p w14:paraId="228D6C9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c>
          <w:tcPr>
            <w:tcW w:w="1147" w:type="pct"/>
            <w:gridSpan w:val="2"/>
            <w:tcBorders>
              <w:tl2br w:val="nil"/>
              <w:tr2bl w:val="nil"/>
            </w:tcBorders>
            <w:noWrap w:val="0"/>
            <w:vAlign w:val="center"/>
          </w:tcPr>
          <w:p w14:paraId="1C60FA1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≤3.0</w:t>
            </w:r>
          </w:p>
        </w:tc>
        <w:tc>
          <w:tcPr>
            <w:tcW w:w="399" w:type="pct"/>
            <w:gridSpan w:val="2"/>
            <w:tcBorders>
              <w:tl2br w:val="nil"/>
              <w:tr2bl w:val="nil"/>
            </w:tcBorders>
            <w:noWrap w:val="0"/>
            <w:vAlign w:val="center"/>
          </w:tcPr>
          <w:p w14:paraId="66719B1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宋体" w:hAnsi="宋体" w:eastAsia="宋体" w:cs="宋体"/>
                <w:color w:val="auto"/>
                <w:spacing w:val="4"/>
                <w:sz w:val="21"/>
                <w:szCs w:val="21"/>
                <w:highlight w:val="none"/>
                <w:u w:val="none"/>
                <w:lang w:val="en-US" w:eastAsia="zh-CN"/>
              </w:rPr>
            </w:pPr>
            <w:r>
              <w:rPr>
                <w:rFonts w:hint="eastAsia" w:ascii="宋体" w:hAnsi="宋体" w:eastAsia="宋体" w:cs="宋体"/>
                <w:color w:val="auto"/>
                <w:spacing w:val="4"/>
                <w:sz w:val="21"/>
                <w:szCs w:val="21"/>
                <w:highlight w:val="none"/>
                <w:u w:val="none"/>
                <w:lang w:val="en-US" w:eastAsia="zh-CN"/>
              </w:rPr>
              <w:t>27.13</w:t>
            </w:r>
          </w:p>
        </w:tc>
        <w:tc>
          <w:tcPr>
            <w:tcW w:w="275" w:type="pct"/>
            <w:tcBorders>
              <w:tl2br w:val="nil"/>
              <w:tr2bl w:val="nil"/>
            </w:tcBorders>
            <w:noWrap w:val="0"/>
            <w:vAlign w:val="center"/>
          </w:tcPr>
          <w:p w14:paraId="0D5CA6A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0</w:t>
            </w:r>
          </w:p>
        </w:tc>
      </w:tr>
      <w:tr w14:paraId="08254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continue"/>
            <w:tcBorders>
              <w:tl2br w:val="nil"/>
              <w:tr2bl w:val="nil"/>
            </w:tcBorders>
            <w:noWrap w:val="0"/>
            <w:vAlign w:val="center"/>
          </w:tcPr>
          <w:p w14:paraId="68FBEE5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317" w:type="pct"/>
            <w:vMerge w:val="continue"/>
            <w:tcBorders>
              <w:tl2br w:val="nil"/>
              <w:tr2bl w:val="nil"/>
            </w:tcBorders>
            <w:noWrap w:val="0"/>
            <w:vAlign w:val="center"/>
          </w:tcPr>
          <w:p w14:paraId="46AD422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000" w:type="pct"/>
            <w:gridSpan w:val="3"/>
            <w:tcBorders>
              <w:tl2br w:val="nil"/>
              <w:tr2bl w:val="nil"/>
            </w:tcBorders>
            <w:noWrap w:val="0"/>
            <w:vAlign w:val="center"/>
          </w:tcPr>
          <w:p w14:paraId="0ECA0B1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石油类</w:t>
            </w:r>
          </w:p>
        </w:tc>
        <w:tc>
          <w:tcPr>
            <w:tcW w:w="507" w:type="pct"/>
            <w:tcBorders>
              <w:tl2br w:val="nil"/>
              <w:tr2bl w:val="nil"/>
            </w:tcBorders>
            <w:noWrap w:val="0"/>
            <w:vAlign w:val="center"/>
          </w:tcPr>
          <w:p w14:paraId="6A9A538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mg/L</w:t>
            </w:r>
          </w:p>
        </w:tc>
        <w:tc>
          <w:tcPr>
            <w:tcW w:w="439" w:type="pct"/>
            <w:gridSpan w:val="2"/>
            <w:tcBorders>
              <w:tl2br w:val="nil"/>
              <w:tr2bl w:val="nil"/>
            </w:tcBorders>
            <w:noWrap w:val="0"/>
            <w:vAlign w:val="center"/>
          </w:tcPr>
          <w:p w14:paraId="08455EA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c>
          <w:tcPr>
            <w:tcW w:w="1147" w:type="pct"/>
            <w:gridSpan w:val="2"/>
            <w:tcBorders>
              <w:tl2br w:val="nil"/>
              <w:tr2bl w:val="nil"/>
            </w:tcBorders>
            <w:noWrap w:val="0"/>
            <w:vAlign w:val="center"/>
          </w:tcPr>
          <w:p w14:paraId="5DE7E2D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甲类区：≤10；乙类区：≤50</w:t>
            </w:r>
          </w:p>
        </w:tc>
        <w:tc>
          <w:tcPr>
            <w:tcW w:w="399" w:type="pct"/>
            <w:gridSpan w:val="2"/>
            <w:tcBorders>
              <w:tl2br w:val="nil"/>
              <w:tr2bl w:val="nil"/>
            </w:tcBorders>
            <w:noWrap w:val="0"/>
            <w:vAlign w:val="center"/>
          </w:tcPr>
          <w:p w14:paraId="6F28E24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≤50</w:t>
            </w:r>
          </w:p>
        </w:tc>
        <w:tc>
          <w:tcPr>
            <w:tcW w:w="275" w:type="pct"/>
            <w:tcBorders>
              <w:tl2br w:val="nil"/>
              <w:tr2bl w:val="nil"/>
            </w:tcBorders>
            <w:noWrap w:val="0"/>
            <w:vAlign w:val="center"/>
          </w:tcPr>
          <w:p w14:paraId="1C31560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lang w:eastAsia="zh-CN"/>
              </w:rPr>
            </w:pPr>
            <w:r>
              <w:rPr>
                <w:rFonts w:hint="eastAsia" w:ascii="宋体" w:hAnsi="宋体" w:eastAsia="宋体" w:cs="宋体"/>
                <w:color w:val="auto"/>
                <w:spacing w:val="4"/>
                <w:sz w:val="21"/>
                <w:szCs w:val="21"/>
                <w:highlight w:val="none"/>
                <w:u w:val="none"/>
                <w:lang w:eastAsia="zh-CN"/>
              </w:rPr>
              <w:t>5</w:t>
            </w:r>
          </w:p>
        </w:tc>
      </w:tr>
      <w:tr w14:paraId="3FCE0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continue"/>
            <w:tcBorders>
              <w:tl2br w:val="nil"/>
              <w:tr2bl w:val="nil"/>
            </w:tcBorders>
            <w:noWrap w:val="0"/>
            <w:vAlign w:val="center"/>
          </w:tcPr>
          <w:p w14:paraId="00B5CEF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317" w:type="pct"/>
            <w:vMerge w:val="continue"/>
            <w:tcBorders>
              <w:tl2br w:val="nil"/>
              <w:tr2bl w:val="nil"/>
            </w:tcBorders>
            <w:noWrap w:val="0"/>
            <w:vAlign w:val="center"/>
          </w:tcPr>
          <w:p w14:paraId="34E6446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000" w:type="pct"/>
            <w:gridSpan w:val="3"/>
            <w:tcBorders>
              <w:tl2br w:val="nil"/>
              <w:tr2bl w:val="nil"/>
            </w:tcBorders>
            <w:noWrap w:val="0"/>
            <w:vAlign w:val="center"/>
          </w:tcPr>
          <w:p w14:paraId="4F7CD60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COD</w:t>
            </w:r>
          </w:p>
        </w:tc>
        <w:tc>
          <w:tcPr>
            <w:tcW w:w="507" w:type="pct"/>
            <w:tcBorders>
              <w:tl2br w:val="nil"/>
              <w:tr2bl w:val="nil"/>
            </w:tcBorders>
            <w:noWrap w:val="0"/>
            <w:vAlign w:val="center"/>
          </w:tcPr>
          <w:p w14:paraId="585758B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mg/L</w:t>
            </w:r>
          </w:p>
        </w:tc>
        <w:tc>
          <w:tcPr>
            <w:tcW w:w="439" w:type="pct"/>
            <w:gridSpan w:val="2"/>
            <w:tcBorders>
              <w:tl2br w:val="nil"/>
              <w:tr2bl w:val="nil"/>
            </w:tcBorders>
            <w:noWrap w:val="0"/>
            <w:vAlign w:val="center"/>
          </w:tcPr>
          <w:p w14:paraId="60E8226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c>
          <w:tcPr>
            <w:tcW w:w="1147" w:type="pct"/>
            <w:gridSpan w:val="2"/>
            <w:tcBorders>
              <w:tl2br w:val="nil"/>
              <w:tr2bl w:val="nil"/>
            </w:tcBorders>
            <w:noWrap w:val="0"/>
            <w:vAlign w:val="center"/>
          </w:tcPr>
          <w:p w14:paraId="204AB45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甲类区：≤100；乙类区：≤150</w:t>
            </w:r>
          </w:p>
        </w:tc>
        <w:tc>
          <w:tcPr>
            <w:tcW w:w="399" w:type="pct"/>
            <w:gridSpan w:val="2"/>
            <w:tcBorders>
              <w:tl2br w:val="nil"/>
              <w:tr2bl w:val="nil"/>
            </w:tcBorders>
            <w:noWrap w:val="0"/>
            <w:vAlign w:val="center"/>
          </w:tcPr>
          <w:p w14:paraId="42D9376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≤150</w:t>
            </w:r>
          </w:p>
        </w:tc>
        <w:tc>
          <w:tcPr>
            <w:tcW w:w="275" w:type="pct"/>
            <w:tcBorders>
              <w:tl2br w:val="nil"/>
              <w:tr2bl w:val="nil"/>
            </w:tcBorders>
            <w:noWrap w:val="0"/>
            <w:vAlign w:val="center"/>
          </w:tcPr>
          <w:p w14:paraId="0DB191C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lang w:val="en-US" w:eastAsia="zh-CN"/>
              </w:rPr>
            </w:pPr>
            <w:r>
              <w:rPr>
                <w:rFonts w:hint="eastAsia" w:ascii="宋体" w:hAnsi="宋体" w:eastAsia="宋体" w:cs="宋体"/>
                <w:color w:val="auto"/>
                <w:spacing w:val="4"/>
                <w:sz w:val="21"/>
                <w:szCs w:val="21"/>
                <w:highlight w:val="none"/>
                <w:u w:val="none"/>
                <w:lang w:val="en-US" w:eastAsia="zh-CN"/>
              </w:rPr>
              <w:t>5</w:t>
            </w:r>
          </w:p>
        </w:tc>
      </w:tr>
      <w:tr w14:paraId="164B8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continue"/>
            <w:tcBorders>
              <w:tl2br w:val="nil"/>
              <w:tr2bl w:val="nil"/>
            </w:tcBorders>
            <w:noWrap w:val="0"/>
            <w:vAlign w:val="center"/>
          </w:tcPr>
          <w:p w14:paraId="2AF3093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317" w:type="pct"/>
            <w:vMerge w:val="continue"/>
            <w:tcBorders>
              <w:tl2br w:val="nil"/>
              <w:tr2bl w:val="nil"/>
            </w:tcBorders>
            <w:noWrap w:val="0"/>
            <w:vAlign w:val="center"/>
          </w:tcPr>
          <w:p w14:paraId="64A8AF6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000" w:type="pct"/>
            <w:gridSpan w:val="3"/>
            <w:tcBorders>
              <w:tl2br w:val="nil"/>
              <w:tr2bl w:val="nil"/>
            </w:tcBorders>
            <w:noWrap w:val="0"/>
            <w:vAlign w:val="center"/>
          </w:tcPr>
          <w:p w14:paraId="0EF6C98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含油污泥</w:t>
            </w:r>
          </w:p>
        </w:tc>
        <w:tc>
          <w:tcPr>
            <w:tcW w:w="507" w:type="pct"/>
            <w:tcBorders>
              <w:tl2br w:val="nil"/>
              <w:tr2bl w:val="nil"/>
            </w:tcBorders>
            <w:noWrap w:val="0"/>
            <w:vAlign w:val="center"/>
          </w:tcPr>
          <w:p w14:paraId="4E9C9CF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kg/井次</w:t>
            </w:r>
          </w:p>
        </w:tc>
        <w:tc>
          <w:tcPr>
            <w:tcW w:w="439" w:type="pct"/>
            <w:gridSpan w:val="2"/>
            <w:tcBorders>
              <w:tl2br w:val="nil"/>
              <w:tr2bl w:val="nil"/>
            </w:tcBorders>
            <w:noWrap w:val="0"/>
            <w:vAlign w:val="center"/>
          </w:tcPr>
          <w:p w14:paraId="40E09A9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c>
          <w:tcPr>
            <w:tcW w:w="1147" w:type="pct"/>
            <w:gridSpan w:val="2"/>
            <w:tcBorders>
              <w:tl2br w:val="nil"/>
              <w:tr2bl w:val="nil"/>
            </w:tcBorders>
            <w:noWrap w:val="0"/>
            <w:vAlign w:val="center"/>
          </w:tcPr>
          <w:p w14:paraId="6A59079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甲类区：≤50；乙类区：≤70</w:t>
            </w:r>
          </w:p>
        </w:tc>
        <w:tc>
          <w:tcPr>
            <w:tcW w:w="399" w:type="pct"/>
            <w:gridSpan w:val="2"/>
            <w:tcBorders>
              <w:tl2br w:val="nil"/>
              <w:tr2bl w:val="nil"/>
            </w:tcBorders>
            <w:noWrap w:val="0"/>
            <w:vAlign w:val="center"/>
          </w:tcPr>
          <w:p w14:paraId="6CC3CC1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lang w:eastAsia="zh-CN"/>
              </w:rPr>
            </w:pPr>
            <w:r>
              <w:rPr>
                <w:rFonts w:hint="eastAsia" w:ascii="宋体" w:hAnsi="宋体" w:eastAsia="宋体" w:cs="宋体"/>
                <w:color w:val="auto"/>
                <w:spacing w:val="4"/>
                <w:sz w:val="21"/>
                <w:szCs w:val="21"/>
                <w:highlight w:val="none"/>
                <w:u w:val="none"/>
                <w:lang w:val="en-US" w:eastAsia="zh-CN"/>
              </w:rPr>
              <w:t>0</w:t>
            </w:r>
          </w:p>
        </w:tc>
        <w:tc>
          <w:tcPr>
            <w:tcW w:w="275" w:type="pct"/>
            <w:tcBorders>
              <w:tl2br w:val="nil"/>
              <w:tr2bl w:val="nil"/>
            </w:tcBorders>
            <w:noWrap w:val="0"/>
            <w:vAlign w:val="center"/>
          </w:tcPr>
          <w:p w14:paraId="0517DB0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r>
      <w:tr w14:paraId="6B4A1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12" w:type="pct"/>
            <w:vMerge w:val="continue"/>
            <w:tcBorders>
              <w:tl2br w:val="nil"/>
              <w:tr2bl w:val="nil"/>
            </w:tcBorders>
            <w:noWrap w:val="0"/>
            <w:vAlign w:val="center"/>
          </w:tcPr>
          <w:p w14:paraId="4313F26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317" w:type="pct"/>
            <w:vMerge w:val="continue"/>
            <w:tcBorders>
              <w:tl2br w:val="nil"/>
              <w:tr2bl w:val="nil"/>
            </w:tcBorders>
            <w:noWrap w:val="0"/>
            <w:vAlign w:val="center"/>
          </w:tcPr>
          <w:p w14:paraId="6810BFF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000" w:type="pct"/>
            <w:gridSpan w:val="3"/>
            <w:tcBorders>
              <w:tl2br w:val="nil"/>
              <w:tr2bl w:val="nil"/>
            </w:tcBorders>
            <w:noWrap w:val="0"/>
            <w:vAlign w:val="center"/>
          </w:tcPr>
          <w:p w14:paraId="481E0F8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一般固体废物（生活垃圾）</w:t>
            </w:r>
          </w:p>
        </w:tc>
        <w:tc>
          <w:tcPr>
            <w:tcW w:w="507" w:type="pct"/>
            <w:tcBorders>
              <w:tl2br w:val="nil"/>
              <w:tr2bl w:val="nil"/>
            </w:tcBorders>
            <w:noWrap w:val="0"/>
            <w:vAlign w:val="center"/>
          </w:tcPr>
          <w:p w14:paraId="207801D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kg/井次</w:t>
            </w:r>
          </w:p>
        </w:tc>
        <w:tc>
          <w:tcPr>
            <w:tcW w:w="439" w:type="pct"/>
            <w:gridSpan w:val="2"/>
            <w:tcBorders>
              <w:tl2br w:val="nil"/>
              <w:tr2bl w:val="nil"/>
            </w:tcBorders>
            <w:noWrap w:val="0"/>
            <w:vAlign w:val="center"/>
          </w:tcPr>
          <w:p w14:paraId="534D759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c>
          <w:tcPr>
            <w:tcW w:w="1147" w:type="pct"/>
            <w:gridSpan w:val="2"/>
            <w:tcBorders>
              <w:tl2br w:val="nil"/>
              <w:tr2bl w:val="nil"/>
            </w:tcBorders>
            <w:noWrap w:val="0"/>
            <w:vAlign w:val="center"/>
          </w:tcPr>
          <w:p w14:paraId="3468484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符合环保要求</w:t>
            </w:r>
          </w:p>
        </w:tc>
        <w:tc>
          <w:tcPr>
            <w:tcW w:w="399" w:type="pct"/>
            <w:gridSpan w:val="2"/>
            <w:tcBorders>
              <w:tl2br w:val="nil"/>
              <w:tr2bl w:val="nil"/>
            </w:tcBorders>
            <w:noWrap w:val="0"/>
            <w:vAlign w:val="center"/>
          </w:tcPr>
          <w:p w14:paraId="30B8D80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0</w:t>
            </w:r>
          </w:p>
        </w:tc>
        <w:tc>
          <w:tcPr>
            <w:tcW w:w="275" w:type="pct"/>
            <w:tcBorders>
              <w:tl2br w:val="nil"/>
              <w:tr2bl w:val="nil"/>
            </w:tcBorders>
            <w:noWrap w:val="0"/>
            <w:vAlign w:val="center"/>
          </w:tcPr>
          <w:p w14:paraId="215CDEF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r>
      <w:tr w14:paraId="7E0EE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13"/>
            <w:tcBorders>
              <w:tl2br w:val="nil"/>
              <w:tr2bl w:val="nil"/>
            </w:tcBorders>
            <w:noWrap w:val="0"/>
            <w:vAlign w:val="center"/>
          </w:tcPr>
          <w:p w14:paraId="0D67604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b/>
                <w:bCs/>
                <w:color w:val="auto"/>
                <w:spacing w:val="4"/>
                <w:sz w:val="21"/>
                <w:szCs w:val="21"/>
                <w:highlight w:val="none"/>
                <w:u w:val="none"/>
              </w:rPr>
              <w:t>定性指标</w:t>
            </w:r>
          </w:p>
        </w:tc>
      </w:tr>
      <w:tr w14:paraId="33C94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tcBorders>
              <w:tl2br w:val="nil"/>
              <w:tr2bl w:val="nil"/>
            </w:tcBorders>
            <w:noWrap w:val="0"/>
            <w:vAlign w:val="center"/>
          </w:tcPr>
          <w:p w14:paraId="4B28FDD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一级指标</w:t>
            </w:r>
          </w:p>
        </w:tc>
        <w:tc>
          <w:tcPr>
            <w:tcW w:w="410" w:type="pct"/>
            <w:tcBorders>
              <w:tl2br w:val="nil"/>
              <w:tr2bl w:val="nil"/>
            </w:tcBorders>
            <w:noWrap w:val="0"/>
            <w:vAlign w:val="center"/>
          </w:tcPr>
          <w:p w14:paraId="68AF048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指标分值</w:t>
            </w:r>
          </w:p>
        </w:tc>
        <w:tc>
          <w:tcPr>
            <w:tcW w:w="2432" w:type="pct"/>
            <w:gridSpan w:val="5"/>
            <w:tcBorders>
              <w:tl2br w:val="nil"/>
              <w:tr2bl w:val="nil"/>
            </w:tcBorders>
            <w:noWrap w:val="0"/>
            <w:vAlign w:val="center"/>
          </w:tcPr>
          <w:p w14:paraId="609FD6F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二级指标</w:t>
            </w:r>
          </w:p>
        </w:tc>
        <w:tc>
          <w:tcPr>
            <w:tcW w:w="408" w:type="pct"/>
            <w:gridSpan w:val="2"/>
            <w:tcBorders>
              <w:tl2br w:val="nil"/>
              <w:tr2bl w:val="nil"/>
            </w:tcBorders>
            <w:noWrap w:val="0"/>
            <w:vAlign w:val="center"/>
          </w:tcPr>
          <w:p w14:paraId="19F1C75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指标分值</w:t>
            </w:r>
          </w:p>
        </w:tc>
        <w:tc>
          <w:tcPr>
            <w:tcW w:w="313" w:type="pct"/>
            <w:gridSpan w:val="2"/>
            <w:tcBorders>
              <w:tl2br w:val="nil"/>
              <w:tr2bl w:val="nil"/>
            </w:tcBorders>
            <w:noWrap w:val="0"/>
            <w:vAlign w:val="center"/>
          </w:tcPr>
          <w:p w14:paraId="01B4C22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lang w:eastAsia="zh-CN"/>
              </w:rPr>
              <w:t>本工程</w:t>
            </w:r>
            <w:r>
              <w:rPr>
                <w:rFonts w:hint="eastAsia" w:ascii="宋体" w:hAnsi="宋体" w:eastAsia="宋体" w:cs="宋体"/>
                <w:color w:val="auto"/>
                <w:spacing w:val="4"/>
                <w:sz w:val="21"/>
                <w:szCs w:val="21"/>
                <w:highlight w:val="none"/>
                <w:u w:val="none"/>
              </w:rPr>
              <w:t>评分</w:t>
            </w:r>
          </w:p>
        </w:tc>
      </w:tr>
      <w:tr w14:paraId="33C1F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vMerge w:val="restart"/>
            <w:tcBorders>
              <w:tl2br w:val="nil"/>
              <w:tr2bl w:val="nil"/>
            </w:tcBorders>
            <w:noWrap w:val="0"/>
            <w:vAlign w:val="center"/>
          </w:tcPr>
          <w:p w14:paraId="4A873F1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（1）生产工艺及设备要求</w:t>
            </w:r>
          </w:p>
        </w:tc>
        <w:tc>
          <w:tcPr>
            <w:tcW w:w="410" w:type="pct"/>
            <w:vMerge w:val="restart"/>
            <w:tcBorders>
              <w:tl2br w:val="nil"/>
              <w:tr2bl w:val="nil"/>
            </w:tcBorders>
            <w:noWrap w:val="0"/>
            <w:vAlign w:val="center"/>
          </w:tcPr>
          <w:p w14:paraId="6F697B6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40</w:t>
            </w:r>
          </w:p>
        </w:tc>
        <w:tc>
          <w:tcPr>
            <w:tcW w:w="1111" w:type="pct"/>
            <w:gridSpan w:val="3"/>
            <w:tcBorders>
              <w:tl2br w:val="nil"/>
              <w:tr2bl w:val="nil"/>
            </w:tcBorders>
            <w:noWrap w:val="0"/>
            <w:vAlign w:val="center"/>
          </w:tcPr>
          <w:p w14:paraId="6E41EA5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防喷措施</w:t>
            </w:r>
          </w:p>
        </w:tc>
        <w:tc>
          <w:tcPr>
            <w:tcW w:w="1321" w:type="pct"/>
            <w:gridSpan w:val="2"/>
            <w:tcBorders>
              <w:tl2br w:val="nil"/>
              <w:tr2bl w:val="nil"/>
            </w:tcBorders>
            <w:noWrap w:val="0"/>
            <w:vAlign w:val="center"/>
          </w:tcPr>
          <w:p w14:paraId="1BB805A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具备</w:t>
            </w:r>
          </w:p>
        </w:tc>
        <w:tc>
          <w:tcPr>
            <w:tcW w:w="408" w:type="pct"/>
            <w:gridSpan w:val="2"/>
            <w:tcBorders>
              <w:tl2br w:val="nil"/>
              <w:tr2bl w:val="nil"/>
            </w:tcBorders>
            <w:noWrap w:val="0"/>
            <w:vAlign w:val="center"/>
          </w:tcPr>
          <w:p w14:paraId="7EE83B5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c>
          <w:tcPr>
            <w:tcW w:w="313" w:type="pct"/>
            <w:gridSpan w:val="2"/>
            <w:tcBorders>
              <w:tl2br w:val="nil"/>
              <w:tr2bl w:val="nil"/>
            </w:tcBorders>
            <w:noWrap w:val="0"/>
            <w:vAlign w:val="center"/>
          </w:tcPr>
          <w:p w14:paraId="5B58BB6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r>
      <w:tr w14:paraId="74055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vMerge w:val="continue"/>
            <w:tcBorders>
              <w:tl2br w:val="nil"/>
              <w:tr2bl w:val="nil"/>
            </w:tcBorders>
            <w:noWrap w:val="0"/>
            <w:vAlign w:val="center"/>
          </w:tcPr>
          <w:p w14:paraId="7618052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410" w:type="pct"/>
            <w:vMerge w:val="continue"/>
            <w:tcBorders>
              <w:tl2br w:val="nil"/>
              <w:tr2bl w:val="nil"/>
            </w:tcBorders>
            <w:noWrap w:val="0"/>
            <w:vAlign w:val="center"/>
          </w:tcPr>
          <w:p w14:paraId="7A838A1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111" w:type="pct"/>
            <w:gridSpan w:val="3"/>
            <w:tcBorders>
              <w:tl2br w:val="nil"/>
              <w:tr2bl w:val="nil"/>
            </w:tcBorders>
            <w:noWrap w:val="0"/>
            <w:vAlign w:val="center"/>
          </w:tcPr>
          <w:p w14:paraId="6D97A50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地面管线防刺防漏措施</w:t>
            </w:r>
          </w:p>
        </w:tc>
        <w:tc>
          <w:tcPr>
            <w:tcW w:w="1321" w:type="pct"/>
            <w:gridSpan w:val="2"/>
            <w:tcBorders>
              <w:tl2br w:val="nil"/>
              <w:tr2bl w:val="nil"/>
            </w:tcBorders>
            <w:noWrap w:val="0"/>
            <w:vAlign w:val="center"/>
          </w:tcPr>
          <w:p w14:paraId="389BD63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按标准试压</w:t>
            </w:r>
          </w:p>
        </w:tc>
        <w:tc>
          <w:tcPr>
            <w:tcW w:w="408" w:type="pct"/>
            <w:gridSpan w:val="2"/>
            <w:tcBorders>
              <w:tl2br w:val="nil"/>
              <w:tr2bl w:val="nil"/>
            </w:tcBorders>
            <w:noWrap w:val="0"/>
            <w:vAlign w:val="center"/>
          </w:tcPr>
          <w:p w14:paraId="0D0A98C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c>
          <w:tcPr>
            <w:tcW w:w="313" w:type="pct"/>
            <w:gridSpan w:val="2"/>
            <w:tcBorders>
              <w:tl2br w:val="nil"/>
              <w:tr2bl w:val="nil"/>
            </w:tcBorders>
            <w:noWrap w:val="0"/>
            <w:vAlign w:val="center"/>
          </w:tcPr>
          <w:p w14:paraId="16E1F48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r>
      <w:tr w14:paraId="75A1D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vMerge w:val="continue"/>
            <w:tcBorders>
              <w:tl2br w:val="nil"/>
              <w:tr2bl w:val="nil"/>
            </w:tcBorders>
            <w:noWrap w:val="0"/>
            <w:vAlign w:val="center"/>
          </w:tcPr>
          <w:p w14:paraId="2DB10C5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410" w:type="pct"/>
            <w:vMerge w:val="continue"/>
            <w:tcBorders>
              <w:tl2br w:val="nil"/>
              <w:tr2bl w:val="nil"/>
            </w:tcBorders>
            <w:noWrap w:val="0"/>
            <w:vAlign w:val="center"/>
          </w:tcPr>
          <w:p w14:paraId="46DD98A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111" w:type="pct"/>
            <w:gridSpan w:val="3"/>
            <w:tcBorders>
              <w:tl2br w:val="nil"/>
              <w:tr2bl w:val="nil"/>
            </w:tcBorders>
            <w:noWrap w:val="0"/>
            <w:vAlign w:val="center"/>
          </w:tcPr>
          <w:p w14:paraId="0699660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防溢设备（防溢池设置）</w:t>
            </w:r>
          </w:p>
        </w:tc>
        <w:tc>
          <w:tcPr>
            <w:tcW w:w="1321" w:type="pct"/>
            <w:gridSpan w:val="2"/>
            <w:tcBorders>
              <w:tl2br w:val="nil"/>
              <w:tr2bl w:val="nil"/>
            </w:tcBorders>
            <w:noWrap w:val="0"/>
            <w:vAlign w:val="center"/>
          </w:tcPr>
          <w:p w14:paraId="0D538AA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具备</w:t>
            </w:r>
          </w:p>
        </w:tc>
        <w:tc>
          <w:tcPr>
            <w:tcW w:w="408" w:type="pct"/>
            <w:gridSpan w:val="2"/>
            <w:tcBorders>
              <w:tl2br w:val="nil"/>
              <w:tr2bl w:val="nil"/>
            </w:tcBorders>
            <w:noWrap w:val="0"/>
            <w:vAlign w:val="center"/>
          </w:tcPr>
          <w:p w14:paraId="7EF272A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c>
          <w:tcPr>
            <w:tcW w:w="313" w:type="pct"/>
            <w:gridSpan w:val="2"/>
            <w:tcBorders>
              <w:tl2br w:val="nil"/>
              <w:tr2bl w:val="nil"/>
            </w:tcBorders>
            <w:noWrap w:val="0"/>
            <w:vAlign w:val="center"/>
          </w:tcPr>
          <w:p w14:paraId="1E52B46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r>
      <w:tr w14:paraId="52355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vMerge w:val="continue"/>
            <w:tcBorders>
              <w:tl2br w:val="nil"/>
              <w:tr2bl w:val="nil"/>
            </w:tcBorders>
            <w:noWrap w:val="0"/>
            <w:vAlign w:val="center"/>
          </w:tcPr>
          <w:p w14:paraId="7CFF2E0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410" w:type="pct"/>
            <w:vMerge w:val="continue"/>
            <w:tcBorders>
              <w:tl2br w:val="nil"/>
              <w:tr2bl w:val="nil"/>
            </w:tcBorders>
            <w:noWrap w:val="0"/>
            <w:vAlign w:val="center"/>
          </w:tcPr>
          <w:p w14:paraId="4E02659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111" w:type="pct"/>
            <w:gridSpan w:val="3"/>
            <w:tcBorders>
              <w:tl2br w:val="nil"/>
              <w:tr2bl w:val="nil"/>
            </w:tcBorders>
            <w:noWrap w:val="0"/>
            <w:vAlign w:val="center"/>
          </w:tcPr>
          <w:p w14:paraId="2E0CF7B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防渗范围</w:t>
            </w:r>
          </w:p>
        </w:tc>
        <w:tc>
          <w:tcPr>
            <w:tcW w:w="1321" w:type="pct"/>
            <w:gridSpan w:val="2"/>
            <w:tcBorders>
              <w:tl2br w:val="nil"/>
              <w:tr2bl w:val="nil"/>
            </w:tcBorders>
            <w:noWrap w:val="0"/>
            <w:vAlign w:val="center"/>
          </w:tcPr>
          <w:p w14:paraId="7827A51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废水、使用液、原油等可能落地处</w:t>
            </w:r>
          </w:p>
        </w:tc>
        <w:tc>
          <w:tcPr>
            <w:tcW w:w="408" w:type="pct"/>
            <w:gridSpan w:val="2"/>
            <w:tcBorders>
              <w:tl2br w:val="nil"/>
              <w:tr2bl w:val="nil"/>
            </w:tcBorders>
            <w:noWrap w:val="0"/>
            <w:vAlign w:val="center"/>
          </w:tcPr>
          <w:p w14:paraId="10667F3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c>
          <w:tcPr>
            <w:tcW w:w="313" w:type="pct"/>
            <w:gridSpan w:val="2"/>
            <w:tcBorders>
              <w:tl2br w:val="nil"/>
              <w:tr2bl w:val="nil"/>
            </w:tcBorders>
            <w:noWrap w:val="0"/>
            <w:vAlign w:val="center"/>
          </w:tcPr>
          <w:p w14:paraId="4D50016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r>
      <w:tr w14:paraId="60FC4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vMerge w:val="continue"/>
            <w:tcBorders>
              <w:tl2br w:val="nil"/>
              <w:tr2bl w:val="nil"/>
            </w:tcBorders>
            <w:noWrap w:val="0"/>
            <w:vAlign w:val="center"/>
          </w:tcPr>
          <w:p w14:paraId="609B5CD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410" w:type="pct"/>
            <w:vMerge w:val="continue"/>
            <w:tcBorders>
              <w:tl2br w:val="nil"/>
              <w:tr2bl w:val="nil"/>
            </w:tcBorders>
            <w:noWrap w:val="0"/>
            <w:vAlign w:val="center"/>
          </w:tcPr>
          <w:p w14:paraId="7B7C386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111" w:type="pct"/>
            <w:gridSpan w:val="3"/>
            <w:tcBorders>
              <w:tl2br w:val="nil"/>
              <w:tr2bl w:val="nil"/>
            </w:tcBorders>
            <w:noWrap w:val="0"/>
            <w:vAlign w:val="center"/>
          </w:tcPr>
          <w:p w14:paraId="68FB933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作业废液污染控制措施</w:t>
            </w:r>
          </w:p>
        </w:tc>
        <w:tc>
          <w:tcPr>
            <w:tcW w:w="1321" w:type="pct"/>
            <w:gridSpan w:val="2"/>
            <w:tcBorders>
              <w:tl2br w:val="nil"/>
              <w:tr2bl w:val="nil"/>
            </w:tcBorders>
            <w:noWrap w:val="0"/>
            <w:vAlign w:val="center"/>
          </w:tcPr>
          <w:p w14:paraId="513FFFE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集中回收处理</w:t>
            </w:r>
          </w:p>
        </w:tc>
        <w:tc>
          <w:tcPr>
            <w:tcW w:w="408" w:type="pct"/>
            <w:gridSpan w:val="2"/>
            <w:tcBorders>
              <w:tl2br w:val="nil"/>
              <w:tr2bl w:val="nil"/>
            </w:tcBorders>
            <w:noWrap w:val="0"/>
            <w:vAlign w:val="center"/>
          </w:tcPr>
          <w:p w14:paraId="6415123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c>
          <w:tcPr>
            <w:tcW w:w="313" w:type="pct"/>
            <w:gridSpan w:val="2"/>
            <w:tcBorders>
              <w:tl2br w:val="nil"/>
              <w:tr2bl w:val="nil"/>
            </w:tcBorders>
            <w:noWrap w:val="0"/>
            <w:vAlign w:val="center"/>
          </w:tcPr>
          <w:p w14:paraId="766205E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r>
      <w:tr w14:paraId="2BCF3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vMerge w:val="continue"/>
            <w:tcBorders>
              <w:tl2br w:val="nil"/>
              <w:tr2bl w:val="nil"/>
            </w:tcBorders>
            <w:noWrap w:val="0"/>
            <w:vAlign w:val="center"/>
          </w:tcPr>
          <w:p w14:paraId="31C704A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410" w:type="pct"/>
            <w:vMerge w:val="continue"/>
            <w:tcBorders>
              <w:tl2br w:val="nil"/>
              <w:tr2bl w:val="nil"/>
            </w:tcBorders>
            <w:noWrap w:val="0"/>
            <w:vAlign w:val="center"/>
          </w:tcPr>
          <w:p w14:paraId="010AF9B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1111" w:type="pct"/>
            <w:gridSpan w:val="3"/>
            <w:tcBorders>
              <w:tl2br w:val="nil"/>
              <w:tr2bl w:val="nil"/>
            </w:tcBorders>
            <w:noWrap w:val="0"/>
            <w:vAlign w:val="center"/>
          </w:tcPr>
          <w:p w14:paraId="2ED5E16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防止落地原油产生措施</w:t>
            </w:r>
          </w:p>
        </w:tc>
        <w:tc>
          <w:tcPr>
            <w:tcW w:w="1321" w:type="pct"/>
            <w:gridSpan w:val="2"/>
            <w:tcBorders>
              <w:tl2br w:val="nil"/>
              <w:tr2bl w:val="nil"/>
            </w:tcBorders>
            <w:noWrap w:val="0"/>
            <w:vAlign w:val="center"/>
          </w:tcPr>
          <w:p w14:paraId="51C8903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具备原油回收设施</w:t>
            </w:r>
          </w:p>
        </w:tc>
        <w:tc>
          <w:tcPr>
            <w:tcW w:w="408" w:type="pct"/>
            <w:gridSpan w:val="2"/>
            <w:tcBorders>
              <w:tl2br w:val="nil"/>
              <w:tr2bl w:val="nil"/>
            </w:tcBorders>
            <w:noWrap w:val="0"/>
            <w:vAlign w:val="center"/>
          </w:tcPr>
          <w:p w14:paraId="372C6B1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c>
          <w:tcPr>
            <w:tcW w:w="313" w:type="pct"/>
            <w:gridSpan w:val="2"/>
            <w:tcBorders>
              <w:tl2br w:val="nil"/>
              <w:tr2bl w:val="nil"/>
            </w:tcBorders>
            <w:noWrap w:val="0"/>
            <w:vAlign w:val="center"/>
          </w:tcPr>
          <w:p w14:paraId="5CA6E74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10</w:t>
            </w:r>
          </w:p>
        </w:tc>
      </w:tr>
      <w:tr w14:paraId="53B22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vMerge w:val="restart"/>
            <w:tcBorders>
              <w:tl2br w:val="nil"/>
              <w:tr2bl w:val="nil"/>
            </w:tcBorders>
            <w:noWrap w:val="0"/>
            <w:vAlign w:val="center"/>
          </w:tcPr>
          <w:p w14:paraId="2D3D915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（2）管理体系建设及清洁生产审核</w:t>
            </w:r>
          </w:p>
        </w:tc>
        <w:tc>
          <w:tcPr>
            <w:tcW w:w="410" w:type="pct"/>
            <w:vMerge w:val="restart"/>
            <w:tcBorders>
              <w:tl2br w:val="nil"/>
              <w:tr2bl w:val="nil"/>
            </w:tcBorders>
            <w:noWrap w:val="0"/>
            <w:vAlign w:val="center"/>
          </w:tcPr>
          <w:p w14:paraId="016B9C6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40</w:t>
            </w:r>
          </w:p>
        </w:tc>
        <w:tc>
          <w:tcPr>
            <w:tcW w:w="2432" w:type="pct"/>
            <w:gridSpan w:val="5"/>
            <w:tcBorders>
              <w:tl2br w:val="nil"/>
              <w:tr2bl w:val="nil"/>
            </w:tcBorders>
            <w:noWrap w:val="0"/>
            <w:vAlign w:val="center"/>
          </w:tcPr>
          <w:p w14:paraId="7B4B59E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建立HSE管理体系并通过验证</w:t>
            </w:r>
          </w:p>
        </w:tc>
        <w:tc>
          <w:tcPr>
            <w:tcW w:w="408" w:type="pct"/>
            <w:gridSpan w:val="2"/>
            <w:tcBorders>
              <w:tl2br w:val="nil"/>
              <w:tr2bl w:val="nil"/>
            </w:tcBorders>
            <w:noWrap w:val="0"/>
            <w:vAlign w:val="center"/>
          </w:tcPr>
          <w:p w14:paraId="257560B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15</w:t>
            </w:r>
          </w:p>
        </w:tc>
        <w:tc>
          <w:tcPr>
            <w:tcW w:w="313" w:type="pct"/>
            <w:gridSpan w:val="2"/>
            <w:tcBorders>
              <w:tl2br w:val="nil"/>
              <w:tr2bl w:val="nil"/>
            </w:tcBorders>
            <w:noWrap w:val="0"/>
            <w:vAlign w:val="center"/>
          </w:tcPr>
          <w:p w14:paraId="1240731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15</w:t>
            </w:r>
          </w:p>
        </w:tc>
      </w:tr>
      <w:tr w14:paraId="597AD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vMerge w:val="continue"/>
            <w:tcBorders>
              <w:tl2br w:val="nil"/>
              <w:tr2bl w:val="nil"/>
            </w:tcBorders>
            <w:noWrap w:val="0"/>
            <w:vAlign w:val="center"/>
          </w:tcPr>
          <w:p w14:paraId="436B78C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410" w:type="pct"/>
            <w:vMerge w:val="continue"/>
            <w:tcBorders>
              <w:tl2br w:val="nil"/>
              <w:tr2bl w:val="nil"/>
            </w:tcBorders>
            <w:noWrap w:val="0"/>
            <w:vAlign w:val="center"/>
          </w:tcPr>
          <w:p w14:paraId="581C10A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2432" w:type="pct"/>
            <w:gridSpan w:val="5"/>
            <w:tcBorders>
              <w:tl2br w:val="nil"/>
              <w:tr2bl w:val="nil"/>
            </w:tcBorders>
            <w:noWrap w:val="0"/>
            <w:vAlign w:val="center"/>
          </w:tcPr>
          <w:p w14:paraId="1C46BE5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开展清洁生产审核</w:t>
            </w:r>
          </w:p>
        </w:tc>
        <w:tc>
          <w:tcPr>
            <w:tcW w:w="408" w:type="pct"/>
            <w:gridSpan w:val="2"/>
            <w:tcBorders>
              <w:tl2br w:val="nil"/>
              <w:tr2bl w:val="nil"/>
            </w:tcBorders>
            <w:noWrap w:val="0"/>
            <w:vAlign w:val="center"/>
          </w:tcPr>
          <w:p w14:paraId="2618B3B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20</w:t>
            </w:r>
          </w:p>
        </w:tc>
        <w:tc>
          <w:tcPr>
            <w:tcW w:w="313" w:type="pct"/>
            <w:gridSpan w:val="2"/>
            <w:tcBorders>
              <w:tl2br w:val="nil"/>
              <w:tr2bl w:val="nil"/>
            </w:tcBorders>
            <w:noWrap w:val="0"/>
            <w:vAlign w:val="center"/>
          </w:tcPr>
          <w:p w14:paraId="552E54F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20</w:t>
            </w:r>
          </w:p>
        </w:tc>
      </w:tr>
      <w:tr w14:paraId="02ADB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vMerge w:val="continue"/>
            <w:tcBorders>
              <w:tl2br w:val="nil"/>
              <w:tr2bl w:val="nil"/>
            </w:tcBorders>
            <w:noWrap w:val="0"/>
            <w:vAlign w:val="center"/>
          </w:tcPr>
          <w:p w14:paraId="0770F9C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410" w:type="pct"/>
            <w:vMerge w:val="continue"/>
            <w:tcBorders>
              <w:tl2br w:val="nil"/>
              <w:tr2bl w:val="nil"/>
            </w:tcBorders>
            <w:noWrap w:val="0"/>
            <w:vAlign w:val="center"/>
          </w:tcPr>
          <w:p w14:paraId="1EE0C8A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p>
        </w:tc>
        <w:tc>
          <w:tcPr>
            <w:tcW w:w="2432" w:type="pct"/>
            <w:gridSpan w:val="5"/>
            <w:tcBorders>
              <w:tl2br w:val="nil"/>
              <w:tr2bl w:val="nil"/>
            </w:tcBorders>
            <w:noWrap w:val="0"/>
            <w:vAlign w:val="center"/>
          </w:tcPr>
          <w:p w14:paraId="1C8EF20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制定节能减排工作计划</w:t>
            </w:r>
          </w:p>
        </w:tc>
        <w:tc>
          <w:tcPr>
            <w:tcW w:w="408" w:type="pct"/>
            <w:gridSpan w:val="2"/>
            <w:tcBorders>
              <w:tl2br w:val="nil"/>
              <w:tr2bl w:val="nil"/>
            </w:tcBorders>
            <w:noWrap w:val="0"/>
            <w:vAlign w:val="center"/>
          </w:tcPr>
          <w:p w14:paraId="728D85B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c>
          <w:tcPr>
            <w:tcW w:w="313" w:type="pct"/>
            <w:gridSpan w:val="2"/>
            <w:tcBorders>
              <w:tl2br w:val="nil"/>
              <w:tr2bl w:val="nil"/>
            </w:tcBorders>
            <w:noWrap w:val="0"/>
            <w:vAlign w:val="center"/>
          </w:tcPr>
          <w:p w14:paraId="67BD350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5</w:t>
            </w:r>
          </w:p>
        </w:tc>
      </w:tr>
      <w:tr w14:paraId="7C86F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33" w:type="pct"/>
            <w:gridSpan w:val="3"/>
            <w:tcBorders>
              <w:tl2br w:val="nil"/>
              <w:tr2bl w:val="nil"/>
            </w:tcBorders>
            <w:noWrap w:val="0"/>
            <w:vAlign w:val="center"/>
          </w:tcPr>
          <w:p w14:paraId="5B1CCE4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w:t>
            </w:r>
            <w:r>
              <w:rPr>
                <w:rFonts w:hint="eastAsia" w:ascii="宋体" w:hAnsi="宋体" w:eastAsia="宋体" w:cs="宋体"/>
                <w:color w:val="auto"/>
                <w:spacing w:val="4"/>
                <w:sz w:val="21"/>
                <w:szCs w:val="21"/>
                <w:highlight w:val="none"/>
                <w:u w:val="none"/>
                <w:lang w:val="en-US" w:eastAsia="zh-CN"/>
              </w:rPr>
              <w:t>3</w:t>
            </w:r>
            <w:r>
              <w:rPr>
                <w:rFonts w:hint="eastAsia" w:ascii="宋体" w:hAnsi="宋体" w:eastAsia="宋体" w:cs="宋体"/>
                <w:color w:val="auto"/>
                <w:spacing w:val="4"/>
                <w:sz w:val="21"/>
                <w:szCs w:val="21"/>
                <w:highlight w:val="none"/>
                <w:u w:val="none"/>
              </w:rPr>
              <w:t>）贯彻执行环境保护法规的符合性</w:t>
            </w:r>
          </w:p>
        </w:tc>
        <w:tc>
          <w:tcPr>
            <w:tcW w:w="410" w:type="pct"/>
            <w:tcBorders>
              <w:tl2br w:val="nil"/>
              <w:tr2bl w:val="nil"/>
            </w:tcBorders>
            <w:noWrap w:val="0"/>
            <w:vAlign w:val="center"/>
          </w:tcPr>
          <w:p w14:paraId="332F05E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20</w:t>
            </w:r>
          </w:p>
        </w:tc>
        <w:tc>
          <w:tcPr>
            <w:tcW w:w="2432" w:type="pct"/>
            <w:gridSpan w:val="5"/>
            <w:tcBorders>
              <w:tl2br w:val="nil"/>
              <w:tr2bl w:val="nil"/>
            </w:tcBorders>
            <w:noWrap w:val="0"/>
            <w:vAlign w:val="center"/>
          </w:tcPr>
          <w:p w14:paraId="7CF32C5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满足其他法律法规要求</w:t>
            </w:r>
          </w:p>
        </w:tc>
        <w:tc>
          <w:tcPr>
            <w:tcW w:w="408" w:type="pct"/>
            <w:gridSpan w:val="2"/>
            <w:tcBorders>
              <w:tl2br w:val="nil"/>
              <w:tr2bl w:val="nil"/>
            </w:tcBorders>
            <w:noWrap w:val="0"/>
            <w:vAlign w:val="center"/>
          </w:tcPr>
          <w:p w14:paraId="7B0BF0E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20</w:t>
            </w:r>
          </w:p>
        </w:tc>
        <w:tc>
          <w:tcPr>
            <w:tcW w:w="313" w:type="pct"/>
            <w:gridSpan w:val="2"/>
            <w:tcBorders>
              <w:tl2br w:val="nil"/>
              <w:tr2bl w:val="nil"/>
            </w:tcBorders>
            <w:noWrap w:val="0"/>
            <w:vAlign w:val="center"/>
          </w:tcPr>
          <w:p w14:paraId="1D1DA7C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pacing w:val="4"/>
                <w:sz w:val="21"/>
                <w:szCs w:val="21"/>
                <w:highlight w:val="none"/>
                <w:u w:val="none"/>
              </w:rPr>
            </w:pPr>
            <w:r>
              <w:rPr>
                <w:rFonts w:hint="eastAsia" w:ascii="宋体" w:hAnsi="宋体" w:eastAsia="宋体" w:cs="宋体"/>
                <w:color w:val="auto"/>
                <w:spacing w:val="4"/>
                <w:sz w:val="21"/>
                <w:szCs w:val="21"/>
                <w:highlight w:val="none"/>
                <w:u w:val="none"/>
              </w:rPr>
              <w:t>20</w:t>
            </w:r>
          </w:p>
        </w:tc>
      </w:tr>
    </w:tbl>
    <w:p w14:paraId="572C7A41">
      <w:pPr>
        <w:rPr>
          <w:rFonts w:hint="default" w:asciiTheme="majorEastAsia" w:hAnsiTheme="majorEastAsia" w:eastAsiaTheme="majorEastAsia" w:cstheme="majorEastAsia"/>
          <w:b/>
          <w:bCs w:val="0"/>
          <w:color w:val="auto"/>
          <w:kern w:val="2"/>
          <w:sz w:val="24"/>
          <w:szCs w:val="24"/>
          <w:u w:val="none"/>
          <w:lang w:val="en-US" w:eastAsia="zh-CN" w:bidi="ar-SA"/>
        </w:rPr>
      </w:pPr>
      <w:r>
        <w:rPr>
          <w:rFonts w:hint="default" w:asciiTheme="majorEastAsia" w:hAnsiTheme="majorEastAsia" w:eastAsiaTheme="majorEastAsia" w:cstheme="majorEastAsia"/>
          <w:b/>
          <w:bCs w:val="0"/>
          <w:color w:val="auto"/>
          <w:kern w:val="2"/>
          <w:sz w:val="24"/>
          <w:szCs w:val="24"/>
          <w:u w:val="none"/>
          <w:lang w:val="en-US" w:eastAsia="zh-CN" w:bidi="ar-SA"/>
        </w:rPr>
        <w:br w:type="page"/>
      </w:r>
    </w:p>
    <w:p w14:paraId="54E16F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 xml:space="preserve">4-18  </w:t>
      </w:r>
      <w:r>
        <w:rPr>
          <w:rFonts w:hint="default" w:ascii="黑体" w:hAnsi="黑体" w:eastAsia="黑体" w:cs="黑体"/>
          <w:b w:val="0"/>
          <w:bCs/>
          <w:color w:val="auto"/>
          <w:kern w:val="2"/>
          <w:sz w:val="24"/>
          <w:szCs w:val="24"/>
          <w:u w:val="none"/>
          <w:lang w:val="en-US" w:eastAsia="zh-CN" w:bidi="ar-SA"/>
        </w:rPr>
        <w:t>采油（气）定量和定性评价指标项目、权重及基准值</w:t>
      </w:r>
    </w:p>
    <w:tbl>
      <w:tblPr>
        <w:tblStyle w:val="37"/>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43"/>
        <w:gridCol w:w="1014"/>
        <w:gridCol w:w="222"/>
        <w:gridCol w:w="1276"/>
        <w:gridCol w:w="477"/>
        <w:gridCol w:w="908"/>
        <w:gridCol w:w="2396"/>
        <w:gridCol w:w="1382"/>
        <w:gridCol w:w="512"/>
        <w:gridCol w:w="2684"/>
        <w:gridCol w:w="312"/>
        <w:gridCol w:w="980"/>
        <w:gridCol w:w="796"/>
      </w:tblGrid>
      <w:tr w14:paraId="7B8FE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31" w:type="pct"/>
            <w:gridSpan w:val="11"/>
            <w:tcBorders>
              <w:tl2br w:val="nil"/>
              <w:tr2bl w:val="nil"/>
            </w:tcBorders>
            <w:noWrap w:val="0"/>
            <w:vAlign w:val="center"/>
          </w:tcPr>
          <w:p w14:paraId="62D56F3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定量指标</w:t>
            </w:r>
          </w:p>
        </w:tc>
        <w:tc>
          <w:tcPr>
            <w:tcW w:w="568" w:type="pct"/>
            <w:gridSpan w:val="2"/>
            <w:tcBorders>
              <w:tl2br w:val="nil"/>
              <w:tr2bl w:val="nil"/>
            </w:tcBorders>
            <w:noWrap w:val="0"/>
            <w:vAlign w:val="center"/>
          </w:tcPr>
          <w:p w14:paraId="77F5A2F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pacing w:val="4"/>
                <w:sz w:val="21"/>
                <w:szCs w:val="21"/>
                <w:highlight w:val="none"/>
                <w:u w:val="none"/>
                <w:lang w:eastAsia="zh-CN"/>
              </w:rPr>
            </w:pPr>
            <w:r>
              <w:rPr>
                <w:rFonts w:hint="default" w:ascii="Times New Roman" w:hAnsi="Times New Roman" w:cs="Times New Roman"/>
                <w:color w:val="auto"/>
                <w:spacing w:val="4"/>
                <w:sz w:val="21"/>
                <w:szCs w:val="21"/>
                <w:highlight w:val="none"/>
                <w:u w:val="none"/>
                <w:lang w:eastAsia="zh-CN"/>
              </w:rPr>
              <w:t>本工程</w:t>
            </w:r>
          </w:p>
        </w:tc>
      </w:tr>
      <w:tr w14:paraId="3FBD0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pct"/>
            <w:tcBorders>
              <w:tl2br w:val="nil"/>
              <w:tr2bl w:val="nil"/>
            </w:tcBorders>
            <w:noWrap w:val="0"/>
            <w:vAlign w:val="center"/>
          </w:tcPr>
          <w:p w14:paraId="001C42E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一级指标</w:t>
            </w:r>
          </w:p>
        </w:tc>
        <w:tc>
          <w:tcPr>
            <w:tcW w:w="325" w:type="pct"/>
            <w:tcBorders>
              <w:tl2br w:val="nil"/>
              <w:tr2bl w:val="nil"/>
            </w:tcBorders>
            <w:noWrap w:val="0"/>
            <w:vAlign w:val="center"/>
          </w:tcPr>
          <w:p w14:paraId="5D6AF05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权重值</w:t>
            </w:r>
          </w:p>
        </w:tc>
        <w:tc>
          <w:tcPr>
            <w:tcW w:w="924" w:type="pct"/>
            <w:gridSpan w:val="4"/>
            <w:tcBorders>
              <w:tl2br w:val="nil"/>
              <w:tr2bl w:val="nil"/>
            </w:tcBorders>
            <w:noWrap w:val="0"/>
            <w:vAlign w:val="center"/>
          </w:tcPr>
          <w:p w14:paraId="190C3C3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二级指标</w:t>
            </w:r>
          </w:p>
        </w:tc>
        <w:tc>
          <w:tcPr>
            <w:tcW w:w="767" w:type="pct"/>
            <w:tcBorders>
              <w:tl2br w:val="nil"/>
              <w:tr2bl w:val="nil"/>
            </w:tcBorders>
            <w:noWrap w:val="0"/>
            <w:vAlign w:val="center"/>
          </w:tcPr>
          <w:p w14:paraId="77B1CE6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单位</w:t>
            </w:r>
          </w:p>
        </w:tc>
        <w:tc>
          <w:tcPr>
            <w:tcW w:w="441" w:type="pct"/>
            <w:tcBorders>
              <w:tl2br w:val="nil"/>
              <w:tr2bl w:val="nil"/>
            </w:tcBorders>
            <w:noWrap w:val="0"/>
            <w:vAlign w:val="center"/>
          </w:tcPr>
          <w:p w14:paraId="6CBAF54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权重分值</w:t>
            </w:r>
          </w:p>
        </w:tc>
        <w:tc>
          <w:tcPr>
            <w:tcW w:w="1124" w:type="pct"/>
            <w:gridSpan w:val="3"/>
            <w:tcBorders>
              <w:tl2br w:val="nil"/>
              <w:tr2bl w:val="nil"/>
            </w:tcBorders>
            <w:noWrap w:val="0"/>
            <w:vAlign w:val="center"/>
          </w:tcPr>
          <w:p w14:paraId="49272D4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评价基准值</w:t>
            </w:r>
          </w:p>
        </w:tc>
        <w:tc>
          <w:tcPr>
            <w:tcW w:w="314" w:type="pct"/>
            <w:tcBorders>
              <w:tl2br w:val="nil"/>
              <w:tr2bl w:val="nil"/>
            </w:tcBorders>
            <w:noWrap w:val="0"/>
            <w:vAlign w:val="center"/>
          </w:tcPr>
          <w:p w14:paraId="0362B95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估算值</w:t>
            </w:r>
          </w:p>
        </w:tc>
        <w:tc>
          <w:tcPr>
            <w:tcW w:w="253" w:type="pct"/>
            <w:tcBorders>
              <w:tl2br w:val="nil"/>
              <w:tr2bl w:val="nil"/>
            </w:tcBorders>
            <w:noWrap w:val="0"/>
            <w:vAlign w:val="center"/>
          </w:tcPr>
          <w:p w14:paraId="59F1885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评分</w:t>
            </w:r>
          </w:p>
        </w:tc>
      </w:tr>
      <w:tr w14:paraId="709D7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47" w:type="pct"/>
            <w:tcBorders>
              <w:tl2br w:val="nil"/>
              <w:tr2bl w:val="nil"/>
            </w:tcBorders>
            <w:noWrap w:val="0"/>
            <w:vAlign w:val="center"/>
          </w:tcPr>
          <w:p w14:paraId="410C753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（1）资源和能源消耗指标</w:t>
            </w:r>
          </w:p>
        </w:tc>
        <w:tc>
          <w:tcPr>
            <w:tcW w:w="325" w:type="pct"/>
            <w:tcBorders>
              <w:tl2br w:val="nil"/>
              <w:tr2bl w:val="nil"/>
            </w:tcBorders>
            <w:noWrap w:val="0"/>
            <w:vAlign w:val="center"/>
          </w:tcPr>
          <w:p w14:paraId="3080340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30</w:t>
            </w:r>
          </w:p>
        </w:tc>
        <w:tc>
          <w:tcPr>
            <w:tcW w:w="924" w:type="pct"/>
            <w:gridSpan w:val="4"/>
            <w:tcBorders>
              <w:tl2br w:val="nil"/>
              <w:tr2bl w:val="nil"/>
            </w:tcBorders>
            <w:noWrap w:val="0"/>
            <w:vAlign w:val="center"/>
          </w:tcPr>
          <w:p w14:paraId="25A694E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综合能耗</w:t>
            </w:r>
          </w:p>
        </w:tc>
        <w:tc>
          <w:tcPr>
            <w:tcW w:w="767" w:type="pct"/>
            <w:tcBorders>
              <w:tl2br w:val="nil"/>
              <w:tr2bl w:val="nil"/>
            </w:tcBorders>
            <w:noWrap w:val="0"/>
            <w:vAlign w:val="center"/>
          </w:tcPr>
          <w:p w14:paraId="652BB79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kg标煤/t采出液</w:t>
            </w:r>
          </w:p>
        </w:tc>
        <w:tc>
          <w:tcPr>
            <w:tcW w:w="441" w:type="pct"/>
            <w:tcBorders>
              <w:tl2br w:val="nil"/>
              <w:tr2bl w:val="nil"/>
            </w:tcBorders>
            <w:noWrap w:val="0"/>
            <w:vAlign w:val="center"/>
          </w:tcPr>
          <w:p w14:paraId="09F8CDA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30</w:t>
            </w:r>
          </w:p>
        </w:tc>
        <w:tc>
          <w:tcPr>
            <w:tcW w:w="1124" w:type="pct"/>
            <w:gridSpan w:val="3"/>
            <w:tcBorders>
              <w:tl2br w:val="nil"/>
              <w:tr2bl w:val="nil"/>
            </w:tcBorders>
            <w:noWrap w:val="0"/>
            <w:vAlign w:val="center"/>
          </w:tcPr>
          <w:p w14:paraId="0FDD862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稀油：≤65稠油：≤160</w:t>
            </w:r>
          </w:p>
          <w:p w14:paraId="4F7ED41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天然气：≤50</w:t>
            </w:r>
          </w:p>
        </w:tc>
        <w:tc>
          <w:tcPr>
            <w:tcW w:w="314" w:type="pct"/>
            <w:tcBorders>
              <w:tl2br w:val="nil"/>
              <w:tr2bl w:val="nil"/>
            </w:tcBorders>
            <w:noWrap w:val="0"/>
            <w:vAlign w:val="center"/>
          </w:tcPr>
          <w:p w14:paraId="0265110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lang w:val="en-US"/>
              </w:rPr>
            </w:pPr>
            <w:r>
              <w:rPr>
                <w:rFonts w:hint="eastAsia" w:ascii="Times New Roman" w:hAnsi="Times New Roman" w:cs="Times New Roman"/>
                <w:color w:val="auto"/>
                <w:spacing w:val="4"/>
                <w:sz w:val="21"/>
                <w:szCs w:val="21"/>
                <w:highlight w:val="none"/>
                <w:u w:val="none"/>
                <w:lang w:val="en-US" w:eastAsia="zh-CN"/>
              </w:rPr>
              <w:t>≤</w:t>
            </w:r>
            <w:r>
              <w:rPr>
                <w:rFonts w:hint="eastAsia" w:cs="Times New Roman"/>
                <w:color w:val="auto"/>
                <w:spacing w:val="4"/>
                <w:sz w:val="21"/>
                <w:szCs w:val="21"/>
                <w:highlight w:val="none"/>
                <w:u w:val="none"/>
                <w:lang w:val="en-US" w:eastAsia="zh-CN"/>
              </w:rPr>
              <w:t>50</w:t>
            </w:r>
          </w:p>
        </w:tc>
        <w:tc>
          <w:tcPr>
            <w:tcW w:w="253" w:type="pct"/>
            <w:tcBorders>
              <w:tl2br w:val="nil"/>
              <w:tr2bl w:val="nil"/>
            </w:tcBorders>
            <w:noWrap w:val="0"/>
            <w:vAlign w:val="center"/>
          </w:tcPr>
          <w:p w14:paraId="05A15FD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30</w:t>
            </w:r>
          </w:p>
        </w:tc>
      </w:tr>
      <w:tr w14:paraId="72EA0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pct"/>
            <w:vMerge w:val="restart"/>
            <w:tcBorders>
              <w:tl2br w:val="nil"/>
              <w:tr2bl w:val="nil"/>
            </w:tcBorders>
            <w:noWrap w:val="0"/>
            <w:vAlign w:val="center"/>
          </w:tcPr>
          <w:p w14:paraId="251E665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（2）资源综合利用指标</w:t>
            </w:r>
          </w:p>
        </w:tc>
        <w:tc>
          <w:tcPr>
            <w:tcW w:w="325" w:type="pct"/>
            <w:vMerge w:val="restart"/>
            <w:tcBorders>
              <w:tl2br w:val="nil"/>
              <w:tr2bl w:val="nil"/>
            </w:tcBorders>
            <w:noWrap w:val="0"/>
            <w:vAlign w:val="center"/>
          </w:tcPr>
          <w:p w14:paraId="46C7A47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30</w:t>
            </w:r>
          </w:p>
        </w:tc>
        <w:tc>
          <w:tcPr>
            <w:tcW w:w="924" w:type="pct"/>
            <w:gridSpan w:val="4"/>
            <w:tcBorders>
              <w:tl2br w:val="nil"/>
              <w:tr2bl w:val="nil"/>
            </w:tcBorders>
            <w:noWrap w:val="0"/>
            <w:vAlign w:val="center"/>
          </w:tcPr>
          <w:p w14:paraId="36936F1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余热利用率</w:t>
            </w:r>
          </w:p>
        </w:tc>
        <w:tc>
          <w:tcPr>
            <w:tcW w:w="767" w:type="pct"/>
            <w:tcBorders>
              <w:tl2br w:val="nil"/>
              <w:tr2bl w:val="nil"/>
            </w:tcBorders>
            <w:noWrap w:val="0"/>
            <w:vAlign w:val="center"/>
          </w:tcPr>
          <w:p w14:paraId="0DFF2D1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w:t>
            </w:r>
          </w:p>
        </w:tc>
        <w:tc>
          <w:tcPr>
            <w:tcW w:w="441" w:type="pct"/>
            <w:tcBorders>
              <w:tl2br w:val="nil"/>
              <w:tr2bl w:val="nil"/>
            </w:tcBorders>
            <w:noWrap w:val="0"/>
            <w:vAlign w:val="center"/>
          </w:tcPr>
          <w:p w14:paraId="3643DD3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1124" w:type="pct"/>
            <w:gridSpan w:val="3"/>
            <w:tcBorders>
              <w:tl2br w:val="nil"/>
              <w:tr2bl w:val="nil"/>
            </w:tcBorders>
            <w:noWrap w:val="0"/>
            <w:vAlign w:val="center"/>
          </w:tcPr>
          <w:p w14:paraId="2E8154F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≥60</w:t>
            </w:r>
          </w:p>
        </w:tc>
        <w:tc>
          <w:tcPr>
            <w:tcW w:w="314" w:type="pct"/>
            <w:tcBorders>
              <w:tl2br w:val="nil"/>
              <w:tr2bl w:val="nil"/>
            </w:tcBorders>
            <w:noWrap w:val="0"/>
            <w:vAlign w:val="center"/>
          </w:tcPr>
          <w:p w14:paraId="78EDD42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0</w:t>
            </w:r>
          </w:p>
        </w:tc>
        <w:tc>
          <w:tcPr>
            <w:tcW w:w="253" w:type="pct"/>
            <w:tcBorders>
              <w:tl2br w:val="nil"/>
              <w:tr2bl w:val="nil"/>
            </w:tcBorders>
            <w:noWrap w:val="0"/>
            <w:vAlign w:val="center"/>
          </w:tcPr>
          <w:p w14:paraId="367A2FD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0</w:t>
            </w:r>
          </w:p>
        </w:tc>
      </w:tr>
      <w:tr w14:paraId="0E97B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47" w:type="pct"/>
            <w:vMerge w:val="continue"/>
            <w:tcBorders>
              <w:tl2br w:val="nil"/>
              <w:tr2bl w:val="nil"/>
            </w:tcBorders>
            <w:noWrap w:val="0"/>
            <w:vAlign w:val="center"/>
          </w:tcPr>
          <w:p w14:paraId="520F9A2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325" w:type="pct"/>
            <w:vMerge w:val="continue"/>
            <w:tcBorders>
              <w:tl2br w:val="nil"/>
              <w:tr2bl w:val="nil"/>
            </w:tcBorders>
            <w:noWrap w:val="0"/>
            <w:vAlign w:val="center"/>
          </w:tcPr>
          <w:p w14:paraId="6BDDCAC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924" w:type="pct"/>
            <w:gridSpan w:val="4"/>
            <w:tcBorders>
              <w:tl2br w:val="nil"/>
              <w:tr2bl w:val="nil"/>
            </w:tcBorders>
            <w:noWrap w:val="0"/>
            <w:vAlign w:val="center"/>
          </w:tcPr>
          <w:p w14:paraId="1B95472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伴生气回收利用率</w:t>
            </w:r>
          </w:p>
        </w:tc>
        <w:tc>
          <w:tcPr>
            <w:tcW w:w="767" w:type="pct"/>
            <w:tcBorders>
              <w:tl2br w:val="nil"/>
              <w:tr2bl w:val="nil"/>
            </w:tcBorders>
            <w:noWrap w:val="0"/>
            <w:vAlign w:val="center"/>
          </w:tcPr>
          <w:p w14:paraId="72DBFD3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w:t>
            </w:r>
          </w:p>
        </w:tc>
        <w:tc>
          <w:tcPr>
            <w:tcW w:w="441" w:type="pct"/>
            <w:tcBorders>
              <w:tl2br w:val="nil"/>
              <w:tr2bl w:val="nil"/>
            </w:tcBorders>
            <w:noWrap w:val="0"/>
            <w:vAlign w:val="center"/>
          </w:tcPr>
          <w:p w14:paraId="3AFE368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1124" w:type="pct"/>
            <w:gridSpan w:val="3"/>
            <w:tcBorders>
              <w:tl2br w:val="nil"/>
              <w:tr2bl w:val="nil"/>
            </w:tcBorders>
            <w:noWrap w:val="0"/>
            <w:vAlign w:val="center"/>
          </w:tcPr>
          <w:p w14:paraId="5EAA11A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≥80</w:t>
            </w:r>
          </w:p>
        </w:tc>
        <w:tc>
          <w:tcPr>
            <w:tcW w:w="314" w:type="pct"/>
            <w:tcBorders>
              <w:tl2br w:val="nil"/>
              <w:tr2bl w:val="nil"/>
            </w:tcBorders>
            <w:noWrap w:val="0"/>
            <w:vAlign w:val="center"/>
          </w:tcPr>
          <w:p w14:paraId="7996CD8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100</w:t>
            </w:r>
          </w:p>
        </w:tc>
        <w:tc>
          <w:tcPr>
            <w:tcW w:w="253" w:type="pct"/>
            <w:tcBorders>
              <w:tl2br w:val="nil"/>
              <w:tr2bl w:val="nil"/>
            </w:tcBorders>
            <w:noWrap w:val="0"/>
            <w:vAlign w:val="center"/>
          </w:tcPr>
          <w:p w14:paraId="1799AB8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r>
      <w:tr w14:paraId="061F6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pct"/>
            <w:vMerge w:val="continue"/>
            <w:tcBorders>
              <w:tl2br w:val="nil"/>
              <w:tr2bl w:val="nil"/>
            </w:tcBorders>
            <w:noWrap w:val="0"/>
            <w:vAlign w:val="center"/>
          </w:tcPr>
          <w:p w14:paraId="58A1916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325" w:type="pct"/>
            <w:vMerge w:val="continue"/>
            <w:tcBorders>
              <w:tl2br w:val="nil"/>
              <w:tr2bl w:val="nil"/>
            </w:tcBorders>
            <w:noWrap w:val="0"/>
            <w:vAlign w:val="center"/>
          </w:tcPr>
          <w:p w14:paraId="48AE545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924" w:type="pct"/>
            <w:gridSpan w:val="4"/>
            <w:tcBorders>
              <w:tl2br w:val="nil"/>
              <w:tr2bl w:val="nil"/>
            </w:tcBorders>
            <w:noWrap w:val="0"/>
            <w:vAlign w:val="center"/>
          </w:tcPr>
          <w:p w14:paraId="47C050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含油污泥资源化利用率</w:t>
            </w:r>
          </w:p>
        </w:tc>
        <w:tc>
          <w:tcPr>
            <w:tcW w:w="767" w:type="pct"/>
            <w:tcBorders>
              <w:tl2br w:val="nil"/>
              <w:tr2bl w:val="nil"/>
            </w:tcBorders>
            <w:noWrap w:val="0"/>
            <w:vAlign w:val="center"/>
          </w:tcPr>
          <w:p w14:paraId="25B0C52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w:t>
            </w:r>
          </w:p>
        </w:tc>
        <w:tc>
          <w:tcPr>
            <w:tcW w:w="441" w:type="pct"/>
            <w:tcBorders>
              <w:tl2br w:val="nil"/>
              <w:tr2bl w:val="nil"/>
            </w:tcBorders>
            <w:noWrap w:val="0"/>
            <w:vAlign w:val="center"/>
          </w:tcPr>
          <w:p w14:paraId="18BA16E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1124" w:type="pct"/>
            <w:gridSpan w:val="3"/>
            <w:tcBorders>
              <w:tl2br w:val="nil"/>
              <w:tr2bl w:val="nil"/>
            </w:tcBorders>
            <w:noWrap w:val="0"/>
            <w:vAlign w:val="center"/>
          </w:tcPr>
          <w:p w14:paraId="06BFBC7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≥90</w:t>
            </w:r>
          </w:p>
        </w:tc>
        <w:tc>
          <w:tcPr>
            <w:tcW w:w="314" w:type="pct"/>
            <w:tcBorders>
              <w:tl2br w:val="nil"/>
              <w:tr2bl w:val="nil"/>
            </w:tcBorders>
            <w:noWrap w:val="0"/>
            <w:vAlign w:val="center"/>
          </w:tcPr>
          <w:p w14:paraId="567BB2F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100</w:t>
            </w:r>
          </w:p>
        </w:tc>
        <w:tc>
          <w:tcPr>
            <w:tcW w:w="253" w:type="pct"/>
            <w:tcBorders>
              <w:tl2br w:val="nil"/>
              <w:tr2bl w:val="nil"/>
            </w:tcBorders>
            <w:noWrap w:val="0"/>
            <w:vAlign w:val="center"/>
          </w:tcPr>
          <w:p w14:paraId="285D42B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r>
      <w:tr w14:paraId="28E8D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pct"/>
            <w:vMerge w:val="restart"/>
            <w:tcBorders>
              <w:tl2br w:val="nil"/>
              <w:tr2bl w:val="nil"/>
            </w:tcBorders>
            <w:noWrap w:val="0"/>
            <w:vAlign w:val="center"/>
          </w:tcPr>
          <w:p w14:paraId="6D3278E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（3）污染物产生指标</w:t>
            </w:r>
          </w:p>
        </w:tc>
        <w:tc>
          <w:tcPr>
            <w:tcW w:w="325" w:type="pct"/>
            <w:vMerge w:val="restart"/>
            <w:tcBorders>
              <w:tl2br w:val="nil"/>
              <w:tr2bl w:val="nil"/>
            </w:tcBorders>
            <w:noWrap w:val="0"/>
            <w:vAlign w:val="center"/>
          </w:tcPr>
          <w:p w14:paraId="64BB2AF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40</w:t>
            </w:r>
          </w:p>
        </w:tc>
        <w:tc>
          <w:tcPr>
            <w:tcW w:w="924" w:type="pct"/>
            <w:gridSpan w:val="4"/>
            <w:tcBorders>
              <w:tl2br w:val="nil"/>
              <w:tr2bl w:val="nil"/>
            </w:tcBorders>
            <w:noWrap w:val="0"/>
            <w:vAlign w:val="center"/>
          </w:tcPr>
          <w:p w14:paraId="2E2AAC2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石油类</w:t>
            </w:r>
          </w:p>
        </w:tc>
        <w:tc>
          <w:tcPr>
            <w:tcW w:w="767" w:type="pct"/>
            <w:tcBorders>
              <w:tl2br w:val="nil"/>
              <w:tr2bl w:val="nil"/>
            </w:tcBorders>
            <w:noWrap w:val="0"/>
            <w:vAlign w:val="center"/>
          </w:tcPr>
          <w:p w14:paraId="68F3C8D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w:t>
            </w:r>
          </w:p>
        </w:tc>
        <w:tc>
          <w:tcPr>
            <w:tcW w:w="441" w:type="pct"/>
            <w:tcBorders>
              <w:tl2br w:val="nil"/>
              <w:tr2bl w:val="nil"/>
            </w:tcBorders>
            <w:noWrap w:val="0"/>
            <w:vAlign w:val="center"/>
          </w:tcPr>
          <w:p w14:paraId="1DA4A01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c>
          <w:tcPr>
            <w:tcW w:w="1124" w:type="pct"/>
            <w:gridSpan w:val="3"/>
            <w:tcBorders>
              <w:tl2br w:val="nil"/>
              <w:tr2bl w:val="nil"/>
            </w:tcBorders>
            <w:noWrap w:val="0"/>
            <w:vAlign w:val="center"/>
          </w:tcPr>
          <w:p w14:paraId="5960815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314" w:type="pct"/>
            <w:tcBorders>
              <w:tl2br w:val="nil"/>
              <w:tr2bl w:val="nil"/>
            </w:tcBorders>
            <w:noWrap w:val="0"/>
            <w:vAlign w:val="center"/>
          </w:tcPr>
          <w:p w14:paraId="640AC3F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cs="Times New Roman"/>
                <w:color w:val="auto"/>
                <w:spacing w:val="4"/>
                <w:sz w:val="21"/>
                <w:szCs w:val="21"/>
                <w:highlight w:val="none"/>
                <w:u w:val="none"/>
                <w:lang w:val="en-US" w:eastAsia="zh-CN"/>
              </w:rPr>
              <w:t>0</w:t>
            </w:r>
          </w:p>
        </w:tc>
        <w:tc>
          <w:tcPr>
            <w:tcW w:w="253" w:type="pct"/>
            <w:tcBorders>
              <w:tl2br w:val="nil"/>
              <w:tr2bl w:val="nil"/>
            </w:tcBorders>
            <w:noWrap w:val="0"/>
            <w:vAlign w:val="center"/>
          </w:tcPr>
          <w:p w14:paraId="5900A77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color w:val="auto"/>
                <w:spacing w:val="4"/>
                <w:sz w:val="21"/>
                <w:szCs w:val="21"/>
                <w:highlight w:val="none"/>
                <w:u w:val="none"/>
                <w:lang w:eastAsia="zh-CN"/>
              </w:rPr>
            </w:pPr>
            <w:r>
              <w:rPr>
                <w:rFonts w:hint="eastAsia" w:cs="Times New Roman"/>
                <w:color w:val="auto"/>
                <w:spacing w:val="4"/>
                <w:sz w:val="21"/>
                <w:szCs w:val="21"/>
                <w:highlight w:val="none"/>
                <w:u w:val="none"/>
                <w:lang w:val="en-US" w:eastAsia="zh-CN"/>
              </w:rPr>
              <w:t>5</w:t>
            </w:r>
          </w:p>
        </w:tc>
      </w:tr>
      <w:tr w14:paraId="62D5D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pct"/>
            <w:vMerge w:val="continue"/>
            <w:tcBorders>
              <w:tl2br w:val="nil"/>
              <w:tr2bl w:val="nil"/>
            </w:tcBorders>
            <w:noWrap w:val="0"/>
            <w:vAlign w:val="center"/>
          </w:tcPr>
          <w:p w14:paraId="2ECF574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325" w:type="pct"/>
            <w:vMerge w:val="continue"/>
            <w:tcBorders>
              <w:tl2br w:val="nil"/>
              <w:tr2bl w:val="nil"/>
            </w:tcBorders>
            <w:noWrap w:val="0"/>
            <w:vAlign w:val="center"/>
          </w:tcPr>
          <w:p w14:paraId="284440C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924" w:type="pct"/>
            <w:gridSpan w:val="4"/>
            <w:tcBorders>
              <w:tl2br w:val="nil"/>
              <w:tr2bl w:val="nil"/>
            </w:tcBorders>
            <w:noWrap w:val="0"/>
            <w:vAlign w:val="center"/>
          </w:tcPr>
          <w:p w14:paraId="1ACB375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COD</w:t>
            </w:r>
          </w:p>
        </w:tc>
        <w:tc>
          <w:tcPr>
            <w:tcW w:w="767" w:type="pct"/>
            <w:tcBorders>
              <w:tl2br w:val="nil"/>
              <w:tr2bl w:val="nil"/>
            </w:tcBorders>
            <w:noWrap w:val="0"/>
            <w:vAlign w:val="center"/>
          </w:tcPr>
          <w:p w14:paraId="58E952D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w:t>
            </w:r>
          </w:p>
        </w:tc>
        <w:tc>
          <w:tcPr>
            <w:tcW w:w="441" w:type="pct"/>
            <w:tcBorders>
              <w:tl2br w:val="nil"/>
              <w:tr2bl w:val="nil"/>
            </w:tcBorders>
            <w:noWrap w:val="0"/>
            <w:vAlign w:val="center"/>
          </w:tcPr>
          <w:p w14:paraId="38DD38F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c>
          <w:tcPr>
            <w:tcW w:w="1124" w:type="pct"/>
            <w:gridSpan w:val="3"/>
            <w:tcBorders>
              <w:tl2br w:val="nil"/>
              <w:tr2bl w:val="nil"/>
            </w:tcBorders>
            <w:noWrap w:val="0"/>
            <w:vAlign w:val="center"/>
          </w:tcPr>
          <w:p w14:paraId="7F6042C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甲类区：≤100；乙类区：≤150</w:t>
            </w:r>
          </w:p>
        </w:tc>
        <w:tc>
          <w:tcPr>
            <w:tcW w:w="314" w:type="pct"/>
            <w:tcBorders>
              <w:tl2br w:val="nil"/>
              <w:tr2bl w:val="nil"/>
            </w:tcBorders>
            <w:noWrap w:val="0"/>
            <w:vAlign w:val="center"/>
          </w:tcPr>
          <w:p w14:paraId="1A5BDD4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0</w:t>
            </w:r>
          </w:p>
        </w:tc>
        <w:tc>
          <w:tcPr>
            <w:tcW w:w="253" w:type="pct"/>
            <w:tcBorders>
              <w:tl2br w:val="nil"/>
              <w:tr2bl w:val="nil"/>
            </w:tcBorders>
            <w:noWrap w:val="0"/>
            <w:vAlign w:val="center"/>
          </w:tcPr>
          <w:p w14:paraId="4A60DD5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r>
      <w:tr w14:paraId="2B8A0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pct"/>
            <w:vMerge w:val="continue"/>
            <w:tcBorders>
              <w:tl2br w:val="nil"/>
              <w:tr2bl w:val="nil"/>
            </w:tcBorders>
            <w:noWrap w:val="0"/>
            <w:vAlign w:val="center"/>
          </w:tcPr>
          <w:p w14:paraId="241B44E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325" w:type="pct"/>
            <w:vMerge w:val="continue"/>
            <w:tcBorders>
              <w:tl2br w:val="nil"/>
              <w:tr2bl w:val="nil"/>
            </w:tcBorders>
            <w:noWrap w:val="0"/>
            <w:vAlign w:val="center"/>
          </w:tcPr>
          <w:p w14:paraId="00C4850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924" w:type="pct"/>
            <w:gridSpan w:val="4"/>
            <w:tcBorders>
              <w:tl2br w:val="nil"/>
              <w:tr2bl w:val="nil"/>
            </w:tcBorders>
            <w:noWrap w:val="0"/>
            <w:vAlign w:val="center"/>
          </w:tcPr>
          <w:p w14:paraId="00CE405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落地原油回收利用率</w:t>
            </w:r>
          </w:p>
        </w:tc>
        <w:tc>
          <w:tcPr>
            <w:tcW w:w="767" w:type="pct"/>
            <w:tcBorders>
              <w:tl2br w:val="nil"/>
              <w:tr2bl w:val="nil"/>
            </w:tcBorders>
            <w:noWrap w:val="0"/>
            <w:vAlign w:val="center"/>
          </w:tcPr>
          <w:p w14:paraId="42F1C86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w:t>
            </w:r>
          </w:p>
        </w:tc>
        <w:tc>
          <w:tcPr>
            <w:tcW w:w="441" w:type="pct"/>
            <w:tcBorders>
              <w:tl2br w:val="nil"/>
              <w:tr2bl w:val="nil"/>
            </w:tcBorders>
            <w:noWrap w:val="0"/>
            <w:vAlign w:val="center"/>
          </w:tcPr>
          <w:p w14:paraId="6BBDE0F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1124" w:type="pct"/>
            <w:gridSpan w:val="3"/>
            <w:tcBorders>
              <w:tl2br w:val="nil"/>
              <w:tr2bl w:val="nil"/>
            </w:tcBorders>
            <w:noWrap w:val="0"/>
            <w:vAlign w:val="center"/>
          </w:tcPr>
          <w:p w14:paraId="49828F3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100</w:t>
            </w:r>
          </w:p>
        </w:tc>
        <w:tc>
          <w:tcPr>
            <w:tcW w:w="314" w:type="pct"/>
            <w:tcBorders>
              <w:tl2br w:val="nil"/>
              <w:tr2bl w:val="nil"/>
            </w:tcBorders>
            <w:noWrap w:val="0"/>
            <w:vAlign w:val="center"/>
          </w:tcPr>
          <w:p w14:paraId="1BD6A11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100</w:t>
            </w:r>
          </w:p>
        </w:tc>
        <w:tc>
          <w:tcPr>
            <w:tcW w:w="253" w:type="pct"/>
            <w:tcBorders>
              <w:tl2br w:val="nil"/>
              <w:tr2bl w:val="nil"/>
            </w:tcBorders>
            <w:noWrap w:val="0"/>
            <w:vAlign w:val="center"/>
          </w:tcPr>
          <w:p w14:paraId="545F064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r>
      <w:tr w14:paraId="66FED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47" w:type="pct"/>
            <w:vMerge w:val="continue"/>
            <w:tcBorders>
              <w:tl2br w:val="nil"/>
              <w:tr2bl w:val="nil"/>
            </w:tcBorders>
            <w:noWrap w:val="0"/>
            <w:vAlign w:val="center"/>
          </w:tcPr>
          <w:p w14:paraId="59F40CE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325" w:type="pct"/>
            <w:vMerge w:val="continue"/>
            <w:tcBorders>
              <w:tl2br w:val="nil"/>
              <w:tr2bl w:val="nil"/>
            </w:tcBorders>
            <w:noWrap w:val="0"/>
            <w:vAlign w:val="center"/>
          </w:tcPr>
          <w:p w14:paraId="2DC206D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924" w:type="pct"/>
            <w:gridSpan w:val="4"/>
            <w:tcBorders>
              <w:tl2br w:val="nil"/>
              <w:tr2bl w:val="nil"/>
            </w:tcBorders>
            <w:noWrap w:val="0"/>
            <w:vAlign w:val="center"/>
          </w:tcPr>
          <w:p w14:paraId="78BB307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采</w:t>
            </w:r>
            <w:r>
              <w:rPr>
                <w:rFonts w:hint="eastAsia" w:cs="Times New Roman"/>
                <w:color w:val="auto"/>
                <w:spacing w:val="4"/>
                <w:sz w:val="21"/>
                <w:szCs w:val="21"/>
                <w:highlight w:val="none"/>
                <w:u w:val="none"/>
                <w:lang w:val="en-US" w:eastAsia="zh-CN"/>
              </w:rPr>
              <w:t>气</w:t>
            </w:r>
            <w:r>
              <w:rPr>
                <w:rFonts w:hint="default" w:ascii="Times New Roman" w:hAnsi="Times New Roman" w:cs="Times New Roman"/>
                <w:color w:val="auto"/>
                <w:spacing w:val="4"/>
                <w:sz w:val="21"/>
                <w:szCs w:val="21"/>
                <w:highlight w:val="none"/>
                <w:u w:val="none"/>
              </w:rPr>
              <w:t>废水回用率</w:t>
            </w:r>
          </w:p>
        </w:tc>
        <w:tc>
          <w:tcPr>
            <w:tcW w:w="767" w:type="pct"/>
            <w:tcBorders>
              <w:tl2br w:val="nil"/>
              <w:tr2bl w:val="nil"/>
            </w:tcBorders>
            <w:noWrap w:val="0"/>
            <w:vAlign w:val="center"/>
          </w:tcPr>
          <w:p w14:paraId="259E8D5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w:t>
            </w:r>
          </w:p>
        </w:tc>
        <w:tc>
          <w:tcPr>
            <w:tcW w:w="441" w:type="pct"/>
            <w:tcBorders>
              <w:tl2br w:val="nil"/>
              <w:tr2bl w:val="nil"/>
            </w:tcBorders>
            <w:noWrap w:val="0"/>
            <w:vAlign w:val="center"/>
          </w:tcPr>
          <w:p w14:paraId="4141CCD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1124" w:type="pct"/>
            <w:gridSpan w:val="3"/>
            <w:tcBorders>
              <w:tl2br w:val="nil"/>
              <w:tr2bl w:val="nil"/>
            </w:tcBorders>
            <w:noWrap w:val="0"/>
            <w:vAlign w:val="center"/>
          </w:tcPr>
          <w:p w14:paraId="406EB1B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≥60</w:t>
            </w:r>
          </w:p>
        </w:tc>
        <w:tc>
          <w:tcPr>
            <w:tcW w:w="314" w:type="pct"/>
            <w:tcBorders>
              <w:tl2br w:val="nil"/>
              <w:tr2bl w:val="nil"/>
            </w:tcBorders>
            <w:noWrap w:val="0"/>
            <w:vAlign w:val="center"/>
          </w:tcPr>
          <w:p w14:paraId="1AE4D72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100</w:t>
            </w:r>
          </w:p>
        </w:tc>
        <w:tc>
          <w:tcPr>
            <w:tcW w:w="253" w:type="pct"/>
            <w:tcBorders>
              <w:tl2br w:val="nil"/>
              <w:tr2bl w:val="nil"/>
            </w:tcBorders>
            <w:noWrap w:val="0"/>
            <w:vAlign w:val="center"/>
          </w:tcPr>
          <w:p w14:paraId="4BFB455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r>
      <w:tr w14:paraId="3156C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pct"/>
            <w:vMerge w:val="continue"/>
            <w:tcBorders>
              <w:tl2br w:val="nil"/>
              <w:tr2bl w:val="nil"/>
            </w:tcBorders>
            <w:noWrap w:val="0"/>
            <w:vAlign w:val="center"/>
          </w:tcPr>
          <w:p w14:paraId="25B430F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325" w:type="pct"/>
            <w:vMerge w:val="continue"/>
            <w:tcBorders>
              <w:tl2br w:val="nil"/>
              <w:tr2bl w:val="nil"/>
            </w:tcBorders>
            <w:noWrap w:val="0"/>
            <w:vAlign w:val="center"/>
          </w:tcPr>
          <w:p w14:paraId="7D9B9A7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924" w:type="pct"/>
            <w:gridSpan w:val="4"/>
            <w:tcBorders>
              <w:tl2br w:val="nil"/>
              <w:tr2bl w:val="nil"/>
            </w:tcBorders>
            <w:noWrap w:val="0"/>
            <w:vAlign w:val="center"/>
          </w:tcPr>
          <w:p w14:paraId="654A4F6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伴生气外排率</w:t>
            </w:r>
          </w:p>
        </w:tc>
        <w:tc>
          <w:tcPr>
            <w:tcW w:w="767" w:type="pct"/>
            <w:tcBorders>
              <w:tl2br w:val="nil"/>
              <w:tr2bl w:val="nil"/>
            </w:tcBorders>
            <w:noWrap w:val="0"/>
            <w:vAlign w:val="center"/>
          </w:tcPr>
          <w:p w14:paraId="4438DAB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w:t>
            </w:r>
          </w:p>
        </w:tc>
        <w:tc>
          <w:tcPr>
            <w:tcW w:w="441" w:type="pct"/>
            <w:tcBorders>
              <w:tl2br w:val="nil"/>
              <w:tr2bl w:val="nil"/>
            </w:tcBorders>
            <w:noWrap w:val="0"/>
            <w:vAlign w:val="center"/>
          </w:tcPr>
          <w:p w14:paraId="6356E97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1124" w:type="pct"/>
            <w:gridSpan w:val="3"/>
            <w:tcBorders>
              <w:tl2br w:val="nil"/>
              <w:tr2bl w:val="nil"/>
            </w:tcBorders>
            <w:noWrap w:val="0"/>
            <w:vAlign w:val="center"/>
          </w:tcPr>
          <w:p w14:paraId="4922F05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≤20</w:t>
            </w:r>
          </w:p>
        </w:tc>
        <w:tc>
          <w:tcPr>
            <w:tcW w:w="314" w:type="pct"/>
            <w:tcBorders>
              <w:tl2br w:val="nil"/>
              <w:tr2bl w:val="nil"/>
            </w:tcBorders>
            <w:noWrap w:val="0"/>
            <w:vAlign w:val="center"/>
          </w:tcPr>
          <w:p w14:paraId="4EACF79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0</w:t>
            </w:r>
          </w:p>
        </w:tc>
        <w:tc>
          <w:tcPr>
            <w:tcW w:w="253" w:type="pct"/>
            <w:tcBorders>
              <w:tl2br w:val="nil"/>
              <w:tr2bl w:val="nil"/>
            </w:tcBorders>
            <w:noWrap w:val="0"/>
            <w:vAlign w:val="center"/>
          </w:tcPr>
          <w:p w14:paraId="0245063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r>
      <w:tr w14:paraId="0A81F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3"/>
            <w:tcBorders>
              <w:tl2br w:val="nil"/>
              <w:tr2bl w:val="nil"/>
            </w:tcBorders>
            <w:noWrap w:val="0"/>
            <w:vAlign w:val="center"/>
          </w:tcPr>
          <w:p w14:paraId="3944939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eastAsia="黑体" w:cs="Times New Roman"/>
                <w:b/>
                <w:bCs/>
                <w:color w:val="auto"/>
                <w:spacing w:val="4"/>
                <w:sz w:val="21"/>
                <w:szCs w:val="21"/>
                <w:highlight w:val="none"/>
                <w:u w:val="none"/>
              </w:rPr>
              <w:t>定性指标</w:t>
            </w:r>
          </w:p>
        </w:tc>
      </w:tr>
      <w:tr w14:paraId="481EE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tcBorders>
              <w:tl2br w:val="nil"/>
              <w:tr2bl w:val="nil"/>
            </w:tcBorders>
            <w:noWrap w:val="0"/>
            <w:vAlign w:val="center"/>
          </w:tcPr>
          <w:p w14:paraId="3D15EB3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一级指标</w:t>
            </w:r>
          </w:p>
        </w:tc>
        <w:tc>
          <w:tcPr>
            <w:tcW w:w="409" w:type="pct"/>
            <w:tcBorders>
              <w:tl2br w:val="nil"/>
              <w:tr2bl w:val="nil"/>
            </w:tcBorders>
            <w:noWrap w:val="0"/>
            <w:vAlign w:val="center"/>
          </w:tcPr>
          <w:p w14:paraId="59023D5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指标分值</w:t>
            </w:r>
          </w:p>
        </w:tc>
        <w:tc>
          <w:tcPr>
            <w:tcW w:w="2678" w:type="pct"/>
            <w:gridSpan w:val="6"/>
            <w:tcBorders>
              <w:tl2br w:val="nil"/>
              <w:tr2bl w:val="nil"/>
            </w:tcBorders>
            <w:noWrap w:val="0"/>
            <w:vAlign w:val="center"/>
          </w:tcPr>
          <w:p w14:paraId="39BC183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二级指标</w:t>
            </w:r>
          </w:p>
        </w:tc>
        <w:tc>
          <w:tcPr>
            <w:tcW w:w="414" w:type="pct"/>
            <w:gridSpan w:val="2"/>
            <w:tcBorders>
              <w:tl2br w:val="nil"/>
              <w:tr2bl w:val="nil"/>
            </w:tcBorders>
            <w:noWrap w:val="0"/>
            <w:vAlign w:val="center"/>
          </w:tcPr>
          <w:p w14:paraId="309D618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指标分值</w:t>
            </w:r>
          </w:p>
        </w:tc>
        <w:tc>
          <w:tcPr>
            <w:tcW w:w="253" w:type="pct"/>
            <w:tcBorders>
              <w:tl2br w:val="nil"/>
              <w:tr2bl w:val="nil"/>
            </w:tcBorders>
            <w:noWrap w:val="0"/>
            <w:vAlign w:val="center"/>
          </w:tcPr>
          <w:p w14:paraId="504E19B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评分</w:t>
            </w:r>
          </w:p>
        </w:tc>
      </w:tr>
      <w:tr w14:paraId="17415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restart"/>
            <w:tcBorders>
              <w:tl2br w:val="nil"/>
              <w:tr2bl w:val="nil"/>
            </w:tcBorders>
            <w:noWrap w:val="0"/>
            <w:vAlign w:val="center"/>
          </w:tcPr>
          <w:p w14:paraId="16D6E08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（1）生产工艺及设备要求</w:t>
            </w:r>
          </w:p>
        </w:tc>
        <w:tc>
          <w:tcPr>
            <w:tcW w:w="409" w:type="pct"/>
            <w:vMerge w:val="restart"/>
            <w:tcBorders>
              <w:tl2br w:val="nil"/>
              <w:tr2bl w:val="nil"/>
            </w:tcBorders>
            <w:noWrap w:val="0"/>
            <w:vAlign w:val="center"/>
          </w:tcPr>
          <w:p w14:paraId="34B3390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45</w:t>
            </w:r>
          </w:p>
        </w:tc>
        <w:tc>
          <w:tcPr>
            <w:tcW w:w="1654" w:type="pct"/>
            <w:gridSpan w:val="4"/>
            <w:tcBorders>
              <w:tl2br w:val="nil"/>
              <w:tr2bl w:val="nil"/>
            </w:tcBorders>
            <w:noWrap w:val="0"/>
            <w:vAlign w:val="center"/>
          </w:tcPr>
          <w:p w14:paraId="779A02D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井筒质量</w:t>
            </w:r>
          </w:p>
        </w:tc>
        <w:tc>
          <w:tcPr>
            <w:tcW w:w="1024" w:type="pct"/>
            <w:gridSpan w:val="2"/>
            <w:tcBorders>
              <w:tl2br w:val="nil"/>
              <w:tr2bl w:val="nil"/>
            </w:tcBorders>
            <w:noWrap w:val="0"/>
            <w:vAlign w:val="center"/>
          </w:tcPr>
          <w:p w14:paraId="5A17C51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井筒设施完好</w:t>
            </w:r>
          </w:p>
        </w:tc>
        <w:tc>
          <w:tcPr>
            <w:tcW w:w="414" w:type="pct"/>
            <w:gridSpan w:val="2"/>
            <w:tcBorders>
              <w:tl2br w:val="nil"/>
              <w:tr2bl w:val="nil"/>
            </w:tcBorders>
            <w:noWrap w:val="0"/>
            <w:vAlign w:val="center"/>
          </w:tcPr>
          <w:p w14:paraId="7BAE496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c>
          <w:tcPr>
            <w:tcW w:w="253" w:type="pct"/>
            <w:tcBorders>
              <w:tl2br w:val="nil"/>
              <w:tr2bl w:val="nil"/>
            </w:tcBorders>
            <w:noWrap w:val="0"/>
            <w:vAlign w:val="center"/>
          </w:tcPr>
          <w:p w14:paraId="4C7E0B1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r>
      <w:tr w14:paraId="794AE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continue"/>
            <w:tcBorders>
              <w:tl2br w:val="nil"/>
              <w:tr2bl w:val="nil"/>
            </w:tcBorders>
            <w:noWrap w:val="0"/>
            <w:vAlign w:val="center"/>
          </w:tcPr>
          <w:p w14:paraId="779F731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409" w:type="pct"/>
            <w:vMerge w:val="continue"/>
            <w:tcBorders>
              <w:tl2br w:val="nil"/>
              <w:tr2bl w:val="nil"/>
            </w:tcBorders>
            <w:noWrap w:val="0"/>
            <w:vAlign w:val="center"/>
          </w:tcPr>
          <w:p w14:paraId="185C928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153" w:type="pct"/>
            <w:vMerge w:val="restart"/>
            <w:tcBorders>
              <w:tl2br w:val="nil"/>
              <w:tr2bl w:val="nil"/>
            </w:tcBorders>
            <w:noWrap w:val="0"/>
            <w:vAlign w:val="center"/>
          </w:tcPr>
          <w:p w14:paraId="60566BD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ascii="Times New Roman" w:hAnsi="Times New Roman" w:cs="Times New Roman"/>
                <w:color w:val="auto"/>
                <w:spacing w:val="4"/>
                <w:sz w:val="21"/>
                <w:szCs w:val="21"/>
                <w:highlight w:val="none"/>
                <w:u w:val="none"/>
                <w:lang w:eastAsia="zh-CN"/>
              </w:rPr>
              <w:t>采</w:t>
            </w:r>
            <w:r>
              <w:rPr>
                <w:rFonts w:hint="eastAsia" w:cs="Times New Roman"/>
                <w:color w:val="auto"/>
                <w:spacing w:val="4"/>
                <w:sz w:val="21"/>
                <w:szCs w:val="21"/>
                <w:highlight w:val="none"/>
                <w:u w:val="none"/>
                <w:lang w:val="en-US" w:eastAsia="zh-CN"/>
              </w:rPr>
              <w:t>气</w:t>
            </w:r>
          </w:p>
        </w:tc>
        <w:tc>
          <w:tcPr>
            <w:tcW w:w="1059" w:type="pct"/>
            <w:gridSpan w:val="2"/>
            <w:tcBorders>
              <w:tl2br w:val="nil"/>
              <w:tr2bl w:val="nil"/>
            </w:tcBorders>
            <w:noWrap w:val="0"/>
            <w:vAlign w:val="center"/>
          </w:tcPr>
          <w:p w14:paraId="1199693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eastAsia" w:ascii="Times New Roman" w:hAnsi="Times New Roman" w:cs="Times New Roman"/>
                <w:color w:val="auto"/>
                <w:spacing w:val="4"/>
                <w:sz w:val="21"/>
                <w:szCs w:val="21"/>
                <w:highlight w:val="none"/>
                <w:u w:val="none"/>
                <w:lang w:eastAsia="zh-CN"/>
              </w:rPr>
              <w:t>采</w:t>
            </w:r>
            <w:r>
              <w:rPr>
                <w:rFonts w:hint="eastAsia" w:cs="Times New Roman"/>
                <w:color w:val="auto"/>
                <w:spacing w:val="4"/>
                <w:sz w:val="21"/>
                <w:szCs w:val="21"/>
                <w:highlight w:val="none"/>
                <w:u w:val="none"/>
                <w:lang w:val="en-US" w:eastAsia="zh-CN"/>
              </w:rPr>
              <w:t>气</w:t>
            </w:r>
            <w:r>
              <w:rPr>
                <w:rFonts w:hint="default" w:ascii="Times New Roman" w:hAnsi="Times New Roman" w:cs="Times New Roman"/>
                <w:color w:val="auto"/>
                <w:spacing w:val="4"/>
                <w:sz w:val="21"/>
                <w:szCs w:val="21"/>
                <w:highlight w:val="none"/>
                <w:u w:val="none"/>
              </w:rPr>
              <w:t>过程醇回收设施</w:t>
            </w:r>
          </w:p>
        </w:tc>
        <w:tc>
          <w:tcPr>
            <w:tcW w:w="441" w:type="pct"/>
            <w:tcBorders>
              <w:tl2br w:val="nil"/>
              <w:tr2bl w:val="nil"/>
            </w:tcBorders>
            <w:noWrap w:val="0"/>
            <w:vAlign w:val="center"/>
          </w:tcPr>
          <w:p w14:paraId="4131AB7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164" w:type="pct"/>
            <w:vMerge w:val="restart"/>
            <w:tcBorders>
              <w:tl2br w:val="nil"/>
              <w:tr2bl w:val="nil"/>
            </w:tcBorders>
            <w:noWrap w:val="0"/>
            <w:vAlign w:val="center"/>
          </w:tcPr>
          <w:p w14:paraId="63EEF15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color w:val="auto"/>
                <w:spacing w:val="4"/>
                <w:sz w:val="21"/>
                <w:szCs w:val="21"/>
                <w:highlight w:val="none"/>
                <w:u w:val="none"/>
                <w:lang w:val="en-US" w:eastAsia="zh-CN"/>
              </w:rPr>
            </w:pPr>
            <w:r>
              <w:rPr>
                <w:rFonts w:hint="eastAsia" w:cs="Times New Roman"/>
                <w:color w:val="auto"/>
                <w:spacing w:val="4"/>
                <w:sz w:val="21"/>
                <w:szCs w:val="21"/>
                <w:highlight w:val="none"/>
                <w:u w:val="none"/>
                <w:lang w:val="en-US" w:eastAsia="zh-CN"/>
              </w:rPr>
              <w:t>采油</w:t>
            </w:r>
          </w:p>
        </w:tc>
        <w:tc>
          <w:tcPr>
            <w:tcW w:w="859" w:type="pct"/>
            <w:tcBorders>
              <w:tl2br w:val="nil"/>
              <w:tr2bl w:val="nil"/>
            </w:tcBorders>
            <w:noWrap w:val="0"/>
            <w:vAlign w:val="center"/>
          </w:tcPr>
          <w:p w14:paraId="5DEFB41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套管气回收装置</w:t>
            </w:r>
          </w:p>
        </w:tc>
        <w:tc>
          <w:tcPr>
            <w:tcW w:w="414" w:type="pct"/>
            <w:gridSpan w:val="2"/>
            <w:tcBorders>
              <w:tl2br w:val="nil"/>
              <w:tr2bl w:val="nil"/>
            </w:tcBorders>
            <w:noWrap w:val="0"/>
            <w:vAlign w:val="center"/>
          </w:tcPr>
          <w:p w14:paraId="7770F37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253" w:type="pct"/>
            <w:tcBorders>
              <w:tl2br w:val="nil"/>
              <w:tr2bl w:val="nil"/>
            </w:tcBorders>
            <w:noWrap w:val="0"/>
            <w:vAlign w:val="center"/>
          </w:tcPr>
          <w:p w14:paraId="7434568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ascii="Times New Roman" w:hAnsi="Times New Roman" w:cs="Times New Roman"/>
                <w:color w:val="auto"/>
                <w:spacing w:val="4"/>
                <w:sz w:val="21"/>
                <w:szCs w:val="21"/>
                <w:highlight w:val="none"/>
                <w:u w:val="none"/>
                <w:lang w:val="en-US" w:eastAsia="zh-CN"/>
              </w:rPr>
              <w:t>10</w:t>
            </w:r>
          </w:p>
        </w:tc>
      </w:tr>
      <w:tr w14:paraId="13256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continue"/>
            <w:tcBorders>
              <w:tl2br w:val="nil"/>
              <w:tr2bl w:val="nil"/>
            </w:tcBorders>
            <w:noWrap w:val="0"/>
            <w:vAlign w:val="center"/>
          </w:tcPr>
          <w:p w14:paraId="0740CBC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409" w:type="pct"/>
            <w:vMerge w:val="continue"/>
            <w:tcBorders>
              <w:tl2br w:val="nil"/>
              <w:tr2bl w:val="nil"/>
            </w:tcBorders>
            <w:noWrap w:val="0"/>
            <w:vAlign w:val="center"/>
          </w:tcPr>
          <w:p w14:paraId="54A13E7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153" w:type="pct"/>
            <w:vMerge w:val="continue"/>
            <w:tcBorders>
              <w:tl2br w:val="nil"/>
              <w:tr2bl w:val="nil"/>
            </w:tcBorders>
            <w:noWrap w:val="0"/>
            <w:vAlign w:val="center"/>
          </w:tcPr>
          <w:p w14:paraId="012206E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1059" w:type="pct"/>
            <w:gridSpan w:val="2"/>
            <w:tcBorders>
              <w:tl2br w:val="nil"/>
              <w:tr2bl w:val="nil"/>
            </w:tcBorders>
            <w:noWrap w:val="0"/>
            <w:vAlign w:val="center"/>
          </w:tcPr>
          <w:p w14:paraId="0DAF0D2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天然气净化设施先进、净化效率高</w:t>
            </w:r>
          </w:p>
        </w:tc>
        <w:tc>
          <w:tcPr>
            <w:tcW w:w="441" w:type="pct"/>
            <w:tcBorders>
              <w:tl2br w:val="nil"/>
              <w:tr2bl w:val="nil"/>
            </w:tcBorders>
            <w:noWrap w:val="0"/>
            <w:vAlign w:val="center"/>
          </w:tcPr>
          <w:p w14:paraId="6F21226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20</w:t>
            </w:r>
          </w:p>
        </w:tc>
        <w:tc>
          <w:tcPr>
            <w:tcW w:w="164" w:type="pct"/>
            <w:vMerge w:val="continue"/>
            <w:tcBorders>
              <w:tl2br w:val="nil"/>
              <w:tr2bl w:val="nil"/>
            </w:tcBorders>
            <w:noWrap w:val="0"/>
            <w:vAlign w:val="center"/>
          </w:tcPr>
          <w:p w14:paraId="21E0F9A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859" w:type="pct"/>
            <w:tcBorders>
              <w:tl2br w:val="nil"/>
              <w:tr2bl w:val="nil"/>
            </w:tcBorders>
            <w:noWrap w:val="0"/>
            <w:vAlign w:val="center"/>
          </w:tcPr>
          <w:p w14:paraId="2B47376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防治落地原油产生措施</w:t>
            </w:r>
          </w:p>
        </w:tc>
        <w:tc>
          <w:tcPr>
            <w:tcW w:w="414" w:type="pct"/>
            <w:gridSpan w:val="2"/>
            <w:tcBorders>
              <w:tl2br w:val="nil"/>
              <w:tr2bl w:val="nil"/>
            </w:tcBorders>
            <w:noWrap w:val="0"/>
            <w:vAlign w:val="center"/>
          </w:tcPr>
          <w:p w14:paraId="128E593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20</w:t>
            </w:r>
          </w:p>
        </w:tc>
        <w:tc>
          <w:tcPr>
            <w:tcW w:w="253" w:type="pct"/>
            <w:tcBorders>
              <w:tl2br w:val="nil"/>
              <w:tr2bl w:val="nil"/>
            </w:tcBorders>
            <w:noWrap w:val="0"/>
            <w:vAlign w:val="center"/>
          </w:tcPr>
          <w:p w14:paraId="4F2E228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eastAsia" w:ascii="Times New Roman" w:hAnsi="Times New Roman" w:cs="Times New Roman"/>
                <w:color w:val="auto"/>
                <w:spacing w:val="4"/>
                <w:sz w:val="21"/>
                <w:szCs w:val="21"/>
                <w:highlight w:val="none"/>
                <w:u w:val="none"/>
                <w:lang w:val="en-US" w:eastAsia="zh-CN"/>
              </w:rPr>
              <w:t>20</w:t>
            </w:r>
          </w:p>
        </w:tc>
      </w:tr>
      <w:tr w14:paraId="5154A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continue"/>
            <w:tcBorders>
              <w:tl2br w:val="nil"/>
              <w:tr2bl w:val="nil"/>
            </w:tcBorders>
            <w:noWrap w:val="0"/>
            <w:vAlign w:val="center"/>
          </w:tcPr>
          <w:p w14:paraId="5042055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409" w:type="pct"/>
            <w:vMerge w:val="continue"/>
            <w:tcBorders>
              <w:tl2br w:val="nil"/>
              <w:tr2bl w:val="nil"/>
            </w:tcBorders>
            <w:noWrap w:val="0"/>
            <w:vAlign w:val="center"/>
          </w:tcPr>
          <w:p w14:paraId="6BDD0A5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1654" w:type="pct"/>
            <w:gridSpan w:val="4"/>
            <w:tcBorders>
              <w:tl2br w:val="nil"/>
              <w:tr2bl w:val="nil"/>
            </w:tcBorders>
            <w:noWrap w:val="0"/>
            <w:vAlign w:val="center"/>
          </w:tcPr>
          <w:p w14:paraId="79AB9FA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集输流程</w:t>
            </w:r>
          </w:p>
        </w:tc>
        <w:tc>
          <w:tcPr>
            <w:tcW w:w="1024" w:type="pct"/>
            <w:gridSpan w:val="2"/>
            <w:tcBorders>
              <w:tl2br w:val="nil"/>
              <w:tr2bl w:val="nil"/>
            </w:tcBorders>
            <w:noWrap w:val="0"/>
            <w:vAlign w:val="center"/>
          </w:tcPr>
          <w:p w14:paraId="797C02A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全密闭流程，并具有轻烃回收装置</w:t>
            </w:r>
          </w:p>
        </w:tc>
        <w:tc>
          <w:tcPr>
            <w:tcW w:w="414" w:type="pct"/>
            <w:gridSpan w:val="2"/>
            <w:tcBorders>
              <w:tl2br w:val="nil"/>
              <w:tr2bl w:val="nil"/>
            </w:tcBorders>
            <w:noWrap w:val="0"/>
            <w:vAlign w:val="center"/>
          </w:tcPr>
          <w:p w14:paraId="2A4BC26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253" w:type="pct"/>
            <w:tcBorders>
              <w:tl2br w:val="nil"/>
              <w:tr2bl w:val="nil"/>
            </w:tcBorders>
            <w:noWrap w:val="0"/>
            <w:vAlign w:val="center"/>
          </w:tcPr>
          <w:p w14:paraId="5E18291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r>
      <w:tr w14:paraId="0FC6A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restart"/>
            <w:tcBorders>
              <w:tl2br w:val="nil"/>
              <w:tr2bl w:val="nil"/>
            </w:tcBorders>
            <w:noWrap w:val="0"/>
            <w:vAlign w:val="center"/>
          </w:tcPr>
          <w:p w14:paraId="0469259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（2）管理体系建设及清洁生产审核</w:t>
            </w:r>
          </w:p>
        </w:tc>
        <w:tc>
          <w:tcPr>
            <w:tcW w:w="409" w:type="pct"/>
            <w:vMerge w:val="restart"/>
            <w:tcBorders>
              <w:tl2br w:val="nil"/>
              <w:tr2bl w:val="nil"/>
            </w:tcBorders>
            <w:noWrap w:val="0"/>
            <w:vAlign w:val="center"/>
          </w:tcPr>
          <w:p w14:paraId="6C96E74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35</w:t>
            </w:r>
          </w:p>
        </w:tc>
        <w:tc>
          <w:tcPr>
            <w:tcW w:w="2678" w:type="pct"/>
            <w:gridSpan w:val="6"/>
            <w:tcBorders>
              <w:tl2br w:val="nil"/>
              <w:tr2bl w:val="nil"/>
            </w:tcBorders>
            <w:noWrap w:val="0"/>
            <w:vAlign w:val="center"/>
          </w:tcPr>
          <w:p w14:paraId="6425802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建立HSE管理体系并通过验证</w:t>
            </w:r>
          </w:p>
        </w:tc>
        <w:tc>
          <w:tcPr>
            <w:tcW w:w="414" w:type="pct"/>
            <w:gridSpan w:val="2"/>
            <w:tcBorders>
              <w:tl2br w:val="nil"/>
              <w:tr2bl w:val="nil"/>
            </w:tcBorders>
            <w:noWrap w:val="0"/>
            <w:vAlign w:val="center"/>
          </w:tcPr>
          <w:p w14:paraId="541A5AD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c>
          <w:tcPr>
            <w:tcW w:w="253" w:type="pct"/>
            <w:tcBorders>
              <w:tl2br w:val="nil"/>
              <w:tr2bl w:val="nil"/>
            </w:tcBorders>
            <w:noWrap w:val="0"/>
            <w:vAlign w:val="center"/>
          </w:tcPr>
          <w:p w14:paraId="3CBA6F9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10</w:t>
            </w:r>
          </w:p>
        </w:tc>
      </w:tr>
      <w:tr w14:paraId="2717E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continue"/>
            <w:tcBorders>
              <w:tl2br w:val="nil"/>
              <w:tr2bl w:val="nil"/>
            </w:tcBorders>
            <w:noWrap w:val="0"/>
            <w:vAlign w:val="center"/>
          </w:tcPr>
          <w:p w14:paraId="62760C4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409" w:type="pct"/>
            <w:vMerge w:val="continue"/>
            <w:tcBorders>
              <w:tl2br w:val="nil"/>
              <w:tr2bl w:val="nil"/>
            </w:tcBorders>
            <w:noWrap w:val="0"/>
            <w:vAlign w:val="center"/>
          </w:tcPr>
          <w:p w14:paraId="19B40A2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2678" w:type="pct"/>
            <w:gridSpan w:val="6"/>
            <w:tcBorders>
              <w:tl2br w:val="nil"/>
              <w:tr2bl w:val="nil"/>
            </w:tcBorders>
            <w:noWrap w:val="0"/>
            <w:vAlign w:val="center"/>
          </w:tcPr>
          <w:p w14:paraId="63B0D41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开展清洁生产审核</w:t>
            </w:r>
          </w:p>
        </w:tc>
        <w:tc>
          <w:tcPr>
            <w:tcW w:w="414" w:type="pct"/>
            <w:gridSpan w:val="2"/>
            <w:tcBorders>
              <w:tl2br w:val="nil"/>
              <w:tr2bl w:val="nil"/>
            </w:tcBorders>
            <w:noWrap w:val="0"/>
            <w:vAlign w:val="center"/>
          </w:tcPr>
          <w:p w14:paraId="7161317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20</w:t>
            </w:r>
          </w:p>
        </w:tc>
        <w:tc>
          <w:tcPr>
            <w:tcW w:w="253" w:type="pct"/>
            <w:tcBorders>
              <w:tl2br w:val="nil"/>
              <w:tr2bl w:val="nil"/>
            </w:tcBorders>
            <w:noWrap w:val="0"/>
            <w:vAlign w:val="center"/>
          </w:tcPr>
          <w:p w14:paraId="2F9D9B4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20</w:t>
            </w:r>
          </w:p>
        </w:tc>
      </w:tr>
      <w:tr w14:paraId="2FEF2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continue"/>
            <w:tcBorders>
              <w:tl2br w:val="nil"/>
              <w:tr2bl w:val="nil"/>
            </w:tcBorders>
            <w:noWrap w:val="0"/>
            <w:vAlign w:val="center"/>
          </w:tcPr>
          <w:p w14:paraId="37660BC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409" w:type="pct"/>
            <w:vMerge w:val="continue"/>
            <w:tcBorders>
              <w:tl2br w:val="nil"/>
              <w:tr2bl w:val="nil"/>
            </w:tcBorders>
            <w:noWrap w:val="0"/>
            <w:vAlign w:val="center"/>
          </w:tcPr>
          <w:p w14:paraId="546A8BA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2678" w:type="pct"/>
            <w:gridSpan w:val="6"/>
            <w:tcBorders>
              <w:tl2br w:val="nil"/>
              <w:tr2bl w:val="nil"/>
            </w:tcBorders>
            <w:noWrap w:val="0"/>
            <w:vAlign w:val="center"/>
          </w:tcPr>
          <w:p w14:paraId="63EB666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制定节能减排工作计划</w:t>
            </w:r>
          </w:p>
        </w:tc>
        <w:tc>
          <w:tcPr>
            <w:tcW w:w="414" w:type="pct"/>
            <w:gridSpan w:val="2"/>
            <w:tcBorders>
              <w:tl2br w:val="nil"/>
              <w:tr2bl w:val="nil"/>
            </w:tcBorders>
            <w:noWrap w:val="0"/>
            <w:vAlign w:val="center"/>
          </w:tcPr>
          <w:p w14:paraId="3485E3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c>
          <w:tcPr>
            <w:tcW w:w="253" w:type="pct"/>
            <w:tcBorders>
              <w:tl2br w:val="nil"/>
              <w:tr2bl w:val="nil"/>
            </w:tcBorders>
            <w:noWrap w:val="0"/>
            <w:vAlign w:val="center"/>
          </w:tcPr>
          <w:p w14:paraId="6A98C4C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r>
      <w:tr w14:paraId="30A34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restart"/>
            <w:tcBorders>
              <w:tl2br w:val="nil"/>
              <w:tr2bl w:val="nil"/>
            </w:tcBorders>
            <w:noWrap w:val="0"/>
            <w:vAlign w:val="center"/>
          </w:tcPr>
          <w:p w14:paraId="4D42667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（3）环保政策法规执行情况</w:t>
            </w:r>
          </w:p>
        </w:tc>
        <w:tc>
          <w:tcPr>
            <w:tcW w:w="409" w:type="pct"/>
            <w:vMerge w:val="restart"/>
            <w:tcBorders>
              <w:tl2br w:val="nil"/>
              <w:tr2bl w:val="nil"/>
            </w:tcBorders>
            <w:noWrap w:val="0"/>
            <w:vAlign w:val="center"/>
          </w:tcPr>
          <w:p w14:paraId="5B41345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20</w:t>
            </w:r>
          </w:p>
        </w:tc>
        <w:tc>
          <w:tcPr>
            <w:tcW w:w="2678" w:type="pct"/>
            <w:gridSpan w:val="6"/>
            <w:tcBorders>
              <w:tl2br w:val="nil"/>
              <w:tr2bl w:val="nil"/>
            </w:tcBorders>
            <w:noWrap w:val="0"/>
            <w:vAlign w:val="center"/>
          </w:tcPr>
          <w:p w14:paraId="0C34A13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建设项目“三同时”执行情况</w:t>
            </w:r>
          </w:p>
        </w:tc>
        <w:tc>
          <w:tcPr>
            <w:tcW w:w="414" w:type="pct"/>
            <w:gridSpan w:val="2"/>
            <w:tcBorders>
              <w:tl2br w:val="nil"/>
              <w:tr2bl w:val="nil"/>
            </w:tcBorders>
            <w:noWrap w:val="0"/>
            <w:vAlign w:val="center"/>
          </w:tcPr>
          <w:p w14:paraId="372E5C6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c>
          <w:tcPr>
            <w:tcW w:w="253" w:type="pct"/>
            <w:tcBorders>
              <w:tl2br w:val="nil"/>
              <w:tr2bl w:val="nil"/>
            </w:tcBorders>
            <w:noWrap w:val="0"/>
            <w:vAlign w:val="center"/>
          </w:tcPr>
          <w:p w14:paraId="329B6EF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r>
      <w:tr w14:paraId="4F27D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continue"/>
            <w:tcBorders>
              <w:tl2br w:val="nil"/>
              <w:tr2bl w:val="nil"/>
            </w:tcBorders>
            <w:noWrap w:val="0"/>
            <w:vAlign w:val="center"/>
          </w:tcPr>
          <w:p w14:paraId="21CEE38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409" w:type="pct"/>
            <w:vMerge w:val="continue"/>
            <w:tcBorders>
              <w:tl2br w:val="nil"/>
              <w:tr2bl w:val="nil"/>
            </w:tcBorders>
            <w:noWrap w:val="0"/>
            <w:vAlign w:val="center"/>
          </w:tcPr>
          <w:p w14:paraId="63003AE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2678" w:type="pct"/>
            <w:gridSpan w:val="6"/>
            <w:tcBorders>
              <w:tl2br w:val="nil"/>
              <w:tr2bl w:val="nil"/>
            </w:tcBorders>
            <w:noWrap w:val="0"/>
            <w:vAlign w:val="center"/>
          </w:tcPr>
          <w:p w14:paraId="1A881A8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建设项目环境影响评价制度执行情况</w:t>
            </w:r>
          </w:p>
        </w:tc>
        <w:tc>
          <w:tcPr>
            <w:tcW w:w="414" w:type="pct"/>
            <w:gridSpan w:val="2"/>
            <w:tcBorders>
              <w:tl2br w:val="nil"/>
              <w:tr2bl w:val="nil"/>
            </w:tcBorders>
            <w:noWrap w:val="0"/>
            <w:vAlign w:val="center"/>
          </w:tcPr>
          <w:p w14:paraId="548549A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c>
          <w:tcPr>
            <w:tcW w:w="253" w:type="pct"/>
            <w:tcBorders>
              <w:tl2br w:val="nil"/>
              <w:tr2bl w:val="nil"/>
            </w:tcBorders>
            <w:noWrap w:val="0"/>
            <w:vAlign w:val="center"/>
          </w:tcPr>
          <w:p w14:paraId="2B54881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r>
      <w:tr w14:paraId="02BAB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continue"/>
            <w:tcBorders>
              <w:tl2br w:val="nil"/>
              <w:tr2bl w:val="nil"/>
            </w:tcBorders>
            <w:noWrap w:val="0"/>
            <w:vAlign w:val="center"/>
          </w:tcPr>
          <w:p w14:paraId="1684186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409" w:type="pct"/>
            <w:vMerge w:val="continue"/>
            <w:tcBorders>
              <w:tl2br w:val="nil"/>
              <w:tr2bl w:val="nil"/>
            </w:tcBorders>
            <w:noWrap w:val="0"/>
            <w:vAlign w:val="center"/>
          </w:tcPr>
          <w:p w14:paraId="1C69ED7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2678" w:type="pct"/>
            <w:gridSpan w:val="6"/>
            <w:tcBorders>
              <w:tl2br w:val="nil"/>
              <w:tr2bl w:val="nil"/>
            </w:tcBorders>
            <w:noWrap w:val="0"/>
            <w:vAlign w:val="center"/>
          </w:tcPr>
          <w:p w14:paraId="190E923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污染物排放总量控制与减排措施情况</w:t>
            </w:r>
          </w:p>
        </w:tc>
        <w:tc>
          <w:tcPr>
            <w:tcW w:w="414" w:type="pct"/>
            <w:gridSpan w:val="2"/>
            <w:tcBorders>
              <w:tl2br w:val="nil"/>
              <w:tr2bl w:val="nil"/>
            </w:tcBorders>
            <w:noWrap w:val="0"/>
            <w:vAlign w:val="center"/>
          </w:tcPr>
          <w:p w14:paraId="1CA2018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c>
          <w:tcPr>
            <w:tcW w:w="253" w:type="pct"/>
            <w:tcBorders>
              <w:tl2br w:val="nil"/>
              <w:tr2bl w:val="nil"/>
            </w:tcBorders>
            <w:noWrap w:val="0"/>
            <w:vAlign w:val="center"/>
          </w:tcPr>
          <w:p w14:paraId="7D2EBE2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r>
      <w:tr w14:paraId="1D442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3" w:type="pct"/>
            <w:gridSpan w:val="3"/>
            <w:vMerge w:val="continue"/>
            <w:tcBorders>
              <w:tl2br w:val="nil"/>
              <w:tr2bl w:val="nil"/>
            </w:tcBorders>
            <w:noWrap w:val="0"/>
            <w:vAlign w:val="center"/>
          </w:tcPr>
          <w:p w14:paraId="1731161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409" w:type="pct"/>
            <w:vMerge w:val="continue"/>
            <w:tcBorders>
              <w:tl2br w:val="nil"/>
              <w:tr2bl w:val="nil"/>
            </w:tcBorders>
            <w:noWrap w:val="0"/>
            <w:vAlign w:val="center"/>
          </w:tcPr>
          <w:p w14:paraId="51924A2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p>
        </w:tc>
        <w:tc>
          <w:tcPr>
            <w:tcW w:w="2678" w:type="pct"/>
            <w:gridSpan w:val="6"/>
            <w:tcBorders>
              <w:tl2br w:val="nil"/>
              <w:tr2bl w:val="nil"/>
            </w:tcBorders>
            <w:noWrap w:val="0"/>
            <w:vAlign w:val="center"/>
          </w:tcPr>
          <w:p w14:paraId="0A8B2C7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老污染源限期治理项目完成情况</w:t>
            </w:r>
          </w:p>
        </w:tc>
        <w:tc>
          <w:tcPr>
            <w:tcW w:w="414" w:type="pct"/>
            <w:gridSpan w:val="2"/>
            <w:tcBorders>
              <w:tl2br w:val="nil"/>
              <w:tr2bl w:val="nil"/>
            </w:tcBorders>
            <w:noWrap w:val="0"/>
            <w:vAlign w:val="center"/>
          </w:tcPr>
          <w:p w14:paraId="376D4BB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c>
          <w:tcPr>
            <w:tcW w:w="253" w:type="pct"/>
            <w:tcBorders>
              <w:tl2br w:val="nil"/>
              <w:tr2bl w:val="nil"/>
            </w:tcBorders>
            <w:noWrap w:val="0"/>
            <w:vAlign w:val="center"/>
          </w:tcPr>
          <w:p w14:paraId="5E263E2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5</w:t>
            </w:r>
          </w:p>
        </w:tc>
      </w:tr>
    </w:tbl>
    <w:p w14:paraId="4BD3DF8C">
      <w:pPr>
        <w:pStyle w:val="77"/>
        <w:spacing w:line="240" w:lineRule="auto"/>
        <w:ind w:left="0" w:leftChars="0" w:firstLine="0" w:firstLineChars="0"/>
        <w:rPr>
          <w:rFonts w:hint="default" w:ascii="Times New Roman" w:hAnsi="Times New Roman" w:cs="Times New Roman"/>
          <w:color w:val="auto"/>
          <w:spacing w:val="0"/>
          <w:u w:val="none"/>
        </w:rPr>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37C170B4">
      <w:pPr>
        <w:keepNext/>
        <w:keepLines/>
        <w:pageBreakBefore w:val="0"/>
        <w:widowControl w:val="0"/>
        <w:tabs>
          <w:tab w:val="left" w:pos="5325"/>
        </w:tabs>
        <w:kinsoku/>
        <w:wordWrap/>
        <w:overflowPunct/>
        <w:topLinePunct w:val="0"/>
        <w:autoSpaceDE/>
        <w:autoSpaceDN/>
        <w:bidi w:val="0"/>
        <w:adjustRightInd/>
        <w:snapToGrid/>
        <w:spacing w:beforeAutospacing="0" w:afterLines="0" w:afterAutospacing="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305" w:name="_Toc109382921"/>
      <w:bookmarkStart w:id="306" w:name="_Toc25360"/>
      <w:bookmarkStart w:id="307" w:name="_Toc28566"/>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4.8 </w:t>
      </w:r>
      <w:r>
        <w:rPr>
          <w:rFonts w:hint="default" w:ascii="黑体" w:hAnsi="黑体" w:eastAsia="黑体" w:cs="黑体"/>
          <w:b/>
          <w:color w:val="auto"/>
          <w:kern w:val="0"/>
          <w:sz w:val="24"/>
          <w:szCs w:val="24"/>
          <w:highlight w:val="none"/>
          <w:u w:val="none"/>
          <w:lang w:val="en-US" w:eastAsia="zh-CN"/>
        </w:rPr>
        <w:t>污染物排放总量控制</w:t>
      </w:r>
      <w:bookmarkEnd w:id="305"/>
      <w:bookmarkEnd w:id="306"/>
      <w:bookmarkEnd w:id="307"/>
      <w:r>
        <w:rPr>
          <w:rFonts w:hint="default" w:ascii="黑体" w:hAnsi="黑体" w:eastAsia="黑体" w:cs="黑体"/>
          <w:b/>
          <w:color w:val="auto"/>
          <w:kern w:val="0"/>
          <w:sz w:val="24"/>
          <w:szCs w:val="24"/>
          <w:highlight w:val="none"/>
          <w:u w:val="none"/>
          <w:lang w:val="en-US" w:eastAsia="zh-CN"/>
        </w:rPr>
        <w:t xml:space="preserve"> </w:t>
      </w:r>
    </w:p>
    <w:p w14:paraId="66DEB7D4">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3.</w:t>
      </w:r>
      <w:r>
        <w:rPr>
          <w:rFonts w:hint="eastAsia" w:ascii="宋体" w:hAnsi="宋体" w:cs="宋体"/>
          <w:color w:val="auto"/>
          <w:u w:val="none"/>
          <w:lang w:val="en-US" w:eastAsia="zh-CN"/>
        </w:rPr>
        <w:t>4.8.1</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 xml:space="preserve">总量控制原则 </w:t>
      </w:r>
    </w:p>
    <w:p w14:paraId="43EDC182">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eastAsia="宋体" w:cs="Times New Roman"/>
          <w:color w:val="auto"/>
          <w:sz w:val="24"/>
          <w:szCs w:val="22"/>
          <w:u w:val="none"/>
          <w:lang w:val="en-US" w:eastAsia="zh-CN"/>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14:paraId="5FC1E472">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cs="宋体"/>
          <w:color w:val="auto"/>
          <w:u w:val="none"/>
          <w:lang w:val="en-US" w:eastAsia="zh-CN"/>
        </w:rPr>
        <w:t>3.4.8.2</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污染物总量控制因子</w:t>
      </w:r>
    </w:p>
    <w:p w14:paraId="3EE2CEC4">
      <w:pPr>
        <w:pStyle w:val="54"/>
        <w:keepNext w:val="0"/>
        <w:keepLines w:val="0"/>
        <w:pageBreakBefore w:val="0"/>
        <w:kinsoku/>
        <w:wordWrap/>
        <w:overflowPunct/>
        <w:topLinePunct w:val="0"/>
        <w:autoSpaceDE/>
        <w:autoSpaceDN/>
        <w:bidi w:val="0"/>
        <w:spacing w:line="480" w:lineRule="exact"/>
        <w:textAlignment w:val="auto"/>
        <w:rPr>
          <w:rFonts w:hint="eastAsia" w:ascii="宋体" w:hAnsi="宋体" w:eastAsia="宋体" w:cs="宋体"/>
          <w:color w:val="auto"/>
          <w:u w:val="none"/>
        </w:rPr>
      </w:pPr>
      <w:bookmarkStart w:id="308" w:name="_Hlk57195659"/>
      <w:r>
        <w:rPr>
          <w:rFonts w:hint="eastAsia" w:ascii="宋体" w:hAnsi="宋体" w:eastAsia="宋体" w:cs="宋体"/>
          <w:color w:val="auto"/>
          <w:spacing w:val="-6"/>
          <w:sz w:val="24"/>
          <w:u w:val="none"/>
        </w:rPr>
        <w:t>根据国家“十四五”污染物排放总量控制要求，污染物排放总量控制因子如下：</w:t>
      </w:r>
    </w:p>
    <w:p w14:paraId="7D2413A0">
      <w:pPr>
        <w:pStyle w:val="54"/>
        <w:keepNext w:val="0"/>
        <w:keepLines w:val="0"/>
        <w:pageBreakBefore w:val="0"/>
        <w:kinsoku/>
        <w:wordWrap/>
        <w:overflowPunct/>
        <w:topLinePunct w:val="0"/>
        <w:autoSpaceDE/>
        <w:autoSpaceDN/>
        <w:bidi w:val="0"/>
        <w:spacing w:line="480" w:lineRule="exact"/>
        <w:textAlignment w:val="auto"/>
        <w:rPr>
          <w:rFonts w:hint="eastAsia" w:ascii="宋体" w:hAnsi="宋体" w:eastAsia="宋体" w:cs="宋体"/>
          <w:color w:val="auto"/>
          <w:u w:val="none"/>
        </w:rPr>
      </w:pPr>
      <w:r>
        <w:rPr>
          <w:rFonts w:hint="eastAsia" w:ascii="宋体" w:hAnsi="宋体" w:eastAsia="宋体" w:cs="宋体"/>
          <w:color w:val="auto"/>
          <w:u w:val="none"/>
        </w:rPr>
        <w:t>废气污染物：NO</w:t>
      </w:r>
      <w:r>
        <w:rPr>
          <w:rFonts w:hint="eastAsia" w:ascii="宋体" w:hAnsi="宋体" w:eastAsia="宋体" w:cs="宋体"/>
          <w:color w:val="auto"/>
          <w:u w:val="none"/>
          <w:vertAlign w:val="subscript"/>
        </w:rPr>
        <w:t>X</w:t>
      </w:r>
      <w:r>
        <w:rPr>
          <w:rFonts w:hint="eastAsia" w:ascii="宋体" w:hAnsi="宋体" w:eastAsia="宋体" w:cs="宋体"/>
          <w:color w:val="auto"/>
          <w:u w:val="none"/>
        </w:rPr>
        <w:t>、VOCs。</w:t>
      </w:r>
    </w:p>
    <w:p w14:paraId="4BB358D3">
      <w:pPr>
        <w:pStyle w:val="54"/>
        <w:keepNext w:val="0"/>
        <w:keepLines w:val="0"/>
        <w:pageBreakBefore w:val="0"/>
        <w:kinsoku/>
        <w:wordWrap/>
        <w:overflowPunct/>
        <w:topLinePunct w:val="0"/>
        <w:autoSpaceDE/>
        <w:autoSpaceDN/>
        <w:bidi w:val="0"/>
        <w:spacing w:line="480" w:lineRule="exact"/>
        <w:textAlignment w:val="auto"/>
        <w:rPr>
          <w:rFonts w:hint="eastAsia" w:ascii="宋体" w:hAnsi="宋体" w:eastAsia="宋体" w:cs="宋体"/>
          <w:color w:val="auto"/>
          <w:u w:val="none"/>
        </w:rPr>
      </w:pPr>
      <w:r>
        <w:rPr>
          <w:rFonts w:hint="eastAsia" w:ascii="宋体" w:hAnsi="宋体" w:eastAsia="宋体" w:cs="宋体"/>
          <w:color w:val="auto"/>
          <w:u w:val="none"/>
        </w:rPr>
        <w:t>废水污染物：COD、NH</w:t>
      </w:r>
      <w:r>
        <w:rPr>
          <w:rFonts w:hint="eastAsia" w:ascii="宋体" w:hAnsi="宋体" w:eastAsia="宋体" w:cs="宋体"/>
          <w:color w:val="auto"/>
          <w:u w:val="none"/>
          <w:vertAlign w:val="subscript"/>
        </w:rPr>
        <w:t>3</w:t>
      </w:r>
      <w:r>
        <w:rPr>
          <w:rFonts w:hint="eastAsia" w:ascii="宋体" w:hAnsi="宋体" w:eastAsia="宋体" w:cs="宋体"/>
          <w:color w:val="auto"/>
          <w:u w:val="none"/>
        </w:rPr>
        <w:t>-N。</w:t>
      </w:r>
    </w:p>
    <w:p w14:paraId="670F6AAA">
      <w:pPr>
        <w:keepNext w:val="0"/>
        <w:keepLines w:val="0"/>
        <w:pageBreakBefore w:val="0"/>
        <w:kinsoku/>
        <w:wordWrap/>
        <w:overflowPunct/>
        <w:topLinePunct w:val="0"/>
        <w:autoSpaceDE/>
        <w:autoSpaceDN/>
        <w:bidi w:val="0"/>
        <w:spacing w:line="480" w:lineRule="exact"/>
        <w:ind w:firstLine="578"/>
        <w:textAlignment w:val="auto"/>
        <w:outlineLvl w:val="9"/>
        <w:rPr>
          <w:rFonts w:hint="eastAsia" w:ascii="宋体" w:hAnsi="宋体" w:eastAsia="宋体" w:cs="宋体"/>
          <w:bCs/>
          <w:color w:val="auto"/>
          <w:sz w:val="24"/>
          <w:szCs w:val="24"/>
          <w:highlight w:val="none"/>
          <w:u w:val="none"/>
          <w:lang w:val="en-US" w:eastAsia="zh-CN" w:bidi="ar-SA"/>
        </w:rPr>
      </w:pPr>
      <w:bookmarkStart w:id="309" w:name="_Toc12381"/>
      <w:r>
        <w:rPr>
          <w:rFonts w:hint="eastAsia" w:ascii="宋体" w:hAnsi="宋体" w:eastAsia="宋体" w:cs="宋体"/>
          <w:bCs/>
          <w:color w:val="auto"/>
          <w:sz w:val="24"/>
          <w:szCs w:val="24"/>
          <w:highlight w:val="none"/>
          <w:u w:val="none"/>
          <w:lang w:val="en-US" w:eastAsia="zh-CN" w:bidi="ar-SA"/>
        </w:rPr>
        <w:t>（1）废气污染物</w:t>
      </w:r>
      <w:bookmarkEnd w:id="309"/>
    </w:p>
    <w:p w14:paraId="431488BB">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宋体" w:hAnsi="宋体" w:eastAsia="宋体" w:cs="宋体"/>
          <w:color w:val="auto"/>
          <w:kern w:val="24"/>
          <w:sz w:val="24"/>
          <w:szCs w:val="24"/>
          <w:highlight w:val="none"/>
          <w:u w:val="none"/>
        </w:rPr>
      </w:pPr>
      <w:r>
        <w:rPr>
          <w:rFonts w:hint="eastAsia" w:ascii="宋体" w:hAnsi="宋体" w:eastAsia="宋体" w:cs="宋体"/>
          <w:color w:val="auto"/>
          <w:kern w:val="0"/>
          <w:sz w:val="24"/>
          <w:szCs w:val="24"/>
          <w:highlight w:val="none"/>
          <w:u w:val="none"/>
          <w:lang w:eastAsia="zh-CN"/>
        </w:rPr>
        <w:t>本工程油气集输采用密闭集输工艺</w:t>
      </w:r>
      <w:r>
        <w:rPr>
          <w:rFonts w:hint="eastAsia" w:ascii="宋体" w:hAnsi="宋体" w:eastAsia="宋体" w:cs="宋体"/>
          <w:color w:val="auto"/>
          <w:kern w:val="0"/>
          <w:sz w:val="24"/>
          <w:szCs w:val="24"/>
          <w:highlight w:val="none"/>
          <w:u w:val="none"/>
        </w:rPr>
        <w:t>，主要废气污染物为集输过程中无组织非甲烷总烃</w:t>
      </w:r>
      <w:r>
        <w:rPr>
          <w:rFonts w:hint="eastAsia" w:ascii="宋体" w:hAnsi="宋体" w:cs="宋体"/>
          <w:color w:val="auto"/>
          <w:kern w:val="0"/>
          <w:sz w:val="24"/>
          <w:szCs w:val="24"/>
          <w:highlight w:val="none"/>
          <w:u w:val="none"/>
          <w:lang w:eastAsia="zh-CN"/>
        </w:rPr>
        <w:t>、</w:t>
      </w:r>
      <w:r>
        <w:rPr>
          <w:rFonts w:hint="eastAsia" w:ascii="宋体" w:hAnsi="宋体" w:cs="宋体"/>
          <w:color w:val="auto"/>
          <w:kern w:val="0"/>
          <w:sz w:val="24"/>
          <w:szCs w:val="24"/>
          <w:highlight w:val="none"/>
          <w:u w:val="none"/>
          <w:lang w:val="en-US" w:eastAsia="zh-CN"/>
        </w:rPr>
        <w:t>硫化氢</w:t>
      </w:r>
      <w:r>
        <w:rPr>
          <w:rFonts w:hint="eastAsia" w:ascii="宋体" w:hAnsi="宋体" w:eastAsia="宋体" w:cs="宋体"/>
          <w:color w:val="auto"/>
          <w:kern w:val="0"/>
          <w:sz w:val="24"/>
          <w:szCs w:val="24"/>
          <w:highlight w:val="none"/>
          <w:u w:val="none"/>
        </w:rPr>
        <w:t>气体的挥发</w:t>
      </w:r>
      <w:r>
        <w:rPr>
          <w:rFonts w:hint="eastAsia" w:ascii="宋体" w:hAnsi="宋体" w:eastAsia="宋体" w:cs="宋体"/>
          <w:color w:val="auto"/>
          <w:kern w:val="24"/>
          <w:sz w:val="24"/>
          <w:szCs w:val="24"/>
          <w:highlight w:val="none"/>
          <w:u w:val="none"/>
        </w:rPr>
        <w:t>。</w:t>
      </w:r>
    </w:p>
    <w:p w14:paraId="68678D1B">
      <w:pPr>
        <w:keepNext w:val="0"/>
        <w:keepLines w:val="0"/>
        <w:pageBreakBefore w:val="0"/>
        <w:kinsoku/>
        <w:wordWrap/>
        <w:overflowPunct/>
        <w:topLinePunct w:val="0"/>
        <w:autoSpaceDE/>
        <w:autoSpaceDN/>
        <w:bidi w:val="0"/>
        <w:spacing w:line="480" w:lineRule="exact"/>
        <w:ind w:firstLine="578"/>
        <w:textAlignment w:val="auto"/>
        <w:outlineLvl w:val="9"/>
        <w:rPr>
          <w:rFonts w:hint="eastAsia" w:ascii="宋体" w:hAnsi="宋体" w:eastAsia="宋体" w:cs="宋体"/>
          <w:bCs/>
          <w:color w:val="auto"/>
          <w:sz w:val="24"/>
          <w:szCs w:val="24"/>
          <w:highlight w:val="none"/>
          <w:u w:val="none"/>
          <w:vertAlign w:val="subscript"/>
          <w:lang w:val="en-US" w:eastAsia="zh-CN" w:bidi="ar-SA"/>
        </w:rPr>
      </w:pPr>
      <w:bookmarkStart w:id="310" w:name="_Toc23859"/>
      <w:r>
        <w:rPr>
          <w:rFonts w:hint="eastAsia" w:ascii="宋体" w:hAnsi="宋体" w:eastAsia="宋体" w:cs="宋体"/>
          <w:bCs/>
          <w:color w:val="auto"/>
          <w:sz w:val="24"/>
          <w:szCs w:val="24"/>
          <w:highlight w:val="none"/>
          <w:u w:val="none"/>
          <w:lang w:val="en-US" w:eastAsia="zh-CN" w:bidi="ar-SA"/>
        </w:rPr>
        <w:t>（2）废水污染物：</w:t>
      </w:r>
      <w:bookmarkEnd w:id="310"/>
    </w:p>
    <w:p w14:paraId="7168F56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正常</w:t>
      </w:r>
      <w:r>
        <w:rPr>
          <w:rFonts w:hint="eastAsia" w:ascii="宋体" w:hAnsi="宋体" w:eastAsia="宋体" w:cs="宋体"/>
          <w:color w:val="auto"/>
          <w:kern w:val="0"/>
          <w:sz w:val="24"/>
          <w:szCs w:val="24"/>
          <w:highlight w:val="none"/>
          <w:u w:val="none"/>
          <w:lang w:eastAsia="zh-CN"/>
        </w:rPr>
        <w:t>运营期</w:t>
      </w:r>
      <w:r>
        <w:rPr>
          <w:rFonts w:hint="eastAsia" w:ascii="宋体" w:hAnsi="宋体" w:eastAsia="宋体" w:cs="宋体"/>
          <w:color w:val="auto"/>
          <w:kern w:val="0"/>
          <w:sz w:val="24"/>
          <w:szCs w:val="24"/>
          <w:highlight w:val="none"/>
          <w:u w:val="none"/>
        </w:rPr>
        <w:t>间，采出水依托</w:t>
      </w:r>
      <w:r>
        <w:rPr>
          <w:rFonts w:hint="eastAsia" w:ascii="宋体" w:hAnsi="宋体" w:eastAsia="宋体" w:cs="宋体"/>
          <w:color w:val="auto"/>
          <w:kern w:val="0"/>
          <w:sz w:val="24"/>
          <w:szCs w:val="24"/>
          <w:highlight w:val="none"/>
          <w:u w:val="none"/>
          <w:lang w:val="en-US" w:eastAsia="zh-CN"/>
        </w:rPr>
        <w:t>莫北转油站采出水处理系统</w:t>
      </w:r>
      <w:r>
        <w:rPr>
          <w:rFonts w:hint="eastAsia" w:ascii="宋体" w:hAnsi="宋体" w:eastAsia="宋体" w:cs="宋体"/>
          <w:color w:val="auto"/>
          <w:kern w:val="0"/>
          <w:sz w:val="24"/>
          <w:szCs w:val="24"/>
          <w:highlight w:val="none"/>
          <w:u w:val="none"/>
        </w:rPr>
        <w:t>处理</w:t>
      </w:r>
      <w:r>
        <w:rPr>
          <w:rFonts w:hint="eastAsia" w:ascii="宋体" w:hAnsi="宋体" w:eastAsia="宋体" w:cs="宋体"/>
          <w:color w:val="auto"/>
          <w:kern w:val="0"/>
          <w:sz w:val="24"/>
          <w:szCs w:val="24"/>
          <w:highlight w:val="none"/>
          <w:u w:val="none"/>
          <w:lang w:val="en-US" w:eastAsia="zh-CN"/>
        </w:rPr>
        <w:t>达标后</w:t>
      </w:r>
      <w:r>
        <w:rPr>
          <w:rFonts w:hint="eastAsia" w:ascii="宋体" w:hAnsi="宋体" w:eastAsia="宋体" w:cs="宋体"/>
          <w:color w:val="auto"/>
          <w:kern w:val="0"/>
          <w:sz w:val="24"/>
          <w:szCs w:val="24"/>
          <w:highlight w:val="none"/>
          <w:u w:val="none"/>
        </w:rPr>
        <w:t>回注；井下作业废水采用专用废水回收罐收集后运至</w:t>
      </w:r>
      <w:r>
        <w:rPr>
          <w:rFonts w:hint="eastAsia" w:ascii="宋体" w:hAnsi="宋体" w:eastAsia="宋体" w:cs="宋体"/>
          <w:color w:val="auto"/>
          <w:kern w:val="0"/>
          <w:sz w:val="24"/>
          <w:szCs w:val="24"/>
          <w:highlight w:val="none"/>
          <w:u w:val="none"/>
          <w:lang w:eastAsia="zh-CN"/>
        </w:rPr>
        <w:t>石西集中处理站采出水处理系统</w:t>
      </w:r>
      <w:r>
        <w:rPr>
          <w:rFonts w:hint="eastAsia" w:ascii="宋体" w:hAnsi="宋体" w:eastAsia="宋体" w:cs="宋体"/>
          <w:color w:val="auto"/>
          <w:kern w:val="0"/>
          <w:sz w:val="24"/>
          <w:szCs w:val="24"/>
          <w:highlight w:val="none"/>
          <w:u w:val="none"/>
        </w:rPr>
        <w:t>处理达标后回注</w:t>
      </w:r>
      <w:r>
        <w:rPr>
          <w:rFonts w:hint="eastAsia" w:ascii="宋体" w:hAnsi="宋体" w:eastAsia="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无废水外排，因此不对废水污染物进行总量控制。</w:t>
      </w:r>
    </w:p>
    <w:p w14:paraId="3ADA92F7">
      <w:pPr>
        <w:pStyle w:val="54"/>
        <w:keepNext w:val="0"/>
        <w:keepLines w:val="0"/>
        <w:pageBreakBefore w:val="0"/>
        <w:kinsoku/>
        <w:wordWrap/>
        <w:overflowPunct/>
        <w:topLinePunct w:val="0"/>
        <w:autoSpaceDE/>
        <w:autoSpaceDN/>
        <w:bidi w:val="0"/>
        <w:spacing w:line="480" w:lineRule="exact"/>
        <w:textAlignment w:val="auto"/>
        <w:rPr>
          <w:rFonts w:hint="default" w:ascii="Times New Roman" w:hAnsi="Times New Roman" w:cs="Times New Roman"/>
          <w:color w:val="auto"/>
          <w:u w:val="none"/>
        </w:rPr>
      </w:pPr>
      <w:r>
        <w:rPr>
          <w:rFonts w:hint="eastAsia" w:ascii="宋体" w:hAnsi="宋体" w:eastAsia="宋体" w:cs="宋体"/>
          <w:color w:val="auto"/>
          <w:kern w:val="0"/>
          <w:sz w:val="24"/>
          <w:szCs w:val="24"/>
          <w:highlight w:val="none"/>
          <w:u w:val="none"/>
        </w:rPr>
        <w:t>由上可知，</w:t>
      </w:r>
      <w:r>
        <w:rPr>
          <w:rFonts w:hint="eastAsia" w:ascii="宋体" w:hAnsi="宋体" w:eastAsia="宋体" w:cs="宋体"/>
          <w:color w:val="auto"/>
          <w:kern w:val="0"/>
          <w:sz w:val="24"/>
          <w:szCs w:val="24"/>
          <w:highlight w:val="none"/>
          <w:u w:val="none"/>
          <w:lang w:eastAsia="zh-CN"/>
        </w:rPr>
        <w:t>本工程</w:t>
      </w:r>
      <w:r>
        <w:rPr>
          <w:rFonts w:hint="eastAsia" w:ascii="宋体" w:hAnsi="宋体" w:eastAsia="宋体" w:cs="宋体"/>
          <w:color w:val="auto"/>
          <w:kern w:val="0"/>
          <w:sz w:val="24"/>
          <w:szCs w:val="24"/>
          <w:highlight w:val="none"/>
          <w:u w:val="none"/>
        </w:rPr>
        <w:t>总量控制因子：VOCs</w:t>
      </w:r>
      <w:r>
        <w:rPr>
          <w:rFonts w:hint="eastAsia" w:ascii="宋体" w:hAnsi="宋体" w:eastAsia="宋体" w:cs="宋体"/>
          <w:color w:val="auto"/>
          <w:kern w:val="24"/>
          <w:sz w:val="24"/>
          <w:szCs w:val="24"/>
          <w:highlight w:val="none"/>
          <w:u w:val="none"/>
        </w:rPr>
        <w:t>。</w:t>
      </w:r>
    </w:p>
    <w:bookmarkEnd w:id="308"/>
    <w:p w14:paraId="47287050">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cs="宋体"/>
          <w:color w:val="auto"/>
          <w:u w:val="none"/>
          <w:lang w:val="en-US" w:eastAsia="zh-CN"/>
        </w:rPr>
        <w:t>3.4.8.3</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总量控制建议指标</w:t>
      </w:r>
    </w:p>
    <w:p w14:paraId="3F57CF5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宋体" w:hAnsi="宋体" w:eastAsia="宋体" w:cs="宋体"/>
          <w:color w:val="auto"/>
          <w:kern w:val="0"/>
          <w:sz w:val="24"/>
          <w:szCs w:val="24"/>
          <w:highlight w:val="none"/>
          <w:u w:val="none"/>
          <w:lang w:eastAsia="zh-CN"/>
        </w:rPr>
      </w:pPr>
      <w:bookmarkStart w:id="311" w:name="_Toc25675"/>
      <w:r>
        <w:rPr>
          <w:rFonts w:hint="eastAsia" w:ascii="宋体" w:hAnsi="宋体" w:eastAsia="宋体" w:cs="宋体"/>
          <w:color w:val="auto"/>
          <w:kern w:val="0"/>
          <w:sz w:val="24"/>
          <w:szCs w:val="24"/>
          <w:highlight w:val="none"/>
          <w:u w:val="none"/>
        </w:rPr>
        <w:t>（1）</w:t>
      </w:r>
      <w:r>
        <w:rPr>
          <w:rFonts w:hint="eastAsia" w:ascii="宋体" w:hAnsi="宋体" w:eastAsia="宋体" w:cs="宋体"/>
          <w:color w:val="auto"/>
          <w:kern w:val="0"/>
          <w:sz w:val="24"/>
          <w:szCs w:val="24"/>
          <w:highlight w:val="none"/>
          <w:u w:val="none"/>
          <w:lang w:val="en-US" w:eastAsia="zh-CN"/>
        </w:rPr>
        <w:t>施工期</w:t>
      </w:r>
      <w:bookmarkEnd w:id="311"/>
    </w:p>
    <w:p w14:paraId="71A1C9B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由于</w:t>
      </w:r>
      <w:r>
        <w:rPr>
          <w:rFonts w:hint="eastAsia" w:ascii="宋体" w:hAnsi="宋体" w:eastAsia="宋体" w:cs="宋体"/>
          <w:color w:val="auto"/>
          <w:kern w:val="0"/>
          <w:sz w:val="24"/>
          <w:szCs w:val="24"/>
          <w:highlight w:val="none"/>
          <w:u w:val="none"/>
          <w:lang w:val="en-US" w:eastAsia="zh-CN"/>
        </w:rPr>
        <w:t>施工期</w:t>
      </w:r>
      <w:r>
        <w:rPr>
          <w:rFonts w:hint="eastAsia" w:ascii="宋体" w:hAnsi="宋体" w:eastAsia="宋体" w:cs="宋体"/>
          <w:color w:val="auto"/>
          <w:kern w:val="0"/>
          <w:sz w:val="24"/>
          <w:szCs w:val="24"/>
          <w:highlight w:val="none"/>
          <w:u w:val="none"/>
        </w:rPr>
        <w:t>的</w:t>
      </w:r>
      <w:r>
        <w:rPr>
          <w:rFonts w:hint="eastAsia" w:ascii="宋体" w:hAnsi="宋体" w:eastAsia="宋体" w:cs="宋体"/>
          <w:color w:val="auto"/>
          <w:kern w:val="0"/>
          <w:sz w:val="24"/>
          <w:szCs w:val="24"/>
          <w:highlight w:val="none"/>
          <w:u w:val="none"/>
          <w:lang w:val="en-US" w:eastAsia="zh-CN"/>
        </w:rPr>
        <w:t>地面工程</w:t>
      </w:r>
      <w:r>
        <w:rPr>
          <w:rFonts w:hint="eastAsia" w:ascii="宋体" w:hAnsi="宋体" w:eastAsia="宋体" w:cs="宋体"/>
          <w:color w:val="auto"/>
          <w:kern w:val="0"/>
          <w:sz w:val="24"/>
          <w:szCs w:val="24"/>
          <w:highlight w:val="none"/>
          <w:u w:val="none"/>
        </w:rPr>
        <w:t>集中于较短时间内，</w:t>
      </w:r>
      <w:r>
        <w:rPr>
          <w:rFonts w:hint="eastAsia" w:ascii="宋体" w:hAnsi="宋体" w:eastAsia="宋体" w:cs="宋体"/>
          <w:color w:val="auto"/>
          <w:kern w:val="0"/>
          <w:sz w:val="24"/>
          <w:szCs w:val="24"/>
          <w:highlight w:val="none"/>
          <w:u w:val="none"/>
          <w:lang w:val="en-US" w:eastAsia="zh-CN"/>
        </w:rPr>
        <w:t>地面工程</w:t>
      </w:r>
      <w:r>
        <w:rPr>
          <w:rFonts w:hint="eastAsia" w:ascii="宋体" w:hAnsi="宋体" w:eastAsia="宋体" w:cs="宋体"/>
          <w:color w:val="auto"/>
          <w:kern w:val="0"/>
          <w:sz w:val="24"/>
          <w:szCs w:val="24"/>
          <w:highlight w:val="none"/>
          <w:u w:val="none"/>
        </w:rPr>
        <w:t>期间排放的污染物将随</w:t>
      </w:r>
      <w:r>
        <w:rPr>
          <w:rFonts w:hint="eastAsia" w:ascii="宋体" w:hAnsi="宋体" w:eastAsia="宋体" w:cs="宋体"/>
          <w:color w:val="auto"/>
          <w:kern w:val="0"/>
          <w:sz w:val="24"/>
          <w:szCs w:val="24"/>
          <w:highlight w:val="none"/>
          <w:u w:val="none"/>
          <w:lang w:val="en-US" w:eastAsia="zh-CN"/>
        </w:rPr>
        <w:t>地面</w:t>
      </w:r>
      <w:r>
        <w:rPr>
          <w:rFonts w:hint="eastAsia" w:ascii="宋体" w:hAnsi="宋体" w:eastAsia="宋体" w:cs="宋体"/>
          <w:color w:val="auto"/>
          <w:kern w:val="0"/>
          <w:sz w:val="24"/>
          <w:szCs w:val="24"/>
          <w:highlight w:val="none"/>
          <w:u w:val="none"/>
        </w:rPr>
        <w:t>工程的结束而消亡，故不考虑对</w:t>
      </w:r>
      <w:r>
        <w:rPr>
          <w:rFonts w:hint="eastAsia" w:ascii="宋体" w:hAnsi="宋体" w:eastAsia="宋体" w:cs="宋体"/>
          <w:color w:val="auto"/>
          <w:kern w:val="0"/>
          <w:sz w:val="24"/>
          <w:szCs w:val="24"/>
          <w:highlight w:val="none"/>
          <w:u w:val="none"/>
          <w:lang w:val="en-US" w:eastAsia="zh-CN"/>
        </w:rPr>
        <w:t>施工</w:t>
      </w:r>
      <w:r>
        <w:rPr>
          <w:rFonts w:hint="eastAsia" w:ascii="宋体" w:hAnsi="宋体" w:eastAsia="宋体" w:cs="宋体"/>
          <w:color w:val="auto"/>
          <w:kern w:val="0"/>
          <w:sz w:val="24"/>
          <w:szCs w:val="24"/>
          <w:highlight w:val="none"/>
          <w:u w:val="none"/>
        </w:rPr>
        <w:t>期间产生的污染物进行总量控制。</w:t>
      </w:r>
    </w:p>
    <w:p w14:paraId="4A0045A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宋体" w:hAnsi="宋体" w:eastAsia="宋体" w:cs="宋体"/>
          <w:color w:val="auto"/>
          <w:kern w:val="0"/>
          <w:sz w:val="24"/>
          <w:szCs w:val="24"/>
          <w:highlight w:val="none"/>
          <w:u w:val="none"/>
        </w:rPr>
      </w:pPr>
      <w:bookmarkStart w:id="312" w:name="_Toc29031"/>
      <w:r>
        <w:rPr>
          <w:rFonts w:hint="eastAsia" w:ascii="宋体" w:hAnsi="宋体" w:eastAsia="宋体" w:cs="宋体"/>
          <w:color w:val="auto"/>
          <w:kern w:val="0"/>
          <w:sz w:val="24"/>
          <w:szCs w:val="24"/>
          <w:highlight w:val="none"/>
          <w:u w:val="none"/>
        </w:rPr>
        <w:t>（2）运营期</w:t>
      </w:r>
      <w:bookmarkEnd w:id="312"/>
    </w:p>
    <w:p w14:paraId="0729DAD3">
      <w:pPr>
        <w:keepNext w:val="0"/>
        <w:keepLines w:val="0"/>
        <w:pageBreakBefore w:val="0"/>
        <w:widowControl/>
        <w:kinsoku/>
        <w:wordWrap/>
        <w:overflowPunct/>
        <w:topLinePunct w:val="0"/>
        <w:autoSpaceDE/>
        <w:autoSpaceDN/>
        <w:bidi w:val="0"/>
        <w:adjustRightInd w:val="0"/>
        <w:spacing w:line="480" w:lineRule="exact"/>
        <w:ind w:firstLine="480" w:firstLineChars="200"/>
        <w:jc w:val="both"/>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根据《关于印发&lt;挥发性有机物排污收费试点办法&gt;的通知（财税</w:t>
      </w:r>
      <w:r>
        <w:rPr>
          <w:rFonts w:hint="eastAsia" w:ascii="宋体" w:hAnsi="宋体" w:eastAsia="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2015</w:t>
      </w:r>
      <w:r>
        <w:rPr>
          <w:rFonts w:hint="eastAsia" w:ascii="宋体" w:hAnsi="宋体" w:eastAsia="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71号）》，VOCs是指特定条件下具有挥发性的有机化合物的统称。具有挥发性的有机化合物主要包括非甲烷总烃（烷烃、烯烃、炔烃、芳香烃）、含氧有机化合物（醛、酮、醇、醚等）、卤代烃、含氮化合物、含硫化合物等。对于</w:t>
      </w:r>
      <w:r>
        <w:rPr>
          <w:rFonts w:hint="eastAsia" w:ascii="宋体" w:hAnsi="宋体" w:eastAsia="宋体" w:cs="宋体"/>
          <w:color w:val="auto"/>
          <w:kern w:val="0"/>
          <w:sz w:val="24"/>
          <w:szCs w:val="24"/>
          <w:highlight w:val="none"/>
          <w:u w:val="none"/>
          <w:lang w:eastAsia="zh-CN"/>
        </w:rPr>
        <w:t>本工程</w:t>
      </w:r>
      <w:r>
        <w:rPr>
          <w:rFonts w:hint="eastAsia" w:ascii="宋体" w:hAnsi="宋体" w:eastAsia="宋体" w:cs="宋体"/>
          <w:color w:val="auto"/>
          <w:kern w:val="0"/>
          <w:sz w:val="24"/>
          <w:szCs w:val="24"/>
          <w:highlight w:val="none"/>
          <w:u w:val="none"/>
        </w:rPr>
        <w:t>而言，其排放的VOCs基本可以等同为非甲烷总烃，VOCs（以非甲烷总烃计）的总量考核指标</w:t>
      </w:r>
      <w:r>
        <w:rPr>
          <w:rFonts w:hint="eastAsia" w:ascii="宋体" w:hAnsi="宋体" w:eastAsia="宋体" w:cs="宋体"/>
          <w:color w:val="auto"/>
          <w:kern w:val="0"/>
          <w:sz w:val="24"/>
          <w:szCs w:val="24"/>
          <w:highlight w:val="none"/>
          <w:u w:val="none"/>
          <w:lang w:val="en-US" w:eastAsia="zh-CN"/>
        </w:rPr>
        <w:t>0.</w:t>
      </w:r>
      <w:r>
        <w:rPr>
          <w:rFonts w:hint="eastAsia" w:ascii="宋体" w:hAnsi="宋体" w:cs="宋体"/>
          <w:color w:val="auto"/>
          <w:kern w:val="0"/>
          <w:sz w:val="24"/>
          <w:szCs w:val="24"/>
          <w:highlight w:val="none"/>
          <w:u w:val="none"/>
          <w:lang w:val="en-US" w:eastAsia="zh-CN"/>
        </w:rPr>
        <w:t>582</w:t>
      </w:r>
      <w:r>
        <w:rPr>
          <w:rFonts w:hint="eastAsia" w:ascii="宋体" w:hAnsi="宋体" w:eastAsia="宋体" w:cs="宋体"/>
          <w:color w:val="auto"/>
          <w:kern w:val="0"/>
          <w:sz w:val="24"/>
          <w:szCs w:val="24"/>
          <w:highlight w:val="none"/>
          <w:u w:val="none"/>
        </w:rPr>
        <w:t>t/a，均为无组织挥发。</w:t>
      </w:r>
    </w:p>
    <w:p w14:paraId="06DF3483">
      <w:pPr>
        <w:pStyle w:val="54"/>
        <w:keepNext w:val="0"/>
        <w:keepLines w:val="0"/>
        <w:pageBreakBefore w:val="0"/>
        <w:kinsoku/>
        <w:wordWrap/>
        <w:overflowPunct/>
        <w:topLinePunct w:val="0"/>
        <w:autoSpaceDE/>
        <w:autoSpaceDN/>
        <w:bidi w:val="0"/>
        <w:spacing w:line="480" w:lineRule="exact"/>
        <w:textAlignment w:val="auto"/>
        <w:rPr>
          <w:rFonts w:hint="default" w:ascii="Times New Roman" w:hAnsi="Times New Roman" w:cs="Times New Roman"/>
          <w:color w:val="auto"/>
          <w:u w:val="none"/>
        </w:rPr>
      </w:pPr>
      <w:r>
        <w:rPr>
          <w:rFonts w:hint="eastAsia" w:ascii="宋体" w:hAnsi="宋体" w:eastAsia="宋体" w:cs="宋体"/>
          <w:color w:val="auto"/>
          <w:kern w:val="0"/>
          <w:sz w:val="24"/>
          <w:szCs w:val="24"/>
          <w:highlight w:val="none"/>
          <w:u w:val="none"/>
          <w:lang w:val="en-US" w:eastAsia="zh-CN"/>
        </w:rPr>
        <w:t>本次评价提出的为建议值，供生态环境主管部门对本工程实施环境管理以及下达污染物排放总量控制指标时参考。</w:t>
      </w:r>
    </w:p>
    <w:p w14:paraId="6E973EB6">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13" w:name="_Toc16724"/>
      <w:bookmarkStart w:id="314" w:name="_Toc25920"/>
      <w:bookmarkStart w:id="315" w:name="_Toc8341"/>
      <w:bookmarkStart w:id="316" w:name="_Toc17098"/>
      <w:bookmarkStart w:id="317" w:name="_Toc19700"/>
      <w:bookmarkStart w:id="318" w:name="_Toc21799"/>
      <w:bookmarkStart w:id="319" w:name="_Toc119915011"/>
      <w:bookmarkStart w:id="320" w:name="_Toc508291883"/>
      <w:bookmarkStart w:id="321" w:name="_Hlk68968407"/>
      <w:bookmarkStart w:id="322" w:name="_Hlk48603588"/>
      <w:bookmarkStart w:id="323" w:name="_Toc822"/>
      <w:bookmarkStart w:id="324" w:name="_Toc109382922"/>
      <w:bookmarkStart w:id="325" w:name="_Toc9220"/>
      <w:r>
        <w:rPr>
          <w:rFonts w:hint="default" w:ascii="黑体" w:hAnsi="黑体" w:eastAsia="黑体" w:cs="黑体"/>
          <w:color w:val="auto"/>
          <w:sz w:val="28"/>
          <w:szCs w:val="28"/>
          <w:u w:val="none"/>
          <w:lang w:val="en-US" w:eastAsia="zh-CN"/>
        </w:rPr>
        <w:t>3.</w:t>
      </w:r>
      <w:r>
        <w:rPr>
          <w:rFonts w:hint="eastAsia" w:ascii="黑体" w:hAnsi="黑体" w:eastAsia="黑体" w:cs="黑体"/>
          <w:color w:val="auto"/>
          <w:sz w:val="28"/>
          <w:szCs w:val="28"/>
          <w:u w:val="none"/>
          <w:lang w:val="en-US" w:eastAsia="zh-CN"/>
        </w:rPr>
        <w:t xml:space="preserve">5 </w:t>
      </w:r>
      <w:r>
        <w:rPr>
          <w:rFonts w:hint="default" w:ascii="黑体" w:hAnsi="黑体" w:eastAsia="黑体" w:cs="黑体"/>
          <w:color w:val="auto"/>
          <w:sz w:val="28"/>
          <w:szCs w:val="28"/>
          <w:u w:val="none"/>
          <w:lang w:val="en-US" w:eastAsia="zh-CN"/>
        </w:rPr>
        <w:t>相关</w:t>
      </w:r>
      <w:r>
        <w:rPr>
          <w:rFonts w:hint="eastAsia" w:ascii="黑体" w:hAnsi="黑体" w:eastAsia="黑体" w:cs="黑体"/>
          <w:color w:val="auto"/>
          <w:sz w:val="28"/>
          <w:szCs w:val="28"/>
          <w:u w:val="none"/>
          <w:lang w:val="en-US" w:eastAsia="zh-CN"/>
        </w:rPr>
        <w:t>政策</w:t>
      </w:r>
      <w:r>
        <w:rPr>
          <w:rFonts w:hint="default" w:ascii="黑体" w:hAnsi="黑体" w:eastAsia="黑体" w:cs="黑体"/>
          <w:color w:val="auto"/>
          <w:sz w:val="28"/>
          <w:szCs w:val="28"/>
          <w:u w:val="none"/>
          <w:lang w:val="en-US" w:eastAsia="zh-CN"/>
        </w:rPr>
        <w:t>法规、</w:t>
      </w:r>
      <w:r>
        <w:rPr>
          <w:rFonts w:hint="eastAsia" w:ascii="黑体" w:hAnsi="黑体" w:eastAsia="黑体" w:cs="黑体"/>
          <w:color w:val="auto"/>
          <w:sz w:val="28"/>
          <w:szCs w:val="28"/>
          <w:u w:val="none"/>
          <w:lang w:val="en-US" w:eastAsia="zh-CN"/>
        </w:rPr>
        <w:t>规划</w:t>
      </w:r>
      <w:r>
        <w:rPr>
          <w:rFonts w:hint="default" w:ascii="黑体" w:hAnsi="黑体" w:eastAsia="黑体" w:cs="黑体"/>
          <w:color w:val="auto"/>
          <w:sz w:val="28"/>
          <w:szCs w:val="28"/>
          <w:u w:val="none"/>
          <w:lang w:val="en-US" w:eastAsia="zh-CN"/>
        </w:rPr>
        <w:t>符合性分析</w:t>
      </w:r>
      <w:bookmarkEnd w:id="313"/>
      <w:bookmarkEnd w:id="314"/>
      <w:bookmarkEnd w:id="315"/>
      <w:bookmarkEnd w:id="316"/>
      <w:bookmarkEnd w:id="317"/>
      <w:bookmarkEnd w:id="318"/>
      <w:bookmarkEnd w:id="319"/>
      <w:bookmarkEnd w:id="320"/>
    </w:p>
    <w:bookmarkEnd w:id="321"/>
    <w:p w14:paraId="66FBAC3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产业政策符合性分析</w:t>
      </w:r>
    </w:p>
    <w:p w14:paraId="1A9A5FC8">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宋体" w:hAnsi="宋体" w:eastAsia="宋体" w:cs="宋体"/>
          <w:snapToGrid w:val="0"/>
          <w:color w:val="auto"/>
          <w:kern w:val="0"/>
          <w:sz w:val="24"/>
          <w:szCs w:val="24"/>
          <w:highlight w:val="none"/>
          <w:u w:val="none"/>
          <w:lang w:val="en-US" w:eastAsia="zh-CN" w:bidi="ar-SA"/>
        </w:rPr>
        <w:t>石油天然气开采业是当前国民经济的重要基础产业和支柱产业，根据《产业结构调整指导目录（2024年本）》，</w:t>
      </w:r>
      <w:r>
        <w:rPr>
          <w:rFonts w:hint="default" w:ascii="宋体" w:hAnsi="宋体" w:eastAsia="宋体" w:cs="宋体"/>
          <w:snapToGrid w:val="0"/>
          <w:color w:val="auto"/>
          <w:kern w:val="0"/>
          <w:sz w:val="24"/>
          <w:szCs w:val="24"/>
          <w:highlight w:val="none"/>
          <w:u w:val="none"/>
          <w:lang w:val="zh-CN" w:eastAsia="zh-CN" w:bidi="ar-SA"/>
        </w:rPr>
        <w:t>“</w:t>
      </w:r>
      <w:r>
        <w:rPr>
          <w:rFonts w:hint="default" w:ascii="宋体" w:hAnsi="宋体" w:eastAsia="宋体" w:cs="宋体"/>
          <w:snapToGrid w:val="0"/>
          <w:color w:val="auto"/>
          <w:kern w:val="0"/>
          <w:sz w:val="24"/>
          <w:szCs w:val="24"/>
          <w:highlight w:val="none"/>
          <w:u w:val="none"/>
          <w:lang w:val="en-US" w:eastAsia="zh-CN" w:bidi="ar-SA"/>
        </w:rPr>
        <w:t>第一类鼓励类”：“七、石油、天然气”中“1、</w:t>
      </w:r>
      <w:r>
        <w:rPr>
          <w:rFonts w:hint="default" w:ascii="宋体" w:hAnsi="宋体" w:eastAsia="宋体" w:cs="宋体"/>
          <w:snapToGrid w:val="0"/>
          <w:color w:val="auto"/>
          <w:kern w:val="0"/>
          <w:sz w:val="24"/>
          <w:szCs w:val="24"/>
          <w:highlight w:val="none"/>
          <w:u w:val="none"/>
          <w:lang w:val="zh-CN" w:eastAsia="zh-CN" w:bidi="ar-SA"/>
        </w:rPr>
        <w:t>常规石油、天然气勘探与开采”</w:t>
      </w:r>
      <w:r>
        <w:rPr>
          <w:rFonts w:hint="default" w:ascii="宋体" w:hAnsi="宋体" w:eastAsia="宋体" w:cs="宋体"/>
          <w:snapToGrid w:val="0"/>
          <w:color w:val="auto"/>
          <w:kern w:val="0"/>
          <w:sz w:val="24"/>
          <w:szCs w:val="24"/>
          <w:highlight w:val="none"/>
          <w:u w:val="none"/>
          <w:lang w:val="en-US" w:eastAsia="zh-CN" w:bidi="ar-SA"/>
        </w:rPr>
        <w:t>属于“鼓励类”项目，本工程建设符合国家产业政策。本工程的实施，对于保障国家能源安全，促进国民经济健康快速发展具有极其重要的战略意义。</w:t>
      </w:r>
    </w:p>
    <w:p w14:paraId="4C637235">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2 </w:t>
      </w:r>
      <w:r>
        <w:rPr>
          <w:rFonts w:hint="default" w:ascii="黑体" w:hAnsi="黑体" w:eastAsia="黑体" w:cs="黑体"/>
          <w:b/>
          <w:color w:val="auto"/>
          <w:kern w:val="0"/>
          <w:sz w:val="24"/>
          <w:szCs w:val="24"/>
          <w:highlight w:val="none"/>
          <w:u w:val="none"/>
          <w:lang w:val="en-US" w:eastAsia="zh-CN"/>
        </w:rPr>
        <w:t>与《新疆维吾尔自治区重点行业生态环境准入条件（2024年）》的符合性分析</w:t>
      </w:r>
    </w:p>
    <w:p w14:paraId="35BC9CC5">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宋体" w:hAnsi="宋体" w:eastAsia="宋体" w:cs="宋体"/>
          <w:snapToGrid w:val="0"/>
          <w:color w:val="auto"/>
          <w:kern w:val="0"/>
          <w:sz w:val="24"/>
          <w:szCs w:val="24"/>
          <w:highlight w:val="none"/>
          <w:u w:val="none"/>
          <w:lang w:val="en-US" w:eastAsia="zh-CN" w:bidi="ar-SA"/>
        </w:rPr>
        <w:t>项目与《新疆维吾尔自治区重点行业生态环境准入条件（2024年）》中</w:t>
      </w:r>
      <w:r>
        <w:rPr>
          <w:rFonts w:hint="eastAsia" w:ascii="宋体" w:hAnsi="宋体" w:eastAsia="宋体" w:cs="宋体"/>
          <w:snapToGrid w:val="0"/>
          <w:color w:val="auto"/>
          <w:kern w:val="0"/>
          <w:sz w:val="24"/>
          <w:szCs w:val="24"/>
          <w:highlight w:val="none"/>
          <w:u w:val="none"/>
          <w:lang w:val="en-US" w:eastAsia="zh-CN" w:bidi="ar-SA"/>
        </w:rPr>
        <w:t>有关</w:t>
      </w:r>
      <w:r>
        <w:rPr>
          <w:rFonts w:hint="default" w:ascii="宋体" w:hAnsi="宋体" w:eastAsia="宋体" w:cs="宋体"/>
          <w:snapToGrid w:val="0"/>
          <w:color w:val="auto"/>
          <w:kern w:val="0"/>
          <w:sz w:val="24"/>
          <w:szCs w:val="24"/>
          <w:highlight w:val="none"/>
          <w:u w:val="none"/>
          <w:lang w:val="en-US" w:eastAsia="zh-CN" w:bidi="ar-SA"/>
        </w:rPr>
        <w:t>要求的相符性分析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见表3.</w:t>
      </w:r>
      <w:r>
        <w:rPr>
          <w:rFonts w:hint="eastAsia" w:ascii="宋体" w:hAnsi="宋体" w:cs="宋体"/>
          <w:snapToGrid w:val="0"/>
          <w:color w:val="auto"/>
          <w:kern w:val="0"/>
          <w:sz w:val="24"/>
          <w:szCs w:val="24"/>
          <w:highlight w:val="none"/>
          <w:u w:val="none"/>
          <w:lang w:val="en-US" w:eastAsia="zh-CN" w:bidi="ar-SA"/>
        </w:rPr>
        <w:t>5</w:t>
      </w:r>
      <w:r>
        <w:rPr>
          <w:rFonts w:hint="default" w:ascii="宋体" w:hAnsi="宋体" w:eastAsia="宋体" w:cs="宋体"/>
          <w:snapToGrid w:val="0"/>
          <w:color w:val="auto"/>
          <w:kern w:val="0"/>
          <w:sz w:val="24"/>
          <w:szCs w:val="24"/>
          <w:highlight w:val="none"/>
          <w:u w:val="none"/>
          <w:lang w:val="en-US" w:eastAsia="zh-CN" w:bidi="ar-SA"/>
        </w:rPr>
        <w:t>-1。</w:t>
      </w:r>
    </w:p>
    <w:p w14:paraId="07CE71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表3.5-1  项目与《新疆维吾尔自治区重点行业生态环境准入条件（2024年）》相符性分析</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49"/>
        <w:gridCol w:w="3492"/>
        <w:gridCol w:w="891"/>
      </w:tblGrid>
      <w:tr w14:paraId="55B5C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3CB9E68B">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0"/>
                <w:sz w:val="21"/>
                <w:szCs w:val="21"/>
                <w:highlight w:val="none"/>
                <w:u w:val="none"/>
              </w:rPr>
              <w:t>《新疆维吾尔自治区重点行业生态环境准入条件（2024年）》中相关规定</w:t>
            </w:r>
          </w:p>
        </w:tc>
        <w:tc>
          <w:tcPr>
            <w:tcW w:w="1976" w:type="pct"/>
            <w:tcBorders>
              <w:tl2br w:val="nil"/>
              <w:tr2bl w:val="nil"/>
            </w:tcBorders>
            <w:noWrap w:val="0"/>
            <w:vAlign w:val="center"/>
          </w:tcPr>
          <w:p w14:paraId="51FAC81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0"/>
                <w:sz w:val="21"/>
                <w:szCs w:val="21"/>
                <w:highlight w:val="none"/>
                <w:u w:val="none"/>
              </w:rPr>
              <w:t>项目采取的相关措施</w:t>
            </w:r>
          </w:p>
        </w:tc>
        <w:tc>
          <w:tcPr>
            <w:tcW w:w="504" w:type="pct"/>
            <w:tcBorders>
              <w:tl2br w:val="nil"/>
              <w:tr2bl w:val="nil"/>
            </w:tcBorders>
            <w:noWrap w:val="0"/>
            <w:vAlign w:val="center"/>
          </w:tcPr>
          <w:p w14:paraId="3686063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11"/>
                <w:kern w:val="24"/>
                <w:sz w:val="21"/>
                <w:szCs w:val="21"/>
                <w:highlight w:val="none"/>
                <w:u w:val="none"/>
              </w:rPr>
            </w:pPr>
            <w:r>
              <w:rPr>
                <w:rFonts w:hint="eastAsia" w:ascii="宋体" w:hAnsi="宋体" w:eastAsia="宋体" w:cs="宋体"/>
                <w:color w:val="auto"/>
                <w:spacing w:val="-11"/>
                <w:kern w:val="24"/>
                <w:sz w:val="21"/>
                <w:szCs w:val="21"/>
                <w:highlight w:val="none"/>
                <w:u w:val="none"/>
              </w:rPr>
              <w:t>符合性</w:t>
            </w:r>
          </w:p>
          <w:p w14:paraId="7A0B8006">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11"/>
                <w:kern w:val="24"/>
                <w:sz w:val="21"/>
                <w:szCs w:val="21"/>
                <w:highlight w:val="none"/>
                <w:u w:val="none"/>
              </w:rPr>
            </w:pPr>
            <w:r>
              <w:rPr>
                <w:rFonts w:hint="eastAsia" w:ascii="宋体" w:hAnsi="宋体" w:eastAsia="宋体" w:cs="宋体"/>
                <w:color w:val="auto"/>
                <w:spacing w:val="-11"/>
                <w:kern w:val="24"/>
                <w:sz w:val="21"/>
                <w:szCs w:val="21"/>
                <w:highlight w:val="none"/>
                <w:u w:val="none"/>
              </w:rPr>
              <w:t>分析</w:t>
            </w:r>
          </w:p>
        </w:tc>
      </w:tr>
      <w:tr w14:paraId="1672C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3D5546FE">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石油、天然气开发项目的选址与布局应符合自治区或油气企业相关油气开发专项规划及规划环评要求，原则上应当以区块为单位开展环境影响评价工作。</w:t>
            </w:r>
          </w:p>
        </w:tc>
        <w:tc>
          <w:tcPr>
            <w:tcW w:w="1976" w:type="pct"/>
            <w:tcBorders>
              <w:tl2br w:val="nil"/>
              <w:tr2bl w:val="nil"/>
            </w:tcBorders>
            <w:noWrap w:val="0"/>
            <w:vAlign w:val="center"/>
          </w:tcPr>
          <w:p w14:paraId="60A20930">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color w:val="auto"/>
                <w:kern w:val="24"/>
                <w:sz w:val="21"/>
                <w:szCs w:val="21"/>
                <w:highlight w:val="none"/>
                <w:u w:val="none"/>
                <w:lang w:val="en-US" w:eastAsia="zh-CN"/>
              </w:rPr>
            </w:pPr>
            <w:r>
              <w:rPr>
                <w:rFonts w:hint="eastAsia" w:ascii="宋体" w:hAnsi="宋体" w:cs="宋体"/>
                <w:color w:val="auto"/>
                <w:kern w:val="24"/>
                <w:sz w:val="21"/>
                <w:szCs w:val="21"/>
                <w:highlight w:val="none"/>
                <w:u w:val="none"/>
                <w:lang w:val="en-US" w:eastAsia="zh-CN"/>
              </w:rPr>
              <w:t>本项目符合《新疆生态环境保护“十四五”规划》《新疆油田公司“十四五”发展规划》及规划环评等要求，以莫116井区为单位开展</w:t>
            </w:r>
            <w:r>
              <w:rPr>
                <w:rFonts w:hint="eastAsia" w:ascii="宋体" w:hAnsi="宋体" w:eastAsia="宋体" w:cs="宋体"/>
                <w:color w:val="auto"/>
                <w:kern w:val="24"/>
                <w:sz w:val="21"/>
                <w:szCs w:val="21"/>
                <w:highlight w:val="none"/>
                <w:u w:val="none"/>
              </w:rPr>
              <w:t>环境影响评价工作。</w:t>
            </w:r>
          </w:p>
        </w:tc>
        <w:tc>
          <w:tcPr>
            <w:tcW w:w="504" w:type="pct"/>
            <w:tcBorders>
              <w:tl2br w:val="nil"/>
              <w:tr2bl w:val="nil"/>
            </w:tcBorders>
            <w:noWrap w:val="0"/>
            <w:vAlign w:val="center"/>
          </w:tcPr>
          <w:p w14:paraId="349FE89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符合</w:t>
            </w:r>
          </w:p>
        </w:tc>
      </w:tr>
      <w:tr w14:paraId="32CE1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7DE5196B">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spacing w:val="-6"/>
                <w:kern w:val="24"/>
                <w:sz w:val="21"/>
                <w:szCs w:val="21"/>
                <w:highlight w:val="none"/>
                <w:u w:val="none"/>
              </w:rPr>
              <w:t>在符合产业政策、满足区域生态环境空气质量改善和污染物总量控制要求的前提下，经环境影响比选论证后，适宜在矿区开展的页岩油、页岩气开采、加工一体化项目可在矿区内就地选址。</w:t>
            </w:r>
          </w:p>
        </w:tc>
        <w:tc>
          <w:tcPr>
            <w:tcW w:w="1976" w:type="pct"/>
            <w:tcBorders>
              <w:tl2br w:val="nil"/>
              <w:tr2bl w:val="nil"/>
            </w:tcBorders>
            <w:noWrap w:val="0"/>
            <w:vAlign w:val="center"/>
          </w:tcPr>
          <w:p w14:paraId="78D7A1B3">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宋体" w:hAnsi="宋体" w:eastAsia="宋体" w:cs="宋体"/>
                <w:color w:val="auto"/>
                <w:kern w:val="24"/>
                <w:sz w:val="21"/>
                <w:szCs w:val="21"/>
                <w:highlight w:val="none"/>
                <w:u w:val="none"/>
                <w:lang w:val="en-US" w:eastAsia="zh-CN"/>
              </w:rPr>
            </w:pPr>
            <w:r>
              <w:rPr>
                <w:rFonts w:hint="eastAsia" w:ascii="宋体" w:hAnsi="宋体" w:cs="宋体"/>
                <w:color w:val="auto"/>
                <w:kern w:val="24"/>
                <w:sz w:val="21"/>
                <w:szCs w:val="21"/>
                <w:highlight w:val="none"/>
                <w:u w:val="none"/>
                <w:lang w:val="en-US" w:eastAsia="zh-CN"/>
              </w:rPr>
              <w:t>本项目不涉及。</w:t>
            </w:r>
          </w:p>
        </w:tc>
        <w:tc>
          <w:tcPr>
            <w:tcW w:w="504" w:type="pct"/>
            <w:tcBorders>
              <w:tl2br w:val="nil"/>
              <w:tr2bl w:val="nil"/>
            </w:tcBorders>
            <w:noWrap w:val="0"/>
            <w:vAlign w:val="center"/>
          </w:tcPr>
          <w:p w14:paraId="5A81FD8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符合</w:t>
            </w:r>
          </w:p>
        </w:tc>
      </w:tr>
      <w:tr w14:paraId="7FD33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04D216CB">
            <w:pPr>
              <w:keepNext w:val="0"/>
              <w:keepLines w:val="0"/>
              <w:pageBreakBefore w:val="0"/>
              <w:widowControl/>
              <w:kinsoku/>
              <w:wordWrap/>
              <w:overflowPunct/>
              <w:topLinePunct w:val="0"/>
              <w:bidi w:val="0"/>
              <w:snapToGrid/>
              <w:spacing w:before="0" w:beforeLines="0" w:beforeAutospacing="0" w:after="0" w:afterLines="0" w:afterAutospacing="0" w:line="400" w:lineRule="exact"/>
              <w:jc w:val="both"/>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涉及自然保护地的石油天然气勘探、开发项目按照国家和自治区有关油气安全保障政策要求执行。</w:t>
            </w:r>
          </w:p>
        </w:tc>
        <w:tc>
          <w:tcPr>
            <w:tcW w:w="1976" w:type="pct"/>
            <w:tcBorders>
              <w:tl2br w:val="nil"/>
              <w:tr2bl w:val="nil"/>
            </w:tcBorders>
            <w:noWrap w:val="0"/>
            <w:vAlign w:val="center"/>
          </w:tcPr>
          <w:p w14:paraId="011DA84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color w:val="auto"/>
                <w:kern w:val="24"/>
                <w:sz w:val="21"/>
                <w:szCs w:val="21"/>
                <w:highlight w:val="none"/>
                <w:u w:val="none"/>
                <w:lang w:val="en-US" w:eastAsia="zh-CN" w:bidi="ar-SA"/>
              </w:rPr>
            </w:pPr>
            <w:r>
              <w:rPr>
                <w:rFonts w:hint="eastAsia" w:ascii="宋体" w:hAnsi="宋体" w:cs="宋体"/>
                <w:color w:val="auto"/>
                <w:kern w:val="24"/>
                <w:sz w:val="21"/>
                <w:szCs w:val="21"/>
                <w:highlight w:val="none"/>
                <w:u w:val="none"/>
                <w:lang w:val="en-US" w:eastAsia="zh-CN"/>
              </w:rPr>
              <w:t>本项目选址选线不涉及依法划定的国家公园、自然保护区、世界自然遗产、重要生境、自然公园、生态保护红线等生态保护区。</w:t>
            </w:r>
          </w:p>
        </w:tc>
        <w:tc>
          <w:tcPr>
            <w:tcW w:w="504" w:type="pct"/>
            <w:tcBorders>
              <w:tl2br w:val="nil"/>
              <w:tr2bl w:val="nil"/>
            </w:tcBorders>
            <w:noWrap w:val="0"/>
            <w:vAlign w:val="center"/>
          </w:tcPr>
          <w:p w14:paraId="0E57EC3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lang w:val="en-US" w:eastAsia="zh-CN" w:bidi="ar-SA"/>
              </w:rPr>
            </w:pPr>
            <w:r>
              <w:rPr>
                <w:rFonts w:hint="eastAsia" w:ascii="宋体" w:hAnsi="宋体" w:eastAsia="宋体" w:cs="宋体"/>
                <w:color w:val="auto"/>
                <w:kern w:val="24"/>
                <w:sz w:val="21"/>
                <w:szCs w:val="21"/>
                <w:highlight w:val="none"/>
                <w:u w:val="none"/>
              </w:rPr>
              <w:t>符合</w:t>
            </w:r>
          </w:p>
        </w:tc>
      </w:tr>
      <w:tr w14:paraId="08D3D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6763C4AF">
            <w:pPr>
              <w:keepNext w:val="0"/>
              <w:keepLines w:val="0"/>
              <w:pageBreakBefore w:val="0"/>
              <w:widowControl/>
              <w:kinsoku/>
              <w:wordWrap/>
              <w:overflowPunct/>
              <w:topLinePunct w:val="0"/>
              <w:bidi w:val="0"/>
              <w:snapToGrid/>
              <w:spacing w:line="400" w:lineRule="exact"/>
              <w:jc w:val="left"/>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rPr>
              <w:t>施工期应当尽量减少施工占地、严格控制施工作业面积、缩短施工时间、选择合理施工方式、落实环境敏感区管控要求以及其他生态环境保护措施，有效降低生态环境影响。</w:t>
            </w:r>
          </w:p>
        </w:tc>
        <w:tc>
          <w:tcPr>
            <w:tcW w:w="1976" w:type="pct"/>
            <w:tcBorders>
              <w:tl2br w:val="nil"/>
              <w:tr2bl w:val="nil"/>
            </w:tcBorders>
            <w:noWrap w:val="0"/>
            <w:vAlign w:val="center"/>
          </w:tcPr>
          <w:p w14:paraId="0A873467">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default" w:ascii="宋体" w:hAnsi="宋体" w:eastAsia="宋体" w:cs="宋体"/>
                <w:color w:val="auto"/>
                <w:kern w:val="24"/>
                <w:sz w:val="21"/>
                <w:szCs w:val="21"/>
                <w:highlight w:val="none"/>
                <w:u w:val="none"/>
                <w:lang w:val="en-US" w:eastAsia="zh-CN" w:bidi="ar-SA"/>
              </w:rPr>
            </w:pPr>
            <w:r>
              <w:rPr>
                <w:rFonts w:hint="eastAsia" w:ascii="宋体" w:hAnsi="宋体" w:cs="宋体"/>
                <w:color w:val="auto"/>
                <w:kern w:val="24"/>
                <w:sz w:val="21"/>
                <w:szCs w:val="21"/>
                <w:highlight w:val="none"/>
                <w:u w:val="none"/>
                <w:lang w:val="en-US" w:eastAsia="zh-CN" w:bidi="ar-SA"/>
              </w:rPr>
              <w:t>本项目施工期严格控制占地面积，尽可能缩短施工时间，减少对土壤和植被的扰动和破坏。</w:t>
            </w:r>
          </w:p>
        </w:tc>
        <w:tc>
          <w:tcPr>
            <w:tcW w:w="504" w:type="pct"/>
            <w:tcBorders>
              <w:tl2br w:val="nil"/>
              <w:tr2bl w:val="nil"/>
            </w:tcBorders>
            <w:noWrap w:val="0"/>
            <w:vAlign w:val="center"/>
          </w:tcPr>
          <w:p w14:paraId="636C61B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lang w:val="en-US" w:eastAsia="zh-CN" w:bidi="ar-SA"/>
              </w:rPr>
            </w:pPr>
            <w:r>
              <w:rPr>
                <w:rFonts w:hint="eastAsia" w:ascii="宋体" w:hAnsi="宋体" w:eastAsia="宋体" w:cs="宋体"/>
                <w:color w:val="auto"/>
                <w:kern w:val="24"/>
                <w:sz w:val="21"/>
                <w:szCs w:val="21"/>
                <w:highlight w:val="none"/>
                <w:u w:val="none"/>
              </w:rPr>
              <w:t>符合</w:t>
            </w:r>
          </w:p>
        </w:tc>
      </w:tr>
      <w:tr w14:paraId="5DF29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060A2374">
            <w:pPr>
              <w:keepNext w:val="0"/>
              <w:keepLines w:val="0"/>
              <w:pageBreakBefore w:val="0"/>
              <w:widowControl/>
              <w:kinsoku/>
              <w:wordWrap/>
              <w:overflowPunct/>
              <w:topLinePunct w:val="0"/>
              <w:bidi w:val="0"/>
              <w:snapToGrid/>
              <w:spacing w:before="0" w:beforeLines="0" w:beforeAutospacing="0" w:after="0" w:afterLines="0" w:afterAutospacing="0" w:line="400" w:lineRule="exact"/>
              <w:jc w:val="both"/>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非甲烷总烃排放浓度应满足《陆上石油天然气开采工业大气污染物排放标准》（GB39728）要求。锅炉、加热炉、压缩机等装置应优先使用清洁燃料或能源，燃煤燃气锅炉、加热炉废气排放应达到《锅炉大气污染物排放标准》(GB13271）要求，有地方标准的按地方标准执行。涉及高含硫天然气开采的，应当强化钻井、输送、净化等环节环境风险防范措施。高含硫气田回注采出水，应当采取有效措施减少废水处理站和回注井场硫化氢的无组织排放。高含硫天然气净化厂应采用先进高效的硫磺回收工艺，减少二氧化硫排放。</w:t>
            </w:r>
          </w:p>
        </w:tc>
        <w:tc>
          <w:tcPr>
            <w:tcW w:w="1976" w:type="pct"/>
            <w:tcBorders>
              <w:tl2br w:val="nil"/>
              <w:tr2bl w:val="nil"/>
            </w:tcBorders>
            <w:noWrap w:val="0"/>
            <w:vAlign w:val="center"/>
          </w:tcPr>
          <w:p w14:paraId="1B01B5D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color w:val="auto"/>
                <w:kern w:val="24"/>
                <w:sz w:val="21"/>
                <w:szCs w:val="21"/>
                <w:highlight w:val="none"/>
                <w:u w:val="none"/>
                <w:lang w:val="en-US" w:eastAsia="zh-CN"/>
              </w:rPr>
            </w:pPr>
            <w:r>
              <w:rPr>
                <w:rFonts w:hint="eastAsia" w:ascii="宋体" w:hAnsi="宋体" w:cs="宋体"/>
                <w:color w:val="auto"/>
                <w:kern w:val="24"/>
                <w:sz w:val="21"/>
                <w:szCs w:val="21"/>
                <w:highlight w:val="none"/>
                <w:u w:val="none"/>
                <w:lang w:val="en-US" w:eastAsia="zh-CN"/>
              </w:rPr>
              <w:t>本项目运营期采用密闭集输工艺，厂界非甲烷总烃无组织排放浓度可以满足《陆上石油天然气开采工业大气污染物排放标准》（GB39728-2020）要求</w:t>
            </w:r>
            <w:r>
              <w:rPr>
                <w:rFonts w:hint="eastAsia" w:ascii="宋体" w:hAnsi="宋体" w:cs="宋体"/>
                <w:color w:val="auto"/>
                <w:kern w:val="24"/>
                <w:sz w:val="21"/>
                <w:szCs w:val="21"/>
                <w:highlight w:val="none"/>
                <w:u w:val="none"/>
                <w:lang w:eastAsia="zh-CN"/>
              </w:rPr>
              <w:t>。</w:t>
            </w:r>
          </w:p>
        </w:tc>
        <w:tc>
          <w:tcPr>
            <w:tcW w:w="504" w:type="pct"/>
            <w:tcBorders>
              <w:tl2br w:val="nil"/>
              <w:tr2bl w:val="nil"/>
            </w:tcBorders>
            <w:noWrap w:val="0"/>
            <w:vAlign w:val="center"/>
          </w:tcPr>
          <w:p w14:paraId="322C605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符合</w:t>
            </w:r>
          </w:p>
        </w:tc>
      </w:tr>
      <w:tr w14:paraId="0BA9B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69ED8A4E">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宋体" w:hAnsi="宋体" w:eastAsia="宋体" w:cs="宋体"/>
                <w:color w:val="auto"/>
                <w:kern w:val="24"/>
                <w:sz w:val="21"/>
                <w:szCs w:val="21"/>
                <w:highlight w:val="none"/>
                <w:u w:val="none"/>
                <w:lang w:val="en-US" w:eastAsia="zh-CN" w:bidi="ar-SA"/>
              </w:rPr>
            </w:pPr>
            <w:r>
              <w:rPr>
                <w:rFonts w:hint="eastAsia" w:ascii="宋体" w:hAnsi="宋体" w:eastAsia="宋体" w:cs="宋体"/>
                <w:color w:val="auto"/>
                <w:kern w:val="24"/>
                <w:sz w:val="21"/>
                <w:szCs w:val="21"/>
                <w:highlight w:val="none"/>
                <w:u w:val="none"/>
              </w:rPr>
              <w:t>油气开发产生的伴生气应优先回收利用，减少温室气体排放，开发区块伴生气整体回收利用率应达到80%以上；边远井、零散井等产生的伴生气不能回收或难以回收的，应经燃烧后放空。鼓励油气企业将碳捕集、利用与封存（CCUS）技术用于油气开采，提高采收率、减少温室气体排放。</w:t>
            </w:r>
          </w:p>
        </w:tc>
        <w:tc>
          <w:tcPr>
            <w:tcW w:w="1976" w:type="pct"/>
            <w:tcBorders>
              <w:tl2br w:val="nil"/>
              <w:tr2bl w:val="nil"/>
            </w:tcBorders>
            <w:noWrap w:val="0"/>
            <w:vAlign w:val="center"/>
          </w:tcPr>
          <w:p w14:paraId="597AA997">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default" w:ascii="宋体" w:hAnsi="宋体" w:eastAsia="宋体" w:cs="宋体"/>
                <w:color w:val="auto"/>
                <w:kern w:val="24"/>
                <w:sz w:val="21"/>
                <w:szCs w:val="21"/>
                <w:highlight w:val="none"/>
                <w:u w:val="none"/>
                <w:lang w:val="en-US" w:eastAsia="zh-CN" w:bidi="ar-SA"/>
              </w:rPr>
            </w:pPr>
            <w:r>
              <w:rPr>
                <w:rFonts w:hint="eastAsia" w:ascii="宋体" w:hAnsi="宋体" w:cs="宋体"/>
                <w:color w:val="auto"/>
                <w:kern w:val="24"/>
                <w:sz w:val="21"/>
                <w:szCs w:val="21"/>
                <w:highlight w:val="none"/>
                <w:u w:val="none"/>
                <w:lang w:val="en-US" w:eastAsia="zh-CN" w:bidi="ar-SA"/>
              </w:rPr>
              <w:t>本项目为天然气开采，均采用密闭集输工艺。</w:t>
            </w:r>
          </w:p>
        </w:tc>
        <w:tc>
          <w:tcPr>
            <w:tcW w:w="504" w:type="pct"/>
            <w:tcBorders>
              <w:tl2br w:val="nil"/>
              <w:tr2bl w:val="nil"/>
            </w:tcBorders>
            <w:noWrap w:val="0"/>
            <w:vAlign w:val="center"/>
          </w:tcPr>
          <w:p w14:paraId="172C623A">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lang w:val="en-US" w:eastAsia="zh-CN" w:bidi="ar-SA"/>
              </w:rPr>
            </w:pPr>
            <w:r>
              <w:rPr>
                <w:rFonts w:hint="eastAsia" w:ascii="宋体" w:hAnsi="宋体" w:eastAsia="宋体" w:cs="宋体"/>
                <w:color w:val="auto"/>
                <w:kern w:val="24"/>
                <w:sz w:val="21"/>
                <w:szCs w:val="21"/>
                <w:highlight w:val="none"/>
                <w:u w:val="none"/>
              </w:rPr>
              <w:t>符合</w:t>
            </w:r>
          </w:p>
        </w:tc>
      </w:tr>
      <w:tr w14:paraId="0A913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11870B34">
            <w:pPr>
              <w:keepNext w:val="0"/>
              <w:keepLines w:val="0"/>
              <w:pageBreakBefore w:val="0"/>
              <w:widowControl/>
              <w:kinsoku/>
              <w:wordWrap/>
              <w:overflowPunct/>
              <w:topLinePunct w:val="0"/>
              <w:bidi w:val="0"/>
              <w:snapToGrid/>
              <w:spacing w:before="0" w:beforeLines="0" w:beforeAutospacing="0" w:after="0" w:afterLines="0" w:afterAutospacing="0" w:line="400" w:lineRule="exact"/>
              <w:jc w:val="both"/>
              <w:textAlignment w:val="auto"/>
              <w:rPr>
                <w:rFonts w:hint="eastAsia" w:ascii="宋体" w:hAnsi="宋体" w:eastAsia="宋体" w:cs="宋体"/>
                <w:color w:val="auto"/>
                <w:kern w:val="24"/>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钻井液循环率应达到95%以上，压裂废液、酸化废液等井下作业废水应100%返排入罐。</w:t>
            </w:r>
          </w:p>
        </w:tc>
        <w:tc>
          <w:tcPr>
            <w:tcW w:w="1976" w:type="pct"/>
            <w:tcBorders>
              <w:tl2br w:val="nil"/>
              <w:tr2bl w:val="nil"/>
            </w:tcBorders>
            <w:noWrap w:val="0"/>
            <w:vAlign w:val="center"/>
          </w:tcPr>
          <w:p w14:paraId="78585482">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color w:val="auto"/>
                <w:kern w:val="24"/>
                <w:sz w:val="21"/>
                <w:szCs w:val="21"/>
                <w:highlight w:val="none"/>
                <w:u w:val="none"/>
                <w:lang w:eastAsia="zh-CN"/>
              </w:rPr>
            </w:pPr>
            <w:r>
              <w:rPr>
                <w:rFonts w:hint="eastAsia" w:ascii="宋体" w:hAnsi="宋体" w:eastAsia="宋体" w:cs="宋体"/>
                <w:color w:val="auto"/>
                <w:kern w:val="24"/>
                <w:sz w:val="21"/>
                <w:szCs w:val="21"/>
                <w:highlight w:val="none"/>
                <w:u w:val="none"/>
              </w:rPr>
              <w:t>本工程</w:t>
            </w:r>
            <w:r>
              <w:rPr>
                <w:rFonts w:hint="eastAsia" w:ascii="宋体" w:hAnsi="宋体" w:eastAsia="宋体" w:cs="宋体"/>
                <w:color w:val="auto"/>
                <w:kern w:val="24"/>
                <w:sz w:val="21"/>
                <w:szCs w:val="21"/>
                <w:highlight w:val="none"/>
                <w:u w:val="none"/>
                <w:lang w:val="en-US" w:eastAsia="zh-CN"/>
              </w:rPr>
              <w:t>钻井液均回收利用。运营期</w:t>
            </w:r>
            <w:r>
              <w:rPr>
                <w:rFonts w:hint="eastAsia" w:ascii="宋体" w:hAnsi="宋体" w:eastAsia="宋体" w:cs="宋体"/>
                <w:color w:val="auto"/>
                <w:kern w:val="24"/>
                <w:sz w:val="21"/>
                <w:szCs w:val="21"/>
                <w:highlight w:val="none"/>
                <w:u w:val="none"/>
              </w:rPr>
              <w:t>采出水依托莫北转油站采出水处理系统处理达标后回注；井下作业废水采用专用废水回收罐收集后运至石西集中处理站采出水处理系统处理达标后回注，无废水外排；</w:t>
            </w:r>
          </w:p>
        </w:tc>
        <w:tc>
          <w:tcPr>
            <w:tcW w:w="504" w:type="pct"/>
            <w:tcBorders>
              <w:tl2br w:val="nil"/>
              <w:tr2bl w:val="nil"/>
            </w:tcBorders>
            <w:noWrap w:val="0"/>
            <w:vAlign w:val="center"/>
          </w:tcPr>
          <w:p w14:paraId="3BCC51F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符合</w:t>
            </w:r>
          </w:p>
        </w:tc>
      </w:tr>
      <w:tr w14:paraId="2922A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0BC035F5">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0"/>
                <w:sz w:val="21"/>
                <w:szCs w:val="21"/>
                <w:highlight w:val="none"/>
                <w:u w:val="none"/>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1976" w:type="pct"/>
            <w:tcBorders>
              <w:tl2br w:val="nil"/>
              <w:tr2bl w:val="nil"/>
            </w:tcBorders>
            <w:noWrap w:val="0"/>
            <w:vAlign w:val="center"/>
          </w:tcPr>
          <w:p w14:paraId="7417C19D">
            <w:pPr>
              <w:keepNext w:val="0"/>
              <w:keepLines w:val="0"/>
              <w:pageBreakBefore w:val="0"/>
              <w:widowControl w:val="0"/>
              <w:kinsoku/>
              <w:wordWrap/>
              <w:overflowPunct/>
              <w:topLinePunct w:val="0"/>
              <w:bidi w:val="0"/>
              <w:snapToGrid/>
              <w:spacing w:line="400" w:lineRule="exact"/>
              <w:jc w:val="both"/>
              <w:textAlignment w:val="auto"/>
              <w:rPr>
                <w:rFonts w:hint="default" w:ascii="宋体" w:hAnsi="宋体" w:eastAsia="宋体" w:cs="宋体"/>
                <w:color w:val="auto"/>
                <w:kern w:val="24"/>
                <w:sz w:val="21"/>
                <w:szCs w:val="21"/>
                <w:highlight w:val="none"/>
                <w:u w:val="none"/>
                <w:lang w:val="en-US" w:eastAsia="zh-CN"/>
              </w:rPr>
            </w:pPr>
            <w:r>
              <w:rPr>
                <w:rFonts w:hint="eastAsia" w:ascii="宋体" w:hAnsi="宋体" w:eastAsia="宋体" w:cs="宋体"/>
                <w:color w:val="auto"/>
                <w:kern w:val="24"/>
                <w:sz w:val="21"/>
                <w:szCs w:val="21"/>
                <w:highlight w:val="none"/>
                <w:u w:val="none"/>
                <w:lang w:val="en-US" w:eastAsia="zh-CN"/>
              </w:rPr>
              <w:t>运营期采出水依托莫北转油站采出水处理系统处理达标后回注；井下作业废水采用专用废水回收罐收集后运至石西集中处理站采出水处理系统处理达标后回注，无废水外排，回注水满足《碎屑岩油藏注水水质指标技术要求及分析方法》（SY/T5329-2022）中回注标准。</w:t>
            </w:r>
          </w:p>
        </w:tc>
        <w:tc>
          <w:tcPr>
            <w:tcW w:w="504" w:type="pct"/>
            <w:tcBorders>
              <w:tl2br w:val="nil"/>
              <w:tr2bl w:val="nil"/>
            </w:tcBorders>
            <w:noWrap w:val="0"/>
            <w:vAlign w:val="center"/>
          </w:tcPr>
          <w:p w14:paraId="7DE2F16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符合</w:t>
            </w:r>
          </w:p>
        </w:tc>
      </w:tr>
      <w:tr w14:paraId="6AA75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117B95DB">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废弃钻井泥浆及岩屑应采取“泥浆不落地”工艺，勘探、开发过程产生的落地原油回收率应达到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1976" w:type="pct"/>
            <w:tcBorders>
              <w:tl2br w:val="nil"/>
              <w:tr2bl w:val="nil"/>
            </w:tcBorders>
            <w:noWrap w:val="0"/>
            <w:vAlign w:val="center"/>
          </w:tcPr>
          <w:p w14:paraId="6AED90F8">
            <w:pPr>
              <w:keepNext w:val="0"/>
              <w:keepLines w:val="0"/>
              <w:pageBreakBefore w:val="0"/>
              <w:widowControl w:val="0"/>
              <w:kinsoku/>
              <w:wordWrap/>
              <w:overflowPunct/>
              <w:topLinePunct w:val="0"/>
              <w:bidi w:val="0"/>
              <w:snapToGrid/>
              <w:spacing w:line="400" w:lineRule="exact"/>
              <w:jc w:val="both"/>
              <w:textAlignment w:val="auto"/>
              <w:rPr>
                <w:rFonts w:hint="default"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24"/>
                <w:sz w:val="21"/>
                <w:szCs w:val="21"/>
                <w:highlight w:val="none"/>
                <w:u w:val="none"/>
              </w:rPr>
              <w:t>本项目钻井过程中一开、二开采用水基非磺化钻井液体系，三开采用油基钻井液体系，采用经不落地系统进行处理，在井场进行固液分离，分离后的液相回用于钻井液配备，分离后的水基钻井液产生的岩屑满足《油气田钻井固体废物综合利用污染控制要求》（DB65/T3997-2017）后</w:t>
            </w:r>
            <w:r>
              <w:rPr>
                <w:rFonts w:hint="eastAsia" w:ascii="宋体" w:hAnsi="宋体" w:cs="宋体"/>
                <w:color w:val="auto"/>
                <w:kern w:val="24"/>
                <w:sz w:val="21"/>
                <w:szCs w:val="21"/>
                <w:highlight w:val="none"/>
                <w:u w:val="none"/>
                <w:lang w:val="en-US" w:eastAsia="zh-CN"/>
              </w:rPr>
              <w:t>综合利用</w:t>
            </w:r>
            <w:r>
              <w:rPr>
                <w:rFonts w:hint="eastAsia" w:ascii="宋体" w:hAnsi="宋体" w:eastAsia="宋体" w:cs="宋体"/>
                <w:color w:val="auto"/>
                <w:kern w:val="24"/>
                <w:sz w:val="21"/>
                <w:szCs w:val="21"/>
                <w:highlight w:val="none"/>
                <w:u w:val="none"/>
              </w:rPr>
              <w:t>；油基钻井液产生的岩屑为HW08含油危废（废物代码：072-001-08），在井场方罐暂存，定期委托具有相应危废处置资质的单位处置。</w:t>
            </w:r>
            <w:r>
              <w:rPr>
                <w:rFonts w:hint="eastAsia" w:ascii="宋体" w:hAnsi="宋体" w:cs="宋体"/>
                <w:color w:val="auto"/>
                <w:kern w:val="0"/>
                <w:sz w:val="21"/>
                <w:szCs w:val="21"/>
                <w:highlight w:val="none"/>
                <w:u w:val="none"/>
                <w:lang w:val="en-US" w:eastAsia="zh-CN"/>
              </w:rPr>
              <w:t>运营期产生的危险废物均委托有相关资质单位处置。</w:t>
            </w:r>
          </w:p>
        </w:tc>
        <w:tc>
          <w:tcPr>
            <w:tcW w:w="504" w:type="pct"/>
            <w:tcBorders>
              <w:tl2br w:val="nil"/>
              <w:tr2bl w:val="nil"/>
            </w:tcBorders>
            <w:noWrap w:val="0"/>
            <w:vAlign w:val="center"/>
          </w:tcPr>
          <w:p w14:paraId="026F6671">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符合</w:t>
            </w:r>
          </w:p>
        </w:tc>
      </w:tr>
      <w:tr w14:paraId="389C9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1C4DB30B">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噪声排放应达到《工业企业厂界环境噪声排放标准》（GB12348）要求。</w:t>
            </w:r>
          </w:p>
        </w:tc>
        <w:tc>
          <w:tcPr>
            <w:tcW w:w="1976" w:type="pct"/>
            <w:tcBorders>
              <w:tl2br w:val="nil"/>
              <w:tr2bl w:val="nil"/>
            </w:tcBorders>
            <w:noWrap w:val="0"/>
            <w:vAlign w:val="center"/>
          </w:tcPr>
          <w:p w14:paraId="54673A7E">
            <w:pPr>
              <w:keepNext w:val="0"/>
              <w:keepLines w:val="0"/>
              <w:pageBreakBefore w:val="0"/>
              <w:widowControl w:val="0"/>
              <w:kinsoku/>
              <w:wordWrap/>
              <w:overflowPunct/>
              <w:topLinePunct w:val="0"/>
              <w:bidi w:val="0"/>
              <w:snapToGrid/>
              <w:spacing w:line="400" w:lineRule="exact"/>
              <w:jc w:val="both"/>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cs="宋体"/>
                <w:color w:val="auto"/>
                <w:kern w:val="0"/>
                <w:sz w:val="21"/>
                <w:szCs w:val="21"/>
                <w:highlight w:val="none"/>
                <w:u w:val="none"/>
                <w:lang w:val="en-US" w:eastAsia="zh-CN"/>
              </w:rPr>
              <w:t>经预测分析，项目运营期井场厂界昼、夜间噪声预测值均可满足《工业企业厂界环境噪声排放标准》（GB12348-2008）中2类区标准。</w:t>
            </w:r>
          </w:p>
        </w:tc>
        <w:tc>
          <w:tcPr>
            <w:tcW w:w="504" w:type="pct"/>
            <w:tcBorders>
              <w:tl2br w:val="nil"/>
              <w:tr2bl w:val="nil"/>
            </w:tcBorders>
            <w:noWrap w:val="0"/>
            <w:vAlign w:val="center"/>
          </w:tcPr>
          <w:p w14:paraId="664DFB3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符合</w:t>
            </w:r>
          </w:p>
        </w:tc>
      </w:tr>
      <w:tr w14:paraId="2389D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8" w:type="pct"/>
            <w:tcBorders>
              <w:tl2br w:val="nil"/>
              <w:tr2bl w:val="nil"/>
            </w:tcBorders>
            <w:noWrap w:val="0"/>
            <w:vAlign w:val="center"/>
          </w:tcPr>
          <w:p w14:paraId="451C1E6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对拟退役的废弃井（站）场、管道、道路等工程设施应进行生态修复，生态修复前应对废弃油（气）井、管道进行封堵或设施拆除，确保无土壤及地下水环境污染遗留问题、废弃物得到妥善处置。生态修复应满足《矿山生态环境保护与恢复治理技术规范（试行）》（HJ651）、《废弃井封井回填技术指南（试行）》、《废弃井及长停井处置指南》（SY/T6646）、《陆上石油天然气开采业绿色矿山建设规范》（DZ/T0317）等相关要求。</w:t>
            </w:r>
          </w:p>
        </w:tc>
        <w:tc>
          <w:tcPr>
            <w:tcW w:w="1976" w:type="pct"/>
            <w:tcBorders>
              <w:tl2br w:val="nil"/>
              <w:tr2bl w:val="nil"/>
            </w:tcBorders>
            <w:noWrap w:val="0"/>
            <w:vAlign w:val="center"/>
          </w:tcPr>
          <w:p w14:paraId="475CF5DE">
            <w:pPr>
              <w:keepNext w:val="0"/>
              <w:keepLines w:val="0"/>
              <w:pageBreakBefore w:val="0"/>
              <w:widowControl w:val="0"/>
              <w:kinsoku/>
              <w:wordWrap/>
              <w:overflowPunct/>
              <w:topLinePunct w:val="0"/>
              <w:bidi w:val="0"/>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严格按照《矿山生态环境保护与恢复治理技术规范（试行）》（HJ651）、《废弃井封井回填技术指南（试行）》《废弃井及长停井处置指南》（SY/T6646）、《陆上石油天然气开采业绿色矿山建设规范》（DZ/T0317）相关要求</w:t>
            </w:r>
            <w:r>
              <w:rPr>
                <w:rFonts w:hint="eastAsia" w:ascii="宋体" w:hAnsi="宋体" w:cs="宋体"/>
                <w:color w:val="auto"/>
                <w:kern w:val="0"/>
                <w:sz w:val="21"/>
                <w:szCs w:val="21"/>
                <w:highlight w:val="none"/>
                <w:u w:val="none"/>
                <w:lang w:val="en-US" w:eastAsia="zh-CN"/>
              </w:rPr>
              <w:t>对拟退役的废弃井（站）场、管道、道路等工程设施应进行生态修复</w:t>
            </w:r>
            <w:r>
              <w:rPr>
                <w:rFonts w:hint="eastAsia" w:ascii="宋体" w:hAnsi="宋体" w:eastAsia="宋体" w:cs="宋体"/>
                <w:color w:val="auto"/>
                <w:kern w:val="0"/>
                <w:sz w:val="21"/>
                <w:szCs w:val="21"/>
                <w:highlight w:val="none"/>
                <w:u w:val="none"/>
              </w:rPr>
              <w:t>。</w:t>
            </w:r>
          </w:p>
        </w:tc>
        <w:tc>
          <w:tcPr>
            <w:tcW w:w="504" w:type="pct"/>
            <w:tcBorders>
              <w:tl2br w:val="nil"/>
              <w:tr2bl w:val="nil"/>
            </w:tcBorders>
            <w:noWrap w:val="0"/>
            <w:vAlign w:val="center"/>
          </w:tcPr>
          <w:p w14:paraId="4ABDD51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符合</w:t>
            </w:r>
          </w:p>
        </w:tc>
      </w:tr>
    </w:tbl>
    <w:p w14:paraId="5834C04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11"/>
          <w:kern w:val="0"/>
          <w:sz w:val="24"/>
          <w:szCs w:val="24"/>
          <w:highlight w:val="none"/>
          <w:u w:val="none"/>
        </w:rPr>
      </w:pPr>
      <w:r>
        <w:rPr>
          <w:rFonts w:hint="default" w:ascii="宋体" w:hAnsi="宋体" w:eastAsia="宋体" w:cs="宋体"/>
          <w:snapToGrid w:val="0"/>
          <w:color w:val="auto"/>
          <w:kern w:val="0"/>
          <w:sz w:val="24"/>
          <w:szCs w:val="24"/>
          <w:highlight w:val="none"/>
          <w:u w:val="none"/>
          <w:lang w:val="en-US" w:eastAsia="zh-CN" w:bidi="ar-SA"/>
        </w:rPr>
        <w:t>由</w:t>
      </w:r>
      <w:r>
        <w:rPr>
          <w:rFonts w:hint="eastAsia" w:ascii="宋体" w:hAnsi="宋体" w:eastAsia="宋体" w:cs="宋体"/>
          <w:snapToGrid w:val="0"/>
          <w:color w:val="auto"/>
          <w:kern w:val="0"/>
          <w:sz w:val="24"/>
          <w:szCs w:val="24"/>
          <w:highlight w:val="none"/>
          <w:u w:val="none"/>
          <w:lang w:val="en-US" w:eastAsia="zh-CN" w:bidi="ar-SA"/>
        </w:rPr>
        <w:t>上表</w:t>
      </w:r>
      <w:r>
        <w:rPr>
          <w:rFonts w:hint="default" w:ascii="宋体" w:hAnsi="宋体" w:eastAsia="宋体" w:cs="宋体"/>
          <w:snapToGrid w:val="0"/>
          <w:color w:val="auto"/>
          <w:kern w:val="0"/>
          <w:sz w:val="24"/>
          <w:szCs w:val="24"/>
          <w:highlight w:val="none"/>
          <w:u w:val="none"/>
          <w:lang w:val="en-US" w:eastAsia="zh-CN" w:bidi="ar-SA"/>
        </w:rPr>
        <w:t>可知，项目建设符合《新疆维吾尔自治区重点行业生态环境准入条件（2024年）》的相关规定。</w:t>
      </w:r>
    </w:p>
    <w:p w14:paraId="020CFDB9">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3 </w:t>
      </w:r>
      <w:r>
        <w:rPr>
          <w:rFonts w:hint="default" w:ascii="黑体" w:hAnsi="黑体" w:eastAsia="黑体" w:cs="黑体"/>
          <w:b/>
          <w:color w:val="auto"/>
          <w:kern w:val="0"/>
          <w:sz w:val="24"/>
          <w:szCs w:val="24"/>
          <w:highlight w:val="none"/>
          <w:u w:val="none"/>
          <w:lang w:val="en-US" w:eastAsia="zh-CN"/>
        </w:rPr>
        <w:t>与《陆上石油天然气开采业绿色矿山建设规范》的符合性分析</w:t>
      </w:r>
    </w:p>
    <w:p w14:paraId="39B252CC">
      <w:pPr>
        <w:widowControl/>
        <w:spacing w:line="360" w:lineRule="auto"/>
        <w:ind w:firstLine="480" w:firstLineChars="200"/>
        <w:jc w:val="left"/>
        <w:rPr>
          <w:rFonts w:hint="default" w:ascii="Times New Roman" w:hAnsi="Times New Roman" w:eastAsia="黑体" w:cs="Times New Roman"/>
          <w:b/>
          <w:color w:val="auto"/>
          <w:kern w:val="0"/>
          <w:sz w:val="21"/>
          <w:szCs w:val="21"/>
          <w:highlight w:val="none"/>
          <w:u w:val="none"/>
        </w:rPr>
      </w:pPr>
      <w:r>
        <w:rPr>
          <w:rFonts w:hint="default" w:ascii="宋体" w:hAnsi="宋体" w:eastAsia="宋体" w:cs="宋体"/>
          <w:snapToGrid w:val="0"/>
          <w:color w:val="auto"/>
          <w:kern w:val="0"/>
          <w:sz w:val="24"/>
          <w:szCs w:val="24"/>
          <w:highlight w:val="none"/>
          <w:u w:val="none"/>
          <w:lang w:val="en-US" w:eastAsia="zh-CN" w:bidi="ar-SA"/>
        </w:rPr>
        <w:t>本工程运营期采取的各项环保措施与《陆上石油天然气开采业绿色矿山建设规范》（DZ/T0317-2018）中要求的相符性分析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见表3.</w:t>
      </w:r>
      <w:r>
        <w:rPr>
          <w:rFonts w:hint="eastAsia" w:ascii="宋体" w:hAnsi="宋体" w:cs="宋体"/>
          <w:snapToGrid w:val="0"/>
          <w:color w:val="auto"/>
          <w:kern w:val="0"/>
          <w:sz w:val="24"/>
          <w:szCs w:val="24"/>
          <w:highlight w:val="none"/>
          <w:u w:val="none"/>
          <w:lang w:val="en-US" w:eastAsia="zh-CN" w:bidi="ar-SA"/>
        </w:rPr>
        <w:t>5</w:t>
      </w:r>
      <w:r>
        <w:rPr>
          <w:rFonts w:hint="eastAsia" w:ascii="宋体" w:hAnsi="宋体" w:eastAsia="宋体" w:cs="宋体"/>
          <w:snapToGrid w:val="0"/>
          <w:color w:val="auto"/>
          <w:kern w:val="0"/>
          <w:sz w:val="24"/>
          <w:szCs w:val="24"/>
          <w:highlight w:val="none"/>
          <w:u w:val="none"/>
          <w:lang w:val="en-US" w:eastAsia="zh-CN" w:bidi="ar-SA"/>
        </w:rPr>
        <w:t>-2</w:t>
      </w:r>
      <w:r>
        <w:rPr>
          <w:rFonts w:hint="default" w:ascii="宋体" w:hAnsi="宋体" w:eastAsia="宋体" w:cs="宋体"/>
          <w:snapToGrid w:val="0"/>
          <w:color w:val="auto"/>
          <w:kern w:val="0"/>
          <w:sz w:val="24"/>
          <w:szCs w:val="24"/>
          <w:highlight w:val="none"/>
          <w:u w:val="none"/>
          <w:lang w:val="en-US" w:eastAsia="zh-CN" w:bidi="ar-SA"/>
        </w:rPr>
        <w:t>。</w:t>
      </w:r>
    </w:p>
    <w:p w14:paraId="67D80C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2  </w:t>
      </w:r>
      <w:r>
        <w:rPr>
          <w:rFonts w:hint="default" w:ascii="黑体" w:hAnsi="黑体" w:eastAsia="黑体" w:cs="黑体"/>
          <w:b w:val="0"/>
          <w:bCs/>
          <w:color w:val="auto"/>
          <w:kern w:val="2"/>
          <w:sz w:val="24"/>
          <w:szCs w:val="24"/>
          <w:u w:val="none"/>
          <w:lang w:val="en-US" w:eastAsia="zh-CN" w:bidi="ar-SA"/>
        </w:rPr>
        <w:t>本工程与《陆上石油天然气开采业绿色矿山建设规范》的相符性分析</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109"/>
        <w:gridCol w:w="3755"/>
        <w:gridCol w:w="807"/>
      </w:tblGrid>
      <w:tr w14:paraId="5B608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3" w:hRule="atLeast"/>
          <w:jc w:val="center"/>
        </w:trPr>
        <w:tc>
          <w:tcPr>
            <w:tcW w:w="2369" w:type="pct"/>
            <w:tcBorders>
              <w:tl2br w:val="nil"/>
              <w:tr2bl w:val="nil"/>
            </w:tcBorders>
            <w:noWrap w:val="0"/>
            <w:vAlign w:val="center"/>
          </w:tcPr>
          <w:p w14:paraId="44CBDB13">
            <w:pPr>
              <w:keepNext w:val="0"/>
              <w:keepLines w:val="0"/>
              <w:pageBreakBefore w:val="0"/>
              <w:widowControl/>
              <w:kinsoku/>
              <w:wordWrap/>
              <w:overflowPunct/>
              <w:topLinePunct/>
              <w:autoSpaceDE/>
              <w:autoSpaceDN/>
              <w:bidi w:val="0"/>
              <w:snapToGrid/>
              <w:spacing w:line="400" w:lineRule="exact"/>
              <w:jc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《陆上石油天然气开采业绿色矿山建设规范》</w:t>
            </w:r>
          </w:p>
        </w:tc>
        <w:tc>
          <w:tcPr>
            <w:tcW w:w="2165" w:type="pct"/>
            <w:tcBorders>
              <w:tl2br w:val="nil"/>
              <w:tr2bl w:val="nil"/>
            </w:tcBorders>
            <w:noWrap w:val="0"/>
            <w:vAlign w:val="center"/>
          </w:tcPr>
          <w:p w14:paraId="397D511B">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项目采取的相关措施</w:t>
            </w:r>
          </w:p>
        </w:tc>
        <w:tc>
          <w:tcPr>
            <w:tcW w:w="465" w:type="pct"/>
            <w:tcBorders>
              <w:tl2br w:val="nil"/>
              <w:tr2bl w:val="nil"/>
            </w:tcBorders>
            <w:noWrap w:val="0"/>
            <w:vAlign w:val="center"/>
          </w:tcPr>
          <w:p w14:paraId="2FE71FF7">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符合性</w:t>
            </w:r>
          </w:p>
          <w:p w14:paraId="5CCBC9A3">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分析</w:t>
            </w:r>
          </w:p>
        </w:tc>
      </w:tr>
      <w:tr w14:paraId="7C45B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223" w:hRule="atLeast"/>
          <w:jc w:val="center"/>
        </w:trPr>
        <w:tc>
          <w:tcPr>
            <w:tcW w:w="2369" w:type="pct"/>
            <w:tcBorders>
              <w:tl2br w:val="nil"/>
              <w:tr2bl w:val="nil"/>
            </w:tcBorders>
            <w:noWrap w:val="0"/>
            <w:vAlign w:val="center"/>
          </w:tcPr>
          <w:p w14:paraId="5DCC5681">
            <w:pPr>
              <w:keepNext w:val="0"/>
              <w:keepLines w:val="0"/>
              <w:pageBreakBefore w:val="0"/>
              <w:widowControl/>
              <w:kinsoku/>
              <w:wordWrap/>
              <w:overflowPunct/>
              <w:topLinePunct/>
              <w:autoSpaceDE/>
              <w:autoSpaceDN/>
              <w:bidi w:val="0"/>
              <w:snapToGrid/>
              <w:spacing w:line="400" w:lineRule="exact"/>
              <w:jc w:val="both"/>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因矿制宜选择开采工艺和装备，符合清洁生产要求。应贯彻“边开采，边治理，边恢复”的原则，及时治理恢复矿区地质环境，复垦矿区压占和损毁土地。</w:t>
            </w:r>
          </w:p>
        </w:tc>
        <w:tc>
          <w:tcPr>
            <w:tcW w:w="2165" w:type="pct"/>
            <w:tcBorders>
              <w:tl2br w:val="nil"/>
              <w:tr2bl w:val="nil"/>
            </w:tcBorders>
            <w:noWrap w:val="0"/>
            <w:vAlign w:val="center"/>
          </w:tcPr>
          <w:p w14:paraId="5EB63F99">
            <w:pPr>
              <w:keepNext w:val="0"/>
              <w:keepLines w:val="0"/>
              <w:pageBreakBefore w:val="0"/>
              <w:widowControl/>
              <w:kinsoku/>
              <w:wordWrap/>
              <w:overflowPunct/>
              <w:autoSpaceDE/>
              <w:autoSpaceDN/>
              <w:bidi w:val="0"/>
              <w:snapToGrid/>
              <w:spacing w:line="400" w:lineRule="exact"/>
              <w:jc w:val="both"/>
              <w:rPr>
                <w:rFonts w:hint="default" w:ascii="Times New Roman" w:hAnsi="Times New Roman" w:eastAsia="宋体" w:cs="Times New Roman"/>
                <w:color w:val="auto"/>
                <w:kern w:val="0"/>
                <w:sz w:val="21"/>
                <w:szCs w:val="21"/>
                <w:highlight w:val="none"/>
                <w:u w:val="none"/>
                <w:lang w:eastAsia="zh-CN"/>
              </w:rPr>
            </w:pPr>
            <w:r>
              <w:rPr>
                <w:rFonts w:hint="default" w:ascii="Times New Roman" w:hAnsi="Times New Roman" w:cs="Times New Roman"/>
                <w:color w:val="auto"/>
                <w:kern w:val="0"/>
                <w:sz w:val="21"/>
                <w:szCs w:val="21"/>
                <w:highlight w:val="none"/>
                <w:u w:val="none"/>
              </w:rPr>
              <w:t>项目提出施工期结束后，恢复管线临时占地，符合“边开采，边治理，边恢复”的原则</w:t>
            </w:r>
            <w:r>
              <w:rPr>
                <w:rFonts w:hint="default" w:ascii="Times New Roman" w:hAnsi="Times New Roman" w:cs="Times New Roman"/>
                <w:color w:val="auto"/>
                <w:kern w:val="0"/>
                <w:sz w:val="21"/>
                <w:szCs w:val="21"/>
                <w:highlight w:val="none"/>
                <w:u w:val="none"/>
                <w:lang w:eastAsia="zh-CN"/>
              </w:rPr>
              <w:t>。</w:t>
            </w:r>
          </w:p>
        </w:tc>
        <w:tc>
          <w:tcPr>
            <w:tcW w:w="465" w:type="pct"/>
            <w:tcBorders>
              <w:tl2br w:val="nil"/>
              <w:tr2bl w:val="nil"/>
            </w:tcBorders>
            <w:noWrap w:val="0"/>
            <w:vAlign w:val="center"/>
          </w:tcPr>
          <w:p w14:paraId="234BD97F">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符合</w:t>
            </w:r>
          </w:p>
        </w:tc>
      </w:tr>
      <w:tr w14:paraId="4C266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95" w:hRule="atLeast"/>
          <w:jc w:val="center"/>
        </w:trPr>
        <w:tc>
          <w:tcPr>
            <w:tcW w:w="2369" w:type="pct"/>
            <w:tcBorders>
              <w:tl2br w:val="nil"/>
              <w:tr2bl w:val="nil"/>
            </w:tcBorders>
            <w:noWrap w:val="0"/>
            <w:vAlign w:val="center"/>
          </w:tcPr>
          <w:p w14:paraId="0327AE88">
            <w:pPr>
              <w:keepNext w:val="0"/>
              <w:keepLines w:val="0"/>
              <w:pageBreakBefore w:val="0"/>
              <w:widowControl/>
              <w:kinsoku/>
              <w:wordWrap/>
              <w:overflowPunct/>
              <w:topLinePunct/>
              <w:autoSpaceDE/>
              <w:autoSpaceDN/>
              <w:bidi w:val="0"/>
              <w:snapToGrid/>
              <w:spacing w:line="400" w:lineRule="exact"/>
              <w:jc w:val="both"/>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应遵循矿区油气资源赋存状况、生态环境特征等条件，科学合理地确定开发方案，选择与油气藏类型相适应的先进开采技术和工艺，推广使用成熟、先进的技术装备，严禁使用国家明文规定的限制和淘汰的技术工艺及装备。</w:t>
            </w:r>
          </w:p>
        </w:tc>
        <w:tc>
          <w:tcPr>
            <w:tcW w:w="2165" w:type="pct"/>
            <w:tcBorders>
              <w:tl2br w:val="nil"/>
              <w:tr2bl w:val="nil"/>
            </w:tcBorders>
            <w:noWrap w:val="0"/>
            <w:vAlign w:val="center"/>
          </w:tcPr>
          <w:p w14:paraId="526989CB">
            <w:pPr>
              <w:keepNext w:val="0"/>
              <w:keepLines w:val="0"/>
              <w:pageBreakBefore w:val="0"/>
              <w:widowControl/>
              <w:kinsoku/>
              <w:wordWrap/>
              <w:overflowPunct/>
              <w:autoSpaceDE/>
              <w:autoSpaceDN/>
              <w:bidi w:val="0"/>
              <w:snapToGrid/>
              <w:spacing w:line="400" w:lineRule="exact"/>
              <w:jc w:val="both"/>
              <w:rPr>
                <w:rFonts w:hint="default" w:ascii="Times New Roman" w:hAnsi="Times New Roman" w:eastAsia="宋体" w:cs="Times New Roman"/>
                <w:color w:val="auto"/>
                <w:kern w:val="0"/>
                <w:sz w:val="21"/>
                <w:szCs w:val="21"/>
                <w:highlight w:val="none"/>
                <w:u w:val="none"/>
                <w:lang w:eastAsia="zh-CN"/>
              </w:rPr>
            </w:pPr>
            <w:r>
              <w:rPr>
                <w:rFonts w:hint="default" w:ascii="Times New Roman" w:hAnsi="Times New Roman" w:cs="Times New Roman"/>
                <w:color w:val="auto"/>
                <w:kern w:val="0"/>
                <w:sz w:val="21"/>
                <w:szCs w:val="21"/>
                <w:highlight w:val="none"/>
                <w:u w:val="none"/>
                <w:lang w:eastAsia="zh-CN"/>
              </w:rPr>
              <w:t>本工程</w:t>
            </w:r>
            <w:r>
              <w:rPr>
                <w:rFonts w:hint="default" w:ascii="Times New Roman" w:hAnsi="Times New Roman" w:cs="Times New Roman"/>
                <w:color w:val="auto"/>
                <w:kern w:val="0"/>
                <w:sz w:val="21"/>
                <w:szCs w:val="21"/>
                <w:highlight w:val="none"/>
                <w:u w:val="none"/>
              </w:rPr>
              <w:t>开发方案设计考虑了油气资源赋存状况、生态环境特征等条件，所选用的技术和工艺均成熟、先进</w:t>
            </w:r>
            <w:r>
              <w:rPr>
                <w:rFonts w:hint="default" w:ascii="Times New Roman" w:hAnsi="Times New Roman" w:cs="Times New Roman"/>
                <w:color w:val="auto"/>
                <w:kern w:val="0"/>
                <w:sz w:val="21"/>
                <w:szCs w:val="21"/>
                <w:highlight w:val="none"/>
                <w:u w:val="none"/>
                <w:lang w:eastAsia="zh-CN"/>
              </w:rPr>
              <w:t>。</w:t>
            </w:r>
          </w:p>
        </w:tc>
        <w:tc>
          <w:tcPr>
            <w:tcW w:w="465" w:type="pct"/>
            <w:tcBorders>
              <w:tl2br w:val="nil"/>
              <w:tr2bl w:val="nil"/>
            </w:tcBorders>
            <w:noWrap w:val="0"/>
            <w:vAlign w:val="center"/>
          </w:tcPr>
          <w:p w14:paraId="4A5C4E55">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符合</w:t>
            </w:r>
          </w:p>
        </w:tc>
      </w:tr>
      <w:tr w14:paraId="407C7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74" w:hRule="atLeast"/>
          <w:jc w:val="center"/>
        </w:trPr>
        <w:tc>
          <w:tcPr>
            <w:tcW w:w="2369" w:type="pct"/>
            <w:tcBorders>
              <w:tl2br w:val="nil"/>
              <w:tr2bl w:val="nil"/>
            </w:tcBorders>
            <w:noWrap w:val="0"/>
            <w:vAlign w:val="center"/>
          </w:tcPr>
          <w:p w14:paraId="0488FF40">
            <w:pPr>
              <w:keepNext w:val="0"/>
              <w:keepLines w:val="0"/>
              <w:pageBreakBefore w:val="0"/>
              <w:widowControl/>
              <w:kinsoku/>
              <w:wordWrap/>
              <w:overflowPunct/>
              <w:topLinePunct/>
              <w:autoSpaceDE/>
              <w:autoSpaceDN/>
              <w:bidi w:val="0"/>
              <w:snapToGrid/>
              <w:spacing w:line="400" w:lineRule="exact"/>
              <w:jc w:val="both"/>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集约节约利用土地资源，土地利用符合用地指标政策。合理确定站址、场址、管网、路网建设占地规模。</w:t>
            </w:r>
          </w:p>
        </w:tc>
        <w:tc>
          <w:tcPr>
            <w:tcW w:w="2165" w:type="pct"/>
            <w:tcBorders>
              <w:tl2br w:val="nil"/>
              <w:tr2bl w:val="nil"/>
            </w:tcBorders>
            <w:noWrap w:val="0"/>
            <w:vAlign w:val="center"/>
          </w:tcPr>
          <w:p w14:paraId="5A7E9F4F">
            <w:pPr>
              <w:keepNext w:val="0"/>
              <w:keepLines w:val="0"/>
              <w:pageBreakBefore w:val="0"/>
              <w:widowControl/>
              <w:kinsoku/>
              <w:wordWrap/>
              <w:overflowPunct/>
              <w:autoSpaceDE/>
              <w:autoSpaceDN/>
              <w:bidi w:val="0"/>
              <w:snapToGrid/>
              <w:spacing w:line="400" w:lineRule="exact"/>
              <w:jc w:val="both"/>
              <w:rPr>
                <w:rFonts w:hint="default" w:ascii="Times New Roman" w:hAnsi="Times New Roman" w:eastAsia="宋体" w:cs="Times New Roman"/>
                <w:color w:val="auto"/>
                <w:kern w:val="0"/>
                <w:sz w:val="21"/>
                <w:szCs w:val="21"/>
                <w:highlight w:val="none"/>
                <w:u w:val="none"/>
                <w:lang w:eastAsia="zh-CN"/>
              </w:rPr>
            </w:pPr>
            <w:r>
              <w:rPr>
                <w:rFonts w:hint="default" w:ascii="Times New Roman" w:hAnsi="Times New Roman" w:cs="Times New Roman"/>
                <w:color w:val="auto"/>
                <w:kern w:val="0"/>
                <w:sz w:val="21"/>
                <w:szCs w:val="21"/>
                <w:highlight w:val="none"/>
                <w:u w:val="none"/>
              </w:rPr>
              <w:t>项目</w:t>
            </w:r>
            <w:r>
              <w:rPr>
                <w:rFonts w:hint="eastAsia" w:cs="Times New Roman"/>
                <w:color w:val="auto"/>
                <w:kern w:val="0"/>
                <w:sz w:val="21"/>
                <w:szCs w:val="21"/>
                <w:highlight w:val="none"/>
                <w:u w:val="none"/>
                <w:lang w:val="en-US" w:eastAsia="zh-CN"/>
              </w:rPr>
              <w:t>站场</w:t>
            </w:r>
            <w:r>
              <w:rPr>
                <w:rFonts w:hint="default" w:ascii="Times New Roman" w:hAnsi="Times New Roman" w:cs="Times New Roman"/>
                <w:color w:val="auto"/>
                <w:kern w:val="0"/>
                <w:sz w:val="21"/>
                <w:szCs w:val="21"/>
                <w:highlight w:val="none"/>
                <w:u w:val="none"/>
              </w:rPr>
              <w:t>、管线占地规模均从土地资源节约方面考虑，尽可能缩小占地面积和作业带宽度</w:t>
            </w:r>
            <w:r>
              <w:rPr>
                <w:rFonts w:hint="default" w:ascii="Times New Roman" w:hAnsi="Times New Roman" w:cs="Times New Roman"/>
                <w:color w:val="auto"/>
                <w:kern w:val="0"/>
                <w:sz w:val="21"/>
                <w:szCs w:val="21"/>
                <w:highlight w:val="none"/>
                <w:u w:val="none"/>
                <w:lang w:eastAsia="zh-CN"/>
              </w:rPr>
              <w:t>。</w:t>
            </w:r>
          </w:p>
        </w:tc>
        <w:tc>
          <w:tcPr>
            <w:tcW w:w="465" w:type="pct"/>
            <w:tcBorders>
              <w:tl2br w:val="nil"/>
              <w:tr2bl w:val="nil"/>
            </w:tcBorders>
            <w:noWrap w:val="0"/>
            <w:vAlign w:val="center"/>
          </w:tcPr>
          <w:p w14:paraId="2FF2CF93">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符合</w:t>
            </w:r>
          </w:p>
        </w:tc>
      </w:tr>
      <w:tr w14:paraId="5917C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84" w:hRule="atLeast"/>
          <w:jc w:val="center"/>
        </w:trPr>
        <w:tc>
          <w:tcPr>
            <w:tcW w:w="2369" w:type="pct"/>
            <w:tcBorders>
              <w:tl2br w:val="nil"/>
              <w:tr2bl w:val="nil"/>
            </w:tcBorders>
            <w:noWrap w:val="0"/>
            <w:vAlign w:val="center"/>
          </w:tcPr>
          <w:p w14:paraId="2FD6E996">
            <w:pPr>
              <w:keepNext w:val="0"/>
              <w:keepLines w:val="0"/>
              <w:pageBreakBefore w:val="0"/>
              <w:widowControl w:val="0"/>
              <w:kinsoku/>
              <w:wordWrap/>
              <w:overflowPunct/>
              <w:autoSpaceDE/>
              <w:autoSpaceDN/>
              <w:bidi w:val="0"/>
              <w:adjustRightInd w:val="0"/>
              <w:snapToGrid/>
              <w:spacing w:line="400" w:lineRule="exact"/>
              <w:ind w:left="0" w:leftChars="0" w:right="0" w:rightChars="0"/>
              <w:jc w:val="both"/>
              <w:textAlignment w:val="baseline"/>
              <w:rPr>
                <w:rFonts w:hint="default" w:ascii="Times New Roman" w:hAnsi="Times New Roman" w:eastAsia="宋体" w:cs="Times New Roman"/>
                <w:color w:val="auto"/>
                <w:kern w:val="2"/>
                <w:sz w:val="21"/>
                <w:szCs w:val="21"/>
                <w:highlight w:val="none"/>
                <w:u w:val="none"/>
                <w:lang w:val="en-US" w:eastAsia="zh-CN" w:bidi="ar-SA"/>
              </w:rPr>
            </w:pPr>
            <w:r>
              <w:rPr>
                <w:rFonts w:ascii="Times New Roman" w:hAnsi="Times New Roman" w:eastAsia="宋体" w:cs="Times New Roman"/>
                <w:color w:val="auto"/>
                <w:kern w:val="2"/>
                <w:sz w:val="21"/>
                <w:szCs w:val="21"/>
                <w:highlight w:val="none"/>
                <w:u w:val="none"/>
                <w:lang w:val="en-US" w:eastAsia="zh-CN" w:bidi="ar-SA"/>
              </w:rPr>
              <w:t>对伴生有二氧化碳气体的油气藏，二氧化碳气体含量未达到工业综合利用要求的，应采取有效处置方案，未制定二氧化碳气体处置方案的油气藏不得开发</w:t>
            </w:r>
            <w:r>
              <w:rPr>
                <w:rFonts w:hint="eastAsia" w:ascii="Times New Roman" w:hAnsi="Times New Roman" w:eastAsia="宋体" w:cs="Times New Roman"/>
                <w:color w:val="auto"/>
                <w:kern w:val="2"/>
                <w:sz w:val="21"/>
                <w:szCs w:val="21"/>
                <w:highlight w:val="none"/>
                <w:u w:val="none"/>
                <w:lang w:val="en-US" w:eastAsia="zh-CN" w:bidi="ar-SA"/>
              </w:rPr>
              <w:t>。</w:t>
            </w:r>
          </w:p>
        </w:tc>
        <w:tc>
          <w:tcPr>
            <w:tcW w:w="2165" w:type="pct"/>
            <w:tcBorders>
              <w:tl2br w:val="nil"/>
              <w:tr2bl w:val="nil"/>
            </w:tcBorders>
            <w:noWrap w:val="0"/>
            <w:vAlign w:val="center"/>
          </w:tcPr>
          <w:p w14:paraId="43CDA5EB">
            <w:pPr>
              <w:keepNext w:val="0"/>
              <w:keepLines w:val="0"/>
              <w:pageBreakBefore w:val="0"/>
              <w:widowControl w:val="0"/>
              <w:kinsoku/>
              <w:wordWrap/>
              <w:overflowPunct/>
              <w:autoSpaceDE/>
              <w:autoSpaceDN/>
              <w:bidi w:val="0"/>
              <w:adjustRightInd w:val="0"/>
              <w:snapToGrid/>
              <w:spacing w:line="400" w:lineRule="exact"/>
              <w:ind w:left="0" w:leftChars="0" w:right="0" w:rightChars="0"/>
              <w:jc w:val="both"/>
              <w:textAlignment w:val="baseline"/>
              <w:rPr>
                <w:rFonts w:hint="default" w:ascii="Times New Roman" w:hAnsi="Times New Roman" w:eastAsia="宋体" w:cs="Times New Roman"/>
                <w:color w:val="auto"/>
                <w:kern w:val="2"/>
                <w:sz w:val="21"/>
                <w:szCs w:val="21"/>
                <w:highlight w:val="none"/>
                <w:u w:val="none"/>
                <w:lang w:val="en-US" w:eastAsia="zh-CN" w:bidi="ar-SA"/>
              </w:rPr>
            </w:pPr>
            <w:r>
              <w:rPr>
                <w:rFonts w:ascii="Times New Roman" w:hAnsi="Times New Roman" w:eastAsia="宋体" w:cs="Times New Roman"/>
                <w:color w:val="auto"/>
                <w:kern w:val="2"/>
                <w:sz w:val="21"/>
                <w:szCs w:val="21"/>
                <w:highlight w:val="none"/>
                <w:u w:val="none"/>
                <w:lang w:val="en-US" w:eastAsia="zh-CN" w:bidi="ar-SA"/>
              </w:rPr>
              <w:t>石油天然气开发的标准中没有二氧化碳工业综合利用的标准限值，无法达到工业综合利用要求的二氧化碳需要进行处理，本工程伴生气中二氧化碳满足《天然气》GB 17820-2018中的一类和二类气的外售标准。</w:t>
            </w:r>
          </w:p>
        </w:tc>
        <w:tc>
          <w:tcPr>
            <w:tcW w:w="465" w:type="pct"/>
            <w:tcBorders>
              <w:tl2br w:val="nil"/>
              <w:tr2bl w:val="nil"/>
            </w:tcBorders>
            <w:noWrap w:val="0"/>
            <w:vAlign w:val="center"/>
          </w:tcPr>
          <w:p w14:paraId="3276EAC7">
            <w:pPr>
              <w:keepNext w:val="0"/>
              <w:keepLines w:val="0"/>
              <w:pageBreakBefore w:val="0"/>
              <w:widowControl w:val="0"/>
              <w:kinsoku/>
              <w:wordWrap/>
              <w:overflowPunct/>
              <w:autoSpaceDE/>
              <w:autoSpaceDN/>
              <w:bidi w:val="0"/>
              <w:adjustRightInd w:val="0"/>
              <w:snapToGrid/>
              <w:spacing w:line="40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u w:val="none"/>
                <w:lang w:val="en-US" w:eastAsia="zh-CN" w:bidi="ar-SA"/>
              </w:rPr>
            </w:pPr>
            <w:r>
              <w:rPr>
                <w:rFonts w:ascii="Times New Roman" w:hAnsi="Times New Roman" w:eastAsia="宋体" w:cs="Times New Roman"/>
                <w:color w:val="auto"/>
                <w:kern w:val="2"/>
                <w:sz w:val="21"/>
                <w:szCs w:val="21"/>
                <w:highlight w:val="none"/>
                <w:u w:val="none"/>
                <w:lang w:val="en-US" w:eastAsia="zh-CN" w:bidi="ar-SA"/>
              </w:rPr>
              <w:t>符合</w:t>
            </w:r>
          </w:p>
        </w:tc>
      </w:tr>
    </w:tbl>
    <w:p w14:paraId="7D913E5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4 </w:t>
      </w:r>
      <w:r>
        <w:rPr>
          <w:rFonts w:hint="default" w:ascii="黑体" w:hAnsi="黑体" w:eastAsia="黑体" w:cs="黑体"/>
          <w:b/>
          <w:color w:val="auto"/>
          <w:kern w:val="0"/>
          <w:sz w:val="24"/>
          <w:szCs w:val="24"/>
          <w:highlight w:val="none"/>
          <w:u w:val="none"/>
          <w:lang w:val="en-US" w:eastAsia="zh-CN"/>
        </w:rPr>
        <w:t>与《石油天然气开采业污染防治技术政策》的符合性分析</w:t>
      </w:r>
    </w:p>
    <w:p w14:paraId="0B0D4AAC">
      <w:pPr>
        <w:widowControl/>
        <w:spacing w:line="360" w:lineRule="auto"/>
        <w:ind w:firstLine="480" w:firstLineChars="200"/>
        <w:jc w:val="both"/>
        <w:rPr>
          <w:rFonts w:hint="default" w:ascii="Times New Roman" w:hAnsi="Times New Roman" w:eastAsia="黑体" w:cs="Times New Roman"/>
          <w:b/>
          <w:color w:val="auto"/>
          <w:kern w:val="0"/>
          <w:sz w:val="21"/>
          <w:szCs w:val="21"/>
          <w:highlight w:val="none"/>
          <w:u w:val="none"/>
        </w:rPr>
      </w:pPr>
      <w:r>
        <w:rPr>
          <w:rFonts w:hint="default" w:ascii="宋体" w:hAnsi="宋体" w:eastAsia="宋体" w:cs="宋体"/>
          <w:snapToGrid w:val="0"/>
          <w:color w:val="auto"/>
          <w:kern w:val="0"/>
          <w:sz w:val="24"/>
          <w:szCs w:val="24"/>
          <w:highlight w:val="none"/>
          <w:u w:val="none"/>
          <w:lang w:val="en-US" w:eastAsia="zh-CN" w:bidi="ar-SA"/>
        </w:rPr>
        <w:t>本工程运营期采取的各项环保措施与《石油天然气开采业污染防治技术政策》中要求的相符性分析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见表3.</w:t>
      </w:r>
      <w:r>
        <w:rPr>
          <w:rFonts w:hint="eastAsia" w:ascii="宋体" w:hAnsi="宋体" w:cs="宋体"/>
          <w:snapToGrid w:val="0"/>
          <w:color w:val="auto"/>
          <w:kern w:val="0"/>
          <w:sz w:val="24"/>
          <w:szCs w:val="24"/>
          <w:highlight w:val="none"/>
          <w:u w:val="none"/>
          <w:lang w:val="en-US" w:eastAsia="zh-CN" w:bidi="ar-SA"/>
        </w:rPr>
        <w:t>5</w:t>
      </w:r>
      <w:r>
        <w:rPr>
          <w:rFonts w:hint="default" w:ascii="宋体" w:hAnsi="宋体" w:eastAsia="宋体" w:cs="宋体"/>
          <w:snapToGrid w:val="0"/>
          <w:color w:val="auto"/>
          <w:kern w:val="0"/>
          <w:sz w:val="24"/>
          <w:szCs w:val="24"/>
          <w:highlight w:val="none"/>
          <w:u w:val="none"/>
          <w:lang w:val="en-US" w:eastAsia="zh-CN" w:bidi="ar-SA"/>
        </w:rPr>
        <w:t>-</w:t>
      </w:r>
      <w:r>
        <w:rPr>
          <w:rFonts w:hint="eastAsia" w:ascii="宋体" w:hAnsi="宋体" w:eastAsia="宋体" w:cs="宋体"/>
          <w:snapToGrid w:val="0"/>
          <w:color w:val="auto"/>
          <w:kern w:val="0"/>
          <w:sz w:val="24"/>
          <w:szCs w:val="24"/>
          <w:highlight w:val="none"/>
          <w:u w:val="none"/>
          <w:lang w:val="en-US" w:eastAsia="zh-CN" w:bidi="ar-SA"/>
        </w:rPr>
        <w:t>3</w:t>
      </w:r>
      <w:r>
        <w:rPr>
          <w:rFonts w:hint="default" w:ascii="宋体" w:hAnsi="宋体" w:eastAsia="宋体" w:cs="宋体"/>
          <w:snapToGrid w:val="0"/>
          <w:color w:val="auto"/>
          <w:kern w:val="0"/>
          <w:sz w:val="24"/>
          <w:szCs w:val="24"/>
          <w:highlight w:val="none"/>
          <w:u w:val="none"/>
          <w:lang w:val="en-US" w:eastAsia="zh-CN" w:bidi="ar-SA"/>
        </w:rPr>
        <w:t>。</w:t>
      </w:r>
    </w:p>
    <w:p w14:paraId="513B97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3  </w:t>
      </w:r>
      <w:r>
        <w:rPr>
          <w:rFonts w:hint="default" w:ascii="黑体" w:hAnsi="黑体" w:eastAsia="黑体" w:cs="黑体"/>
          <w:b w:val="0"/>
          <w:bCs/>
          <w:color w:val="auto"/>
          <w:kern w:val="2"/>
          <w:sz w:val="24"/>
          <w:szCs w:val="24"/>
          <w:u w:val="none"/>
          <w:lang w:val="en-US" w:eastAsia="zh-CN" w:bidi="ar-SA"/>
        </w:rPr>
        <w:t>本工程与《石油天然气开采业污染防治技术政策》的相符性分析</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80"/>
        <w:gridCol w:w="2861"/>
        <w:gridCol w:w="788"/>
      </w:tblGrid>
      <w:tr w14:paraId="5F1DA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33" w:type="pct"/>
            <w:tcBorders>
              <w:tl2br w:val="nil"/>
              <w:tr2bl w:val="nil"/>
            </w:tcBorders>
            <w:noWrap w:val="0"/>
            <w:vAlign w:val="center"/>
          </w:tcPr>
          <w:p w14:paraId="373FD338">
            <w:pPr>
              <w:keepNext w:val="0"/>
              <w:keepLines w:val="0"/>
              <w:pageBreakBefore w:val="0"/>
              <w:widowControl/>
              <w:kinsoku/>
              <w:wordWrap/>
              <w:overflowPunct/>
              <w:topLinePunct w:val="0"/>
              <w:bidi w:val="0"/>
              <w:snapToGrid/>
              <w:spacing w:line="400" w:lineRule="exact"/>
              <w:jc w:val="center"/>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0"/>
                <w:sz w:val="21"/>
                <w:szCs w:val="21"/>
                <w:highlight w:val="none"/>
                <w:u w:val="none"/>
              </w:rPr>
              <w:t>《石油天然气开采业污染防治技术政策》中相关规定</w:t>
            </w:r>
          </w:p>
        </w:tc>
        <w:tc>
          <w:tcPr>
            <w:tcW w:w="1620" w:type="pct"/>
            <w:tcBorders>
              <w:tl2br w:val="nil"/>
              <w:tr2bl w:val="nil"/>
            </w:tcBorders>
            <w:noWrap w:val="0"/>
            <w:vAlign w:val="center"/>
          </w:tcPr>
          <w:p w14:paraId="7441A597">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0"/>
                <w:sz w:val="21"/>
                <w:szCs w:val="21"/>
                <w:highlight w:val="none"/>
                <w:u w:val="none"/>
              </w:rPr>
              <w:t>项目采取的相关措施</w:t>
            </w:r>
          </w:p>
        </w:tc>
        <w:tc>
          <w:tcPr>
            <w:tcW w:w="446" w:type="pct"/>
            <w:tcBorders>
              <w:tl2br w:val="nil"/>
              <w:tr2bl w:val="nil"/>
            </w:tcBorders>
            <w:noWrap w:val="0"/>
            <w:vAlign w:val="center"/>
          </w:tcPr>
          <w:p w14:paraId="2C038BE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spacing w:val="-23"/>
                <w:kern w:val="24"/>
                <w:sz w:val="21"/>
                <w:szCs w:val="21"/>
                <w:highlight w:val="none"/>
                <w:u w:val="none"/>
              </w:rPr>
              <w:t>符合性分析</w:t>
            </w:r>
          </w:p>
        </w:tc>
      </w:tr>
      <w:tr w14:paraId="6D9A1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33" w:type="pct"/>
            <w:tcBorders>
              <w:tl2br w:val="nil"/>
              <w:tr2bl w:val="nil"/>
            </w:tcBorders>
            <w:noWrap w:val="0"/>
            <w:vAlign w:val="center"/>
          </w:tcPr>
          <w:p w14:paraId="045FC749">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0"/>
                <w:sz w:val="21"/>
                <w:szCs w:val="21"/>
                <w:highlight w:val="none"/>
                <w:u w:val="none"/>
              </w:rPr>
              <w:t>到2015年末，行业新、改、扩建项目均采用清洁生产工艺和技术，工业废水回用率达到90%以上，工业固体废物资源化及无害化处理处置率达到100%。</w:t>
            </w:r>
          </w:p>
        </w:tc>
        <w:tc>
          <w:tcPr>
            <w:tcW w:w="1620" w:type="pct"/>
            <w:tcBorders>
              <w:tl2br w:val="nil"/>
              <w:tr2bl w:val="nil"/>
            </w:tcBorders>
            <w:noWrap w:val="0"/>
            <w:vAlign w:val="center"/>
          </w:tcPr>
          <w:p w14:paraId="08603E71">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0"/>
                <w:sz w:val="21"/>
                <w:szCs w:val="21"/>
                <w:highlight w:val="none"/>
                <w:u w:val="none"/>
              </w:rPr>
              <w:t>采用清洁生产工艺及技术。</w:t>
            </w:r>
            <w:r>
              <w:rPr>
                <w:rFonts w:hint="default" w:ascii="Times New Roman" w:hAnsi="Times New Roman" w:cs="Times New Roman"/>
                <w:color w:val="auto"/>
                <w:kern w:val="0"/>
                <w:sz w:val="21"/>
                <w:szCs w:val="21"/>
                <w:highlight w:val="none"/>
                <w:u w:val="none"/>
                <w:lang w:eastAsia="zh-CN"/>
              </w:rPr>
              <w:t>本工程采出水依托莫北转油站采出水处理系统处理达标后回注；井下作业废水采用专用废水回收罐收集后运至石西集中处理站采出水处理系统处理达标后回注，无废水外排</w:t>
            </w:r>
            <w:r>
              <w:rPr>
                <w:rFonts w:hint="default" w:ascii="Times New Roman" w:hAnsi="Times New Roman" w:cs="Times New Roman"/>
                <w:color w:val="auto"/>
                <w:kern w:val="0"/>
                <w:sz w:val="21"/>
                <w:szCs w:val="21"/>
                <w:highlight w:val="none"/>
                <w:u w:val="none"/>
              </w:rPr>
              <w:t>；油泥（砂）</w:t>
            </w:r>
            <w:r>
              <w:rPr>
                <w:rFonts w:hint="eastAsia" w:cs="Times New Roman"/>
                <w:color w:val="auto"/>
                <w:kern w:val="0"/>
                <w:sz w:val="21"/>
                <w:szCs w:val="21"/>
                <w:highlight w:val="none"/>
                <w:u w:val="none"/>
                <w:lang w:eastAsia="zh-CN"/>
              </w:rPr>
              <w:t>、</w:t>
            </w:r>
            <w:r>
              <w:rPr>
                <w:rFonts w:hint="default" w:ascii="Times New Roman" w:hAnsi="Times New Roman" w:cs="Times New Roman"/>
                <w:color w:val="auto"/>
                <w:kern w:val="0"/>
                <w:sz w:val="21"/>
                <w:szCs w:val="21"/>
                <w:highlight w:val="none"/>
                <w:u w:val="none"/>
              </w:rPr>
              <w:t>清管废渣</w:t>
            </w:r>
            <w:r>
              <w:rPr>
                <w:rFonts w:hint="eastAsia" w:cs="Times New Roman"/>
                <w:color w:val="auto"/>
                <w:kern w:val="0"/>
                <w:sz w:val="21"/>
                <w:szCs w:val="21"/>
                <w:highlight w:val="none"/>
                <w:u w:val="none"/>
                <w:lang w:eastAsia="zh-CN"/>
              </w:rPr>
              <w:t>、</w:t>
            </w:r>
            <w:r>
              <w:rPr>
                <w:rFonts w:hint="default" w:ascii="Times New Roman" w:hAnsi="Times New Roman" w:cs="Times New Roman"/>
                <w:color w:val="auto"/>
                <w:kern w:val="0"/>
                <w:sz w:val="21"/>
                <w:szCs w:val="21"/>
                <w:highlight w:val="none"/>
                <w:u w:val="none"/>
              </w:rPr>
              <w:t>废防渗材料委托</w:t>
            </w:r>
            <w:r>
              <w:rPr>
                <w:rFonts w:hint="eastAsia" w:ascii="Times New Roman" w:hAnsi="Times New Roman" w:eastAsia="宋体" w:cs="Times New Roman"/>
                <w:color w:val="auto"/>
                <w:kern w:val="0"/>
                <w:sz w:val="21"/>
                <w:szCs w:val="21"/>
                <w:highlight w:val="none"/>
                <w:u w:val="none"/>
              </w:rPr>
              <w:t>具有相应危废处置资质的单位</w:t>
            </w:r>
            <w:r>
              <w:rPr>
                <w:rFonts w:hint="default" w:ascii="Times New Roman" w:hAnsi="Times New Roman" w:cs="Times New Roman"/>
                <w:color w:val="auto"/>
                <w:kern w:val="0"/>
                <w:sz w:val="21"/>
                <w:szCs w:val="21"/>
                <w:highlight w:val="none"/>
                <w:u w:val="none"/>
              </w:rPr>
              <w:t>进行无害化处置。</w:t>
            </w:r>
          </w:p>
        </w:tc>
        <w:tc>
          <w:tcPr>
            <w:tcW w:w="446" w:type="pct"/>
            <w:tcBorders>
              <w:tl2br w:val="nil"/>
              <w:tr2bl w:val="nil"/>
            </w:tcBorders>
            <w:noWrap w:val="0"/>
            <w:vAlign w:val="center"/>
          </w:tcPr>
          <w:p w14:paraId="48B8CB76">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24"/>
                <w:sz w:val="21"/>
                <w:szCs w:val="21"/>
                <w:highlight w:val="none"/>
                <w:u w:val="none"/>
              </w:rPr>
              <w:t>符合</w:t>
            </w:r>
          </w:p>
        </w:tc>
      </w:tr>
      <w:tr w14:paraId="5E6F1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933" w:type="pct"/>
            <w:tcBorders>
              <w:tl2br w:val="nil"/>
              <w:tr2bl w:val="nil"/>
            </w:tcBorders>
            <w:noWrap w:val="0"/>
            <w:vAlign w:val="center"/>
          </w:tcPr>
          <w:p w14:paraId="0F7C6700">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0"/>
                <w:sz w:val="21"/>
                <w:szCs w:val="21"/>
                <w:highlight w:val="none"/>
                <w:u w:val="none"/>
              </w:rPr>
              <w:t>在勘探开发过程中，应防止产生落地原油。其中井下作业过程中应配备泄油器、刮油器等。落地原油应及时回收，落地原油回收率应达到100%。</w:t>
            </w:r>
          </w:p>
        </w:tc>
        <w:tc>
          <w:tcPr>
            <w:tcW w:w="1620" w:type="pct"/>
            <w:tcBorders>
              <w:tl2br w:val="nil"/>
              <w:tr2bl w:val="nil"/>
            </w:tcBorders>
            <w:noWrap w:val="0"/>
            <w:vAlign w:val="center"/>
          </w:tcPr>
          <w:p w14:paraId="046015DF">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0"/>
                <w:sz w:val="21"/>
                <w:szCs w:val="21"/>
                <w:highlight w:val="none"/>
                <w:u w:val="none"/>
              </w:rPr>
              <w:t>井下作业时带罐作业，落地原油100%回收。</w:t>
            </w:r>
          </w:p>
        </w:tc>
        <w:tc>
          <w:tcPr>
            <w:tcW w:w="446" w:type="pct"/>
            <w:tcBorders>
              <w:tl2br w:val="nil"/>
              <w:tr2bl w:val="nil"/>
            </w:tcBorders>
            <w:noWrap w:val="0"/>
            <w:vAlign w:val="center"/>
          </w:tcPr>
          <w:p w14:paraId="4F77085F">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24"/>
                <w:sz w:val="21"/>
                <w:szCs w:val="21"/>
                <w:highlight w:val="none"/>
                <w:u w:val="none"/>
              </w:rPr>
              <w:t>符合</w:t>
            </w:r>
          </w:p>
        </w:tc>
      </w:tr>
      <w:tr w14:paraId="5480B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33" w:type="pct"/>
            <w:tcBorders>
              <w:tl2br w:val="nil"/>
              <w:tr2bl w:val="nil"/>
            </w:tcBorders>
            <w:noWrap w:val="0"/>
            <w:vAlign w:val="center"/>
          </w:tcPr>
          <w:p w14:paraId="29F91432">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0"/>
                <w:sz w:val="21"/>
                <w:szCs w:val="21"/>
                <w:highlight w:val="none"/>
                <w:u w:val="none"/>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1620" w:type="pct"/>
            <w:tcBorders>
              <w:tl2br w:val="nil"/>
              <w:tr2bl w:val="nil"/>
            </w:tcBorders>
            <w:noWrap w:val="0"/>
            <w:vAlign w:val="center"/>
          </w:tcPr>
          <w:p w14:paraId="4688D264">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24"/>
                <w:sz w:val="21"/>
                <w:szCs w:val="21"/>
                <w:highlight w:val="none"/>
                <w:u w:val="none"/>
              </w:rPr>
              <w:t>井下</w:t>
            </w:r>
            <w:r>
              <w:rPr>
                <w:rFonts w:hint="default" w:ascii="Times New Roman" w:hAnsi="Times New Roman" w:cs="Times New Roman"/>
                <w:color w:val="auto"/>
                <w:kern w:val="0"/>
                <w:sz w:val="21"/>
                <w:szCs w:val="21"/>
                <w:highlight w:val="none"/>
                <w:u w:val="none"/>
              </w:rPr>
              <w:t>作业全部带罐铺膜作业，酸化压裂等废液经收集后采用专用罐拉运至</w:t>
            </w:r>
            <w:r>
              <w:rPr>
                <w:rFonts w:hint="eastAsia" w:ascii="Times New Roman" w:hAnsi="Times New Roman" w:cs="Times New Roman"/>
                <w:color w:val="auto"/>
                <w:kern w:val="0"/>
                <w:sz w:val="21"/>
                <w:szCs w:val="21"/>
                <w:highlight w:val="none"/>
                <w:u w:val="none"/>
                <w:lang w:eastAsia="zh-CN"/>
              </w:rPr>
              <w:t>石西集中处理站采出水处理系统</w:t>
            </w:r>
            <w:r>
              <w:rPr>
                <w:rFonts w:hint="default" w:ascii="Times New Roman" w:hAnsi="Times New Roman" w:cs="Times New Roman"/>
                <w:color w:val="auto"/>
                <w:kern w:val="0"/>
                <w:sz w:val="21"/>
                <w:szCs w:val="21"/>
                <w:highlight w:val="none"/>
                <w:u w:val="none"/>
              </w:rPr>
              <w:t>进行处理。</w:t>
            </w:r>
          </w:p>
        </w:tc>
        <w:tc>
          <w:tcPr>
            <w:tcW w:w="446" w:type="pct"/>
            <w:tcBorders>
              <w:tl2br w:val="nil"/>
              <w:tr2bl w:val="nil"/>
            </w:tcBorders>
            <w:noWrap w:val="0"/>
            <w:vAlign w:val="center"/>
          </w:tcPr>
          <w:p w14:paraId="658CB0D4">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24"/>
                <w:sz w:val="21"/>
                <w:szCs w:val="21"/>
                <w:highlight w:val="none"/>
                <w:u w:val="none"/>
              </w:rPr>
              <w:t>符合</w:t>
            </w:r>
          </w:p>
        </w:tc>
      </w:tr>
      <w:tr w14:paraId="3E1B7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33" w:type="pct"/>
            <w:tcBorders>
              <w:tl2br w:val="nil"/>
              <w:tr2bl w:val="nil"/>
            </w:tcBorders>
            <w:noWrap w:val="0"/>
            <w:vAlign w:val="center"/>
          </w:tcPr>
          <w:p w14:paraId="020EE303">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在开发过程中，适宜注水开采的</w:t>
            </w:r>
            <w:r>
              <w:rPr>
                <w:rFonts w:hint="eastAsia" w:ascii="Times New Roman" w:hAnsi="Times New Roman" w:cs="Times New Roman"/>
                <w:color w:val="auto"/>
                <w:kern w:val="0"/>
                <w:sz w:val="21"/>
                <w:szCs w:val="21"/>
                <w:highlight w:val="none"/>
                <w:u w:val="none"/>
                <w:lang w:eastAsia="zh-CN"/>
              </w:rPr>
              <w:t>油田</w:t>
            </w:r>
            <w:r>
              <w:rPr>
                <w:rFonts w:hint="default" w:ascii="Times New Roman" w:hAnsi="Times New Roman" w:cs="Times New Roman"/>
                <w:color w:val="auto"/>
                <w:kern w:val="0"/>
                <w:sz w:val="21"/>
                <w:szCs w:val="21"/>
                <w:highlight w:val="none"/>
                <w:u w:val="none"/>
              </w:rPr>
              <w:t>，应将采出水处理满足标准后回注；对于稠油注汽开采，鼓励采出水处理后回用于注汽锅炉。</w:t>
            </w:r>
          </w:p>
        </w:tc>
        <w:tc>
          <w:tcPr>
            <w:tcW w:w="1620" w:type="pct"/>
            <w:tcBorders>
              <w:tl2br w:val="nil"/>
              <w:tr2bl w:val="nil"/>
            </w:tcBorders>
            <w:noWrap w:val="0"/>
            <w:vAlign w:val="center"/>
          </w:tcPr>
          <w:p w14:paraId="103F3130">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spacing w:val="-6"/>
                <w:kern w:val="0"/>
                <w:sz w:val="21"/>
                <w:szCs w:val="21"/>
                <w:highlight w:val="none"/>
                <w:u w:val="none"/>
              </w:rPr>
              <w:t>采出水</w:t>
            </w:r>
            <w:r>
              <w:rPr>
                <w:rFonts w:hint="eastAsia" w:cs="Times New Roman"/>
                <w:color w:val="auto"/>
                <w:spacing w:val="-6"/>
                <w:kern w:val="0"/>
                <w:sz w:val="21"/>
                <w:szCs w:val="21"/>
                <w:highlight w:val="none"/>
                <w:u w:val="none"/>
                <w:lang w:val="en-US" w:eastAsia="zh-CN"/>
              </w:rPr>
              <w:t>依托</w:t>
            </w:r>
            <w:r>
              <w:rPr>
                <w:rFonts w:hint="default" w:ascii="Times New Roman" w:hAnsi="Times New Roman" w:cs="Times New Roman"/>
                <w:color w:val="auto"/>
                <w:kern w:val="0"/>
                <w:sz w:val="21"/>
                <w:szCs w:val="21"/>
                <w:highlight w:val="none"/>
                <w:u w:val="none"/>
                <w:lang w:eastAsia="zh-CN"/>
              </w:rPr>
              <w:t>莫北转油站采出水处理</w:t>
            </w:r>
            <w:r>
              <w:rPr>
                <w:rFonts w:hint="eastAsia" w:ascii="宋体" w:hAnsi="宋体" w:cs="宋体"/>
                <w:color w:val="auto"/>
                <w:kern w:val="24"/>
                <w:sz w:val="21"/>
                <w:szCs w:val="21"/>
                <w:highlight w:val="none"/>
                <w:u w:val="none"/>
                <w:lang w:val="en-US" w:eastAsia="zh-CN"/>
              </w:rPr>
              <w:t>系统</w:t>
            </w:r>
            <w:r>
              <w:rPr>
                <w:rFonts w:hint="default" w:ascii="Times New Roman" w:hAnsi="Times New Roman" w:cs="Times New Roman"/>
                <w:color w:val="auto"/>
                <w:spacing w:val="-6"/>
                <w:kern w:val="0"/>
                <w:sz w:val="21"/>
                <w:szCs w:val="21"/>
                <w:highlight w:val="none"/>
                <w:u w:val="none"/>
              </w:rPr>
              <w:t>处理达标后回注。</w:t>
            </w:r>
          </w:p>
        </w:tc>
        <w:tc>
          <w:tcPr>
            <w:tcW w:w="446" w:type="pct"/>
            <w:tcBorders>
              <w:tl2br w:val="nil"/>
              <w:tr2bl w:val="nil"/>
            </w:tcBorders>
            <w:noWrap w:val="0"/>
            <w:vAlign w:val="center"/>
          </w:tcPr>
          <w:p w14:paraId="22CDB81C">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24"/>
                <w:sz w:val="21"/>
                <w:szCs w:val="21"/>
                <w:highlight w:val="none"/>
                <w:u w:val="none"/>
              </w:rPr>
              <w:t>符合</w:t>
            </w:r>
          </w:p>
        </w:tc>
      </w:tr>
      <w:tr w14:paraId="26C17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33" w:type="pct"/>
            <w:tcBorders>
              <w:tl2br w:val="nil"/>
              <w:tr2bl w:val="nil"/>
            </w:tcBorders>
            <w:noWrap w:val="0"/>
            <w:vAlign w:val="center"/>
          </w:tcPr>
          <w:p w14:paraId="58A21E12">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在油气集输过程中，应采用密闭流程，减少烃类气体排放。新建3000m</w:t>
            </w:r>
            <w:r>
              <w:rPr>
                <w:rFonts w:hint="default" w:ascii="Times New Roman" w:hAnsi="Times New Roman" w:eastAsia="宋体" w:cs="Times New Roman"/>
                <w:color w:val="auto"/>
                <w:kern w:val="0"/>
                <w:sz w:val="21"/>
                <w:szCs w:val="21"/>
                <w:highlight w:val="none"/>
                <w:u w:val="none"/>
                <w:vertAlign w:val="superscript"/>
              </w:rPr>
              <w:t>3</w:t>
            </w:r>
            <w:r>
              <w:rPr>
                <w:rFonts w:hint="default" w:ascii="Times New Roman" w:hAnsi="Times New Roman" w:eastAsia="宋体" w:cs="Times New Roman"/>
                <w:color w:val="auto"/>
                <w:kern w:val="0"/>
                <w:sz w:val="21"/>
                <w:szCs w:val="21"/>
                <w:highlight w:val="none"/>
                <w:u w:val="none"/>
              </w:rPr>
              <w:t>及以上原油储罐应采用浮顶型式，新、改、扩建油气储罐应安装泄漏报警系统。</w:t>
            </w:r>
          </w:p>
        </w:tc>
        <w:tc>
          <w:tcPr>
            <w:tcW w:w="1620" w:type="pct"/>
            <w:tcBorders>
              <w:tl2br w:val="nil"/>
              <w:tr2bl w:val="nil"/>
            </w:tcBorders>
            <w:noWrap w:val="0"/>
            <w:vAlign w:val="center"/>
          </w:tcPr>
          <w:p w14:paraId="627FE332">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0"/>
                <w:sz w:val="21"/>
                <w:szCs w:val="21"/>
                <w:highlight w:val="none"/>
                <w:u w:val="none"/>
              </w:rPr>
              <w:t>采用密闭流程。本工程建设内容不涉及3000m</w:t>
            </w:r>
            <w:r>
              <w:rPr>
                <w:rFonts w:hint="default" w:ascii="Times New Roman" w:hAnsi="Times New Roman" w:cs="Times New Roman"/>
                <w:color w:val="auto"/>
                <w:kern w:val="0"/>
                <w:sz w:val="21"/>
                <w:szCs w:val="21"/>
                <w:highlight w:val="none"/>
                <w:u w:val="none"/>
                <w:vertAlign w:val="superscript"/>
              </w:rPr>
              <w:t>3</w:t>
            </w:r>
            <w:r>
              <w:rPr>
                <w:rFonts w:hint="default" w:ascii="Times New Roman" w:hAnsi="Times New Roman" w:cs="Times New Roman"/>
                <w:color w:val="auto"/>
                <w:kern w:val="0"/>
                <w:sz w:val="21"/>
                <w:szCs w:val="21"/>
                <w:highlight w:val="none"/>
                <w:u w:val="none"/>
              </w:rPr>
              <w:t>及以上储罐建设。</w:t>
            </w:r>
          </w:p>
        </w:tc>
        <w:tc>
          <w:tcPr>
            <w:tcW w:w="446" w:type="pct"/>
            <w:tcBorders>
              <w:tl2br w:val="nil"/>
              <w:tr2bl w:val="nil"/>
            </w:tcBorders>
            <w:noWrap w:val="0"/>
            <w:vAlign w:val="center"/>
          </w:tcPr>
          <w:p w14:paraId="4316B1E4">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24"/>
                <w:sz w:val="21"/>
                <w:szCs w:val="21"/>
                <w:highlight w:val="none"/>
                <w:u w:val="none"/>
              </w:rPr>
              <w:t>符合</w:t>
            </w:r>
          </w:p>
        </w:tc>
      </w:tr>
      <w:tr w14:paraId="3C25E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33" w:type="pct"/>
            <w:tcBorders>
              <w:tl2br w:val="nil"/>
              <w:tr2bl w:val="nil"/>
            </w:tcBorders>
            <w:noWrap w:val="0"/>
            <w:vAlign w:val="center"/>
          </w:tcPr>
          <w:p w14:paraId="4E5721D5">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在开发过程中，伴生气应回收利用，减少温室气体排放，不具备回收利用条件的，应充分燃烧，伴生气回收利用率应达到80%以上</w:t>
            </w:r>
            <w:r>
              <w:rPr>
                <w:rFonts w:hint="eastAsia" w:ascii="Times New Roman" w:hAnsi="Times New Roman" w:eastAsia="宋体" w:cs="Times New Roman"/>
                <w:color w:val="auto"/>
                <w:kern w:val="0"/>
                <w:sz w:val="21"/>
                <w:szCs w:val="21"/>
                <w:highlight w:val="none"/>
                <w:u w:val="none"/>
                <w:lang w:eastAsia="zh-CN"/>
              </w:rPr>
              <w:t>；</w:t>
            </w:r>
            <w:r>
              <w:rPr>
                <w:rFonts w:hint="default" w:ascii="Times New Roman" w:hAnsi="Times New Roman" w:eastAsia="宋体" w:cs="Times New Roman"/>
                <w:color w:val="auto"/>
                <w:kern w:val="0"/>
                <w:sz w:val="21"/>
                <w:szCs w:val="21"/>
                <w:highlight w:val="none"/>
                <w:u w:val="none"/>
              </w:rPr>
              <w:t>站场放空天然气应充分燃烧。</w:t>
            </w:r>
          </w:p>
        </w:tc>
        <w:tc>
          <w:tcPr>
            <w:tcW w:w="1620" w:type="pct"/>
            <w:tcBorders>
              <w:tl2br w:val="nil"/>
              <w:tr2bl w:val="nil"/>
            </w:tcBorders>
            <w:noWrap w:val="0"/>
            <w:vAlign w:val="center"/>
          </w:tcPr>
          <w:p w14:paraId="4336956F">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本工程单井采用密闭集输工艺，</w:t>
            </w:r>
            <w:r>
              <w:rPr>
                <w:rFonts w:hint="eastAsia" w:cs="Times New Roman"/>
                <w:color w:val="auto"/>
                <w:kern w:val="0"/>
                <w:sz w:val="21"/>
                <w:szCs w:val="21"/>
                <w:highlight w:val="none"/>
                <w:u w:val="none"/>
                <w:lang w:val="en-US" w:eastAsia="zh-CN"/>
              </w:rPr>
              <w:t>天然气均回收利用</w:t>
            </w:r>
            <w:r>
              <w:rPr>
                <w:rFonts w:hint="eastAsia" w:ascii="Times New Roman" w:hAnsi="Times New Roman" w:cs="Times New Roman"/>
                <w:color w:val="auto"/>
                <w:kern w:val="0"/>
                <w:sz w:val="21"/>
                <w:szCs w:val="21"/>
                <w:highlight w:val="none"/>
                <w:u w:val="none"/>
                <w:lang w:eastAsia="zh-CN"/>
              </w:rPr>
              <w:t>。</w:t>
            </w:r>
          </w:p>
        </w:tc>
        <w:tc>
          <w:tcPr>
            <w:tcW w:w="446" w:type="pct"/>
            <w:tcBorders>
              <w:tl2br w:val="nil"/>
              <w:tr2bl w:val="nil"/>
            </w:tcBorders>
            <w:noWrap w:val="0"/>
            <w:vAlign w:val="center"/>
          </w:tcPr>
          <w:p w14:paraId="01DC7A46">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24"/>
                <w:sz w:val="21"/>
                <w:szCs w:val="21"/>
                <w:highlight w:val="none"/>
                <w:u w:val="none"/>
              </w:rPr>
              <w:t>符合</w:t>
            </w:r>
          </w:p>
        </w:tc>
      </w:tr>
      <w:tr w14:paraId="05393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33" w:type="pct"/>
            <w:tcBorders>
              <w:tl2br w:val="nil"/>
              <w:tr2bl w:val="nil"/>
            </w:tcBorders>
            <w:noWrap w:val="0"/>
            <w:vAlign w:val="center"/>
          </w:tcPr>
          <w:p w14:paraId="26B308A2">
            <w:pPr>
              <w:keepNext w:val="0"/>
              <w:keepLines w:val="0"/>
              <w:pageBreakBefore w:val="0"/>
              <w:widowControl/>
              <w:kinsoku/>
              <w:wordWrap/>
              <w:overflowPunct/>
              <w:topLinePunct w:val="0"/>
              <w:bidi w:val="0"/>
              <w:snapToGrid/>
              <w:spacing w:line="400" w:lineRule="exact"/>
              <w:ind w:left="76"/>
              <w:jc w:val="both"/>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（一）</w:t>
            </w:r>
            <w:r>
              <w:rPr>
                <w:rFonts w:hint="eastAsia" w:ascii="Times New Roman" w:hAnsi="Times New Roman" w:cs="Times New Roman"/>
                <w:color w:val="auto"/>
                <w:kern w:val="0"/>
                <w:sz w:val="21"/>
                <w:szCs w:val="21"/>
                <w:highlight w:val="none"/>
                <w:u w:val="none"/>
                <w:lang w:eastAsia="zh-CN"/>
              </w:rPr>
              <w:t>油田</w:t>
            </w:r>
            <w:r>
              <w:rPr>
                <w:rFonts w:hint="default" w:ascii="Times New Roman" w:hAnsi="Times New Roman" w:cs="Times New Roman"/>
                <w:color w:val="auto"/>
                <w:kern w:val="0"/>
                <w:sz w:val="21"/>
                <w:szCs w:val="21"/>
                <w:highlight w:val="none"/>
                <w:u w:val="none"/>
              </w:rPr>
              <w:t>企业应制定环境保护管理规定，建立并运行健康、安全与环境管理体系。（二）加强</w:t>
            </w:r>
            <w:r>
              <w:rPr>
                <w:rFonts w:hint="eastAsia" w:ascii="Times New Roman" w:hAnsi="Times New Roman" w:cs="Times New Roman"/>
                <w:color w:val="auto"/>
                <w:kern w:val="0"/>
                <w:sz w:val="21"/>
                <w:szCs w:val="21"/>
                <w:highlight w:val="none"/>
                <w:u w:val="none"/>
                <w:lang w:eastAsia="zh-CN"/>
              </w:rPr>
              <w:t>油田</w:t>
            </w:r>
            <w:r>
              <w:rPr>
                <w:rFonts w:hint="default" w:ascii="Times New Roman" w:hAnsi="Times New Roman" w:cs="Times New Roman"/>
                <w:color w:val="auto"/>
                <w:kern w:val="0"/>
                <w:sz w:val="21"/>
                <w:szCs w:val="21"/>
                <w:highlight w:val="none"/>
                <w:u w:val="none"/>
              </w:rPr>
              <w:t>建设、勘探开发过程的环境监督管理。</w:t>
            </w:r>
            <w:r>
              <w:rPr>
                <w:rFonts w:hint="eastAsia" w:ascii="Times New Roman" w:hAnsi="Times New Roman" w:cs="Times New Roman"/>
                <w:color w:val="auto"/>
                <w:kern w:val="0"/>
                <w:sz w:val="21"/>
                <w:szCs w:val="21"/>
                <w:highlight w:val="none"/>
                <w:u w:val="none"/>
                <w:lang w:eastAsia="zh-CN"/>
              </w:rPr>
              <w:t>油田</w:t>
            </w:r>
            <w:r>
              <w:rPr>
                <w:rFonts w:hint="default" w:ascii="Times New Roman" w:hAnsi="Times New Roman" w:cs="Times New Roman"/>
                <w:color w:val="auto"/>
                <w:kern w:val="0"/>
                <w:sz w:val="21"/>
                <w:szCs w:val="21"/>
                <w:highlight w:val="none"/>
                <w:u w:val="none"/>
              </w:rPr>
              <w:t>建设过程应开展工程环境监理。（三）在开发过程中，企业应加强油</w:t>
            </w:r>
            <w:r>
              <w:rPr>
                <w:rFonts w:hint="eastAsia" w:ascii="Times New Roman" w:hAnsi="Times New Roman" w:cs="Times New Roman"/>
                <w:color w:val="auto"/>
                <w:kern w:val="0"/>
                <w:sz w:val="21"/>
                <w:szCs w:val="21"/>
                <w:highlight w:val="none"/>
                <w:u w:val="none"/>
                <w:lang w:eastAsia="zh-CN"/>
              </w:rPr>
              <w:t>油井</w:t>
            </w:r>
            <w:r>
              <w:rPr>
                <w:rFonts w:hint="default" w:ascii="Times New Roman" w:hAnsi="Times New Roman" w:cs="Times New Roman"/>
                <w:color w:val="auto"/>
                <w:kern w:val="0"/>
                <w:sz w:val="21"/>
                <w:szCs w:val="21"/>
                <w:highlight w:val="none"/>
                <w:u w:val="none"/>
              </w:rPr>
              <w:t>套管的检测和维护，防止油气泄漏污染地下水。（四）</w:t>
            </w:r>
            <w:r>
              <w:rPr>
                <w:rFonts w:hint="eastAsia" w:ascii="Times New Roman" w:hAnsi="Times New Roman" w:cs="Times New Roman"/>
                <w:color w:val="auto"/>
                <w:kern w:val="0"/>
                <w:sz w:val="21"/>
                <w:szCs w:val="21"/>
                <w:highlight w:val="none"/>
                <w:u w:val="none"/>
                <w:lang w:eastAsia="zh-CN"/>
              </w:rPr>
              <w:t>油田</w:t>
            </w:r>
            <w:r>
              <w:rPr>
                <w:rFonts w:hint="default" w:ascii="Times New Roman" w:hAnsi="Times New Roman" w:cs="Times New Roman"/>
                <w:color w:val="auto"/>
                <w:kern w:val="0"/>
                <w:sz w:val="21"/>
                <w:szCs w:val="21"/>
                <w:highlight w:val="none"/>
                <w:u w:val="none"/>
              </w:rPr>
              <w:t>企业应建立环境保护人员培训制度，环境监测人员、统计人员、污染治理设施操作人员应经培训合格后上岗。（五）</w:t>
            </w:r>
            <w:r>
              <w:rPr>
                <w:rFonts w:hint="eastAsia" w:ascii="Times New Roman" w:hAnsi="Times New Roman" w:cs="Times New Roman"/>
                <w:color w:val="auto"/>
                <w:kern w:val="0"/>
                <w:sz w:val="21"/>
                <w:szCs w:val="21"/>
                <w:highlight w:val="none"/>
                <w:u w:val="none"/>
                <w:lang w:eastAsia="zh-CN"/>
              </w:rPr>
              <w:t>油田</w:t>
            </w:r>
            <w:r>
              <w:rPr>
                <w:rFonts w:hint="default" w:ascii="Times New Roman" w:hAnsi="Times New Roman" w:cs="Times New Roman"/>
                <w:color w:val="auto"/>
                <w:kern w:val="0"/>
                <w:sz w:val="21"/>
                <w:szCs w:val="21"/>
                <w:highlight w:val="none"/>
                <w:u w:val="none"/>
              </w:rPr>
              <w:t>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620" w:type="pct"/>
            <w:tcBorders>
              <w:tl2br w:val="nil"/>
              <w:tr2bl w:val="nil"/>
            </w:tcBorders>
            <w:noWrap w:val="0"/>
            <w:vAlign w:val="center"/>
          </w:tcPr>
          <w:p w14:paraId="7F6B022E">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eastAsia" w:ascii="宋体" w:hAnsi="宋体" w:eastAsia="宋体" w:cs="宋体"/>
                <w:color w:val="auto"/>
                <w:kern w:val="0"/>
                <w:sz w:val="21"/>
                <w:szCs w:val="21"/>
                <w:highlight w:val="none"/>
                <w:u w:val="none"/>
              </w:rPr>
              <w:t>项目投产后，由石西油田作业区管理，区块开发突发环境应急预案纳入中国石油新疆油田分公司石西油田作业区突发环境事件应急预案管理体系中。</w:t>
            </w:r>
          </w:p>
        </w:tc>
        <w:tc>
          <w:tcPr>
            <w:tcW w:w="446" w:type="pct"/>
            <w:tcBorders>
              <w:tl2br w:val="nil"/>
              <w:tr2bl w:val="nil"/>
            </w:tcBorders>
            <w:noWrap w:val="0"/>
            <w:vAlign w:val="center"/>
          </w:tcPr>
          <w:p w14:paraId="68626230">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u w:val="none"/>
              </w:rPr>
            </w:pPr>
            <w:r>
              <w:rPr>
                <w:rFonts w:hint="default" w:ascii="Times New Roman" w:hAnsi="Times New Roman" w:cs="Times New Roman"/>
                <w:color w:val="auto"/>
                <w:kern w:val="24"/>
                <w:sz w:val="21"/>
                <w:szCs w:val="21"/>
                <w:highlight w:val="none"/>
                <w:u w:val="none"/>
              </w:rPr>
              <w:t>符合</w:t>
            </w:r>
          </w:p>
        </w:tc>
      </w:tr>
    </w:tbl>
    <w:p w14:paraId="22C5737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宋体" w:hAnsi="宋体" w:eastAsia="宋体" w:cs="宋体"/>
          <w:snapToGrid w:val="0"/>
          <w:color w:val="auto"/>
          <w:kern w:val="0"/>
          <w:sz w:val="24"/>
          <w:szCs w:val="24"/>
          <w:highlight w:val="none"/>
          <w:u w:val="none"/>
          <w:lang w:val="en-US" w:eastAsia="zh-CN" w:bidi="ar-SA"/>
        </w:rPr>
        <w:t>由</w:t>
      </w:r>
      <w:r>
        <w:rPr>
          <w:rFonts w:hint="eastAsia" w:ascii="宋体" w:hAnsi="宋体" w:eastAsia="宋体" w:cs="宋体"/>
          <w:snapToGrid w:val="0"/>
          <w:color w:val="auto"/>
          <w:kern w:val="0"/>
          <w:sz w:val="24"/>
          <w:szCs w:val="24"/>
          <w:highlight w:val="none"/>
          <w:u w:val="none"/>
          <w:lang w:val="en-US" w:eastAsia="zh-CN" w:bidi="ar-SA"/>
        </w:rPr>
        <w:t>上表</w:t>
      </w:r>
      <w:r>
        <w:rPr>
          <w:rFonts w:hint="default" w:ascii="宋体" w:hAnsi="宋体" w:eastAsia="宋体" w:cs="宋体"/>
          <w:snapToGrid w:val="0"/>
          <w:color w:val="auto"/>
          <w:kern w:val="0"/>
          <w:sz w:val="24"/>
          <w:szCs w:val="24"/>
          <w:highlight w:val="none"/>
          <w:u w:val="none"/>
          <w:lang w:val="en-US" w:eastAsia="zh-CN" w:bidi="ar-SA"/>
        </w:rPr>
        <w:t>可知，项目建设符合《石油天然气开采业污染防治技术政策》相关规定。</w:t>
      </w:r>
    </w:p>
    <w:p w14:paraId="67AEBBF2">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5 </w:t>
      </w:r>
      <w:r>
        <w:rPr>
          <w:rFonts w:hint="default" w:ascii="黑体" w:hAnsi="黑体" w:eastAsia="黑体" w:cs="黑体"/>
          <w:b/>
          <w:color w:val="auto"/>
          <w:kern w:val="0"/>
          <w:sz w:val="24"/>
          <w:szCs w:val="24"/>
          <w:highlight w:val="none"/>
          <w:u w:val="none"/>
          <w:lang w:val="en-US" w:eastAsia="zh-CN"/>
        </w:rPr>
        <w:t>与《新疆维吾尔自治区大气污染防治条例》的符合性分析</w:t>
      </w:r>
    </w:p>
    <w:p w14:paraId="6FC7449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napToGrid w:val="0"/>
          <w:color w:val="auto"/>
          <w:kern w:val="0"/>
          <w:sz w:val="24"/>
          <w:szCs w:val="24"/>
          <w:highlight w:val="none"/>
          <w:u w:val="none"/>
          <w:lang w:val="en-US" w:eastAsia="zh-CN" w:bidi="ar-SA"/>
        </w:rPr>
      </w:pPr>
      <w:r>
        <w:rPr>
          <w:rFonts w:hint="default" w:ascii="宋体" w:hAnsi="宋体" w:eastAsia="宋体" w:cs="宋体"/>
          <w:snapToGrid w:val="0"/>
          <w:color w:val="auto"/>
          <w:kern w:val="0"/>
          <w:sz w:val="24"/>
          <w:szCs w:val="24"/>
          <w:highlight w:val="none"/>
          <w:u w:val="none"/>
          <w:lang w:val="en-US" w:eastAsia="zh-CN" w:bidi="ar-SA"/>
        </w:rPr>
        <w:t>《新疆维吾尔自治区大气污染防治条例》第三十七条规定：各级人民政府应当加强对建设施工、矿产资源开采、物料运输的扬尘和沙尘污染的治理，保持道路清洁、控制料堆和渣土堆放，科学合理扩大绿地、水面、湿地、地面铺装和防风固沙绿化面积，防治扬尘污染。</w:t>
      </w:r>
    </w:p>
    <w:p w14:paraId="37A7540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napToGrid w:val="0"/>
          <w:color w:val="auto"/>
          <w:kern w:val="0"/>
          <w:sz w:val="24"/>
          <w:szCs w:val="24"/>
          <w:highlight w:val="none"/>
          <w:u w:val="none"/>
          <w:lang w:val="en-US" w:eastAsia="zh-CN" w:bidi="ar-SA"/>
        </w:rPr>
      </w:pPr>
      <w:r>
        <w:rPr>
          <w:rFonts w:hint="default" w:ascii="宋体" w:hAnsi="宋体" w:eastAsia="宋体" w:cs="宋体"/>
          <w:snapToGrid w:val="0"/>
          <w:color w:val="auto"/>
          <w:kern w:val="0"/>
          <w:sz w:val="24"/>
          <w:szCs w:val="24"/>
          <w:highlight w:val="none"/>
          <w:u w:val="none"/>
          <w:lang w:val="en-US" w:eastAsia="zh-CN" w:bidi="ar-SA"/>
        </w:rPr>
        <w:t>第四十四条：矿山开采产生的废石、废渣、泥土等应当堆放到专门存放地，并采取围挡、设置防尘网或者防尘布等防尘措施；施工便道应当硬化。</w:t>
      </w:r>
    </w:p>
    <w:p w14:paraId="04BEBFA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u w:val="none"/>
          <w:lang w:bidi="ar"/>
        </w:rPr>
      </w:pPr>
      <w:r>
        <w:rPr>
          <w:rFonts w:hint="default" w:ascii="宋体" w:hAnsi="宋体" w:eastAsia="宋体" w:cs="宋体"/>
          <w:snapToGrid w:val="0"/>
          <w:color w:val="auto"/>
          <w:kern w:val="0"/>
          <w:sz w:val="24"/>
          <w:szCs w:val="24"/>
          <w:highlight w:val="none"/>
          <w:u w:val="none"/>
          <w:lang w:val="en-US" w:eastAsia="zh-CN" w:bidi="ar-SA"/>
        </w:rPr>
        <w:t>本工程施工土方全部用于回填管沟及场地平整；施工废料首先考虑回收利用，不可回收利用部分拉运至</w:t>
      </w:r>
      <w:r>
        <w:rPr>
          <w:rFonts w:hint="eastAsia" w:ascii="宋体" w:hAnsi="宋体" w:eastAsia="宋体" w:cs="宋体"/>
          <w:snapToGrid w:val="0"/>
          <w:color w:val="auto"/>
          <w:kern w:val="0"/>
          <w:sz w:val="24"/>
          <w:szCs w:val="24"/>
          <w:highlight w:val="none"/>
          <w:u w:val="none"/>
          <w:lang w:val="en-US" w:eastAsia="zh-CN" w:bidi="ar-SA"/>
        </w:rPr>
        <w:t>当地建筑垃圾填埋场填埋处置</w:t>
      </w:r>
      <w:r>
        <w:rPr>
          <w:rFonts w:hint="default" w:ascii="宋体" w:hAnsi="宋体" w:eastAsia="宋体" w:cs="宋体"/>
          <w:snapToGrid w:val="0"/>
          <w:color w:val="auto"/>
          <w:kern w:val="0"/>
          <w:sz w:val="24"/>
          <w:szCs w:val="24"/>
          <w:highlight w:val="none"/>
          <w:u w:val="none"/>
          <w:lang w:val="en-US" w:eastAsia="zh-CN" w:bidi="ar-SA"/>
        </w:rPr>
        <w:t>。项目施工过程采取“下垫上盖”措施，施工结束后拟对临时占地进行恢复治理，可减少扬尘影响。项目建设符合《新疆维吾尔自治区大气污染防治条例》要求。</w:t>
      </w:r>
    </w:p>
    <w:p w14:paraId="6E796BE9">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6 </w:t>
      </w:r>
      <w:r>
        <w:rPr>
          <w:rFonts w:hint="default" w:ascii="黑体" w:hAnsi="黑体" w:eastAsia="黑体" w:cs="黑体"/>
          <w:b/>
          <w:color w:val="auto"/>
          <w:kern w:val="0"/>
          <w:sz w:val="24"/>
          <w:szCs w:val="24"/>
          <w:highlight w:val="none"/>
          <w:u w:val="none"/>
          <w:lang w:val="en-US" w:eastAsia="zh-CN"/>
        </w:rPr>
        <w:t>与《关于进一步加强石油天然气行业环境影响评价管理的通知》（环办环评函</w:t>
      </w:r>
      <w:r>
        <w:rPr>
          <w:rFonts w:hint="eastAsia" w:ascii="黑体" w:hAnsi="黑体" w:eastAsia="黑体" w:cs="黑体"/>
          <w:b/>
          <w:color w:val="auto"/>
          <w:kern w:val="0"/>
          <w:sz w:val="24"/>
          <w:szCs w:val="24"/>
          <w:highlight w:val="none"/>
          <w:u w:val="none"/>
          <w:lang w:val="en-US" w:eastAsia="zh-CN"/>
        </w:rPr>
        <w:t>〔</w:t>
      </w:r>
      <w:r>
        <w:rPr>
          <w:rFonts w:hint="default" w:ascii="黑体" w:hAnsi="黑体" w:eastAsia="黑体" w:cs="黑体"/>
          <w:b/>
          <w:color w:val="auto"/>
          <w:kern w:val="0"/>
          <w:sz w:val="24"/>
          <w:szCs w:val="24"/>
          <w:highlight w:val="none"/>
          <w:u w:val="none"/>
          <w:lang w:val="en-US" w:eastAsia="zh-CN"/>
        </w:rPr>
        <w:t>2019</w:t>
      </w:r>
      <w:r>
        <w:rPr>
          <w:rFonts w:hint="eastAsia" w:ascii="黑体" w:hAnsi="黑体" w:eastAsia="黑体" w:cs="黑体"/>
          <w:b/>
          <w:color w:val="auto"/>
          <w:kern w:val="0"/>
          <w:sz w:val="24"/>
          <w:szCs w:val="24"/>
          <w:highlight w:val="none"/>
          <w:u w:val="none"/>
          <w:lang w:val="en-US" w:eastAsia="zh-CN"/>
        </w:rPr>
        <w:t>〕</w:t>
      </w:r>
      <w:r>
        <w:rPr>
          <w:rFonts w:hint="default" w:ascii="黑体" w:hAnsi="黑体" w:eastAsia="黑体" w:cs="黑体"/>
          <w:b/>
          <w:color w:val="auto"/>
          <w:kern w:val="0"/>
          <w:sz w:val="24"/>
          <w:szCs w:val="24"/>
          <w:highlight w:val="none"/>
          <w:u w:val="none"/>
          <w:lang w:val="en-US" w:eastAsia="zh-CN"/>
        </w:rPr>
        <w:t>910号）符合性分析</w:t>
      </w:r>
    </w:p>
    <w:p w14:paraId="04FE49D3">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color w:val="auto"/>
          <w:kern w:val="0"/>
          <w:sz w:val="21"/>
          <w:szCs w:val="21"/>
          <w:highlight w:val="none"/>
          <w:u w:val="none"/>
          <w:lang w:val="en-US" w:eastAsia="zh-CN"/>
        </w:rPr>
      </w:pPr>
      <w:r>
        <w:rPr>
          <w:rFonts w:hint="default" w:ascii="宋体" w:hAnsi="宋体" w:eastAsia="宋体" w:cs="宋体"/>
          <w:snapToGrid w:val="0"/>
          <w:color w:val="auto"/>
          <w:kern w:val="0"/>
          <w:sz w:val="24"/>
          <w:szCs w:val="24"/>
          <w:highlight w:val="none"/>
          <w:u w:val="none"/>
          <w:lang w:val="en-US" w:eastAsia="zh-CN" w:bidi="ar-SA"/>
        </w:rPr>
        <w:t>本工程与《关于进一步加强石油天然气行业环境影响评价管理的通知》（环办环评函</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2019</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910号）符合性分析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见表3.</w:t>
      </w:r>
      <w:r>
        <w:rPr>
          <w:rFonts w:hint="eastAsia" w:ascii="宋体" w:hAnsi="宋体" w:cs="宋体"/>
          <w:snapToGrid w:val="0"/>
          <w:color w:val="auto"/>
          <w:kern w:val="0"/>
          <w:sz w:val="24"/>
          <w:szCs w:val="24"/>
          <w:highlight w:val="none"/>
          <w:u w:val="none"/>
          <w:lang w:val="en-US" w:eastAsia="zh-CN" w:bidi="ar-SA"/>
        </w:rPr>
        <w:t>5</w:t>
      </w:r>
      <w:r>
        <w:rPr>
          <w:rFonts w:hint="default" w:ascii="宋体" w:hAnsi="宋体" w:eastAsia="宋体" w:cs="宋体"/>
          <w:snapToGrid w:val="0"/>
          <w:color w:val="auto"/>
          <w:kern w:val="0"/>
          <w:sz w:val="24"/>
          <w:szCs w:val="24"/>
          <w:highlight w:val="none"/>
          <w:u w:val="none"/>
          <w:lang w:val="en-US" w:eastAsia="zh-CN" w:bidi="ar-SA"/>
        </w:rPr>
        <w:t>-</w:t>
      </w:r>
      <w:r>
        <w:rPr>
          <w:rFonts w:hint="eastAsia" w:ascii="宋体" w:hAnsi="宋体" w:eastAsia="宋体" w:cs="宋体"/>
          <w:snapToGrid w:val="0"/>
          <w:color w:val="auto"/>
          <w:kern w:val="0"/>
          <w:sz w:val="24"/>
          <w:szCs w:val="24"/>
          <w:highlight w:val="none"/>
          <w:u w:val="none"/>
          <w:lang w:val="en-US" w:eastAsia="zh-CN" w:bidi="ar-SA"/>
        </w:rPr>
        <w:t>4。</w:t>
      </w:r>
    </w:p>
    <w:p w14:paraId="0E9BE4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4  </w:t>
      </w:r>
      <w:r>
        <w:rPr>
          <w:rFonts w:hint="default" w:ascii="黑体" w:hAnsi="黑体" w:eastAsia="黑体" w:cs="黑体"/>
          <w:b w:val="0"/>
          <w:bCs/>
          <w:color w:val="auto"/>
          <w:kern w:val="2"/>
          <w:sz w:val="24"/>
          <w:szCs w:val="24"/>
          <w:u w:val="none"/>
          <w:lang w:val="en-US" w:eastAsia="zh-CN" w:bidi="ar-SA"/>
        </w:rPr>
        <w:t>与“环办环评函</w:t>
      </w:r>
      <w:r>
        <w:rPr>
          <w:rFonts w:hint="eastAsia" w:ascii="黑体" w:hAnsi="黑体" w:eastAsia="黑体" w:cs="黑体"/>
          <w:b w:val="0"/>
          <w:bCs/>
          <w:color w:val="auto"/>
          <w:kern w:val="2"/>
          <w:sz w:val="24"/>
          <w:szCs w:val="24"/>
          <w:u w:val="none"/>
          <w:lang w:val="en-US" w:eastAsia="zh-CN" w:bidi="ar-SA"/>
        </w:rPr>
        <w:t>〔</w:t>
      </w:r>
      <w:r>
        <w:rPr>
          <w:rFonts w:hint="default" w:ascii="黑体" w:hAnsi="黑体" w:eastAsia="黑体" w:cs="黑体"/>
          <w:b w:val="0"/>
          <w:bCs/>
          <w:color w:val="auto"/>
          <w:kern w:val="2"/>
          <w:sz w:val="24"/>
          <w:szCs w:val="24"/>
          <w:u w:val="none"/>
          <w:lang w:val="en-US" w:eastAsia="zh-CN" w:bidi="ar-SA"/>
        </w:rPr>
        <w:t>2019</w:t>
      </w:r>
      <w:r>
        <w:rPr>
          <w:rFonts w:hint="eastAsia" w:ascii="黑体" w:hAnsi="黑体" w:eastAsia="黑体" w:cs="黑体"/>
          <w:b w:val="0"/>
          <w:bCs/>
          <w:color w:val="auto"/>
          <w:kern w:val="2"/>
          <w:sz w:val="24"/>
          <w:szCs w:val="24"/>
          <w:u w:val="none"/>
          <w:lang w:val="en-US" w:eastAsia="zh-CN" w:bidi="ar-SA"/>
        </w:rPr>
        <w:t>〕</w:t>
      </w:r>
      <w:r>
        <w:rPr>
          <w:rFonts w:hint="default" w:ascii="黑体" w:hAnsi="黑体" w:eastAsia="黑体" w:cs="黑体"/>
          <w:b w:val="0"/>
          <w:bCs/>
          <w:color w:val="auto"/>
          <w:kern w:val="2"/>
          <w:sz w:val="24"/>
          <w:szCs w:val="24"/>
          <w:u w:val="none"/>
          <w:lang w:val="en-US" w:eastAsia="zh-CN" w:bidi="ar-SA"/>
        </w:rPr>
        <w:t>910号”符合性</w:t>
      </w:r>
    </w:p>
    <w:tbl>
      <w:tblPr>
        <w:tblStyle w:val="37"/>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782"/>
        <w:gridCol w:w="3243"/>
        <w:gridCol w:w="621"/>
      </w:tblGrid>
      <w:tr w14:paraId="11D161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trPr>
        <w:tc>
          <w:tcPr>
            <w:tcW w:w="2765" w:type="pct"/>
            <w:tcBorders>
              <w:tl2br w:val="nil"/>
              <w:tr2bl w:val="nil"/>
            </w:tcBorders>
            <w:noWrap w:val="0"/>
            <w:vAlign w:val="center"/>
          </w:tcPr>
          <w:p w14:paraId="5CB3FF8C">
            <w:pPr>
              <w:keepNext w:val="0"/>
              <w:keepLines w:val="0"/>
              <w:pageBreakBefore w:val="0"/>
              <w:widowControl/>
              <w:kinsoku/>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kern w:val="0"/>
                <w:sz w:val="21"/>
                <w:szCs w:val="21"/>
                <w:highlight w:val="none"/>
                <w:u w:val="none"/>
              </w:rPr>
            </w:pPr>
            <w:bookmarkStart w:id="326" w:name="_Toc42981106"/>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rPr>
              <w:t>2019</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rPr>
              <w:t>910号要求</w:t>
            </w:r>
          </w:p>
        </w:tc>
        <w:tc>
          <w:tcPr>
            <w:tcW w:w="1875" w:type="pct"/>
            <w:tcBorders>
              <w:tl2br w:val="nil"/>
              <w:tr2bl w:val="nil"/>
            </w:tcBorders>
            <w:noWrap w:val="0"/>
            <w:vAlign w:val="center"/>
          </w:tcPr>
          <w:p w14:paraId="0D5F9DE8">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项目情况</w:t>
            </w:r>
          </w:p>
        </w:tc>
        <w:tc>
          <w:tcPr>
            <w:tcW w:w="359" w:type="pct"/>
            <w:tcBorders>
              <w:tl2br w:val="nil"/>
              <w:tr2bl w:val="nil"/>
            </w:tcBorders>
            <w:noWrap w:val="0"/>
            <w:vAlign w:val="center"/>
          </w:tcPr>
          <w:p w14:paraId="72997F0E">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spacing w:val="-20"/>
                <w:kern w:val="0"/>
                <w:sz w:val="21"/>
                <w:szCs w:val="21"/>
                <w:highlight w:val="none"/>
                <w:u w:val="none"/>
              </w:rPr>
              <w:t>符合性</w:t>
            </w:r>
          </w:p>
        </w:tc>
      </w:tr>
      <w:tr w14:paraId="692A28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65" w:type="pct"/>
            <w:tcBorders>
              <w:tl2br w:val="nil"/>
              <w:tr2bl w:val="nil"/>
            </w:tcBorders>
            <w:noWrap w:val="0"/>
            <w:vAlign w:val="center"/>
          </w:tcPr>
          <w:p w14:paraId="05E68066">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spacing w:val="-6"/>
                <w:kern w:val="0"/>
                <w:sz w:val="21"/>
                <w:szCs w:val="21"/>
                <w:highlight w:val="none"/>
                <w:u w:val="none"/>
              </w:rPr>
            </w:pPr>
            <w:r>
              <w:rPr>
                <w:rFonts w:hint="eastAsia" w:ascii="宋体" w:hAnsi="宋体" w:eastAsia="宋体" w:cs="宋体"/>
                <w:color w:val="auto"/>
                <w:spacing w:val="-6"/>
                <w:kern w:val="0"/>
                <w:sz w:val="21"/>
                <w:szCs w:val="21"/>
                <w:highlight w:val="none"/>
                <w:u w:val="none"/>
              </w:rPr>
              <w:t>油气开采项目（含新开发和滚动开发项目）原则上应当以区块为单位开展环评（以下简称区块环评），一般包括区块内拟建的新井、加密井、调整井、站场、设备、管线和电缆及其更换工程、弃置工程及配套工程等。</w:t>
            </w:r>
          </w:p>
          <w:p w14:paraId="1D7E9B74">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spacing w:val="-6"/>
                <w:kern w:val="0"/>
                <w:sz w:val="21"/>
                <w:szCs w:val="21"/>
                <w:highlight w:val="none"/>
                <w:u w:val="none"/>
              </w:rPr>
            </w:pPr>
            <w:r>
              <w:rPr>
                <w:rFonts w:hint="eastAsia" w:ascii="宋体" w:hAnsi="宋体" w:eastAsia="宋体" w:cs="宋体"/>
                <w:color w:val="auto"/>
                <w:spacing w:val="-6"/>
                <w:kern w:val="0"/>
                <w:sz w:val="21"/>
                <w:szCs w:val="21"/>
                <w:highlight w:val="none"/>
                <w:u w:val="none"/>
              </w:rPr>
              <w:t>未确定产能建设规模的陆地油气开采新区块，建设勘探井应当依法编制环境影响报告表。海洋油气勘探工程应当填报环境影响登记表并进行备案。</w:t>
            </w:r>
          </w:p>
          <w:p w14:paraId="6EA985E0">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spacing w:val="-6"/>
                <w:kern w:val="0"/>
                <w:sz w:val="21"/>
                <w:szCs w:val="21"/>
                <w:highlight w:val="none"/>
                <w:u w:val="none"/>
              </w:rPr>
            </w:pPr>
            <w:r>
              <w:rPr>
                <w:rFonts w:hint="eastAsia" w:ascii="宋体" w:hAnsi="宋体" w:eastAsia="宋体" w:cs="宋体"/>
                <w:color w:val="auto"/>
                <w:spacing w:val="-6"/>
                <w:kern w:val="0"/>
                <w:sz w:val="21"/>
                <w:szCs w:val="21"/>
                <w:highlight w:val="none"/>
                <w:u w:val="none"/>
              </w:rPr>
              <w:t>确定产能建设规模后，原则上不得以勘探名义继续开展单井环评。勘探井转为生产井的，可以纳入区块环评。</w:t>
            </w:r>
          </w:p>
          <w:p w14:paraId="75D2C48F">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6"/>
                <w:kern w:val="0"/>
                <w:sz w:val="21"/>
                <w:szCs w:val="21"/>
                <w:highlight w:val="none"/>
                <w:u w:val="none"/>
              </w:rPr>
              <w:t>2021年1月1日起，原则上不以单井形式开展环评。过渡期，项目建设单位可以根据实际情况，报批区块环评或单井环评。</w:t>
            </w:r>
          </w:p>
        </w:tc>
        <w:tc>
          <w:tcPr>
            <w:tcW w:w="1875" w:type="pct"/>
            <w:tcBorders>
              <w:tl2br w:val="nil"/>
              <w:tr2bl w:val="nil"/>
            </w:tcBorders>
            <w:noWrap w:val="0"/>
            <w:vAlign w:val="center"/>
          </w:tcPr>
          <w:p w14:paraId="3FEDD2B8">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本工程以</w:t>
            </w:r>
            <w:r>
              <w:rPr>
                <w:rFonts w:hint="eastAsia" w:ascii="宋体" w:hAnsi="宋体" w:cs="宋体"/>
                <w:color w:val="auto"/>
                <w:kern w:val="0"/>
                <w:sz w:val="21"/>
                <w:szCs w:val="21"/>
                <w:highlight w:val="none"/>
                <w:u w:val="none"/>
                <w:lang w:val="en-US" w:eastAsia="zh-CN"/>
              </w:rPr>
              <w:t>莫北116</w:t>
            </w:r>
            <w:r>
              <w:rPr>
                <w:rFonts w:hint="eastAsia" w:ascii="宋体" w:hAnsi="宋体" w:eastAsia="宋体" w:cs="宋体"/>
                <w:color w:val="auto"/>
                <w:kern w:val="0"/>
                <w:sz w:val="21"/>
                <w:szCs w:val="21"/>
                <w:highlight w:val="none"/>
                <w:u w:val="none"/>
                <w:lang w:val="en-US" w:eastAsia="zh-CN"/>
              </w:rPr>
              <w:t>井区</w:t>
            </w:r>
            <w:r>
              <w:rPr>
                <w:rFonts w:hint="eastAsia" w:ascii="宋体" w:hAnsi="宋体" w:eastAsia="宋体" w:cs="宋体"/>
                <w:color w:val="auto"/>
                <w:kern w:val="0"/>
                <w:sz w:val="21"/>
                <w:szCs w:val="21"/>
                <w:highlight w:val="none"/>
                <w:u w:val="none"/>
              </w:rPr>
              <w:t>为单位开展环评，在报告中对工程施工期、运营期环境影响和环境风险进行了分析，并提出有效的环境保护措施、污染防治措施和环境风险防范措施，并分析了依托工程可行性和有效性；同时对现有工程也进行了回顾性评价，对相关生态环境问题提出有效防治措施。</w:t>
            </w:r>
          </w:p>
        </w:tc>
        <w:tc>
          <w:tcPr>
            <w:tcW w:w="359" w:type="pct"/>
            <w:tcBorders>
              <w:tl2br w:val="nil"/>
              <w:tr2bl w:val="nil"/>
            </w:tcBorders>
            <w:noWrap w:val="0"/>
            <w:vAlign w:val="center"/>
          </w:tcPr>
          <w:p w14:paraId="2E4133E9">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r w14:paraId="7EAB19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65" w:type="pct"/>
            <w:tcBorders>
              <w:tl2br w:val="nil"/>
              <w:tr2bl w:val="nil"/>
            </w:tcBorders>
            <w:noWrap w:val="0"/>
            <w:vAlign w:val="center"/>
          </w:tcPr>
          <w:p w14:paraId="5AE26ABA">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项目环评应当深入评价项目建设、运营带来的环境影响和环境风险，提出有效的生态环境保护和环境风险防范措施。依托其他防治设施的或者委托第三方处置的，应当论证其可行性和有效性。滚动开发区块产能建设项目环评文件中还应对现有工程环境影响进行回顾性评价，对存在的生态环境问题和环境风险隐患提出有效防治措施。</w:t>
            </w:r>
          </w:p>
        </w:tc>
        <w:tc>
          <w:tcPr>
            <w:tcW w:w="1875" w:type="pct"/>
            <w:tcBorders>
              <w:tl2br w:val="nil"/>
              <w:tr2bl w:val="nil"/>
            </w:tcBorders>
            <w:noWrap w:val="0"/>
            <w:vAlign w:val="center"/>
          </w:tcPr>
          <w:p w14:paraId="1DBF1FEA">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eastAsia="zh-CN"/>
              </w:rPr>
              <w:t>本工程</w:t>
            </w:r>
            <w:r>
              <w:rPr>
                <w:rFonts w:hint="eastAsia" w:ascii="宋体" w:hAnsi="宋体" w:eastAsia="宋体" w:cs="宋体"/>
                <w:color w:val="auto"/>
                <w:kern w:val="0"/>
                <w:sz w:val="21"/>
                <w:szCs w:val="21"/>
                <w:highlight w:val="none"/>
                <w:u w:val="none"/>
              </w:rPr>
              <w:t>评价了项目建设、运营带来的环境影响和环境风险，提出了有效的生态环境保护和环境风险防范措施；论证了依托处理设施</w:t>
            </w:r>
            <w:r>
              <w:rPr>
                <w:rFonts w:hint="eastAsia" w:ascii="宋体" w:hAnsi="宋体" w:cs="宋体"/>
                <w:color w:val="auto"/>
                <w:kern w:val="0"/>
                <w:sz w:val="21"/>
                <w:szCs w:val="21"/>
                <w:highlight w:val="none"/>
                <w:u w:val="none"/>
                <w:lang w:val="en-US" w:eastAsia="zh-CN"/>
              </w:rPr>
              <w:t>的</w:t>
            </w:r>
            <w:r>
              <w:rPr>
                <w:rFonts w:hint="eastAsia" w:ascii="宋体" w:hAnsi="宋体" w:eastAsia="宋体" w:cs="宋体"/>
                <w:color w:val="auto"/>
                <w:kern w:val="0"/>
                <w:sz w:val="21"/>
                <w:szCs w:val="21"/>
                <w:highlight w:val="none"/>
                <w:u w:val="none"/>
              </w:rPr>
              <w:t>依托可行性和有效性，项目依托处置可行；对现有工程进行回顾评价并针对生态环境问题和环境风险隐患提出了有效防治措施。</w:t>
            </w:r>
          </w:p>
        </w:tc>
        <w:tc>
          <w:tcPr>
            <w:tcW w:w="359" w:type="pct"/>
            <w:tcBorders>
              <w:tl2br w:val="nil"/>
              <w:tr2bl w:val="nil"/>
            </w:tcBorders>
            <w:noWrap w:val="0"/>
            <w:vAlign w:val="center"/>
          </w:tcPr>
          <w:p w14:paraId="4CDB74E3">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r w14:paraId="1FC3E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65" w:type="pct"/>
            <w:tcBorders>
              <w:tl2br w:val="nil"/>
              <w:tr2bl w:val="nil"/>
            </w:tcBorders>
            <w:noWrap w:val="0"/>
            <w:vAlign w:val="center"/>
          </w:tcPr>
          <w:p w14:paraId="38235293">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涉及向地表水体排放污染物的陆地油气开采项目，应当符合国家和地方污染物排放标准，满足重点污染物排放总量控制要求。</w:t>
            </w:r>
          </w:p>
        </w:tc>
        <w:tc>
          <w:tcPr>
            <w:tcW w:w="1875" w:type="pct"/>
            <w:tcBorders>
              <w:tl2br w:val="nil"/>
              <w:tr2bl w:val="nil"/>
            </w:tcBorders>
            <w:noWrap w:val="0"/>
            <w:vAlign w:val="center"/>
          </w:tcPr>
          <w:p w14:paraId="712A8464">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本工程周边5km范围内无地表水；废水经依托工程处理达标后回注油层，不外排，不涉及水污染物总量控制指标。</w:t>
            </w:r>
          </w:p>
        </w:tc>
        <w:tc>
          <w:tcPr>
            <w:tcW w:w="359" w:type="pct"/>
            <w:tcBorders>
              <w:tl2br w:val="nil"/>
              <w:tr2bl w:val="nil"/>
            </w:tcBorders>
            <w:noWrap w:val="0"/>
            <w:vAlign w:val="center"/>
          </w:tcPr>
          <w:p w14:paraId="75FC90AC">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r w14:paraId="4623D8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65" w:type="pct"/>
            <w:tcBorders>
              <w:tl2br w:val="nil"/>
              <w:tr2bl w:val="nil"/>
            </w:tcBorders>
            <w:noWrap w:val="0"/>
            <w:vAlign w:val="center"/>
          </w:tcPr>
          <w:p w14:paraId="70B31E1C">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建设项目环评文件中应当包含钻井液、压裂液中重金属等有毒有害物质的相关信息，涉及商业秘密、技术秘密等情形的除外。</w:t>
            </w:r>
          </w:p>
        </w:tc>
        <w:tc>
          <w:tcPr>
            <w:tcW w:w="1875" w:type="pct"/>
            <w:tcBorders>
              <w:tl2br w:val="nil"/>
              <w:tr2bl w:val="nil"/>
            </w:tcBorders>
            <w:noWrap w:val="0"/>
            <w:vAlign w:val="center"/>
          </w:tcPr>
          <w:p w14:paraId="454E682C">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6"/>
                <w:kern w:val="0"/>
                <w:sz w:val="21"/>
                <w:szCs w:val="21"/>
                <w:highlight w:val="none"/>
                <w:u w:val="none"/>
                <w:lang w:eastAsia="zh-CN"/>
              </w:rPr>
              <w:t>本工程废水经依托工程处理达标后回用于注水开发，回注水质满足《碎屑岩油藏注水水质指标技术要求及分析方法》（SY/T5329-2022）要求，回注到油气层，不外排。回注层与工程所在区域内潜水含水层及承压水层无水力联系，在正常情况下不会对其产生影响；工程内容中包含钻井液、压裂液成分信息。</w:t>
            </w:r>
          </w:p>
        </w:tc>
        <w:tc>
          <w:tcPr>
            <w:tcW w:w="359" w:type="pct"/>
            <w:tcBorders>
              <w:tl2br w:val="nil"/>
              <w:tr2bl w:val="nil"/>
            </w:tcBorders>
            <w:noWrap w:val="0"/>
            <w:vAlign w:val="center"/>
          </w:tcPr>
          <w:p w14:paraId="716772F2">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r w14:paraId="711F53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65" w:type="pct"/>
            <w:tcBorders>
              <w:tl2br w:val="nil"/>
              <w:tr2bl w:val="nil"/>
            </w:tcBorders>
            <w:noWrap w:val="0"/>
            <w:vAlign w:val="center"/>
          </w:tcPr>
          <w:p w14:paraId="3A2058B9">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0"/>
                <w:sz w:val="21"/>
                <w:szCs w:val="21"/>
                <w:highlight w:val="none"/>
                <w:u w:val="none"/>
              </w:rPr>
              <w:t>油气开采产生的废弃油基泥浆、含油钻屑及其他固体废物，应当遵循减量化、资源化、无害化原则，按照国家和地方有关固体废物的管理规定进行处置。提高废弃油基泥浆和含油钻屑及其处理产物的综合利用率。油气开采项目产生的危险废物，应当按照《建设项目危险废物环境影响评价指南》（2017年10月1日）要求评价。</w:t>
            </w:r>
          </w:p>
        </w:tc>
        <w:tc>
          <w:tcPr>
            <w:tcW w:w="1875" w:type="pct"/>
            <w:tcBorders>
              <w:tl2br w:val="nil"/>
              <w:tr2bl w:val="nil"/>
            </w:tcBorders>
            <w:noWrap w:val="0"/>
            <w:vAlign w:val="center"/>
          </w:tcPr>
          <w:p w14:paraId="54BB8155">
            <w:pPr>
              <w:keepNext w:val="0"/>
              <w:keepLines w:val="0"/>
              <w:pageBreakBefore w:val="0"/>
              <w:widowControl/>
              <w:kinsoku/>
              <w:wordWrap w:val="0"/>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cs="宋体"/>
                <w:color w:val="auto"/>
                <w:spacing w:val="-6"/>
                <w:kern w:val="0"/>
                <w:sz w:val="21"/>
                <w:szCs w:val="21"/>
                <w:highlight w:val="none"/>
                <w:u w:val="none"/>
                <w:lang w:val="en-US" w:eastAsia="zh-CN"/>
              </w:rPr>
              <w:t>本项目钻井过程中一开、二开采用水基非磺化钻井液体系，三开采用油基钻井液体系，采用经不落地系统进行处理，在井场进行固液分离，分离后的液相回用于钻井液配备，分离后的水基钻井液产生的岩屑满足《油气田钻井固体废物综合利用污染控制要求》（DB65/T3997-2017）后综合利用；油基钻井液产生的岩屑为HW08含油危废（废物代码：072-001-08），在井场方罐暂存，定期委托具有相应危废处置资质的单位处置。</w:t>
            </w:r>
            <w:r>
              <w:rPr>
                <w:rFonts w:hint="eastAsia" w:ascii="宋体" w:hAnsi="宋体" w:eastAsia="宋体" w:cs="宋体"/>
                <w:color w:val="auto"/>
                <w:spacing w:val="-6"/>
                <w:kern w:val="0"/>
                <w:sz w:val="21"/>
                <w:szCs w:val="21"/>
                <w:highlight w:val="none"/>
                <w:u w:val="none"/>
              </w:rPr>
              <w:t>。</w:t>
            </w:r>
          </w:p>
        </w:tc>
        <w:tc>
          <w:tcPr>
            <w:tcW w:w="359" w:type="pct"/>
            <w:tcBorders>
              <w:tl2br w:val="nil"/>
              <w:tr2bl w:val="nil"/>
            </w:tcBorders>
            <w:noWrap w:val="0"/>
            <w:vAlign w:val="center"/>
          </w:tcPr>
          <w:p w14:paraId="22AAEA88">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r w14:paraId="62DC84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65" w:type="pct"/>
            <w:tcBorders>
              <w:tl2br w:val="nil"/>
              <w:tr2bl w:val="nil"/>
            </w:tcBorders>
            <w:noWrap w:val="0"/>
            <w:vAlign w:val="center"/>
          </w:tcPr>
          <w:p w14:paraId="4E1A8787">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涉及高含硫天然气开采的，应当强化钻井、输送、净化等环节环境风险防范措施。含硫</w:t>
            </w:r>
            <w:r>
              <w:rPr>
                <w:rFonts w:hint="eastAsia" w:ascii="宋体" w:hAnsi="宋体" w:eastAsia="宋体" w:cs="宋体"/>
                <w:color w:val="auto"/>
                <w:kern w:val="0"/>
                <w:sz w:val="21"/>
                <w:szCs w:val="21"/>
                <w:highlight w:val="none"/>
                <w:u w:val="none"/>
                <w:lang w:eastAsia="zh-CN"/>
              </w:rPr>
              <w:t>油田</w:t>
            </w:r>
            <w:r>
              <w:rPr>
                <w:rFonts w:hint="eastAsia" w:ascii="宋体" w:hAnsi="宋体" w:eastAsia="宋体" w:cs="宋体"/>
                <w:color w:val="auto"/>
                <w:kern w:val="0"/>
                <w:sz w:val="21"/>
                <w:szCs w:val="21"/>
                <w:highlight w:val="none"/>
                <w:u w:val="none"/>
              </w:rPr>
              <w:t>回注采出水，应当采取有效措施减少废水处理站和回注井场H</w:t>
            </w:r>
            <w:r>
              <w:rPr>
                <w:rFonts w:hint="eastAsia" w:ascii="宋体" w:hAnsi="宋体" w:eastAsia="宋体" w:cs="宋体"/>
                <w:color w:val="auto"/>
                <w:kern w:val="0"/>
                <w:sz w:val="21"/>
                <w:szCs w:val="21"/>
                <w:highlight w:val="none"/>
                <w:u w:val="none"/>
                <w:vertAlign w:val="subscript"/>
              </w:rPr>
              <w:t>2</w:t>
            </w:r>
            <w:r>
              <w:rPr>
                <w:rFonts w:hint="eastAsia" w:ascii="宋体" w:hAnsi="宋体" w:eastAsia="宋体" w:cs="宋体"/>
                <w:color w:val="auto"/>
                <w:kern w:val="0"/>
                <w:sz w:val="21"/>
                <w:szCs w:val="21"/>
                <w:highlight w:val="none"/>
                <w:u w:val="none"/>
              </w:rPr>
              <w:t>S的无组织排放。高含硫天然气净化厂应当采用先进高效硫磺回收工艺，减少SO</w:t>
            </w:r>
            <w:r>
              <w:rPr>
                <w:rFonts w:hint="eastAsia" w:ascii="宋体" w:hAnsi="宋体" w:eastAsia="宋体" w:cs="宋体"/>
                <w:color w:val="auto"/>
                <w:kern w:val="0"/>
                <w:sz w:val="21"/>
                <w:szCs w:val="21"/>
                <w:highlight w:val="none"/>
                <w:u w:val="none"/>
                <w:vertAlign w:val="subscript"/>
              </w:rPr>
              <w:t>2</w:t>
            </w:r>
            <w:r>
              <w:rPr>
                <w:rFonts w:hint="eastAsia" w:ascii="宋体" w:hAnsi="宋体" w:eastAsia="宋体" w:cs="宋体"/>
                <w:color w:val="auto"/>
                <w:kern w:val="0"/>
                <w:sz w:val="21"/>
                <w:szCs w:val="21"/>
                <w:highlight w:val="none"/>
                <w:u w:val="none"/>
              </w:rPr>
              <w:t>排放。井场水套加热炉、锅炉、压缩机等排放大气污染物的设备，应当优先使用清洁燃料，废气排放应当满足国家和地方大气污物排放标准要求。</w:t>
            </w:r>
          </w:p>
        </w:tc>
        <w:tc>
          <w:tcPr>
            <w:tcW w:w="1875" w:type="pct"/>
            <w:tcBorders>
              <w:tl2br w:val="nil"/>
              <w:tr2bl w:val="nil"/>
            </w:tcBorders>
            <w:noWrap w:val="0"/>
            <w:vAlign w:val="center"/>
          </w:tcPr>
          <w:p w14:paraId="3FFBB34E">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根据井区</w:t>
            </w:r>
            <w:r>
              <w:rPr>
                <w:rFonts w:hint="eastAsia" w:ascii="宋体" w:hAnsi="宋体" w:cs="宋体"/>
                <w:color w:val="auto"/>
                <w:kern w:val="0"/>
                <w:sz w:val="21"/>
                <w:szCs w:val="21"/>
                <w:highlight w:val="none"/>
                <w:u w:val="none"/>
                <w:lang w:val="en-US" w:eastAsia="zh-CN"/>
              </w:rPr>
              <w:t>天然气物性</w:t>
            </w:r>
            <w:r>
              <w:rPr>
                <w:rFonts w:hint="eastAsia" w:ascii="宋体" w:hAnsi="宋体" w:eastAsia="宋体" w:cs="宋体"/>
                <w:color w:val="auto"/>
                <w:kern w:val="0"/>
                <w:sz w:val="21"/>
                <w:szCs w:val="21"/>
                <w:highlight w:val="none"/>
                <w:u w:val="none"/>
              </w:rPr>
              <w:t>分析，本项目</w:t>
            </w:r>
            <w:r>
              <w:rPr>
                <w:rFonts w:hint="eastAsia" w:ascii="宋体" w:hAnsi="宋体" w:cs="宋体"/>
                <w:color w:val="auto"/>
                <w:kern w:val="0"/>
                <w:sz w:val="21"/>
                <w:szCs w:val="21"/>
                <w:highlight w:val="none"/>
                <w:u w:val="none"/>
                <w:lang w:val="en-US" w:eastAsia="zh-CN"/>
              </w:rPr>
              <w:t>天然气</w:t>
            </w:r>
            <w:r>
              <w:rPr>
                <w:rFonts w:hint="eastAsia" w:ascii="宋体" w:hAnsi="宋体" w:eastAsia="宋体" w:cs="宋体"/>
                <w:color w:val="auto"/>
                <w:kern w:val="0"/>
                <w:sz w:val="21"/>
                <w:szCs w:val="21"/>
                <w:highlight w:val="none"/>
                <w:u w:val="none"/>
              </w:rPr>
              <w:t>为不含硫化氢</w:t>
            </w:r>
            <w:r>
              <w:rPr>
                <w:rFonts w:hint="eastAsia" w:ascii="宋体" w:hAnsi="宋体" w:eastAsia="宋体" w:cs="宋体"/>
                <w:color w:val="auto"/>
                <w:kern w:val="0"/>
                <w:sz w:val="21"/>
                <w:szCs w:val="21"/>
                <w:highlight w:val="none"/>
                <w:u w:val="none"/>
                <w:lang w:val="en-US" w:eastAsia="zh-CN"/>
              </w:rPr>
              <w:t>伴生</w:t>
            </w:r>
            <w:r>
              <w:rPr>
                <w:rFonts w:hint="eastAsia" w:ascii="宋体" w:hAnsi="宋体" w:eastAsia="宋体" w:cs="宋体"/>
                <w:color w:val="auto"/>
                <w:kern w:val="0"/>
                <w:sz w:val="21"/>
                <w:szCs w:val="21"/>
                <w:highlight w:val="none"/>
                <w:u w:val="none"/>
              </w:rPr>
              <w:t>气。</w:t>
            </w:r>
          </w:p>
        </w:tc>
        <w:tc>
          <w:tcPr>
            <w:tcW w:w="359" w:type="pct"/>
            <w:tcBorders>
              <w:tl2br w:val="nil"/>
              <w:tr2bl w:val="nil"/>
            </w:tcBorders>
            <w:noWrap w:val="0"/>
            <w:vAlign w:val="center"/>
          </w:tcPr>
          <w:p w14:paraId="585C6171">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r w14:paraId="5A3487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65" w:type="pct"/>
            <w:tcBorders>
              <w:tl2br w:val="nil"/>
              <w:tr2bl w:val="nil"/>
            </w:tcBorders>
            <w:noWrap w:val="0"/>
            <w:vAlign w:val="center"/>
          </w:tcPr>
          <w:p w14:paraId="15556409">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875" w:type="pct"/>
            <w:tcBorders>
              <w:tl2br w:val="nil"/>
              <w:tr2bl w:val="nil"/>
            </w:tcBorders>
            <w:noWrap w:val="0"/>
            <w:vAlign w:val="center"/>
          </w:tcPr>
          <w:p w14:paraId="7C7CF4B0">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eastAsia="zh-CN"/>
              </w:rPr>
              <w:t>本工程</w:t>
            </w:r>
            <w:r>
              <w:rPr>
                <w:rFonts w:hint="eastAsia" w:ascii="宋体" w:hAnsi="宋体" w:eastAsia="宋体" w:cs="宋体"/>
                <w:color w:val="auto"/>
                <w:kern w:val="0"/>
                <w:sz w:val="21"/>
                <w:szCs w:val="21"/>
                <w:highlight w:val="none"/>
                <w:u w:val="none"/>
              </w:rPr>
              <w:t>施工周期较短，报告中已提出施工过程中严格控制作业带，减少施工占地的措施，要求施工结束后及时进行恢复清理，落实报告中提出的生态保护措施，避免对区域生态环境造成影响。</w:t>
            </w:r>
          </w:p>
        </w:tc>
        <w:tc>
          <w:tcPr>
            <w:tcW w:w="359" w:type="pct"/>
            <w:tcBorders>
              <w:tl2br w:val="nil"/>
              <w:tr2bl w:val="nil"/>
            </w:tcBorders>
            <w:noWrap w:val="0"/>
            <w:vAlign w:val="center"/>
          </w:tcPr>
          <w:p w14:paraId="6AA99A04">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r w14:paraId="5A2483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65" w:type="pct"/>
            <w:tcBorders>
              <w:tl2br w:val="nil"/>
              <w:tr2bl w:val="nil"/>
            </w:tcBorders>
            <w:noWrap w:val="0"/>
            <w:vAlign w:val="center"/>
          </w:tcPr>
          <w:p w14:paraId="69ED9522">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涉及自然保护地和生态保护红线的，应当说明工程实施的合法合规性和对自然生态系统、主要保护对象等的实际影响，接受生态环境主管部门依法监管。</w:t>
            </w:r>
          </w:p>
        </w:tc>
        <w:tc>
          <w:tcPr>
            <w:tcW w:w="1875" w:type="pct"/>
            <w:tcBorders>
              <w:tl2br w:val="nil"/>
              <w:tr2bl w:val="nil"/>
            </w:tcBorders>
            <w:noWrap w:val="0"/>
            <w:vAlign w:val="center"/>
          </w:tcPr>
          <w:p w14:paraId="43F259B0">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spacing w:val="-6"/>
                <w:kern w:val="0"/>
                <w:sz w:val="21"/>
                <w:szCs w:val="21"/>
                <w:highlight w:val="none"/>
                <w:u w:val="none"/>
                <w:lang w:eastAsia="zh-CN"/>
              </w:rPr>
              <w:t>本工程</w:t>
            </w:r>
            <w:r>
              <w:rPr>
                <w:rFonts w:hint="eastAsia" w:ascii="宋体" w:hAnsi="宋体" w:eastAsia="宋体" w:cs="宋体"/>
                <w:color w:val="auto"/>
                <w:spacing w:val="-6"/>
                <w:kern w:val="0"/>
                <w:sz w:val="21"/>
                <w:szCs w:val="21"/>
                <w:highlight w:val="none"/>
                <w:u w:val="none"/>
              </w:rPr>
              <w:t>不涉及生态保护红线区。</w:t>
            </w:r>
          </w:p>
        </w:tc>
        <w:tc>
          <w:tcPr>
            <w:tcW w:w="359" w:type="pct"/>
            <w:tcBorders>
              <w:tl2br w:val="nil"/>
              <w:tr2bl w:val="nil"/>
            </w:tcBorders>
            <w:noWrap w:val="0"/>
            <w:vAlign w:val="center"/>
          </w:tcPr>
          <w:p w14:paraId="7FD5D4B5">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r w14:paraId="0D4C07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65" w:type="pct"/>
            <w:tcBorders>
              <w:tl2br w:val="nil"/>
              <w:tr2bl w:val="nil"/>
            </w:tcBorders>
            <w:noWrap w:val="0"/>
            <w:vAlign w:val="center"/>
          </w:tcPr>
          <w:p w14:paraId="428C25A9">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油气企业应按照企事业单位环境信息公开办法、环境影响评价公众参与办法等有关要求，主动公开油气开采项目环境信息，保障公众的知情权、参与权、表达权和监督权。各级生态环境主管部门应当按要求做好环评审批、监督执法等有关工作的信息公开。</w:t>
            </w:r>
          </w:p>
        </w:tc>
        <w:tc>
          <w:tcPr>
            <w:tcW w:w="1875" w:type="pct"/>
            <w:tcBorders>
              <w:tl2br w:val="nil"/>
              <w:tr2bl w:val="nil"/>
            </w:tcBorders>
            <w:noWrap w:val="0"/>
            <w:vAlign w:val="center"/>
          </w:tcPr>
          <w:p w14:paraId="54297307">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6"/>
                <w:kern w:val="0"/>
                <w:sz w:val="21"/>
                <w:szCs w:val="21"/>
                <w:highlight w:val="none"/>
                <w:u w:val="none"/>
              </w:rPr>
              <w:t>建设单位作为责任主体，按照《环境影响评价公众参与办法》（2019年1月1日）等相关规定，开展了</w:t>
            </w:r>
            <w:r>
              <w:rPr>
                <w:rFonts w:hint="eastAsia" w:ascii="宋体" w:hAnsi="宋体" w:eastAsia="宋体" w:cs="宋体"/>
                <w:color w:val="auto"/>
                <w:spacing w:val="-6"/>
                <w:kern w:val="0"/>
                <w:sz w:val="21"/>
                <w:szCs w:val="21"/>
                <w:highlight w:val="none"/>
                <w:u w:val="none"/>
                <w:lang w:eastAsia="zh-CN"/>
              </w:rPr>
              <w:t>本工程</w:t>
            </w:r>
            <w:r>
              <w:rPr>
                <w:rFonts w:hint="eastAsia" w:ascii="宋体" w:hAnsi="宋体" w:eastAsia="宋体" w:cs="宋体"/>
                <w:color w:val="auto"/>
                <w:spacing w:val="-6"/>
                <w:kern w:val="0"/>
                <w:sz w:val="21"/>
                <w:szCs w:val="21"/>
                <w:highlight w:val="none"/>
                <w:u w:val="none"/>
              </w:rPr>
              <w:t>信息公示和公众意见调查等工作，公示期间未收到公众反馈意见。</w:t>
            </w:r>
          </w:p>
        </w:tc>
        <w:tc>
          <w:tcPr>
            <w:tcW w:w="359" w:type="pct"/>
            <w:tcBorders>
              <w:tl2br w:val="nil"/>
              <w:tr2bl w:val="nil"/>
            </w:tcBorders>
            <w:noWrap w:val="0"/>
            <w:vAlign w:val="center"/>
          </w:tcPr>
          <w:p w14:paraId="067C6310">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bl>
    <w:p w14:paraId="5F520ABF">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327" w:name="_Toc73990397"/>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7 </w:t>
      </w:r>
      <w:r>
        <w:rPr>
          <w:rFonts w:hint="default" w:ascii="黑体" w:hAnsi="黑体" w:eastAsia="黑体" w:cs="黑体"/>
          <w:b/>
          <w:color w:val="auto"/>
          <w:kern w:val="0"/>
          <w:sz w:val="24"/>
          <w:szCs w:val="24"/>
          <w:highlight w:val="none"/>
          <w:u w:val="none"/>
          <w:lang w:val="en-US" w:eastAsia="zh-CN"/>
        </w:rPr>
        <w:t>与《转发〈关于进一步加强石油天然气行业环境影响评价管理的通知〉》（新环环评发</w:t>
      </w:r>
      <w:r>
        <w:rPr>
          <w:rFonts w:hint="eastAsia" w:ascii="黑体" w:hAnsi="黑体" w:eastAsia="黑体" w:cs="黑体"/>
          <w:b/>
          <w:color w:val="auto"/>
          <w:kern w:val="0"/>
          <w:sz w:val="24"/>
          <w:szCs w:val="24"/>
          <w:highlight w:val="none"/>
          <w:u w:val="none"/>
          <w:lang w:val="en-US" w:eastAsia="zh-CN"/>
        </w:rPr>
        <w:t>〔</w:t>
      </w:r>
      <w:r>
        <w:rPr>
          <w:rFonts w:hint="default" w:ascii="黑体" w:hAnsi="黑体" w:eastAsia="黑体" w:cs="黑体"/>
          <w:b/>
          <w:color w:val="auto"/>
          <w:kern w:val="0"/>
          <w:sz w:val="24"/>
          <w:szCs w:val="24"/>
          <w:highlight w:val="none"/>
          <w:u w:val="none"/>
          <w:lang w:val="en-US" w:eastAsia="zh-CN"/>
        </w:rPr>
        <w:t>2020</w:t>
      </w:r>
      <w:r>
        <w:rPr>
          <w:rFonts w:hint="eastAsia" w:ascii="黑体" w:hAnsi="黑体" w:eastAsia="黑体" w:cs="黑体"/>
          <w:b/>
          <w:color w:val="auto"/>
          <w:kern w:val="0"/>
          <w:sz w:val="24"/>
          <w:szCs w:val="24"/>
          <w:highlight w:val="none"/>
          <w:u w:val="none"/>
          <w:lang w:val="en-US" w:eastAsia="zh-CN"/>
        </w:rPr>
        <w:t>〕</w:t>
      </w:r>
      <w:r>
        <w:rPr>
          <w:rFonts w:hint="default" w:ascii="黑体" w:hAnsi="黑体" w:eastAsia="黑体" w:cs="黑体"/>
          <w:b/>
          <w:color w:val="auto"/>
          <w:kern w:val="0"/>
          <w:sz w:val="24"/>
          <w:szCs w:val="24"/>
          <w:highlight w:val="none"/>
          <w:u w:val="none"/>
          <w:lang w:val="en-US" w:eastAsia="zh-CN"/>
        </w:rPr>
        <w:t>142号）符合性分析</w:t>
      </w:r>
    </w:p>
    <w:p w14:paraId="214AEA8B">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napToGrid w:val="0"/>
          <w:color w:val="auto"/>
          <w:kern w:val="0"/>
          <w:sz w:val="24"/>
          <w:szCs w:val="24"/>
          <w:highlight w:val="none"/>
          <w:u w:val="none"/>
          <w:lang w:val="en-US" w:eastAsia="zh-CN" w:bidi="ar-SA"/>
        </w:rPr>
      </w:pPr>
      <w:r>
        <w:rPr>
          <w:rFonts w:hint="default" w:ascii="宋体" w:hAnsi="宋体" w:eastAsia="宋体" w:cs="宋体"/>
          <w:snapToGrid w:val="0"/>
          <w:color w:val="auto"/>
          <w:kern w:val="0"/>
          <w:sz w:val="24"/>
          <w:szCs w:val="24"/>
          <w:highlight w:val="none"/>
          <w:u w:val="none"/>
          <w:lang w:val="en-US" w:eastAsia="zh-CN" w:bidi="ar-SA"/>
        </w:rPr>
        <w:t>本工程与《转发〈关于进一步加强石油天然气行业环境影响评价管理的通知〉》（新环环评发</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2020</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142号）符合性分析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见表3.</w:t>
      </w:r>
      <w:r>
        <w:rPr>
          <w:rFonts w:hint="eastAsia" w:ascii="宋体" w:hAnsi="宋体" w:cs="宋体"/>
          <w:snapToGrid w:val="0"/>
          <w:color w:val="auto"/>
          <w:kern w:val="0"/>
          <w:sz w:val="24"/>
          <w:szCs w:val="24"/>
          <w:highlight w:val="none"/>
          <w:u w:val="none"/>
          <w:lang w:val="en-US" w:eastAsia="zh-CN" w:bidi="ar-SA"/>
        </w:rPr>
        <w:t>5</w:t>
      </w:r>
      <w:r>
        <w:rPr>
          <w:rFonts w:hint="default" w:ascii="宋体" w:hAnsi="宋体" w:eastAsia="宋体" w:cs="宋体"/>
          <w:snapToGrid w:val="0"/>
          <w:color w:val="auto"/>
          <w:kern w:val="0"/>
          <w:sz w:val="24"/>
          <w:szCs w:val="24"/>
          <w:highlight w:val="none"/>
          <w:u w:val="none"/>
          <w:lang w:val="en-US" w:eastAsia="zh-CN" w:bidi="ar-SA"/>
        </w:rPr>
        <w:t>-</w:t>
      </w:r>
      <w:r>
        <w:rPr>
          <w:rFonts w:hint="eastAsia" w:ascii="宋体" w:hAnsi="宋体" w:eastAsia="宋体" w:cs="宋体"/>
          <w:snapToGrid w:val="0"/>
          <w:color w:val="auto"/>
          <w:kern w:val="0"/>
          <w:sz w:val="24"/>
          <w:szCs w:val="24"/>
          <w:highlight w:val="none"/>
          <w:u w:val="none"/>
          <w:lang w:val="en-US" w:eastAsia="zh-CN" w:bidi="ar-SA"/>
        </w:rPr>
        <w:t>5</w:t>
      </w:r>
      <w:r>
        <w:rPr>
          <w:rFonts w:hint="default" w:ascii="宋体" w:hAnsi="宋体" w:eastAsia="宋体" w:cs="宋体"/>
          <w:snapToGrid w:val="0"/>
          <w:color w:val="auto"/>
          <w:kern w:val="0"/>
          <w:sz w:val="24"/>
          <w:szCs w:val="24"/>
          <w:highlight w:val="none"/>
          <w:u w:val="none"/>
          <w:lang w:val="en-US" w:eastAsia="zh-CN" w:bidi="ar-SA"/>
        </w:rPr>
        <w:t>。</w:t>
      </w:r>
    </w:p>
    <w:p w14:paraId="62EE91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5  </w:t>
      </w:r>
      <w:r>
        <w:rPr>
          <w:rFonts w:hint="default" w:ascii="黑体" w:hAnsi="黑体" w:eastAsia="黑体" w:cs="黑体"/>
          <w:b w:val="0"/>
          <w:bCs/>
          <w:color w:val="auto"/>
          <w:kern w:val="2"/>
          <w:sz w:val="24"/>
          <w:szCs w:val="24"/>
          <w:u w:val="none"/>
          <w:lang w:val="en-US" w:eastAsia="zh-CN" w:bidi="ar-SA"/>
        </w:rPr>
        <w:t>与“新环环评发</w:t>
      </w:r>
      <w:r>
        <w:rPr>
          <w:rFonts w:hint="eastAsia" w:ascii="黑体" w:hAnsi="黑体" w:eastAsia="黑体" w:cs="黑体"/>
          <w:b w:val="0"/>
          <w:bCs/>
          <w:color w:val="auto"/>
          <w:kern w:val="2"/>
          <w:sz w:val="24"/>
          <w:szCs w:val="24"/>
          <w:u w:val="none"/>
          <w:lang w:val="en-US" w:eastAsia="zh-CN" w:bidi="ar-SA"/>
        </w:rPr>
        <w:t>〔</w:t>
      </w:r>
      <w:r>
        <w:rPr>
          <w:rFonts w:hint="default" w:ascii="黑体" w:hAnsi="黑体" w:eastAsia="黑体" w:cs="黑体"/>
          <w:b w:val="0"/>
          <w:bCs/>
          <w:color w:val="auto"/>
          <w:kern w:val="2"/>
          <w:sz w:val="24"/>
          <w:szCs w:val="24"/>
          <w:u w:val="none"/>
          <w:lang w:val="en-US" w:eastAsia="zh-CN" w:bidi="ar-SA"/>
        </w:rPr>
        <w:t>2020</w:t>
      </w:r>
      <w:r>
        <w:rPr>
          <w:rFonts w:hint="eastAsia" w:ascii="黑体" w:hAnsi="黑体" w:eastAsia="黑体" w:cs="黑体"/>
          <w:b w:val="0"/>
          <w:bCs/>
          <w:color w:val="auto"/>
          <w:kern w:val="2"/>
          <w:sz w:val="24"/>
          <w:szCs w:val="24"/>
          <w:u w:val="none"/>
          <w:lang w:val="en-US" w:eastAsia="zh-CN" w:bidi="ar-SA"/>
        </w:rPr>
        <w:t>〕</w:t>
      </w:r>
      <w:r>
        <w:rPr>
          <w:rFonts w:hint="default" w:ascii="黑体" w:hAnsi="黑体" w:eastAsia="黑体" w:cs="黑体"/>
          <w:b w:val="0"/>
          <w:bCs/>
          <w:color w:val="auto"/>
          <w:kern w:val="2"/>
          <w:sz w:val="24"/>
          <w:szCs w:val="24"/>
          <w:u w:val="none"/>
          <w:lang w:val="en-US" w:eastAsia="zh-CN" w:bidi="ar-SA"/>
        </w:rPr>
        <w:t>142号”符合性</w:t>
      </w:r>
    </w:p>
    <w:tbl>
      <w:tblPr>
        <w:tblStyle w:val="3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535"/>
        <w:gridCol w:w="3409"/>
        <w:gridCol w:w="701"/>
      </w:tblGrid>
      <w:tr w14:paraId="62847C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22" w:type="pct"/>
            <w:tcBorders>
              <w:tl2br w:val="nil"/>
              <w:tr2bl w:val="nil"/>
            </w:tcBorders>
            <w:noWrap w:val="0"/>
            <w:vAlign w:val="center"/>
          </w:tcPr>
          <w:p w14:paraId="0EC6C34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要</w:t>
            </w:r>
            <w:r>
              <w:rPr>
                <w:rFonts w:hint="eastAsia" w:ascii="宋体" w:hAnsi="宋体" w:cs="宋体"/>
                <w:color w:val="auto"/>
                <w:kern w:val="0"/>
                <w:sz w:val="21"/>
                <w:szCs w:val="21"/>
                <w:highlight w:val="none"/>
                <w:u w:val="none"/>
                <w:lang w:val="en-US" w:eastAsia="zh-CN"/>
              </w:rPr>
              <w:t xml:space="preserve">  </w:t>
            </w:r>
            <w:r>
              <w:rPr>
                <w:rFonts w:hint="eastAsia" w:ascii="宋体" w:hAnsi="宋体" w:eastAsia="宋体" w:cs="宋体"/>
                <w:color w:val="auto"/>
                <w:kern w:val="0"/>
                <w:sz w:val="21"/>
                <w:szCs w:val="21"/>
                <w:highlight w:val="none"/>
                <w:u w:val="none"/>
              </w:rPr>
              <w:t>求</w:t>
            </w:r>
          </w:p>
        </w:tc>
        <w:tc>
          <w:tcPr>
            <w:tcW w:w="1971" w:type="pct"/>
            <w:tcBorders>
              <w:tl2br w:val="nil"/>
              <w:tr2bl w:val="nil"/>
            </w:tcBorders>
            <w:noWrap w:val="0"/>
            <w:vAlign w:val="center"/>
          </w:tcPr>
          <w:p w14:paraId="1882986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项目情况</w:t>
            </w:r>
          </w:p>
        </w:tc>
        <w:tc>
          <w:tcPr>
            <w:tcW w:w="405" w:type="pct"/>
            <w:tcBorders>
              <w:tl2br w:val="nil"/>
              <w:tr2bl w:val="nil"/>
            </w:tcBorders>
            <w:noWrap w:val="0"/>
            <w:vAlign w:val="center"/>
          </w:tcPr>
          <w:p w14:paraId="4FD9E4F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11"/>
                <w:kern w:val="0"/>
                <w:sz w:val="21"/>
                <w:szCs w:val="21"/>
                <w:highlight w:val="none"/>
                <w:u w:val="none"/>
              </w:rPr>
            </w:pPr>
            <w:r>
              <w:rPr>
                <w:rFonts w:hint="eastAsia" w:ascii="宋体" w:hAnsi="宋体" w:eastAsia="宋体" w:cs="宋体"/>
                <w:color w:val="auto"/>
                <w:spacing w:val="-11"/>
                <w:kern w:val="0"/>
                <w:sz w:val="21"/>
                <w:szCs w:val="21"/>
                <w:highlight w:val="none"/>
                <w:u w:val="none"/>
              </w:rPr>
              <w:t>符合性</w:t>
            </w:r>
          </w:p>
        </w:tc>
      </w:tr>
      <w:tr w14:paraId="7079DB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22" w:type="pct"/>
            <w:tcBorders>
              <w:tl2br w:val="nil"/>
              <w:tr2bl w:val="nil"/>
            </w:tcBorders>
            <w:noWrap w:val="0"/>
            <w:vAlign w:val="center"/>
          </w:tcPr>
          <w:p w14:paraId="639E773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请各有关单位加快推进油气发展（开发）相关规划编制，并依法开展规划环境影响评价工作。对已经批准的油气发展（开发）规划在实施范围、适用期限、规模、结构和布局等方面进行重大调整或修订的，应当依法重新或补充进行环境影响评价。油气开发规划实施满5年的应当及时开展规划环境影响跟踪评价。</w:t>
            </w:r>
          </w:p>
        </w:tc>
        <w:tc>
          <w:tcPr>
            <w:tcW w:w="1971" w:type="pct"/>
            <w:tcBorders>
              <w:tl2br w:val="nil"/>
              <w:tr2bl w:val="nil"/>
            </w:tcBorders>
            <w:noWrap w:val="0"/>
            <w:vAlign w:val="center"/>
          </w:tcPr>
          <w:p w14:paraId="53C826F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新疆油田公司已编制完成新疆油田公司“十四五”地面工程发展规划，《新疆油田公司“十四五”发展规划环境影响报告书》于2022年12月1日取得新疆维吾尔自治区生态环境厅审查意见（新环审【2022】252号）</w:t>
            </w:r>
          </w:p>
        </w:tc>
        <w:tc>
          <w:tcPr>
            <w:tcW w:w="405" w:type="pct"/>
            <w:tcBorders>
              <w:tl2br w:val="nil"/>
              <w:tr2bl w:val="nil"/>
            </w:tcBorders>
            <w:noWrap w:val="0"/>
            <w:vAlign w:val="center"/>
          </w:tcPr>
          <w:p w14:paraId="225A31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r w14:paraId="197E55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22" w:type="pct"/>
            <w:tcBorders>
              <w:tl2br w:val="nil"/>
              <w:tr2bl w:val="nil"/>
            </w:tcBorders>
            <w:noWrap w:val="0"/>
            <w:vAlign w:val="center"/>
          </w:tcPr>
          <w:p w14:paraId="64691F1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油气开采项目（含新开发和滚动开发项目）原则上应当以区块为单位开展环评（以下简称区块环评）。未确定产能建设规模的陆地油气开采新区块，建设勘探井应当依法编制环境影响报告表。确定产能建设规模后，原则上不得以勘探名义继续开展单井环评。勘探井转为生产井的，可以纳入区块环评。</w:t>
            </w:r>
          </w:p>
          <w:p w14:paraId="799C2CC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2021年1月1日起，原则上不以单井形式开展环评。过渡期间，项目建设单位可以根据实际情况，报批区块环评或单井环评。</w:t>
            </w:r>
          </w:p>
        </w:tc>
        <w:tc>
          <w:tcPr>
            <w:tcW w:w="1971" w:type="pct"/>
            <w:tcBorders>
              <w:tl2br w:val="nil"/>
              <w:tr2bl w:val="nil"/>
            </w:tcBorders>
            <w:noWrap w:val="0"/>
            <w:vAlign w:val="center"/>
          </w:tcPr>
          <w:p w14:paraId="3055797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6"/>
                <w:kern w:val="0"/>
                <w:sz w:val="21"/>
                <w:szCs w:val="21"/>
                <w:highlight w:val="none"/>
                <w:u w:val="none"/>
                <w:lang w:eastAsia="zh-CN"/>
              </w:rPr>
              <w:t>本工程</w:t>
            </w:r>
            <w:r>
              <w:rPr>
                <w:rFonts w:hint="eastAsia" w:ascii="宋体" w:hAnsi="宋体" w:eastAsia="宋体" w:cs="宋体"/>
                <w:color w:val="auto"/>
                <w:spacing w:val="-6"/>
                <w:kern w:val="0"/>
                <w:sz w:val="21"/>
                <w:szCs w:val="21"/>
                <w:highlight w:val="none"/>
                <w:u w:val="none"/>
              </w:rPr>
              <w:t>以</w:t>
            </w:r>
            <w:r>
              <w:rPr>
                <w:rFonts w:hint="eastAsia" w:ascii="宋体" w:hAnsi="宋体" w:cs="宋体"/>
                <w:color w:val="auto"/>
                <w:spacing w:val="-6"/>
                <w:kern w:val="0"/>
                <w:sz w:val="21"/>
                <w:szCs w:val="21"/>
                <w:highlight w:val="none"/>
                <w:u w:val="none"/>
                <w:lang w:val="en-US" w:eastAsia="zh-CN"/>
              </w:rPr>
              <w:t>莫北油田莫116</w:t>
            </w:r>
            <w:r>
              <w:rPr>
                <w:rFonts w:hint="eastAsia" w:ascii="宋体" w:hAnsi="宋体" w:eastAsia="宋体" w:cs="宋体"/>
                <w:color w:val="auto"/>
                <w:spacing w:val="-6"/>
                <w:kern w:val="0"/>
                <w:sz w:val="21"/>
                <w:szCs w:val="21"/>
                <w:highlight w:val="none"/>
                <w:u w:val="none"/>
                <w:lang w:val="en-US" w:eastAsia="zh-CN"/>
              </w:rPr>
              <w:t>井区</w:t>
            </w:r>
            <w:r>
              <w:rPr>
                <w:rFonts w:hint="eastAsia" w:ascii="宋体" w:hAnsi="宋体" w:eastAsia="宋体" w:cs="宋体"/>
                <w:color w:val="auto"/>
                <w:spacing w:val="-6"/>
                <w:kern w:val="0"/>
                <w:sz w:val="21"/>
                <w:szCs w:val="21"/>
                <w:highlight w:val="none"/>
                <w:u w:val="none"/>
              </w:rPr>
              <w:t>为单位开展环评，在报告中对工程施工期、运营期环境影响和环境风险进行了分析，并提出有效的环境保护措施、污染防治措施和环境风险防范措施，并分析了依托工程可行性和有效性；同时对现有工程也进行了回顾性评价，对相关生态环境问题提出有效防治措施。</w:t>
            </w:r>
          </w:p>
        </w:tc>
        <w:tc>
          <w:tcPr>
            <w:tcW w:w="405" w:type="pct"/>
            <w:tcBorders>
              <w:tl2br w:val="nil"/>
              <w:tr2bl w:val="nil"/>
            </w:tcBorders>
            <w:noWrap w:val="0"/>
            <w:vAlign w:val="center"/>
          </w:tcPr>
          <w:p w14:paraId="41B61DE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w:t>
            </w:r>
          </w:p>
        </w:tc>
      </w:tr>
    </w:tbl>
    <w:p w14:paraId="31FB92CF">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9"/>
        <w:rPr>
          <w:rFonts w:hint="default" w:ascii="黑体" w:hAnsi="黑体" w:eastAsia="黑体" w:cs="黑体"/>
          <w:b/>
          <w:color w:val="auto"/>
          <w:kern w:val="0"/>
          <w:sz w:val="24"/>
          <w:szCs w:val="24"/>
          <w:highlight w:val="none"/>
          <w:u w:val="none"/>
          <w:lang w:val="en-US" w:eastAsia="zh-CN"/>
        </w:rPr>
      </w:pPr>
      <w:bookmarkStart w:id="328" w:name="_Toc119915012"/>
    </w:p>
    <w:p w14:paraId="75BADB8A">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9"/>
        <w:rPr>
          <w:rFonts w:hint="default" w:ascii="黑体" w:hAnsi="黑体" w:eastAsia="黑体" w:cs="黑体"/>
          <w:b/>
          <w:color w:val="auto"/>
          <w:kern w:val="0"/>
          <w:sz w:val="24"/>
          <w:szCs w:val="24"/>
          <w:highlight w:val="none"/>
          <w:u w:val="none"/>
          <w:lang w:val="en-US" w:eastAsia="zh-CN"/>
        </w:rPr>
      </w:pPr>
    </w:p>
    <w:p w14:paraId="61828EF6">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8 </w:t>
      </w:r>
      <w:r>
        <w:rPr>
          <w:rFonts w:hint="default" w:ascii="黑体" w:hAnsi="黑体" w:eastAsia="黑体" w:cs="黑体"/>
          <w:b/>
          <w:color w:val="auto"/>
          <w:kern w:val="0"/>
          <w:sz w:val="24"/>
          <w:szCs w:val="24"/>
          <w:highlight w:val="none"/>
          <w:u w:val="none"/>
          <w:lang w:val="en-US" w:eastAsia="zh-CN"/>
        </w:rPr>
        <w:t>与《中华人民共和国水土保持法》相符性分析</w:t>
      </w:r>
    </w:p>
    <w:p w14:paraId="7AE48FB6">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napToGrid w:val="0"/>
          <w:color w:val="auto"/>
          <w:kern w:val="0"/>
          <w:sz w:val="24"/>
          <w:szCs w:val="24"/>
          <w:highlight w:val="none"/>
          <w:u w:val="none"/>
          <w:lang w:val="en-US" w:eastAsia="zh-CN" w:bidi="ar-SA"/>
        </w:rPr>
      </w:pPr>
      <w:r>
        <w:rPr>
          <w:rFonts w:hint="default" w:ascii="宋体" w:hAnsi="宋体" w:eastAsia="宋体" w:cs="宋体"/>
          <w:snapToGrid w:val="0"/>
          <w:color w:val="auto"/>
          <w:kern w:val="0"/>
          <w:sz w:val="24"/>
          <w:szCs w:val="24"/>
          <w:highlight w:val="none"/>
          <w:u w:val="none"/>
          <w:lang w:val="en-US" w:eastAsia="zh-CN" w:bidi="ar-SA"/>
        </w:rPr>
        <w:t>本工程与《中华人民共和国水土保持法》（2011年3月）符合性分析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w:t>
      </w:r>
      <w:r>
        <w:rPr>
          <w:rFonts w:hint="eastAsia" w:ascii="宋体" w:hAnsi="宋体" w:eastAsia="宋体" w:cs="宋体"/>
          <w:snapToGrid w:val="0"/>
          <w:color w:val="auto"/>
          <w:kern w:val="0"/>
          <w:sz w:val="24"/>
          <w:szCs w:val="24"/>
          <w:highlight w:val="none"/>
          <w:u w:val="none"/>
          <w:lang w:val="en-US" w:eastAsia="zh-CN" w:bidi="ar-SA"/>
        </w:rPr>
        <w:t>表</w:t>
      </w:r>
      <w:r>
        <w:rPr>
          <w:rFonts w:hint="default" w:ascii="宋体" w:hAnsi="宋体" w:eastAsia="宋体" w:cs="宋体"/>
          <w:snapToGrid w:val="0"/>
          <w:color w:val="auto"/>
          <w:kern w:val="0"/>
          <w:sz w:val="24"/>
          <w:szCs w:val="24"/>
          <w:highlight w:val="none"/>
          <w:u w:val="none"/>
          <w:lang w:val="en-US" w:eastAsia="zh-CN" w:bidi="ar-SA"/>
        </w:rPr>
        <w:t>3.</w:t>
      </w:r>
      <w:r>
        <w:rPr>
          <w:rFonts w:hint="eastAsia" w:ascii="宋体" w:hAnsi="宋体" w:cs="宋体"/>
          <w:snapToGrid w:val="0"/>
          <w:color w:val="auto"/>
          <w:kern w:val="0"/>
          <w:sz w:val="24"/>
          <w:szCs w:val="24"/>
          <w:highlight w:val="none"/>
          <w:u w:val="none"/>
          <w:lang w:val="en-US" w:eastAsia="zh-CN" w:bidi="ar-SA"/>
        </w:rPr>
        <w:t>5</w:t>
      </w:r>
      <w:r>
        <w:rPr>
          <w:rFonts w:hint="default" w:ascii="宋体" w:hAnsi="宋体" w:eastAsia="宋体" w:cs="宋体"/>
          <w:snapToGrid w:val="0"/>
          <w:color w:val="auto"/>
          <w:kern w:val="0"/>
          <w:sz w:val="24"/>
          <w:szCs w:val="24"/>
          <w:highlight w:val="none"/>
          <w:u w:val="none"/>
          <w:lang w:val="en-US" w:eastAsia="zh-CN" w:bidi="ar-SA"/>
        </w:rPr>
        <w:t>-</w:t>
      </w:r>
      <w:r>
        <w:rPr>
          <w:rFonts w:hint="eastAsia" w:ascii="宋体" w:hAnsi="宋体" w:cs="宋体"/>
          <w:snapToGrid w:val="0"/>
          <w:color w:val="auto"/>
          <w:kern w:val="0"/>
          <w:sz w:val="24"/>
          <w:szCs w:val="24"/>
          <w:highlight w:val="none"/>
          <w:u w:val="none"/>
          <w:lang w:val="en-US" w:eastAsia="zh-CN" w:bidi="ar-SA"/>
        </w:rPr>
        <w:t>6</w:t>
      </w:r>
      <w:r>
        <w:rPr>
          <w:rFonts w:hint="default" w:ascii="宋体" w:hAnsi="宋体" w:eastAsia="宋体" w:cs="宋体"/>
          <w:snapToGrid w:val="0"/>
          <w:color w:val="auto"/>
          <w:kern w:val="0"/>
          <w:sz w:val="24"/>
          <w:szCs w:val="24"/>
          <w:highlight w:val="none"/>
          <w:u w:val="none"/>
          <w:lang w:val="en-US" w:eastAsia="zh-CN" w:bidi="ar-SA"/>
        </w:rPr>
        <w:t>。</w:t>
      </w:r>
    </w:p>
    <w:p w14:paraId="1D86A2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6  </w:t>
      </w:r>
      <w:r>
        <w:rPr>
          <w:rFonts w:hint="default" w:ascii="黑体" w:hAnsi="黑体" w:eastAsia="黑体" w:cs="黑体"/>
          <w:b w:val="0"/>
          <w:bCs/>
          <w:color w:val="auto"/>
          <w:kern w:val="2"/>
          <w:sz w:val="24"/>
          <w:szCs w:val="24"/>
          <w:u w:val="none"/>
          <w:lang w:val="en-US" w:eastAsia="zh-CN" w:bidi="ar-SA"/>
        </w:rPr>
        <w:t>本工程与《中华人民共和国水土保持法》的符合性分析</w:t>
      </w:r>
    </w:p>
    <w:tbl>
      <w:tblPr>
        <w:tblStyle w:val="3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647"/>
        <w:gridCol w:w="4206"/>
        <w:gridCol w:w="977"/>
      </w:tblGrid>
      <w:tr w14:paraId="74CF6E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65" w:type="pct"/>
            <w:tcBorders>
              <w:tl2br w:val="nil"/>
              <w:tr2bl w:val="nil"/>
            </w:tcBorders>
            <w:noWrap w:val="0"/>
            <w:vAlign w:val="center"/>
          </w:tcPr>
          <w:p w14:paraId="1E63D725">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center"/>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法规内容</w:t>
            </w:r>
          </w:p>
        </w:tc>
        <w:tc>
          <w:tcPr>
            <w:tcW w:w="2381" w:type="pct"/>
            <w:tcBorders>
              <w:tl2br w:val="nil"/>
              <w:tr2bl w:val="nil"/>
            </w:tcBorders>
            <w:noWrap w:val="0"/>
            <w:vAlign w:val="center"/>
          </w:tcPr>
          <w:p w14:paraId="40410B5C">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center"/>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本工程情况</w:t>
            </w:r>
          </w:p>
        </w:tc>
        <w:tc>
          <w:tcPr>
            <w:tcW w:w="553" w:type="pct"/>
            <w:tcBorders>
              <w:tl2br w:val="nil"/>
              <w:tr2bl w:val="nil"/>
            </w:tcBorders>
            <w:noWrap w:val="0"/>
            <w:vAlign w:val="center"/>
          </w:tcPr>
          <w:p w14:paraId="7AF9165E">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pacing w:val="-23"/>
                <w:kern w:val="2"/>
                <w:sz w:val="21"/>
                <w:szCs w:val="21"/>
                <w:highlight w:val="none"/>
                <w:u w:val="none"/>
                <w:lang w:val="en-US" w:eastAsia="zh-CN" w:bidi="ar-SA"/>
              </w:rPr>
              <w:t>符合性</w:t>
            </w:r>
          </w:p>
        </w:tc>
      </w:tr>
      <w:tr w14:paraId="772C66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65" w:type="pct"/>
            <w:tcBorders>
              <w:tl2br w:val="nil"/>
              <w:tr2bl w:val="nil"/>
            </w:tcBorders>
            <w:noWrap w:val="0"/>
            <w:vAlign w:val="center"/>
          </w:tcPr>
          <w:p w14:paraId="3CE65541">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第二十四条：生产建设项目选址、选线应当避让水土流失重点预防区和重点治理区；无法避让的，应当提高防治标准，优化施工工艺，减少地表扰动和植被损坏范围，有效控制可能造成的水土流失。</w:t>
            </w:r>
          </w:p>
        </w:tc>
        <w:tc>
          <w:tcPr>
            <w:tcW w:w="2381" w:type="pct"/>
            <w:tcBorders>
              <w:tl2br w:val="nil"/>
              <w:tr2bl w:val="nil"/>
            </w:tcBorders>
            <w:noWrap w:val="0"/>
            <w:vAlign w:val="center"/>
          </w:tcPr>
          <w:p w14:paraId="286EA8ED">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根据新水水保〔2019〕4号文件、《昌吉回族自治州水土保持规划(2021-2030年)》，项目处于水土流失重点预防区。本工程环评提出按照水土保持方案的要求，严格执行各项水土保持措施。</w:t>
            </w:r>
          </w:p>
        </w:tc>
        <w:tc>
          <w:tcPr>
            <w:tcW w:w="553" w:type="pct"/>
            <w:tcBorders>
              <w:tl2br w:val="nil"/>
              <w:tr2bl w:val="nil"/>
            </w:tcBorders>
            <w:noWrap w:val="0"/>
            <w:vAlign w:val="center"/>
          </w:tcPr>
          <w:p w14:paraId="4DE22F78">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符合</w:t>
            </w:r>
          </w:p>
        </w:tc>
      </w:tr>
      <w:tr w14:paraId="540182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65" w:type="pct"/>
            <w:tcBorders>
              <w:tl2br w:val="nil"/>
              <w:tr2bl w:val="nil"/>
            </w:tcBorders>
            <w:noWrap w:val="0"/>
            <w:vAlign w:val="center"/>
          </w:tcPr>
          <w:p w14:paraId="719D1B0B">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在风力侵蚀地区，地方各级人民政府及其有关部门应当组织单位和个人，因地制宜地采取轮封轮牧、植树种草、设置人工沙障和网格林带等措施，建立防风固沙防护体系。</w:t>
            </w:r>
          </w:p>
        </w:tc>
        <w:tc>
          <w:tcPr>
            <w:tcW w:w="2381" w:type="pct"/>
            <w:tcBorders>
              <w:tl2br w:val="nil"/>
              <w:tr2bl w:val="nil"/>
            </w:tcBorders>
            <w:noWrap w:val="0"/>
            <w:vAlign w:val="center"/>
          </w:tcPr>
          <w:p w14:paraId="7812DC5A">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项目选线和拟采用的技术标准，应该充分考虑水土流失因素，尽量避开植被较多地段，施工期间严格划定施工活动范围，严格控制和管理运输车辆及重型机械的运行范围，不另辟施工便道，不得离开运输道路及随意驾驶。由专人监督负责，以防破坏土壤和植被；根据水土保持方案，针对井场、站场、管线和道路均采取防沙治沙措施。</w:t>
            </w:r>
          </w:p>
        </w:tc>
        <w:tc>
          <w:tcPr>
            <w:tcW w:w="553" w:type="pct"/>
            <w:tcBorders>
              <w:tl2br w:val="nil"/>
              <w:tr2bl w:val="nil"/>
            </w:tcBorders>
            <w:noWrap w:val="0"/>
            <w:vAlign w:val="center"/>
          </w:tcPr>
          <w:p w14:paraId="114ACA29">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符合</w:t>
            </w:r>
          </w:p>
        </w:tc>
      </w:tr>
      <w:tr w14:paraId="317E2F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65" w:type="pct"/>
            <w:tcBorders>
              <w:tl2br w:val="nil"/>
              <w:tr2bl w:val="nil"/>
            </w:tcBorders>
            <w:noWrap w:val="0"/>
            <w:vAlign w:val="center"/>
          </w:tcPr>
          <w:p w14:paraId="42AB2A8E">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第三十九条：国家鼓励和支持在山区、丘陵区、风沙区以及容易发生水土流失的其他区域，采取下列有利于水土保持的措施：（一）免耕、等高耕作、轮耕轮作、草田轮作、间作套种等；（二）封禁抚育、轮封轮牧、舍饲圈养；（三）发展沼气、节柴灶，利用太阳能、风能和水能，以煤、电、气代替薪柴等；（四）从生态脆弱地区向外移民；（五）其他有利于水土保持的措施。</w:t>
            </w:r>
          </w:p>
        </w:tc>
        <w:tc>
          <w:tcPr>
            <w:tcW w:w="2381" w:type="pct"/>
            <w:tcBorders>
              <w:tl2br w:val="nil"/>
              <w:tr2bl w:val="nil"/>
            </w:tcBorders>
            <w:noWrap w:val="0"/>
            <w:vAlign w:val="center"/>
          </w:tcPr>
          <w:p w14:paraId="462BD3BB">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项目选线和拟采用的技术标准，应该充分考虑水土流失因素，尽量避开植被较多地段，施工期间严格划定施工活动范围，严格控制和管理运输车辆及重型机械的运行范围，不另辟施工便道，不得离开运输道路及随意驾驶。由专人监督负责，以防破坏土壤和植被；根据水土保持方案，针对站场、管线均采取防沙治沙措施。</w:t>
            </w:r>
          </w:p>
        </w:tc>
        <w:tc>
          <w:tcPr>
            <w:tcW w:w="553" w:type="pct"/>
            <w:tcBorders>
              <w:tl2br w:val="nil"/>
              <w:tr2bl w:val="nil"/>
            </w:tcBorders>
            <w:noWrap w:val="0"/>
            <w:vAlign w:val="center"/>
          </w:tcPr>
          <w:p w14:paraId="7224D346">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符合</w:t>
            </w:r>
          </w:p>
        </w:tc>
      </w:tr>
    </w:tbl>
    <w:p w14:paraId="798BA8A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en-US"/>
        </w:rPr>
      </w:pPr>
      <w:r>
        <w:rPr>
          <w:rFonts w:hint="eastAsia" w:ascii="黑体" w:hAnsi="黑体" w:eastAsia="黑体" w:cs="黑体"/>
          <w:b/>
          <w:color w:val="auto"/>
          <w:kern w:val="0"/>
          <w:sz w:val="24"/>
          <w:szCs w:val="24"/>
          <w:highlight w:val="none"/>
          <w:u w:val="none"/>
          <w:lang w:val="en-US" w:eastAsia="zh-CN"/>
        </w:rPr>
        <w:t xml:space="preserve">3.5.10 </w:t>
      </w:r>
      <w:r>
        <w:rPr>
          <w:rFonts w:hint="default" w:ascii="黑体" w:hAnsi="黑体" w:eastAsia="黑体" w:cs="黑体"/>
          <w:b/>
          <w:color w:val="auto"/>
          <w:kern w:val="0"/>
          <w:sz w:val="24"/>
          <w:szCs w:val="24"/>
          <w:highlight w:val="none"/>
          <w:u w:val="none"/>
          <w:lang w:val="en-US" w:eastAsia="en-US"/>
        </w:rPr>
        <w:t>与《新疆维吾尔自治区水土保持规划（2018-2030 年）》符合性分析</w:t>
      </w:r>
    </w:p>
    <w:p w14:paraId="381CE2D9">
      <w:pPr>
        <w:keepNext w:val="0"/>
        <w:keepLines w:val="0"/>
        <w:pageBreakBefore w:val="0"/>
        <w:widowControl w:val="0"/>
        <w:kinsoku/>
        <w:wordWrap/>
        <w:overflowPunct/>
        <w:topLinePunct w:val="0"/>
        <w:autoSpaceDE/>
        <w:autoSpaceDN/>
        <w:bidi w:val="0"/>
        <w:adjustRightInd/>
        <w:snapToGrid/>
        <w:spacing w:before="0" w:after="0" w:line="48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en-US" w:bidi="ar"/>
        </w:rPr>
      </w:pPr>
      <w:r>
        <w:rPr>
          <w:rFonts w:hint="default" w:ascii="Times New Roman" w:hAnsi="Times New Roman" w:eastAsia="宋体" w:cs="Times New Roman"/>
          <w:color w:val="auto"/>
          <w:kern w:val="0"/>
          <w:sz w:val="24"/>
          <w:szCs w:val="24"/>
          <w:highlight w:val="none"/>
          <w:u w:val="none"/>
          <w:lang w:val="en-US" w:eastAsia="en-US" w:bidi="ar"/>
        </w:rPr>
        <w:t>《新疆维吾尔自治区水土保持规划（2018-2030年）》于2018年8月24日取得新疆维吾尔自治区人民政府的批复（新政函</w:t>
      </w:r>
      <w:r>
        <w:rPr>
          <w:rFonts w:hint="eastAsia" w:cs="Times New Roman"/>
          <w:color w:val="auto"/>
          <w:kern w:val="0"/>
          <w:sz w:val="24"/>
          <w:szCs w:val="24"/>
          <w:highlight w:val="none"/>
          <w:u w:val="none"/>
          <w:lang w:val="en-US" w:eastAsia="zh-CN" w:bidi="ar"/>
        </w:rPr>
        <w:t>〔2018〕146号</w:t>
      </w:r>
      <w:r>
        <w:rPr>
          <w:rFonts w:hint="default" w:ascii="Times New Roman" w:hAnsi="Times New Roman" w:eastAsia="宋体" w:cs="Times New Roman"/>
          <w:color w:val="auto"/>
          <w:kern w:val="0"/>
          <w:sz w:val="24"/>
          <w:szCs w:val="24"/>
          <w:highlight w:val="none"/>
          <w:u w:val="none"/>
          <w:lang w:val="en-US" w:eastAsia="en-US" w:bidi="ar"/>
        </w:rPr>
        <w:t>）。规划分析了全疆水土流失及其防治现状，系统总结水土保持经验和成就，以水土保持区划为基础，以保护和合理利用水土资源为主线，以全疆主体功能区划为依据，拟定全疆预防和治理水土流失、保护合理利用水土资源的总体部署，明确今后一段时期自治区水土保持的目标、任务、布局和对策措施。</w:t>
      </w:r>
    </w:p>
    <w:p w14:paraId="790951F0">
      <w:pPr>
        <w:keepNext w:val="0"/>
        <w:keepLines w:val="0"/>
        <w:pageBreakBefore w:val="0"/>
        <w:widowControl w:val="0"/>
        <w:kinsoku/>
        <w:wordWrap/>
        <w:overflowPunct/>
        <w:topLinePunct w:val="0"/>
        <w:autoSpaceDE/>
        <w:autoSpaceDN/>
        <w:bidi w:val="0"/>
        <w:adjustRightInd/>
        <w:snapToGrid/>
        <w:spacing w:before="43" w:after="0" w:line="480" w:lineRule="exact"/>
        <w:ind w:left="115" w:right="228" w:firstLine="480"/>
        <w:jc w:val="left"/>
        <w:textAlignment w:val="auto"/>
        <w:rPr>
          <w:rFonts w:hint="default" w:ascii="Times New Roman" w:hAnsi="Times New Roman" w:eastAsia="宋体" w:cs="Times New Roman"/>
          <w:color w:val="auto"/>
          <w:kern w:val="0"/>
          <w:sz w:val="24"/>
          <w:szCs w:val="24"/>
          <w:highlight w:val="none"/>
          <w:u w:val="none"/>
          <w:lang w:val="en-US" w:eastAsia="en-US" w:bidi="ar"/>
        </w:rPr>
      </w:pPr>
      <w:r>
        <w:rPr>
          <w:rFonts w:hint="default" w:ascii="Times New Roman" w:hAnsi="Times New Roman" w:eastAsia="宋体" w:cs="Times New Roman"/>
          <w:color w:val="auto"/>
          <w:kern w:val="0"/>
          <w:sz w:val="24"/>
          <w:szCs w:val="24"/>
          <w:highlight w:val="none"/>
          <w:u w:val="none"/>
          <w:lang w:val="en-US" w:eastAsia="en-US" w:bidi="ar"/>
        </w:rPr>
        <w:t>规划中明确天山北坡区的准噶尔盆地南部，受沙漠扩张及风沙危害，风力侵蚀较为严重。该区水土流失总面积为9.83万km</w:t>
      </w:r>
      <w:r>
        <w:rPr>
          <w:rFonts w:hint="default" w:ascii="Times New Roman" w:hAnsi="Times New Roman" w:eastAsia="宋体" w:cs="Times New Roman"/>
          <w:color w:val="auto"/>
          <w:kern w:val="0"/>
          <w:sz w:val="24"/>
          <w:szCs w:val="24"/>
          <w:highlight w:val="none"/>
          <w:u w:val="none"/>
          <w:vertAlign w:val="superscript"/>
          <w:lang w:val="en-US" w:eastAsia="en-US" w:bidi="ar"/>
        </w:rPr>
        <w:t>2</w:t>
      </w:r>
      <w:r>
        <w:rPr>
          <w:rFonts w:hint="default" w:ascii="Times New Roman" w:hAnsi="Times New Roman" w:eastAsia="宋体" w:cs="Times New Roman"/>
          <w:color w:val="auto"/>
          <w:kern w:val="0"/>
          <w:sz w:val="24"/>
          <w:szCs w:val="24"/>
          <w:highlight w:val="none"/>
          <w:u w:val="none"/>
          <w:lang w:val="en-US" w:eastAsia="en-US" w:bidi="ar"/>
        </w:rPr>
        <w:t>，占本区土地总面积的65%，其中水力侵蚀面积为1.60万km</w:t>
      </w:r>
      <w:r>
        <w:rPr>
          <w:rFonts w:hint="default" w:ascii="Times New Roman" w:hAnsi="Times New Roman" w:eastAsia="宋体" w:cs="Times New Roman"/>
          <w:color w:val="auto"/>
          <w:kern w:val="0"/>
          <w:sz w:val="24"/>
          <w:szCs w:val="24"/>
          <w:highlight w:val="none"/>
          <w:u w:val="none"/>
          <w:vertAlign w:val="superscript"/>
          <w:lang w:val="en-US" w:eastAsia="en-US" w:bidi="ar"/>
        </w:rPr>
        <w:t>2</w:t>
      </w:r>
      <w:r>
        <w:rPr>
          <w:rFonts w:hint="default" w:ascii="Times New Roman" w:hAnsi="Times New Roman" w:eastAsia="宋体" w:cs="Times New Roman"/>
          <w:color w:val="auto"/>
          <w:kern w:val="0"/>
          <w:sz w:val="24"/>
          <w:szCs w:val="24"/>
          <w:highlight w:val="none"/>
          <w:u w:val="none"/>
          <w:lang w:val="en-US" w:eastAsia="en-US" w:bidi="ar"/>
        </w:rPr>
        <w:t>，占本区土地总面积的10%；风力侵蚀面积为8.23万km</w:t>
      </w:r>
      <w:r>
        <w:rPr>
          <w:rFonts w:hint="default" w:ascii="Times New Roman" w:hAnsi="Times New Roman" w:eastAsia="宋体" w:cs="Times New Roman"/>
          <w:color w:val="auto"/>
          <w:kern w:val="0"/>
          <w:sz w:val="24"/>
          <w:szCs w:val="24"/>
          <w:highlight w:val="none"/>
          <w:u w:val="none"/>
          <w:vertAlign w:val="superscript"/>
          <w:lang w:val="en-US" w:eastAsia="en-US" w:bidi="ar"/>
        </w:rPr>
        <w:t>2</w:t>
      </w:r>
      <w:r>
        <w:rPr>
          <w:rFonts w:hint="default" w:ascii="Times New Roman" w:hAnsi="Times New Roman" w:eastAsia="宋体" w:cs="Times New Roman"/>
          <w:color w:val="auto"/>
          <w:kern w:val="0"/>
          <w:sz w:val="24"/>
          <w:szCs w:val="24"/>
          <w:highlight w:val="none"/>
          <w:u w:val="none"/>
          <w:lang w:val="en-US" w:eastAsia="en-US" w:bidi="ar"/>
        </w:rPr>
        <w:t>，占本区土地总面积的55%。针对天山北坡区的现状，提出水土流失治理措施主要依靠天山北坡城市群城郊清洁型小流域建设和草原建设工程，并及时开展准东地区、和丰-克拉玛依、乌昌地区煤炭行业和克拉玛依石油天然气行业的水土保持综合治理。其中昌吉州</w:t>
      </w:r>
      <w:r>
        <w:rPr>
          <w:rFonts w:hint="eastAsia" w:cs="Times New Roman"/>
          <w:color w:val="auto"/>
          <w:kern w:val="0"/>
          <w:sz w:val="24"/>
          <w:szCs w:val="24"/>
          <w:highlight w:val="none"/>
          <w:u w:val="none"/>
          <w:lang w:val="en-US" w:eastAsia="zh-CN" w:bidi="ar"/>
        </w:rPr>
        <w:t>水土流失</w:t>
      </w:r>
      <w:r>
        <w:rPr>
          <w:rFonts w:hint="default" w:ascii="Times New Roman" w:hAnsi="Times New Roman" w:eastAsia="宋体" w:cs="Times New Roman"/>
          <w:color w:val="auto"/>
          <w:kern w:val="0"/>
          <w:sz w:val="24"/>
          <w:szCs w:val="24"/>
          <w:highlight w:val="none"/>
          <w:u w:val="none"/>
          <w:lang w:val="en-US" w:eastAsia="en-US" w:bidi="ar"/>
        </w:rPr>
        <w:t>预防保护项目中荒漠林草保护工程远期规划为2284km</w:t>
      </w:r>
      <w:r>
        <w:rPr>
          <w:rFonts w:hint="default" w:ascii="Times New Roman" w:hAnsi="Times New Roman" w:eastAsia="宋体" w:cs="Times New Roman"/>
          <w:color w:val="auto"/>
          <w:kern w:val="0"/>
          <w:sz w:val="24"/>
          <w:szCs w:val="24"/>
          <w:highlight w:val="none"/>
          <w:u w:val="none"/>
          <w:vertAlign w:val="superscript"/>
          <w:lang w:val="en-US" w:eastAsia="en-US" w:bidi="ar"/>
        </w:rPr>
        <w:t>2</w:t>
      </w:r>
      <w:r>
        <w:rPr>
          <w:rFonts w:hint="default" w:ascii="Times New Roman" w:hAnsi="Times New Roman" w:eastAsia="宋体" w:cs="Times New Roman"/>
          <w:color w:val="auto"/>
          <w:kern w:val="0"/>
          <w:sz w:val="24"/>
          <w:szCs w:val="24"/>
          <w:highlight w:val="none"/>
          <w:u w:val="none"/>
          <w:lang w:val="en-US" w:eastAsia="en-US" w:bidi="ar"/>
        </w:rPr>
        <w:t>。</w:t>
      </w:r>
    </w:p>
    <w:p w14:paraId="26A7230E">
      <w:pPr>
        <w:keepNext w:val="0"/>
        <w:keepLines w:val="0"/>
        <w:pageBreakBefore w:val="0"/>
        <w:widowControl w:val="0"/>
        <w:kinsoku/>
        <w:wordWrap/>
        <w:overflowPunct/>
        <w:topLinePunct w:val="0"/>
        <w:autoSpaceDE/>
        <w:autoSpaceDN/>
        <w:bidi w:val="0"/>
        <w:adjustRightInd/>
        <w:snapToGrid/>
        <w:spacing w:before="21" w:after="0" w:line="480" w:lineRule="exact"/>
        <w:ind w:left="115" w:right="117" w:firstLine="48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en-US" w:bidi="ar"/>
        </w:rPr>
        <w:t>本项目为</w:t>
      </w:r>
      <w:r>
        <w:rPr>
          <w:rFonts w:hint="eastAsia" w:ascii="Times New Roman" w:hAnsi="Times New Roman" w:eastAsia="宋体" w:cs="Times New Roman"/>
          <w:color w:val="auto"/>
          <w:kern w:val="0"/>
          <w:sz w:val="24"/>
          <w:szCs w:val="24"/>
          <w:highlight w:val="none"/>
          <w:u w:val="none"/>
          <w:lang w:val="en-US" w:eastAsia="zh-CN" w:bidi="ar"/>
        </w:rPr>
        <w:t>天然气</w:t>
      </w:r>
      <w:r>
        <w:rPr>
          <w:rFonts w:hint="default" w:ascii="Times New Roman" w:hAnsi="Times New Roman" w:eastAsia="宋体" w:cs="Times New Roman"/>
          <w:color w:val="auto"/>
          <w:kern w:val="0"/>
          <w:sz w:val="24"/>
          <w:szCs w:val="24"/>
          <w:highlight w:val="none"/>
          <w:u w:val="none"/>
          <w:lang w:val="en-US" w:eastAsia="en-US" w:bidi="ar"/>
        </w:rPr>
        <w:t>开采项目，位于呼图壁县境内北部古尔班通古特沙漠腹部，项目区地表土质疏松干燥，植被分布稀疏，主要是梭梭灌丛，为典型沙质荒漠生态系统，属于国家级中的天山北坡国家级水土流失重点预防区。针对项目所在区域的特点，本报告提出</w:t>
      </w:r>
      <w:r>
        <w:rPr>
          <w:rFonts w:hint="eastAsia" w:ascii="Times New Roman" w:hAnsi="Times New Roman" w:eastAsia="宋体" w:cs="Times New Roman"/>
          <w:color w:val="auto"/>
          <w:kern w:val="0"/>
          <w:sz w:val="24"/>
          <w:szCs w:val="24"/>
          <w:highlight w:val="none"/>
          <w:u w:val="none"/>
          <w:lang w:val="en-US" w:eastAsia="zh-CN" w:bidi="ar"/>
        </w:rPr>
        <w:t>了</w:t>
      </w:r>
      <w:r>
        <w:rPr>
          <w:rFonts w:hint="default" w:ascii="Times New Roman" w:hAnsi="Times New Roman" w:eastAsia="宋体" w:cs="Times New Roman"/>
          <w:color w:val="auto"/>
          <w:kern w:val="0"/>
          <w:sz w:val="24"/>
          <w:szCs w:val="24"/>
          <w:highlight w:val="none"/>
          <w:u w:val="none"/>
          <w:lang w:val="en-US" w:eastAsia="en-US" w:bidi="ar"/>
        </w:rPr>
        <w:t>相应的防沙治沙措施和水土保持方案，建设单位在施工期和运营期需严格落实水土流失工程防治、分区防治、水土保持和管理等措施，在落实各项防治措施后，可提高项目占地范围内的土壤抗侵蚀能力，减少区域水土流失量。因此，本项目在严格落实报告中提出的水土流失防治措施和生态环护措施后，与《新疆维吾尔自治区水土保持规划（2018-2030年）》中的内容相符。</w:t>
      </w:r>
    </w:p>
    <w:p w14:paraId="3BCA22A0">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9 </w:t>
      </w:r>
      <w:r>
        <w:rPr>
          <w:rFonts w:hint="default" w:ascii="黑体" w:hAnsi="黑体" w:eastAsia="黑体" w:cs="黑体"/>
          <w:b/>
          <w:color w:val="auto"/>
          <w:kern w:val="0"/>
          <w:sz w:val="24"/>
          <w:szCs w:val="24"/>
          <w:highlight w:val="none"/>
          <w:u w:val="none"/>
          <w:lang w:val="en-US" w:eastAsia="zh-CN"/>
        </w:rPr>
        <w:t>与《关于加快解决当前挥发性有机物治理突出问题的通知》符合性分析</w:t>
      </w:r>
    </w:p>
    <w:p w14:paraId="3C2A8AE9">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napToGrid w:val="0"/>
          <w:color w:val="auto"/>
          <w:kern w:val="0"/>
          <w:sz w:val="24"/>
          <w:szCs w:val="24"/>
          <w:highlight w:val="none"/>
          <w:u w:val="none"/>
          <w:lang w:val="en-US" w:eastAsia="zh-CN" w:bidi="ar-SA"/>
        </w:rPr>
      </w:pPr>
      <w:r>
        <w:rPr>
          <w:rFonts w:hint="default" w:ascii="宋体" w:hAnsi="宋体" w:eastAsia="宋体" w:cs="宋体"/>
          <w:snapToGrid w:val="0"/>
          <w:color w:val="auto"/>
          <w:kern w:val="0"/>
          <w:sz w:val="24"/>
          <w:szCs w:val="24"/>
          <w:highlight w:val="none"/>
          <w:u w:val="none"/>
          <w:lang w:val="en-US" w:eastAsia="zh-CN" w:bidi="ar-SA"/>
        </w:rPr>
        <w:t>本工程与《关于加快解决当前挥发性有机物治理突出问题的通知》符合性分析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见表3.</w:t>
      </w:r>
      <w:r>
        <w:rPr>
          <w:rFonts w:hint="eastAsia" w:ascii="宋体" w:hAnsi="宋体" w:cs="宋体"/>
          <w:snapToGrid w:val="0"/>
          <w:color w:val="auto"/>
          <w:kern w:val="0"/>
          <w:sz w:val="24"/>
          <w:szCs w:val="24"/>
          <w:highlight w:val="none"/>
          <w:u w:val="none"/>
          <w:lang w:val="en-US" w:eastAsia="zh-CN" w:bidi="ar-SA"/>
        </w:rPr>
        <w:t>5</w:t>
      </w:r>
      <w:r>
        <w:rPr>
          <w:rFonts w:hint="default" w:ascii="宋体" w:hAnsi="宋体" w:eastAsia="宋体" w:cs="宋体"/>
          <w:snapToGrid w:val="0"/>
          <w:color w:val="auto"/>
          <w:kern w:val="0"/>
          <w:sz w:val="24"/>
          <w:szCs w:val="24"/>
          <w:highlight w:val="none"/>
          <w:u w:val="none"/>
          <w:lang w:val="en-US" w:eastAsia="zh-CN" w:bidi="ar-SA"/>
        </w:rPr>
        <w:t>-</w:t>
      </w:r>
      <w:r>
        <w:rPr>
          <w:rFonts w:hint="eastAsia" w:ascii="宋体" w:hAnsi="宋体" w:cs="宋体"/>
          <w:snapToGrid w:val="0"/>
          <w:color w:val="auto"/>
          <w:kern w:val="0"/>
          <w:sz w:val="24"/>
          <w:szCs w:val="24"/>
          <w:highlight w:val="none"/>
          <w:u w:val="none"/>
          <w:lang w:val="en-US" w:eastAsia="zh-CN" w:bidi="ar-SA"/>
        </w:rPr>
        <w:t>7</w:t>
      </w:r>
      <w:r>
        <w:rPr>
          <w:rFonts w:hint="default" w:ascii="宋体" w:hAnsi="宋体" w:eastAsia="宋体" w:cs="宋体"/>
          <w:snapToGrid w:val="0"/>
          <w:color w:val="auto"/>
          <w:kern w:val="0"/>
          <w:sz w:val="24"/>
          <w:szCs w:val="24"/>
          <w:highlight w:val="none"/>
          <w:u w:val="none"/>
          <w:lang w:val="en-US" w:eastAsia="zh-CN" w:bidi="ar-SA"/>
        </w:rPr>
        <w:t>。</w:t>
      </w:r>
    </w:p>
    <w:p w14:paraId="6281A6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color w:val="auto"/>
          <w:kern w:val="0"/>
          <w:sz w:val="21"/>
          <w:szCs w:val="21"/>
          <w:highlight w:val="none"/>
          <w:u w:val="none"/>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7</w:t>
      </w:r>
      <w:r>
        <w:rPr>
          <w:rFonts w:hint="default" w:ascii="黑体" w:hAnsi="黑体" w:eastAsia="黑体" w:cs="黑体"/>
          <w:b w:val="0"/>
          <w:bCs/>
          <w:color w:val="auto"/>
          <w:kern w:val="2"/>
          <w:sz w:val="24"/>
          <w:szCs w:val="24"/>
          <w:u w:val="none"/>
          <w:lang w:val="en-US" w:eastAsia="zh-CN" w:bidi="ar-SA"/>
        </w:rPr>
        <w:t>与《关于加快解决当前挥发性有机物治理突出问题的通知》符合性</w:t>
      </w:r>
    </w:p>
    <w:tbl>
      <w:tblPr>
        <w:tblStyle w:val="37"/>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406"/>
        <w:gridCol w:w="2417"/>
        <w:gridCol w:w="823"/>
      </w:tblGrid>
      <w:tr w14:paraId="15BC48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25" w:type="pct"/>
            <w:tcBorders>
              <w:tl2br w:val="nil"/>
              <w:tr2bl w:val="nil"/>
            </w:tcBorders>
            <w:noWrap w:val="0"/>
            <w:vAlign w:val="center"/>
          </w:tcPr>
          <w:p w14:paraId="22F2F181">
            <w:pPr>
              <w:keepNext w:val="0"/>
              <w:keepLines w:val="0"/>
              <w:pageBreakBefore w:val="0"/>
              <w:widowControl/>
              <w:kinsoku/>
              <w:wordWrap/>
              <w:overflowPunct/>
              <w:topLinePunct w:val="0"/>
              <w:autoSpaceDE/>
              <w:autoSpaceDN/>
              <w:bidi w:val="0"/>
              <w:adjustRightInd/>
              <w:snapToGrid/>
              <w:spacing w:line="37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要求</w:t>
            </w:r>
          </w:p>
        </w:tc>
        <w:tc>
          <w:tcPr>
            <w:tcW w:w="1397" w:type="pct"/>
            <w:tcBorders>
              <w:tl2br w:val="nil"/>
              <w:tr2bl w:val="nil"/>
            </w:tcBorders>
            <w:noWrap w:val="0"/>
            <w:vAlign w:val="center"/>
          </w:tcPr>
          <w:p w14:paraId="253F9975">
            <w:pPr>
              <w:keepNext w:val="0"/>
              <w:keepLines w:val="0"/>
              <w:pageBreakBefore w:val="0"/>
              <w:widowControl/>
              <w:kinsoku/>
              <w:wordWrap/>
              <w:overflowPunct/>
              <w:topLinePunct w:val="0"/>
              <w:autoSpaceDE/>
              <w:autoSpaceDN/>
              <w:bidi w:val="0"/>
              <w:adjustRightInd/>
              <w:snapToGrid/>
              <w:spacing w:line="37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项目情况</w:t>
            </w:r>
          </w:p>
        </w:tc>
        <w:tc>
          <w:tcPr>
            <w:tcW w:w="476" w:type="pct"/>
            <w:tcBorders>
              <w:tl2br w:val="nil"/>
              <w:tr2bl w:val="nil"/>
            </w:tcBorders>
            <w:noWrap w:val="0"/>
            <w:vAlign w:val="center"/>
          </w:tcPr>
          <w:p w14:paraId="58E6FE40">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符合性</w:t>
            </w:r>
          </w:p>
        </w:tc>
      </w:tr>
      <w:tr w14:paraId="692CD4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25" w:type="pct"/>
            <w:tcBorders>
              <w:tl2br w:val="nil"/>
              <w:tr2bl w:val="nil"/>
            </w:tcBorders>
            <w:noWrap w:val="0"/>
            <w:vAlign w:val="center"/>
          </w:tcPr>
          <w:p w14:paraId="7B21C13F">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2"/>
                <w:sz w:val="21"/>
                <w:szCs w:val="21"/>
                <w:highlight w:val="none"/>
                <w:u w:val="none"/>
              </w:rPr>
              <w:t>产生VOCs的生产环节优先采用密闭设备、在密闭空间中操作或采用全密闭集气罩收集方式，并保持负压运行。</w:t>
            </w:r>
          </w:p>
        </w:tc>
        <w:tc>
          <w:tcPr>
            <w:tcW w:w="1397" w:type="pct"/>
            <w:tcBorders>
              <w:tl2br w:val="nil"/>
              <w:tr2bl w:val="nil"/>
            </w:tcBorders>
            <w:noWrap w:val="0"/>
            <w:vAlign w:val="center"/>
          </w:tcPr>
          <w:p w14:paraId="7B34C488">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2"/>
                <w:sz w:val="21"/>
                <w:szCs w:val="21"/>
                <w:highlight w:val="none"/>
                <w:u w:val="none"/>
                <w:lang w:eastAsia="zh-CN"/>
              </w:rPr>
              <w:t>本工程</w:t>
            </w:r>
            <w:r>
              <w:rPr>
                <w:rFonts w:hint="eastAsia" w:cs="Times New Roman"/>
                <w:color w:val="auto"/>
                <w:kern w:val="2"/>
                <w:sz w:val="21"/>
                <w:szCs w:val="21"/>
                <w:highlight w:val="none"/>
                <w:u w:val="none"/>
                <w:lang w:val="en-US" w:eastAsia="zh-CN"/>
              </w:rPr>
              <w:t>均采用密闭集输工艺</w:t>
            </w:r>
            <w:r>
              <w:rPr>
                <w:rFonts w:hint="default" w:ascii="Times New Roman" w:hAnsi="Times New Roman" w:cs="Times New Roman"/>
                <w:color w:val="auto"/>
                <w:kern w:val="2"/>
                <w:sz w:val="21"/>
                <w:szCs w:val="21"/>
                <w:highlight w:val="none"/>
                <w:u w:val="none"/>
                <w:lang w:eastAsia="zh-CN"/>
              </w:rPr>
              <w:t>，有效减少非甲烷总烃挥发量，减少对大气的污染。</w:t>
            </w:r>
          </w:p>
        </w:tc>
        <w:tc>
          <w:tcPr>
            <w:tcW w:w="476" w:type="pct"/>
            <w:tcBorders>
              <w:tl2br w:val="nil"/>
              <w:tr2bl w:val="nil"/>
            </w:tcBorders>
            <w:noWrap w:val="0"/>
            <w:vAlign w:val="center"/>
          </w:tcPr>
          <w:p w14:paraId="063E683A">
            <w:pPr>
              <w:keepNext w:val="0"/>
              <w:keepLines w:val="0"/>
              <w:pageBreakBefore w:val="0"/>
              <w:widowControl/>
              <w:kinsoku/>
              <w:wordWrap/>
              <w:overflowPunct/>
              <w:topLinePunct w:val="0"/>
              <w:autoSpaceDE/>
              <w:autoSpaceDN/>
              <w:bidi w:val="0"/>
              <w:adjustRightInd/>
              <w:snapToGrid/>
              <w:spacing w:line="37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2"/>
                <w:sz w:val="21"/>
                <w:szCs w:val="21"/>
                <w:highlight w:val="none"/>
                <w:u w:val="none"/>
              </w:rPr>
              <w:t>符合</w:t>
            </w:r>
          </w:p>
        </w:tc>
      </w:tr>
      <w:tr w14:paraId="32B13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25" w:type="pct"/>
            <w:tcBorders>
              <w:tl2br w:val="nil"/>
              <w:tr2bl w:val="nil"/>
            </w:tcBorders>
            <w:noWrap w:val="0"/>
            <w:vAlign w:val="center"/>
          </w:tcPr>
          <w:p w14:paraId="23323A98">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default" w:ascii="Times New Roman" w:hAnsi="Times New Roman" w:eastAsia="宋体" w:cs="Times New Roman"/>
                <w:color w:val="auto"/>
                <w:kern w:val="2"/>
                <w:sz w:val="21"/>
                <w:szCs w:val="21"/>
                <w:highlight w:val="none"/>
                <w:u w:val="none"/>
                <w:lang w:val="en-US" w:eastAsia="zh-CN" w:bidi="ar-SA"/>
              </w:rPr>
            </w:pPr>
            <w:bookmarkStart w:id="329" w:name="_Toc2421"/>
            <w:bookmarkStart w:id="330" w:name="_Toc9600"/>
            <w:r>
              <w:rPr>
                <w:rFonts w:hint="default" w:ascii="Times New Roman" w:hAnsi="Times New Roman" w:cs="Times New Roman"/>
                <w:color w:val="auto"/>
                <w:kern w:val="2"/>
                <w:sz w:val="21"/>
                <w:szCs w:val="21"/>
                <w:highlight w:val="none"/>
                <w:u w:val="none"/>
              </w:rPr>
              <w:t>重点排查汽油（包括含醇汽油、航空汽油）、航空煤油、原油、石脑油及苯、甲苯、二甲苯等装卸的物料类型、装载量、油气回收量，装载方式、密封型式、压紧方式及治理设施建设情况、工艺类型和运行情况，建立装卸排查清单；检查检测罐车人孔盖、油气回收耦合阀，底部装载有机废气回收快速接头、顶部浸没式装载密封罩、油气回收管线法兰等密封点泄漏情况，及治理设施排放浓度、排放速率和去除效率</w:t>
            </w:r>
            <w:r>
              <w:rPr>
                <w:rFonts w:hint="default" w:ascii="Times New Roman" w:hAnsi="Times New Roman" w:cs="Times New Roman"/>
                <w:color w:val="auto"/>
                <w:kern w:val="2"/>
                <w:sz w:val="21"/>
                <w:szCs w:val="21"/>
                <w:highlight w:val="none"/>
                <w:u w:val="none"/>
                <w:lang w:eastAsia="zh-CN"/>
              </w:rPr>
              <w:t>。</w:t>
            </w:r>
          </w:p>
        </w:tc>
        <w:tc>
          <w:tcPr>
            <w:tcW w:w="1397" w:type="pct"/>
            <w:tcBorders>
              <w:tl2br w:val="nil"/>
              <w:tr2bl w:val="nil"/>
            </w:tcBorders>
            <w:noWrap w:val="0"/>
            <w:vAlign w:val="center"/>
          </w:tcPr>
          <w:p w14:paraId="7A7F0465">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default" w:ascii="Times New Roman" w:hAnsi="Times New Roman"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eastAsia="zh-CN"/>
              </w:rPr>
              <w:t>本工程属于油气开采项目，</w:t>
            </w:r>
            <w:r>
              <w:rPr>
                <w:rFonts w:hint="default" w:ascii="Times New Roman" w:hAnsi="Times New Roman" w:cs="Times New Roman"/>
                <w:color w:val="auto"/>
                <w:kern w:val="2"/>
                <w:sz w:val="21"/>
                <w:szCs w:val="21"/>
                <w:highlight w:val="none"/>
                <w:u w:val="none"/>
              </w:rPr>
              <w:t>集输</w:t>
            </w:r>
            <w:r>
              <w:rPr>
                <w:rFonts w:hint="eastAsia" w:ascii="Times New Roman" w:hAnsi="Times New Roman" w:cs="Times New Roman"/>
                <w:color w:val="auto"/>
                <w:kern w:val="2"/>
                <w:sz w:val="21"/>
                <w:szCs w:val="21"/>
                <w:highlight w:val="none"/>
                <w:u w:val="none"/>
                <w:lang w:val="en-US" w:eastAsia="zh-CN"/>
              </w:rPr>
              <w:t>环</w:t>
            </w:r>
            <w:r>
              <w:rPr>
                <w:rFonts w:hint="default" w:ascii="Times New Roman" w:hAnsi="Times New Roman" w:cs="Times New Roman"/>
                <w:color w:val="auto"/>
                <w:kern w:val="2"/>
                <w:sz w:val="21"/>
                <w:szCs w:val="21"/>
                <w:highlight w:val="none"/>
                <w:u w:val="none"/>
              </w:rPr>
              <w:t>节均为密闭流程，有效减少VOCs排放</w:t>
            </w:r>
            <w:r>
              <w:rPr>
                <w:rFonts w:hint="default" w:ascii="Times New Roman" w:hAnsi="Times New Roman" w:cs="Times New Roman"/>
                <w:color w:val="auto"/>
                <w:kern w:val="2"/>
                <w:sz w:val="21"/>
                <w:szCs w:val="21"/>
                <w:highlight w:val="none"/>
                <w:u w:val="none"/>
                <w:lang w:eastAsia="zh-CN"/>
              </w:rPr>
              <w:t>；</w:t>
            </w:r>
            <w:r>
              <w:rPr>
                <w:rFonts w:hint="default" w:ascii="Times New Roman" w:hAnsi="Times New Roman" w:eastAsia="宋体" w:cs="Times New Roman"/>
                <w:color w:val="auto"/>
                <w:kern w:val="2"/>
                <w:sz w:val="21"/>
                <w:szCs w:val="21"/>
                <w:highlight w:val="none"/>
                <w:u w:val="none"/>
                <w:lang w:val="en-US" w:eastAsia="zh-CN"/>
              </w:rPr>
              <w:t>选用质量可靠的设备、仪表、阀门等；定期对井场</w:t>
            </w:r>
            <w:r>
              <w:rPr>
                <w:rFonts w:hint="eastAsia" w:cs="Times New Roman"/>
                <w:color w:val="auto"/>
                <w:kern w:val="2"/>
                <w:sz w:val="21"/>
                <w:szCs w:val="21"/>
                <w:highlight w:val="none"/>
                <w:u w:val="none"/>
                <w:lang w:val="en-US" w:eastAsia="zh-CN"/>
              </w:rPr>
              <w:t>、站场</w:t>
            </w:r>
            <w:r>
              <w:rPr>
                <w:rFonts w:hint="default" w:ascii="Times New Roman" w:hAnsi="Times New Roman" w:eastAsia="宋体" w:cs="Times New Roman"/>
                <w:color w:val="auto"/>
                <w:kern w:val="2"/>
                <w:sz w:val="21"/>
                <w:szCs w:val="21"/>
                <w:highlight w:val="none"/>
                <w:u w:val="none"/>
                <w:lang w:val="en-US" w:eastAsia="zh-CN"/>
              </w:rPr>
              <w:t>的设备、阀门等检查、检修，以防止跑、冒、漏现象的发生</w:t>
            </w:r>
            <w:r>
              <w:rPr>
                <w:rFonts w:hint="eastAsia" w:cs="Times New Roman"/>
                <w:color w:val="auto"/>
                <w:kern w:val="2"/>
                <w:sz w:val="21"/>
                <w:szCs w:val="21"/>
                <w:highlight w:val="none"/>
                <w:u w:val="none"/>
                <w:lang w:val="en-US" w:eastAsia="zh-CN"/>
              </w:rPr>
              <w:t>。</w:t>
            </w:r>
          </w:p>
        </w:tc>
        <w:tc>
          <w:tcPr>
            <w:tcW w:w="476" w:type="pct"/>
            <w:tcBorders>
              <w:tl2br w:val="nil"/>
              <w:tr2bl w:val="nil"/>
            </w:tcBorders>
            <w:noWrap w:val="0"/>
            <w:vAlign w:val="center"/>
          </w:tcPr>
          <w:p w14:paraId="611EB236">
            <w:pPr>
              <w:keepNext w:val="0"/>
              <w:keepLines w:val="0"/>
              <w:pageBreakBefore w:val="0"/>
              <w:widowControl/>
              <w:kinsoku/>
              <w:wordWrap/>
              <w:overflowPunct/>
              <w:topLinePunct w:val="0"/>
              <w:autoSpaceDE/>
              <w:autoSpaceDN/>
              <w:bidi w:val="0"/>
              <w:adjustRightInd/>
              <w:snapToGrid/>
              <w:spacing w:line="370" w:lineRule="exact"/>
              <w:jc w:val="center"/>
              <w:textAlignment w:val="auto"/>
              <w:rPr>
                <w:rFonts w:hint="default" w:ascii="Times New Roman" w:hAnsi="Times New Roman"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rPr>
              <w:t>符合</w:t>
            </w:r>
          </w:p>
        </w:tc>
      </w:tr>
      <w:tr w14:paraId="625E62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25" w:type="pct"/>
            <w:tcBorders>
              <w:tl2br w:val="nil"/>
              <w:tr2bl w:val="nil"/>
            </w:tcBorders>
            <w:noWrap w:val="0"/>
            <w:vAlign w:val="center"/>
          </w:tcPr>
          <w:p w14:paraId="2B0DEE10">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default" w:ascii="Times New Roman" w:hAnsi="Times New Roman" w:cs="Times New Roman"/>
                <w:color w:val="auto"/>
                <w:kern w:val="2"/>
                <w:sz w:val="21"/>
                <w:szCs w:val="21"/>
                <w:highlight w:val="none"/>
                <w:u w:val="none"/>
              </w:rPr>
            </w:pPr>
            <w:r>
              <w:rPr>
                <w:rFonts w:hint="default" w:ascii="Times New Roman" w:hAnsi="Times New Roman" w:cs="Times New Roman"/>
                <w:color w:val="auto"/>
                <w:kern w:val="2"/>
                <w:sz w:val="21"/>
                <w:szCs w:val="21"/>
                <w:highlight w:val="none"/>
                <w:u w:val="none"/>
              </w:rPr>
              <w:t>企业应按照标准要求，根据储存挥发性有机液体的真实蒸气压、储罐容积等进行储罐和浮盘边缘密封方式选型。充分考虑罐体变形或浮盘损坏、储罐附件破损等异常排放情况，鼓励对废气收集引气装置、处理装置设置冗余负荷；储罐排气回收处理后无法稳定达标排放的，应进一步优化治理设施或实施深度治理；鼓励企业对内浮顶罐排气进行收集处理。储罐罐体应保持完好，不应有孔洞、缝隙（除内浮顶罐边缘通气孔外）；除采样、计量、例行检查、维护和其他正常活动外，储罐附件的开口（孔）应保持密闭。</w:t>
            </w:r>
          </w:p>
        </w:tc>
        <w:tc>
          <w:tcPr>
            <w:tcW w:w="1397" w:type="pct"/>
            <w:tcBorders>
              <w:tl2br w:val="nil"/>
              <w:tr2bl w:val="nil"/>
            </w:tcBorders>
            <w:noWrap w:val="0"/>
            <w:vAlign w:val="center"/>
          </w:tcPr>
          <w:p w14:paraId="15727D0B">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default" w:ascii="Times New Roman" w:hAnsi="Times New Roman" w:cs="Times New Roman"/>
                <w:color w:val="auto"/>
                <w:kern w:val="2"/>
                <w:sz w:val="21"/>
                <w:szCs w:val="21"/>
                <w:highlight w:val="none"/>
                <w:u w:val="none"/>
                <w:lang w:eastAsia="zh-CN"/>
              </w:rPr>
            </w:pPr>
            <w:r>
              <w:rPr>
                <w:rFonts w:hint="default" w:ascii="Times New Roman" w:hAnsi="Times New Roman" w:cs="Times New Roman"/>
                <w:color w:val="auto"/>
                <w:kern w:val="2"/>
                <w:sz w:val="21"/>
                <w:szCs w:val="21"/>
                <w:highlight w:val="none"/>
                <w:u w:val="none"/>
                <w:lang w:eastAsia="zh-CN"/>
              </w:rPr>
              <w:t>本工程采用密闭集输工艺，不涉及储罐等。</w:t>
            </w:r>
          </w:p>
        </w:tc>
        <w:tc>
          <w:tcPr>
            <w:tcW w:w="476" w:type="pct"/>
            <w:tcBorders>
              <w:tl2br w:val="nil"/>
              <w:tr2bl w:val="nil"/>
            </w:tcBorders>
            <w:noWrap w:val="0"/>
            <w:vAlign w:val="center"/>
          </w:tcPr>
          <w:p w14:paraId="559F3802">
            <w:pPr>
              <w:keepNext w:val="0"/>
              <w:keepLines w:val="0"/>
              <w:pageBreakBefore w:val="0"/>
              <w:widowControl/>
              <w:kinsoku/>
              <w:wordWrap/>
              <w:overflowPunct/>
              <w:topLinePunct w:val="0"/>
              <w:autoSpaceDE/>
              <w:autoSpaceDN/>
              <w:bidi w:val="0"/>
              <w:adjustRightInd/>
              <w:snapToGrid/>
              <w:spacing w:line="370" w:lineRule="exact"/>
              <w:jc w:val="center"/>
              <w:textAlignment w:val="auto"/>
              <w:rPr>
                <w:rFonts w:hint="default" w:ascii="Times New Roman" w:hAnsi="Times New Roman" w:cs="Times New Roman"/>
                <w:color w:val="auto"/>
                <w:kern w:val="2"/>
                <w:sz w:val="21"/>
                <w:szCs w:val="21"/>
                <w:highlight w:val="none"/>
                <w:u w:val="none"/>
              </w:rPr>
            </w:pPr>
            <w:r>
              <w:rPr>
                <w:rFonts w:hint="default" w:ascii="Times New Roman" w:hAnsi="Times New Roman" w:cs="Times New Roman"/>
                <w:color w:val="auto"/>
                <w:kern w:val="2"/>
                <w:sz w:val="21"/>
                <w:szCs w:val="21"/>
                <w:highlight w:val="none"/>
                <w:u w:val="none"/>
              </w:rPr>
              <w:t>符合</w:t>
            </w:r>
          </w:p>
        </w:tc>
      </w:tr>
    </w:tbl>
    <w:p w14:paraId="36029FC2">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10 </w:t>
      </w:r>
      <w:r>
        <w:rPr>
          <w:rFonts w:hint="default" w:ascii="黑体" w:hAnsi="黑体" w:eastAsia="黑体" w:cs="黑体"/>
          <w:b/>
          <w:color w:val="auto"/>
          <w:kern w:val="0"/>
          <w:sz w:val="24"/>
          <w:szCs w:val="24"/>
          <w:highlight w:val="none"/>
          <w:u w:val="none"/>
          <w:lang w:val="en-US" w:eastAsia="zh-CN"/>
        </w:rPr>
        <w:t>与《关于规范临时用地管理的通知》符合性分析</w:t>
      </w:r>
    </w:p>
    <w:p w14:paraId="760DE4E4">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napToGrid w:val="0"/>
          <w:color w:val="auto"/>
          <w:kern w:val="0"/>
          <w:sz w:val="24"/>
          <w:szCs w:val="24"/>
          <w:highlight w:val="none"/>
          <w:u w:val="none"/>
          <w:lang w:val="en-US" w:eastAsia="zh-CN" w:bidi="ar-SA"/>
        </w:rPr>
      </w:pPr>
      <w:r>
        <w:rPr>
          <w:rFonts w:hint="default" w:ascii="宋体" w:hAnsi="宋体" w:eastAsia="宋体" w:cs="宋体"/>
          <w:snapToGrid w:val="0"/>
          <w:color w:val="auto"/>
          <w:kern w:val="0"/>
          <w:sz w:val="24"/>
          <w:szCs w:val="24"/>
          <w:highlight w:val="none"/>
          <w:u w:val="none"/>
          <w:lang w:val="en-US" w:eastAsia="zh-CN" w:bidi="ar-SA"/>
        </w:rPr>
        <w:t>本工程与《关于规范临时用地管理的通知》符合性分析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见表3.</w:t>
      </w:r>
      <w:r>
        <w:rPr>
          <w:rFonts w:hint="eastAsia" w:ascii="宋体" w:hAnsi="宋体" w:cs="宋体"/>
          <w:snapToGrid w:val="0"/>
          <w:color w:val="auto"/>
          <w:kern w:val="0"/>
          <w:sz w:val="24"/>
          <w:szCs w:val="24"/>
          <w:highlight w:val="none"/>
          <w:u w:val="none"/>
          <w:lang w:val="en-US" w:eastAsia="zh-CN" w:bidi="ar-SA"/>
        </w:rPr>
        <w:t>5</w:t>
      </w:r>
      <w:r>
        <w:rPr>
          <w:rFonts w:hint="default" w:ascii="宋体" w:hAnsi="宋体" w:eastAsia="宋体" w:cs="宋体"/>
          <w:snapToGrid w:val="0"/>
          <w:color w:val="auto"/>
          <w:kern w:val="0"/>
          <w:sz w:val="24"/>
          <w:szCs w:val="24"/>
          <w:highlight w:val="none"/>
          <w:u w:val="none"/>
          <w:lang w:val="en-US" w:eastAsia="zh-CN" w:bidi="ar-SA"/>
        </w:rPr>
        <w:t>-</w:t>
      </w:r>
      <w:r>
        <w:rPr>
          <w:rFonts w:hint="eastAsia" w:ascii="宋体" w:hAnsi="宋体" w:cs="宋体"/>
          <w:snapToGrid w:val="0"/>
          <w:color w:val="auto"/>
          <w:kern w:val="0"/>
          <w:sz w:val="24"/>
          <w:szCs w:val="24"/>
          <w:highlight w:val="none"/>
          <w:u w:val="none"/>
          <w:lang w:val="en-US" w:eastAsia="zh-CN" w:bidi="ar-SA"/>
        </w:rPr>
        <w:t>8</w:t>
      </w:r>
      <w:r>
        <w:rPr>
          <w:rFonts w:hint="default" w:ascii="宋体" w:hAnsi="宋体" w:eastAsia="宋体" w:cs="宋体"/>
          <w:snapToGrid w:val="0"/>
          <w:color w:val="auto"/>
          <w:kern w:val="0"/>
          <w:sz w:val="24"/>
          <w:szCs w:val="24"/>
          <w:highlight w:val="none"/>
          <w:u w:val="none"/>
          <w:lang w:val="en-US" w:eastAsia="zh-CN" w:bidi="ar-SA"/>
        </w:rPr>
        <w:t>。</w:t>
      </w:r>
    </w:p>
    <w:p w14:paraId="0FB9C4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8  </w:t>
      </w:r>
      <w:r>
        <w:rPr>
          <w:rFonts w:hint="default" w:ascii="黑体" w:hAnsi="黑体" w:eastAsia="黑体" w:cs="黑体"/>
          <w:b w:val="0"/>
          <w:bCs/>
          <w:color w:val="auto"/>
          <w:kern w:val="2"/>
          <w:sz w:val="24"/>
          <w:szCs w:val="24"/>
          <w:u w:val="none"/>
          <w:lang w:val="en-US" w:eastAsia="zh-CN" w:bidi="ar-SA"/>
        </w:rPr>
        <w:t>与《关于规范临时用地管理的通知》符合性</w:t>
      </w:r>
    </w:p>
    <w:tbl>
      <w:tblPr>
        <w:tblStyle w:val="37"/>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86"/>
        <w:gridCol w:w="4665"/>
        <w:gridCol w:w="2723"/>
        <w:gridCol w:w="758"/>
      </w:tblGrid>
      <w:tr w14:paraId="130D1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028" w:type="pct"/>
            <w:gridSpan w:val="2"/>
            <w:tcBorders>
              <w:tl2br w:val="nil"/>
              <w:tr2bl w:val="nil"/>
            </w:tcBorders>
            <w:noWrap w:val="0"/>
            <w:vAlign w:val="center"/>
          </w:tcPr>
          <w:p w14:paraId="0090193A">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left"/>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《关于规范临时用地管理的通知》（自然资规〔2021〕2号）相关要求</w:t>
            </w:r>
          </w:p>
        </w:tc>
        <w:tc>
          <w:tcPr>
            <w:tcW w:w="1541" w:type="pct"/>
            <w:tcBorders>
              <w:tl2br w:val="nil"/>
              <w:tr2bl w:val="nil"/>
            </w:tcBorders>
            <w:noWrap w:val="0"/>
            <w:vAlign w:val="center"/>
          </w:tcPr>
          <w:p w14:paraId="0DA1C14E">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center"/>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本工程情况</w:t>
            </w:r>
          </w:p>
        </w:tc>
        <w:tc>
          <w:tcPr>
            <w:tcW w:w="429" w:type="pct"/>
            <w:tcBorders>
              <w:tl2br w:val="nil"/>
              <w:tr2bl w:val="nil"/>
            </w:tcBorders>
            <w:noWrap w:val="0"/>
            <w:vAlign w:val="center"/>
          </w:tcPr>
          <w:p w14:paraId="5B073F14">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center"/>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pacing w:val="-23"/>
                <w:kern w:val="2"/>
                <w:sz w:val="21"/>
                <w:szCs w:val="21"/>
                <w:highlight w:val="none"/>
                <w:u w:val="none"/>
                <w:lang w:val="en-US" w:eastAsia="zh-CN" w:bidi="ar-SA"/>
              </w:rPr>
              <w:t>符合性</w:t>
            </w:r>
          </w:p>
        </w:tc>
      </w:tr>
      <w:tr w14:paraId="34F63B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8" w:type="pct"/>
            <w:vMerge w:val="restart"/>
            <w:tcBorders>
              <w:tl2br w:val="nil"/>
              <w:tr2bl w:val="nil"/>
            </w:tcBorders>
            <w:noWrap w:val="0"/>
            <w:vAlign w:val="center"/>
          </w:tcPr>
          <w:p w14:paraId="74ED37EA">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临时用地选址要求和使用期限</w:t>
            </w:r>
          </w:p>
          <w:p w14:paraId="332F9A81">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p>
        </w:tc>
        <w:tc>
          <w:tcPr>
            <w:tcW w:w="2640" w:type="pct"/>
            <w:tcBorders>
              <w:tl2br w:val="nil"/>
              <w:tr2bl w:val="nil"/>
            </w:tcBorders>
            <w:noWrap w:val="0"/>
            <w:vAlign w:val="center"/>
          </w:tcPr>
          <w:p w14:paraId="338827AF">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建设项目施工、地质勘查使用临时用地时应坚持“用多少、批多少、占多少、恢复多少”，尽量不占或者少占耕地。</w:t>
            </w:r>
          </w:p>
        </w:tc>
        <w:tc>
          <w:tcPr>
            <w:tcW w:w="1541" w:type="pct"/>
            <w:tcBorders>
              <w:tl2br w:val="nil"/>
              <w:tr2bl w:val="nil"/>
            </w:tcBorders>
            <w:noWrap w:val="0"/>
            <w:vAlign w:val="center"/>
          </w:tcPr>
          <w:p w14:paraId="4547CEA6">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pacing w:val="-6"/>
                <w:kern w:val="2"/>
                <w:sz w:val="21"/>
                <w:szCs w:val="21"/>
                <w:highlight w:val="none"/>
                <w:u w:val="none"/>
                <w:lang w:val="en-US" w:eastAsia="zh-CN" w:bidi="ar-SA"/>
              </w:rPr>
              <w:t>本工程占地类型为沙地。工程施工前应办理征地手续，并在施工结束后对占用的临时用地全部进行恢复。</w:t>
            </w:r>
          </w:p>
        </w:tc>
        <w:tc>
          <w:tcPr>
            <w:tcW w:w="429" w:type="pct"/>
            <w:tcBorders>
              <w:tl2br w:val="nil"/>
              <w:tr2bl w:val="nil"/>
            </w:tcBorders>
            <w:noWrap w:val="0"/>
            <w:vAlign w:val="center"/>
          </w:tcPr>
          <w:p w14:paraId="7CA6D33D">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center"/>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符合</w:t>
            </w:r>
          </w:p>
        </w:tc>
      </w:tr>
      <w:tr w14:paraId="1132BC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8" w:type="pct"/>
            <w:vMerge w:val="continue"/>
            <w:tcBorders>
              <w:tl2br w:val="nil"/>
              <w:tr2bl w:val="nil"/>
            </w:tcBorders>
            <w:noWrap w:val="0"/>
            <w:vAlign w:val="center"/>
          </w:tcPr>
          <w:p w14:paraId="00B878E2">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p>
        </w:tc>
        <w:tc>
          <w:tcPr>
            <w:tcW w:w="2640" w:type="pct"/>
            <w:tcBorders>
              <w:tl2br w:val="nil"/>
              <w:tr2bl w:val="nil"/>
            </w:tcBorders>
            <w:noWrap w:val="0"/>
            <w:vAlign w:val="center"/>
          </w:tcPr>
          <w:p w14:paraId="62815278">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临时用地确需占用永久基本农田的，必须能够恢复原种植条件，并符合《自然资源部 农业农村部关于加强和改进永久基本农田保护工作的通知》（自然资规〔2019〕1号）中申请条件、土壤剥离、复垦验收等有关规定。</w:t>
            </w:r>
          </w:p>
        </w:tc>
        <w:tc>
          <w:tcPr>
            <w:tcW w:w="1541" w:type="pct"/>
            <w:tcBorders>
              <w:tl2br w:val="nil"/>
              <w:tr2bl w:val="nil"/>
            </w:tcBorders>
            <w:noWrap w:val="0"/>
            <w:vAlign w:val="center"/>
          </w:tcPr>
          <w:p w14:paraId="261D48E5">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本工程占地类型为沙地，不占用基本农田。</w:t>
            </w:r>
          </w:p>
        </w:tc>
        <w:tc>
          <w:tcPr>
            <w:tcW w:w="429" w:type="pct"/>
            <w:tcBorders>
              <w:tl2br w:val="nil"/>
              <w:tr2bl w:val="nil"/>
            </w:tcBorders>
            <w:noWrap w:val="0"/>
            <w:vAlign w:val="center"/>
          </w:tcPr>
          <w:p w14:paraId="7F8AAB69">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center"/>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符合</w:t>
            </w:r>
          </w:p>
        </w:tc>
      </w:tr>
      <w:tr w14:paraId="3EEEB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8" w:type="pct"/>
            <w:vMerge w:val="continue"/>
            <w:tcBorders>
              <w:tl2br w:val="nil"/>
              <w:tr2bl w:val="nil"/>
            </w:tcBorders>
            <w:noWrap w:val="0"/>
            <w:vAlign w:val="center"/>
          </w:tcPr>
          <w:p w14:paraId="34C36E9C">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p>
        </w:tc>
        <w:tc>
          <w:tcPr>
            <w:tcW w:w="2640" w:type="pct"/>
            <w:tcBorders>
              <w:tl2br w:val="nil"/>
              <w:tr2bl w:val="nil"/>
            </w:tcBorders>
            <w:noWrap w:val="0"/>
            <w:vAlign w:val="center"/>
          </w:tcPr>
          <w:p w14:paraId="4A8DD621">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临时用地使用期限一般不超过两年。建设周期较长的能源、交通、水利等基础设施建设项目施工使用的临时用地，期限不超过四年。临时用地使用期限，从批准之日起算。</w:t>
            </w:r>
          </w:p>
        </w:tc>
        <w:tc>
          <w:tcPr>
            <w:tcW w:w="1541" w:type="pct"/>
            <w:tcBorders>
              <w:tl2br w:val="nil"/>
              <w:tr2bl w:val="nil"/>
            </w:tcBorders>
            <w:noWrap w:val="0"/>
            <w:vAlign w:val="center"/>
          </w:tcPr>
          <w:p w14:paraId="450E1BD7">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临时用地使用期限为两年。</w:t>
            </w:r>
          </w:p>
        </w:tc>
        <w:tc>
          <w:tcPr>
            <w:tcW w:w="429" w:type="pct"/>
            <w:tcBorders>
              <w:tl2br w:val="nil"/>
              <w:tr2bl w:val="nil"/>
            </w:tcBorders>
            <w:noWrap w:val="0"/>
            <w:vAlign w:val="center"/>
          </w:tcPr>
          <w:p w14:paraId="39F42507">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center"/>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符合</w:t>
            </w:r>
          </w:p>
        </w:tc>
      </w:tr>
      <w:tr w14:paraId="741444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8" w:type="pct"/>
            <w:tcBorders>
              <w:tl2br w:val="nil"/>
              <w:tr2bl w:val="nil"/>
            </w:tcBorders>
            <w:noWrap w:val="0"/>
            <w:vAlign w:val="center"/>
          </w:tcPr>
          <w:p w14:paraId="3BF15C16">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规范临时用地审批</w:t>
            </w:r>
          </w:p>
        </w:tc>
        <w:tc>
          <w:tcPr>
            <w:tcW w:w="2640" w:type="pct"/>
            <w:tcBorders>
              <w:tl2br w:val="nil"/>
              <w:tr2bl w:val="nil"/>
            </w:tcBorders>
            <w:noWrap w:val="0"/>
            <w:vAlign w:val="center"/>
          </w:tcPr>
          <w:p w14:paraId="350EB3C4">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油气资源探采合一开发涉及的钻井及配套设施建设用地，可先以临时用地方式批准使用，勘探结束转入生产使用的，办理建设用地审批手续；不转入生产的，油气企业应当完成土地复垦，按期归还。</w:t>
            </w:r>
          </w:p>
        </w:tc>
        <w:tc>
          <w:tcPr>
            <w:tcW w:w="1541" w:type="pct"/>
            <w:tcBorders>
              <w:tl2br w:val="nil"/>
              <w:tr2bl w:val="nil"/>
            </w:tcBorders>
            <w:noWrap w:val="0"/>
            <w:vAlign w:val="center"/>
          </w:tcPr>
          <w:p w14:paraId="20278831">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本工程在施工前先办理临时用地手续，待临时用地期限到期前，办理建设用地审批手续。对于未转入生产的，应当完成土地复垦。</w:t>
            </w:r>
          </w:p>
        </w:tc>
        <w:tc>
          <w:tcPr>
            <w:tcW w:w="429" w:type="pct"/>
            <w:tcBorders>
              <w:tl2br w:val="nil"/>
              <w:tr2bl w:val="nil"/>
            </w:tcBorders>
            <w:noWrap w:val="0"/>
            <w:vAlign w:val="center"/>
          </w:tcPr>
          <w:p w14:paraId="16C4FFAF">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center"/>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符合</w:t>
            </w:r>
          </w:p>
        </w:tc>
      </w:tr>
      <w:tr w14:paraId="42DC2E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8" w:type="pct"/>
            <w:vMerge w:val="restart"/>
            <w:tcBorders>
              <w:tl2br w:val="nil"/>
              <w:tr2bl w:val="nil"/>
            </w:tcBorders>
            <w:noWrap w:val="0"/>
            <w:vAlign w:val="center"/>
          </w:tcPr>
          <w:p w14:paraId="36486391">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落实临时用地恢复责任</w:t>
            </w:r>
          </w:p>
        </w:tc>
        <w:tc>
          <w:tcPr>
            <w:tcW w:w="2640" w:type="pct"/>
            <w:tcBorders>
              <w:tl2br w:val="nil"/>
              <w:tr2bl w:val="nil"/>
            </w:tcBorders>
            <w:noWrap w:val="0"/>
            <w:vAlign w:val="center"/>
          </w:tcPr>
          <w:p w14:paraId="6ADA4A43">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tc>
        <w:tc>
          <w:tcPr>
            <w:tcW w:w="1541" w:type="pct"/>
            <w:vMerge w:val="restart"/>
            <w:tcBorders>
              <w:tl2br w:val="nil"/>
              <w:tr2bl w:val="nil"/>
            </w:tcBorders>
            <w:noWrap w:val="0"/>
            <w:vAlign w:val="center"/>
          </w:tcPr>
          <w:p w14:paraId="63559C5A">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建设单位不得对批准的临时用地进行转让、出租、抵押。</w:t>
            </w:r>
          </w:p>
          <w:p w14:paraId="5AF65549">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本工程不占用农用地，施工结束后对临时用地内的建筑物进行拆除，恢复；后期对未投入产生的进行恢复复垦。</w:t>
            </w:r>
          </w:p>
        </w:tc>
        <w:tc>
          <w:tcPr>
            <w:tcW w:w="429" w:type="pct"/>
            <w:vMerge w:val="restart"/>
            <w:tcBorders>
              <w:tl2br w:val="nil"/>
              <w:tr2bl w:val="nil"/>
            </w:tcBorders>
            <w:noWrap w:val="0"/>
            <w:vAlign w:val="center"/>
          </w:tcPr>
          <w:p w14:paraId="7C64B4A5">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center"/>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符合</w:t>
            </w:r>
          </w:p>
        </w:tc>
      </w:tr>
      <w:tr w14:paraId="60CC5D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8" w:type="pct"/>
            <w:vMerge w:val="continue"/>
            <w:tcBorders>
              <w:tl2br w:val="nil"/>
              <w:tr2bl w:val="nil"/>
            </w:tcBorders>
            <w:noWrap w:val="0"/>
            <w:vAlign w:val="center"/>
          </w:tcPr>
          <w:p w14:paraId="6067CC1C">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p>
        </w:tc>
        <w:tc>
          <w:tcPr>
            <w:tcW w:w="2640" w:type="pct"/>
            <w:tcBorders>
              <w:tl2br w:val="nil"/>
              <w:tr2bl w:val="nil"/>
            </w:tcBorders>
            <w:noWrap w:val="0"/>
            <w:vAlign w:val="center"/>
          </w:tcPr>
          <w:p w14:paraId="6781551D">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1541" w:type="pct"/>
            <w:vMerge w:val="continue"/>
            <w:tcBorders>
              <w:tl2br w:val="nil"/>
              <w:tr2bl w:val="nil"/>
            </w:tcBorders>
            <w:noWrap w:val="0"/>
            <w:vAlign w:val="center"/>
          </w:tcPr>
          <w:p w14:paraId="759D1F56">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p>
        </w:tc>
        <w:tc>
          <w:tcPr>
            <w:tcW w:w="429" w:type="pct"/>
            <w:vMerge w:val="continue"/>
            <w:tcBorders>
              <w:tl2br w:val="nil"/>
              <w:tr2bl w:val="nil"/>
            </w:tcBorders>
            <w:noWrap w:val="0"/>
            <w:vAlign w:val="center"/>
          </w:tcPr>
          <w:p w14:paraId="30F139DA">
            <w:pPr>
              <w:keepNext w:val="0"/>
              <w:keepLines w:val="0"/>
              <w:pageBreakBefore w:val="0"/>
              <w:widowControl w:val="0"/>
              <w:kinsoku/>
              <w:wordWrap/>
              <w:overflowPunct/>
              <w:topLinePunct w:val="0"/>
              <w:autoSpaceDE/>
              <w:autoSpaceDN/>
              <w:bidi w:val="0"/>
              <w:adjustRightInd w:val="0"/>
              <w:snapToGrid/>
              <w:spacing w:line="390" w:lineRule="exact"/>
              <w:ind w:left="0" w:leftChars="0" w:right="0" w:rightChars="0"/>
              <w:jc w:val="both"/>
              <w:textAlignment w:val="baseline"/>
              <w:rPr>
                <w:rFonts w:hint="eastAsia" w:ascii="宋体" w:hAnsi="宋体" w:eastAsia="宋体" w:cs="宋体"/>
                <w:color w:val="auto"/>
                <w:kern w:val="2"/>
                <w:sz w:val="21"/>
                <w:szCs w:val="21"/>
                <w:highlight w:val="none"/>
                <w:u w:val="none"/>
                <w:lang w:val="en-US" w:eastAsia="zh-CN" w:bidi="ar-SA"/>
              </w:rPr>
            </w:pPr>
          </w:p>
        </w:tc>
      </w:tr>
    </w:tbl>
    <w:p w14:paraId="2E25233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1 </w:t>
      </w:r>
      <w:r>
        <w:rPr>
          <w:rFonts w:hint="default" w:ascii="黑体" w:hAnsi="黑体" w:eastAsia="黑体" w:cs="黑体"/>
          <w:b/>
          <w:color w:val="auto"/>
          <w:kern w:val="0"/>
          <w:sz w:val="24"/>
          <w:szCs w:val="24"/>
          <w:highlight w:val="none"/>
          <w:u w:val="none"/>
          <w:lang w:val="en-US" w:eastAsia="zh-CN"/>
        </w:rPr>
        <w:t>与《关于加强沙区建设项目环境影响评价工作的通知》符合性分析</w:t>
      </w:r>
    </w:p>
    <w:p w14:paraId="4AC9F1C2">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napToGrid w:val="0"/>
          <w:color w:val="auto"/>
          <w:kern w:val="0"/>
          <w:sz w:val="24"/>
          <w:szCs w:val="24"/>
          <w:highlight w:val="none"/>
          <w:u w:val="none"/>
          <w:lang w:val="en-US" w:eastAsia="zh-CN" w:bidi="ar-SA"/>
        </w:rPr>
      </w:pPr>
      <w:r>
        <w:rPr>
          <w:rFonts w:hint="default" w:ascii="宋体" w:hAnsi="宋体" w:eastAsia="宋体" w:cs="宋体"/>
          <w:snapToGrid w:val="0"/>
          <w:color w:val="auto"/>
          <w:kern w:val="0"/>
          <w:sz w:val="24"/>
          <w:szCs w:val="24"/>
          <w:highlight w:val="none"/>
          <w:u w:val="none"/>
          <w:lang w:val="en-US" w:eastAsia="zh-CN" w:bidi="ar-SA"/>
        </w:rPr>
        <w:t>本工程与《关于建设项目主要污染物排放总量指标审核及管理暂行办法的通知》符合性分析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见表3.</w:t>
      </w:r>
      <w:r>
        <w:rPr>
          <w:rFonts w:hint="eastAsia" w:ascii="宋体" w:hAnsi="宋体" w:cs="宋体"/>
          <w:snapToGrid w:val="0"/>
          <w:color w:val="auto"/>
          <w:kern w:val="0"/>
          <w:sz w:val="24"/>
          <w:szCs w:val="24"/>
          <w:highlight w:val="none"/>
          <w:u w:val="none"/>
          <w:lang w:val="en-US" w:eastAsia="zh-CN" w:bidi="ar-SA"/>
        </w:rPr>
        <w:t>5</w:t>
      </w:r>
      <w:r>
        <w:rPr>
          <w:rFonts w:hint="eastAsia" w:ascii="宋体" w:hAnsi="宋体" w:eastAsia="宋体" w:cs="宋体"/>
          <w:snapToGrid w:val="0"/>
          <w:color w:val="auto"/>
          <w:kern w:val="0"/>
          <w:sz w:val="24"/>
          <w:szCs w:val="24"/>
          <w:highlight w:val="none"/>
          <w:u w:val="none"/>
          <w:lang w:val="en-US" w:eastAsia="zh-CN" w:bidi="ar-SA"/>
        </w:rPr>
        <w:t>-</w:t>
      </w:r>
      <w:r>
        <w:rPr>
          <w:rFonts w:hint="eastAsia" w:ascii="宋体" w:hAnsi="宋体" w:cs="宋体"/>
          <w:snapToGrid w:val="0"/>
          <w:color w:val="auto"/>
          <w:kern w:val="0"/>
          <w:sz w:val="24"/>
          <w:szCs w:val="24"/>
          <w:highlight w:val="none"/>
          <w:u w:val="none"/>
          <w:lang w:val="en-US" w:eastAsia="zh-CN" w:bidi="ar-SA"/>
        </w:rPr>
        <w:t>9</w:t>
      </w:r>
      <w:r>
        <w:rPr>
          <w:rFonts w:hint="default" w:ascii="宋体" w:hAnsi="宋体" w:eastAsia="宋体" w:cs="宋体"/>
          <w:snapToGrid w:val="0"/>
          <w:color w:val="auto"/>
          <w:kern w:val="0"/>
          <w:sz w:val="24"/>
          <w:szCs w:val="24"/>
          <w:highlight w:val="none"/>
          <w:u w:val="none"/>
          <w:lang w:val="en-US" w:eastAsia="zh-CN" w:bidi="ar-SA"/>
        </w:rPr>
        <w:t>。</w:t>
      </w:r>
    </w:p>
    <w:p w14:paraId="22A5B1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color w:val="auto"/>
          <w:kern w:val="0"/>
          <w:sz w:val="21"/>
          <w:szCs w:val="21"/>
          <w:highlight w:val="none"/>
          <w:u w:val="none"/>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 xml:space="preserve">5-9  </w:t>
      </w:r>
      <w:r>
        <w:rPr>
          <w:rFonts w:hint="default" w:ascii="黑体" w:hAnsi="黑体" w:eastAsia="黑体" w:cs="黑体"/>
          <w:b w:val="0"/>
          <w:bCs/>
          <w:color w:val="auto"/>
          <w:kern w:val="2"/>
          <w:sz w:val="24"/>
          <w:szCs w:val="24"/>
          <w:u w:val="none"/>
          <w:lang w:val="en-US" w:eastAsia="zh-CN" w:bidi="ar-SA"/>
        </w:rPr>
        <w:t>与《关于加强沙区建设项目环境影响评价工作的通知》符合性</w:t>
      </w:r>
    </w:p>
    <w:tbl>
      <w:tblPr>
        <w:tblStyle w:val="37"/>
        <w:tblW w:w="501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661"/>
        <w:gridCol w:w="3184"/>
        <w:gridCol w:w="820"/>
      </w:tblGrid>
      <w:tr w14:paraId="6E1BB4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689" w:type="pct"/>
            <w:tcBorders>
              <w:tl2br w:val="nil"/>
              <w:tr2bl w:val="nil"/>
            </w:tcBorders>
            <w:noWrap w:val="0"/>
            <w:vAlign w:val="center"/>
          </w:tcPr>
          <w:p w14:paraId="0247F39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要求</w:t>
            </w:r>
          </w:p>
        </w:tc>
        <w:tc>
          <w:tcPr>
            <w:tcW w:w="1837" w:type="pct"/>
            <w:tcBorders>
              <w:tl2br w:val="nil"/>
              <w:tr2bl w:val="nil"/>
            </w:tcBorders>
            <w:noWrap w:val="0"/>
            <w:vAlign w:val="center"/>
          </w:tcPr>
          <w:p w14:paraId="4F70AA6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项目情况</w:t>
            </w:r>
          </w:p>
        </w:tc>
        <w:tc>
          <w:tcPr>
            <w:tcW w:w="473" w:type="pct"/>
            <w:tcBorders>
              <w:tl2br w:val="nil"/>
              <w:tr2bl w:val="nil"/>
            </w:tcBorders>
            <w:noWrap w:val="0"/>
            <w:vAlign w:val="center"/>
          </w:tcPr>
          <w:p w14:paraId="4D07FF7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符合性</w:t>
            </w:r>
          </w:p>
        </w:tc>
      </w:tr>
      <w:tr w14:paraId="467797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07" w:hRule="atLeast"/>
          <w:jc w:val="center"/>
        </w:trPr>
        <w:tc>
          <w:tcPr>
            <w:tcW w:w="2689" w:type="pct"/>
            <w:tcBorders>
              <w:tl2br w:val="nil"/>
              <w:tr2bl w:val="nil"/>
            </w:tcBorders>
            <w:noWrap w:val="0"/>
            <w:vAlign w:val="center"/>
          </w:tcPr>
          <w:p w14:paraId="64C4D97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2"/>
                <w:sz w:val="21"/>
                <w:szCs w:val="21"/>
                <w:highlight w:val="none"/>
                <w:u w:val="none"/>
                <w:lang w:val="en-US" w:eastAsia="zh-CN" w:bidi="ar-SA"/>
              </w:rPr>
              <w:t>对于受理的涉及沙区的建设项目环评文件，严格按照《环境影响评价技术导则 生态影响》（HJ19-2011）要求，强化建设项目的环境可行性、环境影响分析预测评估的可靠性和防沙治沙生态环境保护措施的可行性、有效性评估。</w:t>
            </w:r>
          </w:p>
        </w:tc>
        <w:tc>
          <w:tcPr>
            <w:tcW w:w="1837" w:type="pct"/>
            <w:tcBorders>
              <w:tl2br w:val="nil"/>
              <w:tr2bl w:val="nil"/>
            </w:tcBorders>
            <w:noWrap w:val="0"/>
            <w:vAlign w:val="center"/>
          </w:tcPr>
          <w:p w14:paraId="24FFB44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2"/>
                <w:sz w:val="21"/>
                <w:szCs w:val="21"/>
                <w:highlight w:val="none"/>
                <w:u w:val="none"/>
                <w:lang w:val="en-US" w:eastAsia="zh-CN" w:bidi="ar-SA"/>
              </w:rPr>
              <w:t>本工程位于准噶尔盆地腹部古尔班通古特沙漠腹地，本次环评分析了项目实施过程中对周边沙化土地的影响，并提出了有效可行的防沙治沙措施。</w:t>
            </w:r>
          </w:p>
        </w:tc>
        <w:tc>
          <w:tcPr>
            <w:tcW w:w="473" w:type="pct"/>
            <w:tcBorders>
              <w:tl2br w:val="nil"/>
              <w:tr2bl w:val="nil"/>
            </w:tcBorders>
            <w:noWrap w:val="0"/>
            <w:vAlign w:val="center"/>
          </w:tcPr>
          <w:p w14:paraId="1D3FE7A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2"/>
                <w:sz w:val="21"/>
                <w:szCs w:val="21"/>
                <w:highlight w:val="none"/>
                <w:u w:val="none"/>
              </w:rPr>
              <w:t>符合</w:t>
            </w:r>
          </w:p>
        </w:tc>
      </w:tr>
    </w:tbl>
    <w:p w14:paraId="407D1DD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331" w:name="_Toc26676"/>
      <w:bookmarkStart w:id="332" w:name="_Toc4217"/>
      <w:bookmarkStart w:id="333" w:name="_Toc9275"/>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12 </w:t>
      </w:r>
      <w:r>
        <w:rPr>
          <w:rFonts w:hint="default" w:ascii="黑体" w:hAnsi="黑体" w:eastAsia="黑体" w:cs="黑体"/>
          <w:b/>
          <w:color w:val="auto"/>
          <w:kern w:val="0"/>
          <w:sz w:val="24"/>
          <w:szCs w:val="24"/>
          <w:highlight w:val="none"/>
          <w:u w:val="none"/>
          <w:lang w:val="en-US" w:eastAsia="zh-CN"/>
        </w:rPr>
        <w:t>与《危险废物环境管理指南 陆上石油天然气开采》符合性分析</w:t>
      </w:r>
    </w:p>
    <w:p w14:paraId="7DFF9E25">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napToGrid w:val="0"/>
          <w:color w:val="auto"/>
          <w:kern w:val="0"/>
          <w:sz w:val="24"/>
          <w:szCs w:val="24"/>
          <w:highlight w:val="none"/>
          <w:u w:val="none"/>
          <w:lang w:val="en-US" w:eastAsia="zh-CN" w:bidi="ar-SA"/>
        </w:rPr>
      </w:pPr>
      <w:r>
        <w:rPr>
          <w:rFonts w:hint="default" w:ascii="宋体" w:hAnsi="宋体" w:eastAsia="宋体" w:cs="宋体"/>
          <w:snapToGrid w:val="0"/>
          <w:color w:val="auto"/>
          <w:kern w:val="0"/>
          <w:sz w:val="24"/>
          <w:szCs w:val="24"/>
          <w:highlight w:val="none"/>
          <w:u w:val="none"/>
          <w:lang w:val="en-US" w:eastAsia="zh-CN" w:bidi="ar-SA"/>
        </w:rPr>
        <w:t>本</w:t>
      </w:r>
      <w:r>
        <w:rPr>
          <w:rFonts w:hint="eastAsia" w:ascii="宋体" w:hAnsi="宋体" w:eastAsia="宋体" w:cs="宋体"/>
          <w:snapToGrid w:val="0"/>
          <w:color w:val="auto"/>
          <w:kern w:val="0"/>
          <w:sz w:val="24"/>
          <w:szCs w:val="24"/>
          <w:highlight w:val="none"/>
          <w:u w:val="none"/>
          <w:lang w:val="en-US" w:eastAsia="zh-CN" w:bidi="ar-SA"/>
        </w:rPr>
        <w:t>工程</w:t>
      </w:r>
      <w:r>
        <w:rPr>
          <w:rFonts w:hint="default" w:ascii="宋体" w:hAnsi="宋体" w:eastAsia="宋体" w:cs="宋体"/>
          <w:snapToGrid w:val="0"/>
          <w:color w:val="auto"/>
          <w:kern w:val="0"/>
          <w:sz w:val="24"/>
          <w:szCs w:val="24"/>
          <w:highlight w:val="none"/>
          <w:u w:val="none"/>
          <w:lang w:val="en-US" w:eastAsia="zh-CN" w:bidi="ar-SA"/>
        </w:rPr>
        <w:t>与《危险废物环境管理指南 陆上石油天然气开采》（</w:t>
      </w:r>
      <w:r>
        <w:rPr>
          <w:rFonts w:hint="eastAsia" w:ascii="宋体" w:hAnsi="宋体" w:eastAsia="宋体" w:cs="宋体"/>
          <w:snapToGrid w:val="0"/>
          <w:color w:val="auto"/>
          <w:kern w:val="0"/>
          <w:sz w:val="24"/>
          <w:szCs w:val="24"/>
          <w:highlight w:val="none"/>
          <w:u w:val="none"/>
          <w:lang w:val="en-US" w:eastAsia="zh-CN" w:bidi="ar-SA"/>
        </w:rPr>
        <w:t>生态环境部公告2021年第74号</w:t>
      </w:r>
      <w:r>
        <w:rPr>
          <w:rFonts w:hint="default" w:ascii="宋体" w:hAnsi="宋体" w:eastAsia="宋体" w:cs="宋体"/>
          <w:snapToGrid w:val="0"/>
          <w:color w:val="auto"/>
          <w:kern w:val="0"/>
          <w:sz w:val="24"/>
          <w:szCs w:val="24"/>
          <w:highlight w:val="none"/>
          <w:u w:val="none"/>
          <w:lang w:val="en-US" w:eastAsia="zh-CN" w:bidi="ar-SA"/>
        </w:rPr>
        <w:t>）符合性分析</w:t>
      </w:r>
      <w:r>
        <w:rPr>
          <w:rFonts w:hint="eastAsia" w:ascii="宋体" w:hAnsi="宋体" w:eastAsia="宋体" w:cs="宋体"/>
          <w:snapToGrid w:val="0"/>
          <w:color w:val="auto"/>
          <w:kern w:val="0"/>
          <w:sz w:val="24"/>
          <w:szCs w:val="24"/>
          <w:highlight w:val="none"/>
          <w:u w:val="none"/>
          <w:lang w:val="en-US" w:eastAsia="zh-CN" w:bidi="ar-SA"/>
        </w:rPr>
        <w:t>，</w:t>
      </w:r>
      <w:r>
        <w:rPr>
          <w:rFonts w:hint="default" w:ascii="宋体" w:hAnsi="宋体" w:eastAsia="宋体" w:cs="宋体"/>
          <w:snapToGrid w:val="0"/>
          <w:color w:val="auto"/>
          <w:kern w:val="0"/>
          <w:sz w:val="24"/>
          <w:szCs w:val="24"/>
          <w:highlight w:val="none"/>
          <w:u w:val="none"/>
          <w:lang w:val="en-US" w:eastAsia="zh-CN" w:bidi="ar-SA"/>
        </w:rPr>
        <w:t>见表3</w:t>
      </w:r>
      <w:r>
        <w:rPr>
          <w:rFonts w:hint="eastAsia" w:ascii="宋体" w:hAnsi="宋体" w:eastAsia="宋体" w:cs="宋体"/>
          <w:snapToGrid w:val="0"/>
          <w:color w:val="auto"/>
          <w:kern w:val="0"/>
          <w:sz w:val="24"/>
          <w:szCs w:val="24"/>
          <w:highlight w:val="none"/>
          <w:u w:val="none"/>
          <w:lang w:val="en-US" w:eastAsia="zh-CN" w:bidi="ar-SA"/>
        </w:rPr>
        <w:t>.</w:t>
      </w:r>
      <w:r>
        <w:rPr>
          <w:rFonts w:hint="eastAsia" w:ascii="宋体" w:hAnsi="宋体" w:cs="宋体"/>
          <w:snapToGrid w:val="0"/>
          <w:color w:val="auto"/>
          <w:kern w:val="0"/>
          <w:sz w:val="24"/>
          <w:szCs w:val="24"/>
          <w:highlight w:val="none"/>
          <w:u w:val="none"/>
          <w:lang w:val="en-US" w:eastAsia="zh-CN" w:bidi="ar-SA"/>
        </w:rPr>
        <w:t>5</w:t>
      </w:r>
      <w:r>
        <w:rPr>
          <w:rFonts w:hint="eastAsia" w:ascii="宋体" w:hAnsi="宋体" w:eastAsia="宋体" w:cs="宋体"/>
          <w:snapToGrid w:val="0"/>
          <w:color w:val="auto"/>
          <w:kern w:val="0"/>
          <w:sz w:val="24"/>
          <w:szCs w:val="24"/>
          <w:highlight w:val="none"/>
          <w:u w:val="none"/>
          <w:lang w:val="en-US" w:eastAsia="zh-CN" w:bidi="ar-SA"/>
        </w:rPr>
        <w:t>-</w:t>
      </w:r>
      <w:r>
        <w:rPr>
          <w:rFonts w:hint="eastAsia" w:ascii="宋体" w:hAnsi="宋体" w:cs="宋体"/>
          <w:snapToGrid w:val="0"/>
          <w:color w:val="auto"/>
          <w:kern w:val="0"/>
          <w:sz w:val="24"/>
          <w:szCs w:val="24"/>
          <w:highlight w:val="none"/>
          <w:u w:val="none"/>
          <w:lang w:val="en-US" w:eastAsia="zh-CN" w:bidi="ar-SA"/>
        </w:rPr>
        <w:t>10</w:t>
      </w:r>
      <w:r>
        <w:rPr>
          <w:rFonts w:hint="default" w:ascii="宋体" w:hAnsi="宋体" w:eastAsia="宋体" w:cs="宋体"/>
          <w:snapToGrid w:val="0"/>
          <w:color w:val="auto"/>
          <w:kern w:val="0"/>
          <w:sz w:val="24"/>
          <w:szCs w:val="24"/>
          <w:highlight w:val="none"/>
          <w:u w:val="none"/>
          <w:lang w:val="en-US" w:eastAsia="zh-CN" w:bidi="ar-SA"/>
        </w:rPr>
        <w:t>。</w:t>
      </w:r>
    </w:p>
    <w:p w14:paraId="11A583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3EDE8A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679CB1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 xml:space="preserve">3.5-10  </w:t>
      </w:r>
      <w:r>
        <w:rPr>
          <w:rFonts w:hint="default" w:ascii="黑体" w:hAnsi="黑体" w:eastAsia="黑体" w:cs="黑体"/>
          <w:b w:val="0"/>
          <w:bCs/>
          <w:color w:val="auto"/>
          <w:kern w:val="2"/>
          <w:sz w:val="24"/>
          <w:szCs w:val="24"/>
          <w:u w:val="none"/>
          <w:lang w:val="en-US" w:eastAsia="zh-CN" w:bidi="ar-SA"/>
        </w:rPr>
        <w:t>与《危险废物环境管理指南 陆上石油天然气开采》符合性</w:t>
      </w:r>
    </w:p>
    <w:tbl>
      <w:tblPr>
        <w:tblStyle w:val="37"/>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136"/>
        <w:gridCol w:w="3761"/>
        <w:gridCol w:w="779"/>
      </w:tblGrid>
      <w:tr w14:paraId="177FD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83" w:type="pct"/>
            <w:tcBorders>
              <w:tl2br w:val="nil"/>
              <w:tr2bl w:val="nil"/>
            </w:tcBorders>
            <w:noWrap w:val="0"/>
            <w:vAlign w:val="center"/>
          </w:tcPr>
          <w:p w14:paraId="1304A9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要求</w:t>
            </w:r>
          </w:p>
        </w:tc>
        <w:tc>
          <w:tcPr>
            <w:tcW w:w="2167" w:type="pct"/>
            <w:tcBorders>
              <w:tl2br w:val="nil"/>
              <w:tr2bl w:val="nil"/>
            </w:tcBorders>
            <w:noWrap w:val="0"/>
            <w:vAlign w:val="center"/>
          </w:tcPr>
          <w:p w14:paraId="23993F2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项目情况</w:t>
            </w:r>
          </w:p>
        </w:tc>
        <w:tc>
          <w:tcPr>
            <w:tcW w:w="449" w:type="pct"/>
            <w:tcBorders>
              <w:tl2br w:val="nil"/>
              <w:tr2bl w:val="nil"/>
            </w:tcBorders>
            <w:noWrap w:val="0"/>
            <w:vAlign w:val="center"/>
          </w:tcPr>
          <w:p w14:paraId="6FA831C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spacing w:val="-11"/>
                <w:kern w:val="0"/>
                <w:sz w:val="21"/>
                <w:szCs w:val="21"/>
                <w:highlight w:val="none"/>
                <w:u w:val="none"/>
              </w:rPr>
              <w:t>符合性</w:t>
            </w:r>
          </w:p>
        </w:tc>
      </w:tr>
      <w:tr w14:paraId="46CD68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83" w:type="pct"/>
            <w:tcBorders>
              <w:tl2br w:val="nil"/>
              <w:tr2bl w:val="nil"/>
            </w:tcBorders>
            <w:noWrap w:val="0"/>
            <w:vAlign w:val="center"/>
          </w:tcPr>
          <w:p w14:paraId="733312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0"/>
                <w:sz w:val="21"/>
                <w:szCs w:val="21"/>
                <w:highlight w:val="none"/>
                <w:u w:val="none"/>
              </w:rPr>
              <w:t>落实污染环境防治责任制度，建立健全工业危险废物产生、收集、贮存、运输、利用、处置全过程的污染环境防治责任制度。</w:t>
            </w:r>
          </w:p>
        </w:tc>
        <w:tc>
          <w:tcPr>
            <w:tcW w:w="2167" w:type="pct"/>
            <w:tcBorders>
              <w:tl2br w:val="nil"/>
              <w:tr2bl w:val="nil"/>
            </w:tcBorders>
            <w:noWrap w:val="0"/>
            <w:vAlign w:val="center"/>
          </w:tcPr>
          <w:p w14:paraId="2A059D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imes New Roman" w:hAnsi="Times New Roman" w:eastAsia="宋体" w:cs="Times New Roman"/>
                <w:color w:val="auto"/>
                <w:kern w:val="0"/>
                <w:sz w:val="21"/>
                <w:szCs w:val="21"/>
                <w:highlight w:val="none"/>
                <w:u w:val="none"/>
                <w:lang w:val="en-US" w:eastAsia="zh-CN"/>
              </w:rPr>
            </w:pPr>
            <w:r>
              <w:rPr>
                <w:rFonts w:hint="eastAsia" w:cs="Times New Roman"/>
                <w:color w:val="auto"/>
                <w:spacing w:val="-6"/>
                <w:kern w:val="0"/>
                <w:sz w:val="21"/>
                <w:szCs w:val="21"/>
                <w:highlight w:val="none"/>
                <w:u w:val="none"/>
                <w:lang w:val="en-US" w:eastAsia="zh-CN"/>
              </w:rPr>
              <w:t>新疆油田</w:t>
            </w:r>
            <w:r>
              <w:rPr>
                <w:rFonts w:hint="eastAsia" w:ascii="Times New Roman" w:hAnsi="Times New Roman" w:eastAsia="宋体" w:cs="Times New Roman"/>
                <w:color w:val="auto"/>
                <w:spacing w:val="-6"/>
                <w:kern w:val="0"/>
                <w:sz w:val="21"/>
                <w:szCs w:val="21"/>
                <w:highlight w:val="none"/>
                <w:u w:val="none"/>
                <w:lang w:val="en-US" w:eastAsia="zh-CN"/>
              </w:rPr>
              <w:t>分公司</w:t>
            </w:r>
            <w:r>
              <w:rPr>
                <w:rFonts w:hint="eastAsia" w:cs="Times New Roman"/>
                <w:color w:val="auto"/>
                <w:spacing w:val="-6"/>
                <w:kern w:val="0"/>
                <w:sz w:val="21"/>
                <w:szCs w:val="21"/>
                <w:highlight w:val="none"/>
                <w:u w:val="none"/>
                <w:lang w:val="en-US" w:eastAsia="zh-CN"/>
              </w:rPr>
              <w:t>石西油田作业区</w:t>
            </w:r>
            <w:r>
              <w:rPr>
                <w:rFonts w:hint="eastAsia" w:ascii="Times New Roman" w:hAnsi="Times New Roman" w:eastAsia="宋体" w:cs="Times New Roman"/>
                <w:color w:val="auto"/>
                <w:spacing w:val="-6"/>
                <w:kern w:val="0"/>
                <w:sz w:val="21"/>
                <w:szCs w:val="21"/>
                <w:highlight w:val="none"/>
                <w:u w:val="none"/>
                <w:lang w:val="en-US" w:eastAsia="zh-CN"/>
              </w:rPr>
              <w:t>已落实</w:t>
            </w:r>
            <w:r>
              <w:rPr>
                <w:rFonts w:hint="default" w:ascii="Times New Roman" w:hAnsi="Times New Roman" w:eastAsia="宋体" w:cs="Times New Roman"/>
                <w:color w:val="auto"/>
                <w:spacing w:val="-6"/>
                <w:kern w:val="0"/>
                <w:sz w:val="21"/>
                <w:szCs w:val="21"/>
                <w:highlight w:val="none"/>
                <w:u w:val="none"/>
              </w:rPr>
              <w:t>污染环境防治责任制度，</w:t>
            </w:r>
            <w:r>
              <w:rPr>
                <w:rFonts w:hint="eastAsia" w:ascii="Times New Roman" w:hAnsi="Times New Roman" w:eastAsia="宋体" w:cs="Times New Roman"/>
                <w:color w:val="auto"/>
                <w:spacing w:val="-6"/>
                <w:kern w:val="0"/>
                <w:sz w:val="21"/>
                <w:szCs w:val="21"/>
                <w:highlight w:val="none"/>
                <w:u w:val="none"/>
                <w:lang w:val="en-US" w:eastAsia="zh-CN"/>
              </w:rPr>
              <w:t>已</w:t>
            </w:r>
            <w:r>
              <w:rPr>
                <w:rFonts w:hint="default" w:ascii="Times New Roman" w:hAnsi="Times New Roman" w:eastAsia="宋体" w:cs="Times New Roman"/>
                <w:color w:val="auto"/>
                <w:spacing w:val="-6"/>
                <w:kern w:val="0"/>
                <w:sz w:val="21"/>
                <w:szCs w:val="21"/>
                <w:highlight w:val="none"/>
                <w:u w:val="none"/>
              </w:rPr>
              <w:t>建立健全工业危险废物全过程的污染环境防治责任制度</w:t>
            </w:r>
            <w:r>
              <w:rPr>
                <w:rFonts w:hint="eastAsia" w:ascii="Times New Roman" w:hAnsi="Times New Roman" w:eastAsia="宋体" w:cs="Times New Roman"/>
                <w:color w:val="auto"/>
                <w:spacing w:val="-6"/>
                <w:kern w:val="0"/>
                <w:sz w:val="21"/>
                <w:szCs w:val="21"/>
                <w:highlight w:val="none"/>
                <w:u w:val="none"/>
                <w:lang w:eastAsia="zh-CN"/>
              </w:rPr>
              <w:t>。</w:t>
            </w:r>
          </w:p>
        </w:tc>
        <w:tc>
          <w:tcPr>
            <w:tcW w:w="449" w:type="pct"/>
            <w:tcBorders>
              <w:tl2br w:val="nil"/>
              <w:tr2bl w:val="nil"/>
            </w:tcBorders>
            <w:noWrap w:val="0"/>
            <w:vAlign w:val="center"/>
          </w:tcPr>
          <w:p w14:paraId="333AC34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u w:val="none"/>
              </w:rPr>
            </w:pPr>
            <w:r>
              <w:rPr>
                <w:rFonts w:hint="default" w:ascii="Times New Roman" w:hAnsi="Times New Roman" w:eastAsia="宋体" w:cs="Times New Roman"/>
                <w:color w:val="auto"/>
                <w:kern w:val="2"/>
                <w:sz w:val="21"/>
                <w:szCs w:val="21"/>
                <w:highlight w:val="none"/>
                <w:u w:val="none"/>
              </w:rPr>
              <w:t>符合</w:t>
            </w:r>
          </w:p>
        </w:tc>
      </w:tr>
      <w:tr w14:paraId="7AB40C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83" w:type="pct"/>
            <w:tcBorders>
              <w:tl2br w:val="nil"/>
              <w:tr2bl w:val="nil"/>
            </w:tcBorders>
            <w:noWrap w:val="0"/>
            <w:vAlign w:val="center"/>
          </w:tcPr>
          <w:p w14:paraId="793B6F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0"/>
                <w:sz w:val="21"/>
                <w:szCs w:val="21"/>
                <w:highlight w:val="none"/>
                <w:u w:val="none"/>
              </w:rPr>
              <w:t>落实危险废物管理计划制度，按照《危险废物产生单位管理计划制定指南》等有关要求制定危险废物管理计划，并报所在地生态环境主管部门备案。</w:t>
            </w:r>
          </w:p>
        </w:tc>
        <w:tc>
          <w:tcPr>
            <w:tcW w:w="2167" w:type="pct"/>
            <w:tcBorders>
              <w:tl2br w:val="nil"/>
              <w:tr2bl w:val="nil"/>
            </w:tcBorders>
            <w:noWrap w:val="0"/>
            <w:vAlign w:val="center"/>
          </w:tcPr>
          <w:p w14:paraId="2CAF670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Times New Roman" w:hAnsi="Times New Roman" w:eastAsia="宋体" w:cs="Times New Roman"/>
                <w:color w:val="auto"/>
                <w:kern w:val="2"/>
                <w:sz w:val="21"/>
                <w:szCs w:val="21"/>
                <w:highlight w:val="none"/>
                <w:u w:val="none"/>
                <w:lang w:eastAsia="zh-CN"/>
              </w:rPr>
            </w:pPr>
            <w:r>
              <w:rPr>
                <w:rFonts w:hint="eastAsia" w:cs="Times New Roman"/>
                <w:color w:val="auto"/>
                <w:kern w:val="0"/>
                <w:sz w:val="21"/>
                <w:szCs w:val="21"/>
                <w:highlight w:val="none"/>
                <w:u w:val="none"/>
                <w:lang w:val="en-US" w:eastAsia="zh-CN"/>
              </w:rPr>
              <w:t>新疆油田</w:t>
            </w:r>
            <w:r>
              <w:rPr>
                <w:rFonts w:hint="eastAsia" w:ascii="Times New Roman" w:hAnsi="Times New Roman" w:eastAsia="宋体" w:cs="Times New Roman"/>
                <w:color w:val="auto"/>
                <w:kern w:val="0"/>
                <w:sz w:val="21"/>
                <w:szCs w:val="21"/>
                <w:highlight w:val="none"/>
                <w:u w:val="none"/>
                <w:lang w:val="en-US" w:eastAsia="zh-CN"/>
              </w:rPr>
              <w:t>分公司石西油田作业区已</w:t>
            </w:r>
            <w:r>
              <w:rPr>
                <w:rFonts w:hint="default" w:ascii="Times New Roman" w:hAnsi="Times New Roman" w:eastAsia="宋体" w:cs="Times New Roman"/>
                <w:color w:val="auto"/>
                <w:kern w:val="0"/>
                <w:sz w:val="21"/>
                <w:szCs w:val="21"/>
                <w:highlight w:val="none"/>
                <w:u w:val="none"/>
              </w:rPr>
              <w:t>按照《危险废物产生单位管理计划制定指南》等有关要求制定危险废物管理计划，并报所在地生态环境主管部门备案</w:t>
            </w:r>
            <w:r>
              <w:rPr>
                <w:rFonts w:hint="eastAsia" w:ascii="Times New Roman" w:hAnsi="Times New Roman" w:eastAsia="宋体" w:cs="Times New Roman"/>
                <w:color w:val="auto"/>
                <w:kern w:val="0"/>
                <w:sz w:val="21"/>
                <w:szCs w:val="21"/>
                <w:highlight w:val="none"/>
                <w:u w:val="none"/>
                <w:lang w:eastAsia="zh-CN"/>
              </w:rPr>
              <w:t>。</w:t>
            </w:r>
          </w:p>
        </w:tc>
        <w:tc>
          <w:tcPr>
            <w:tcW w:w="449" w:type="pct"/>
            <w:tcBorders>
              <w:tl2br w:val="nil"/>
              <w:tr2bl w:val="nil"/>
            </w:tcBorders>
            <w:noWrap w:val="0"/>
            <w:vAlign w:val="center"/>
          </w:tcPr>
          <w:p w14:paraId="6BD3ACF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符合</w:t>
            </w:r>
          </w:p>
        </w:tc>
      </w:tr>
      <w:tr w14:paraId="7BDD3B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83" w:type="pct"/>
            <w:tcBorders>
              <w:tl2br w:val="nil"/>
              <w:tr2bl w:val="nil"/>
            </w:tcBorders>
            <w:noWrap w:val="0"/>
            <w:vAlign w:val="center"/>
          </w:tcPr>
          <w:p w14:paraId="2B7064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宋体" w:cs="Times New Roman"/>
                <w:color w:val="auto"/>
                <w:kern w:val="0"/>
                <w:sz w:val="21"/>
                <w:szCs w:val="21"/>
                <w:highlight w:val="none"/>
                <w:u w:val="none"/>
                <w:lang w:eastAsia="zh-CN"/>
              </w:rPr>
            </w:pPr>
            <w:r>
              <w:rPr>
                <w:rFonts w:hint="default" w:ascii="Times New Roman" w:hAnsi="Times New Roman" w:eastAsia="宋体" w:cs="Times New Roman"/>
                <w:color w:val="auto"/>
                <w:kern w:val="0"/>
                <w:sz w:val="21"/>
                <w:szCs w:val="21"/>
                <w:highlight w:val="none"/>
                <w:u w:val="none"/>
              </w:rPr>
              <w:t>产生工业危险废物的单位应当落实排污许可制度；已经取得排污许可证的，执行排污许可管理制度的规定</w:t>
            </w:r>
            <w:r>
              <w:rPr>
                <w:rFonts w:hint="eastAsia" w:ascii="Times New Roman" w:hAnsi="Times New Roman" w:eastAsia="宋体" w:cs="Times New Roman"/>
                <w:color w:val="auto"/>
                <w:kern w:val="0"/>
                <w:sz w:val="21"/>
                <w:szCs w:val="21"/>
                <w:highlight w:val="none"/>
                <w:u w:val="none"/>
                <w:lang w:eastAsia="zh-CN"/>
              </w:rPr>
              <w:t>。</w:t>
            </w:r>
          </w:p>
        </w:tc>
        <w:tc>
          <w:tcPr>
            <w:tcW w:w="2167" w:type="pct"/>
            <w:tcBorders>
              <w:tl2br w:val="nil"/>
              <w:tr2bl w:val="nil"/>
            </w:tcBorders>
            <w:noWrap w:val="0"/>
            <w:vAlign w:val="center"/>
          </w:tcPr>
          <w:p w14:paraId="7D526E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石西油田作业区</w:t>
            </w:r>
            <w:r>
              <w:rPr>
                <w:rFonts w:hint="eastAsia" w:cs="Times New Roman"/>
                <w:color w:val="auto"/>
                <w:kern w:val="0"/>
                <w:sz w:val="21"/>
                <w:szCs w:val="21"/>
                <w:highlight w:val="none"/>
                <w:u w:val="none"/>
                <w:lang w:val="en-US" w:eastAsia="zh-CN"/>
              </w:rPr>
              <w:t>按照要求执行排污许可管理制度</w:t>
            </w:r>
            <w:r>
              <w:rPr>
                <w:rFonts w:hint="default" w:ascii="Times New Roman" w:hAnsi="Times New Roman" w:eastAsia="宋体" w:cs="Times New Roman"/>
                <w:color w:val="auto"/>
                <w:kern w:val="0"/>
                <w:sz w:val="21"/>
                <w:szCs w:val="21"/>
                <w:highlight w:val="none"/>
                <w:u w:val="none"/>
                <w:lang w:val="en-US" w:eastAsia="zh-CN"/>
              </w:rPr>
              <w:t>。</w:t>
            </w:r>
          </w:p>
        </w:tc>
        <w:tc>
          <w:tcPr>
            <w:tcW w:w="449" w:type="pct"/>
            <w:tcBorders>
              <w:tl2br w:val="nil"/>
              <w:tr2bl w:val="nil"/>
            </w:tcBorders>
            <w:noWrap w:val="0"/>
            <w:vAlign w:val="center"/>
          </w:tcPr>
          <w:p w14:paraId="2F58F7D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符合</w:t>
            </w:r>
          </w:p>
        </w:tc>
      </w:tr>
      <w:tr w14:paraId="68A278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83" w:type="pct"/>
            <w:tcBorders>
              <w:tl2br w:val="nil"/>
              <w:tr2bl w:val="nil"/>
            </w:tcBorders>
            <w:noWrap w:val="0"/>
            <w:vAlign w:val="center"/>
          </w:tcPr>
          <w:p w14:paraId="626C0F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宋体" w:cs="Times New Roman"/>
                <w:color w:val="auto"/>
                <w:kern w:val="0"/>
                <w:sz w:val="21"/>
                <w:szCs w:val="21"/>
                <w:highlight w:val="none"/>
                <w:u w:val="none"/>
                <w:lang w:eastAsia="zh-CN"/>
              </w:rPr>
            </w:pPr>
            <w:r>
              <w:rPr>
                <w:rFonts w:hint="default" w:ascii="Times New Roman" w:hAnsi="Times New Roman" w:eastAsia="宋体" w:cs="Times New Roman"/>
                <w:color w:val="auto"/>
                <w:spacing w:val="-6"/>
                <w:kern w:val="0"/>
                <w:sz w:val="21"/>
                <w:szCs w:val="21"/>
                <w:highlight w:val="none"/>
                <w:u w:val="none"/>
              </w:rPr>
              <w:t>落实环境应急预案制度，参考《危险废物经营单位编制应急预案指南》有关规定制定意外事 故的防范措施和环境应急预案，并向所在地生态环境主管部门和其他负有固体废物污染环境防治 监督管理职责的部门备案</w:t>
            </w:r>
            <w:r>
              <w:rPr>
                <w:rFonts w:hint="eastAsia" w:cs="Times New Roman"/>
                <w:color w:val="auto"/>
                <w:spacing w:val="-6"/>
                <w:kern w:val="0"/>
                <w:sz w:val="21"/>
                <w:szCs w:val="21"/>
                <w:highlight w:val="none"/>
                <w:u w:val="none"/>
                <w:lang w:eastAsia="zh-CN"/>
              </w:rPr>
              <w:t>。</w:t>
            </w:r>
          </w:p>
        </w:tc>
        <w:tc>
          <w:tcPr>
            <w:tcW w:w="2167" w:type="pct"/>
            <w:tcBorders>
              <w:tl2br w:val="nil"/>
              <w:tr2bl w:val="nil"/>
            </w:tcBorders>
            <w:noWrap w:val="0"/>
            <w:vAlign w:val="center"/>
          </w:tcPr>
          <w:p w14:paraId="6FB5537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u w:val="none"/>
                <w:lang w:eastAsia="zh-CN"/>
              </w:rPr>
            </w:pPr>
            <w:r>
              <w:rPr>
                <w:rFonts w:hint="default" w:ascii="Times New Roman" w:hAnsi="Times New Roman" w:eastAsia="宋体" w:cs="Times New Roman"/>
                <w:color w:val="auto"/>
                <w:kern w:val="2"/>
                <w:sz w:val="21"/>
                <w:szCs w:val="21"/>
                <w:highlight w:val="none"/>
                <w:u w:val="none"/>
                <w:lang w:eastAsia="zh-CN"/>
              </w:rPr>
              <w:t>《中国石油新疆油田分公司石西油田作业区突发环境事件应急预案》于2023年3月9日在昌吉回族自治州生态环境局呼图壁县分局进行了备案(备案编号：652323-2023-08-MT)。</w:t>
            </w:r>
          </w:p>
        </w:tc>
        <w:tc>
          <w:tcPr>
            <w:tcW w:w="449" w:type="pct"/>
            <w:tcBorders>
              <w:tl2br w:val="nil"/>
              <w:tr2bl w:val="nil"/>
            </w:tcBorders>
            <w:noWrap w:val="0"/>
            <w:vAlign w:val="center"/>
          </w:tcPr>
          <w:p w14:paraId="4BD078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符合</w:t>
            </w:r>
          </w:p>
        </w:tc>
      </w:tr>
    </w:tbl>
    <w:p w14:paraId="570F7C9D">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13 </w:t>
      </w:r>
      <w:r>
        <w:rPr>
          <w:rFonts w:hint="default" w:ascii="黑体" w:hAnsi="黑体" w:eastAsia="黑体" w:cs="黑体"/>
          <w:b/>
          <w:color w:val="auto"/>
          <w:kern w:val="0"/>
          <w:sz w:val="24"/>
          <w:szCs w:val="24"/>
          <w:highlight w:val="none"/>
          <w:u w:val="none"/>
          <w:lang w:val="en-US" w:eastAsia="zh-CN"/>
        </w:rPr>
        <w:t>与《空气质量持续改善行动计划》符合性分析</w:t>
      </w:r>
    </w:p>
    <w:p w14:paraId="47B37A1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lang w:eastAsia="zh-CN" w:bidi="ar"/>
        </w:rPr>
      </w:pPr>
      <w:r>
        <w:rPr>
          <w:rFonts w:hint="default" w:ascii="Times New Roman" w:hAnsi="Times New Roman" w:cs="Times New Roman"/>
          <w:color w:val="auto"/>
          <w:kern w:val="0"/>
          <w:sz w:val="24"/>
          <w:szCs w:val="24"/>
          <w:highlight w:val="none"/>
          <w:u w:val="none"/>
          <w:lang w:eastAsia="zh-CN" w:bidi="ar"/>
        </w:rPr>
        <w:t>空气质量持续改善行动计划</w:t>
      </w:r>
      <w:r>
        <w:rPr>
          <w:rFonts w:hint="eastAsia" w:cs="Times New Roman"/>
          <w:color w:val="auto"/>
          <w:kern w:val="0"/>
          <w:sz w:val="24"/>
          <w:szCs w:val="24"/>
          <w:highlight w:val="none"/>
          <w:u w:val="none"/>
          <w:lang w:eastAsia="zh-CN" w:bidi="ar"/>
        </w:rPr>
        <w:t>：</w:t>
      </w:r>
      <w:r>
        <w:rPr>
          <w:rFonts w:hint="default" w:ascii="Times New Roman" w:hAnsi="Times New Roman" w:cs="Times New Roman"/>
          <w:color w:val="auto"/>
          <w:kern w:val="0"/>
          <w:sz w:val="24"/>
          <w:szCs w:val="24"/>
          <w:highlight w:val="none"/>
          <w:u w:val="none"/>
          <w:lang w:eastAsia="zh-CN" w:bidi="ar"/>
        </w:rPr>
        <w:t>以习近平新时代中国特色社会主义思想为指导，全面贯彻党的二十大精神，深入贯彻习近平生态文明思想，落实全国生态环境保护大会部署，坚持稳中求进工作总基调，协同推进降碳、减污、扩绿、增长，以改善空气质量为核心，以减少重污染天气和解决人民群众身边的突出大气环境问题为重点，以降低细颗粒物（PM</w:t>
      </w:r>
      <w:r>
        <w:rPr>
          <w:rFonts w:hint="default" w:ascii="Times New Roman" w:hAnsi="Times New Roman" w:cs="Times New Roman"/>
          <w:color w:val="auto"/>
          <w:kern w:val="0"/>
          <w:sz w:val="24"/>
          <w:szCs w:val="24"/>
          <w:highlight w:val="none"/>
          <w:u w:val="none"/>
          <w:vertAlign w:val="subscript"/>
          <w:lang w:eastAsia="zh-CN" w:bidi="ar"/>
        </w:rPr>
        <w:t>2.5</w:t>
      </w:r>
      <w:r>
        <w:rPr>
          <w:rFonts w:hint="default" w:ascii="Times New Roman" w:hAnsi="Times New Roman" w:cs="Times New Roman"/>
          <w:color w:val="auto"/>
          <w:kern w:val="0"/>
          <w:sz w:val="24"/>
          <w:szCs w:val="24"/>
          <w:highlight w:val="none"/>
          <w:u w:val="none"/>
          <w:lang w:eastAsia="zh-CN" w:bidi="ar"/>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p>
    <w:p w14:paraId="1994BCC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lang w:eastAsia="zh-CN" w:bidi="ar"/>
        </w:rPr>
      </w:pPr>
      <w:r>
        <w:rPr>
          <w:rFonts w:hint="default" w:ascii="Times New Roman" w:hAnsi="Times New Roman" w:cs="Times New Roman"/>
          <w:color w:val="auto"/>
          <w:kern w:val="0"/>
          <w:sz w:val="24"/>
          <w:szCs w:val="24"/>
          <w:highlight w:val="none"/>
          <w:u w:val="none"/>
          <w:lang w:eastAsia="zh-CN" w:bidi="ar"/>
        </w:rPr>
        <w:t>本工程采用密闭集输工艺进行生产，有效减少挥发性有机物（VOCs）</w:t>
      </w:r>
      <w:r>
        <w:rPr>
          <w:rFonts w:hint="eastAsia" w:cs="Times New Roman"/>
          <w:color w:val="auto"/>
          <w:kern w:val="0"/>
          <w:sz w:val="24"/>
          <w:szCs w:val="24"/>
          <w:highlight w:val="none"/>
          <w:u w:val="none"/>
          <w:lang w:val="en-US" w:eastAsia="zh-CN" w:bidi="ar"/>
        </w:rPr>
        <w:t>排放</w:t>
      </w:r>
      <w:r>
        <w:rPr>
          <w:rFonts w:hint="default" w:ascii="Times New Roman" w:hAnsi="Times New Roman" w:cs="Times New Roman"/>
          <w:color w:val="auto"/>
          <w:kern w:val="0"/>
          <w:sz w:val="24"/>
          <w:szCs w:val="24"/>
          <w:highlight w:val="none"/>
          <w:u w:val="none"/>
          <w:lang w:eastAsia="zh-CN" w:bidi="ar"/>
        </w:rPr>
        <w:t>，减少对大气的污染。</w:t>
      </w:r>
    </w:p>
    <w:p w14:paraId="46B4329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9"/>
        <w:rPr>
          <w:rFonts w:hint="eastAsia" w:ascii="黑体" w:hAnsi="黑体" w:eastAsia="黑体" w:cs="黑体"/>
          <w:b/>
          <w:color w:val="auto"/>
          <w:kern w:val="0"/>
          <w:sz w:val="24"/>
          <w:szCs w:val="24"/>
          <w:highlight w:val="none"/>
          <w:u w:val="none"/>
          <w:lang w:val="en-US" w:eastAsia="zh-CN"/>
        </w:rPr>
      </w:pPr>
    </w:p>
    <w:p w14:paraId="4C413156">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14 </w:t>
      </w:r>
      <w:r>
        <w:rPr>
          <w:rFonts w:hint="default" w:ascii="黑体" w:hAnsi="黑体" w:eastAsia="黑体" w:cs="黑体"/>
          <w:b/>
          <w:color w:val="auto"/>
          <w:spacing w:val="-6"/>
          <w:kern w:val="0"/>
          <w:sz w:val="24"/>
          <w:szCs w:val="24"/>
          <w:highlight w:val="none"/>
          <w:u w:val="none"/>
          <w:lang w:val="en-US" w:eastAsia="zh-CN"/>
        </w:rPr>
        <w:t>与《新疆维吾尔自治区2025年空气质量持续改善行动实施方案》符合性分析</w:t>
      </w:r>
    </w:p>
    <w:p w14:paraId="2925292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cs="Times New Roman"/>
          <w:color w:val="auto"/>
          <w:kern w:val="0"/>
          <w:sz w:val="24"/>
          <w:szCs w:val="24"/>
          <w:highlight w:val="none"/>
          <w:u w:val="none"/>
          <w:lang w:eastAsia="zh-CN" w:bidi="ar"/>
        </w:rPr>
      </w:pPr>
      <w:r>
        <w:rPr>
          <w:rFonts w:hint="default" w:ascii="Times New Roman" w:hAnsi="Times New Roman" w:cs="Times New Roman"/>
          <w:color w:val="auto"/>
          <w:kern w:val="0"/>
          <w:sz w:val="24"/>
          <w:szCs w:val="24"/>
          <w:highlight w:val="none"/>
          <w:u w:val="none"/>
          <w:lang w:eastAsia="zh-CN" w:bidi="ar"/>
        </w:rPr>
        <w:t>新疆维吾尔自治区2025年空气质量持续改善行动实施方案</w:t>
      </w:r>
      <w:r>
        <w:rPr>
          <w:rFonts w:hint="eastAsia" w:cs="Times New Roman"/>
          <w:color w:val="auto"/>
          <w:kern w:val="0"/>
          <w:sz w:val="24"/>
          <w:szCs w:val="24"/>
          <w:highlight w:val="none"/>
          <w:u w:val="none"/>
          <w:lang w:eastAsia="zh-CN" w:bidi="ar"/>
        </w:rPr>
        <w:t>：（一）坚决遏制高耗能、高排放、低水平项目盲目上马。（四）大力发展新能源和清洁能源。（五）严格合理控制煤炭消费总量。（六）持续开展燃煤锅炉综合整治。</w:t>
      </w:r>
    </w:p>
    <w:p w14:paraId="37EBB92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2"/>
        <w:rPr>
          <w:rFonts w:hint="default" w:ascii="Times New Roman" w:hAnsi="Times New Roman" w:cs="Times New Roman"/>
          <w:color w:val="auto"/>
          <w:kern w:val="0"/>
          <w:sz w:val="24"/>
          <w:szCs w:val="24"/>
          <w:highlight w:val="none"/>
          <w:u w:val="none"/>
          <w:lang w:eastAsia="zh-CN" w:bidi="ar"/>
        </w:rPr>
      </w:pPr>
      <w:r>
        <w:rPr>
          <w:rFonts w:hint="default" w:ascii="Times New Roman" w:hAnsi="Times New Roman" w:cs="Times New Roman"/>
          <w:color w:val="auto"/>
          <w:kern w:val="0"/>
          <w:sz w:val="24"/>
          <w:szCs w:val="24"/>
          <w:highlight w:val="none"/>
          <w:u w:val="none"/>
          <w:lang w:eastAsia="zh-CN" w:bidi="ar"/>
        </w:rPr>
        <w:t>本项目属于天然气开采项目，</w:t>
      </w:r>
      <w:r>
        <w:rPr>
          <w:rFonts w:hint="eastAsia" w:cs="Times New Roman"/>
          <w:color w:val="auto"/>
          <w:kern w:val="0"/>
          <w:sz w:val="24"/>
          <w:szCs w:val="24"/>
          <w:highlight w:val="none"/>
          <w:u w:val="none"/>
          <w:lang w:val="en-US" w:eastAsia="zh-CN" w:bidi="ar"/>
        </w:rPr>
        <w:t>不属于高耗能、高排放、低水平项目，井口采用电加热，不涉及燃煤。项目</w:t>
      </w:r>
      <w:r>
        <w:rPr>
          <w:rFonts w:hint="default" w:ascii="Times New Roman" w:hAnsi="Times New Roman" w:cs="Times New Roman"/>
          <w:color w:val="auto"/>
          <w:kern w:val="0"/>
          <w:sz w:val="24"/>
          <w:szCs w:val="24"/>
          <w:highlight w:val="none"/>
          <w:u w:val="none"/>
          <w:lang w:eastAsia="zh-CN" w:bidi="ar"/>
        </w:rPr>
        <w:t>建设对于满足油气田开发、保障下游天然气供气能力需求具有十分重要的意义，符合《新疆维吾尔自治区2025年空气质量持续改善行动实施方案》的要求。</w:t>
      </w:r>
    </w:p>
    <w:p w14:paraId="6319D664">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3.5.15</w:t>
      </w:r>
      <w:r>
        <w:rPr>
          <w:rFonts w:hint="default" w:ascii="黑体" w:hAnsi="黑体" w:eastAsia="黑体" w:cs="黑体"/>
          <w:b/>
          <w:color w:val="auto"/>
          <w:kern w:val="0"/>
          <w:sz w:val="24"/>
          <w:szCs w:val="24"/>
          <w:highlight w:val="none"/>
          <w:u w:val="none"/>
          <w:lang w:val="en-US" w:eastAsia="zh-CN"/>
        </w:rPr>
        <w:t>与《新疆维吾尔自治区石油勘探开发环境管理办法》符合性分析</w:t>
      </w:r>
    </w:p>
    <w:p w14:paraId="638E392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bidi="ar"/>
        </w:rPr>
      </w:pPr>
      <w:r>
        <w:rPr>
          <w:rFonts w:hint="default" w:ascii="Times New Roman" w:hAnsi="Times New Roman" w:eastAsia="宋体" w:cs="Times New Roman"/>
          <w:color w:val="auto"/>
          <w:kern w:val="0"/>
          <w:sz w:val="24"/>
          <w:szCs w:val="24"/>
          <w:highlight w:val="none"/>
          <w:u w:val="none"/>
          <w:lang w:eastAsia="zh-CN" w:bidi="ar"/>
        </w:rPr>
        <w:t>《新疆维吾尔自治区石油勘探开发环境管理办法》中第十条规定：石油勘探开发单位应当实行用水管理制度，提高水的重复利用率，对含油污水经处理达到注水标准的，可以实行回注，减少废水的排放量，保护地面水和地下水不受污染；排放废水必须符合国家和自治区规定的标准；</w:t>
      </w:r>
    </w:p>
    <w:p w14:paraId="0144C4B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bidi="ar"/>
        </w:rPr>
      </w:pPr>
      <w:r>
        <w:rPr>
          <w:rFonts w:hint="default" w:ascii="Times New Roman" w:hAnsi="Times New Roman" w:eastAsia="宋体" w:cs="Times New Roman"/>
          <w:color w:val="auto"/>
          <w:kern w:val="0"/>
          <w:sz w:val="24"/>
          <w:szCs w:val="24"/>
          <w:highlight w:val="none"/>
          <w:u w:val="none"/>
          <w:lang w:eastAsia="zh-CN" w:bidi="ar"/>
        </w:rPr>
        <w:t>第十一条规定：石油勘探开发单位排放的废气、烟尘、粉尘，应当符合国家和自治区有关规定；天然气、油田伴生气及炼化系统中排放的可燃性气体应当回收利用；不具备回收条件而向大气排放的可燃气体，必须经过充分燃烧或采取其他防治污染的措施；</w:t>
      </w:r>
    </w:p>
    <w:p w14:paraId="21B9B18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bidi="ar"/>
        </w:rPr>
      </w:pPr>
      <w:r>
        <w:rPr>
          <w:rFonts w:hint="default" w:ascii="Times New Roman" w:hAnsi="Times New Roman" w:eastAsia="宋体" w:cs="Times New Roman"/>
          <w:color w:val="auto"/>
          <w:kern w:val="0"/>
          <w:sz w:val="24"/>
          <w:szCs w:val="24"/>
          <w:highlight w:val="none"/>
          <w:u w:val="none"/>
          <w:lang w:eastAsia="zh-CN" w:bidi="ar"/>
        </w:rPr>
        <w:t>第十七条规定：石油勘探开发单位在勘探开发作业完毕后，应当及时清理场地；在农田、绿洲等地带作业，必须采取治理措施，减少占用耕地和破坏植被，对临时性占用的耕地造成破坏的，应当复垦还耕、恢复植被，并赔偿损失。</w:t>
      </w:r>
    </w:p>
    <w:p w14:paraId="0E72809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bidi="ar"/>
        </w:rPr>
      </w:pPr>
      <w:r>
        <w:rPr>
          <w:rFonts w:hint="default" w:ascii="Times New Roman" w:hAnsi="Times New Roman" w:eastAsia="宋体" w:cs="Times New Roman"/>
          <w:color w:val="auto"/>
          <w:kern w:val="0"/>
          <w:sz w:val="24"/>
          <w:szCs w:val="24"/>
          <w:highlight w:val="none"/>
          <w:u w:val="none"/>
          <w:lang w:eastAsia="zh-CN" w:bidi="ar"/>
        </w:rPr>
        <w:t>本工程本工程废水经依托工程处理达标后回用于注水开发，回注水质满足《碎屑岩油藏注水水质指标技术要求及分析方法》（SY/T5329-2022）要求，回注到油</w:t>
      </w:r>
      <w:r>
        <w:rPr>
          <w:rFonts w:hint="eastAsia" w:ascii="Times New Roman" w:hAnsi="Times New Roman" w:eastAsia="宋体" w:cs="Times New Roman"/>
          <w:color w:val="auto"/>
          <w:kern w:val="0"/>
          <w:sz w:val="24"/>
          <w:szCs w:val="24"/>
          <w:highlight w:val="none"/>
          <w:u w:val="none"/>
          <w:lang w:val="en-US" w:eastAsia="zh-CN" w:bidi="ar"/>
        </w:rPr>
        <w:t>气</w:t>
      </w:r>
      <w:r>
        <w:rPr>
          <w:rFonts w:hint="default" w:ascii="Times New Roman" w:hAnsi="Times New Roman" w:eastAsia="宋体" w:cs="Times New Roman"/>
          <w:color w:val="auto"/>
          <w:kern w:val="0"/>
          <w:sz w:val="24"/>
          <w:szCs w:val="24"/>
          <w:highlight w:val="none"/>
          <w:u w:val="none"/>
          <w:lang w:eastAsia="zh-CN" w:bidi="ar"/>
        </w:rPr>
        <w:t>层，不外排。回注层与工程所在区域内潜水含水层及承压水层无水力联系，在正常情况下不会对其产生影响</w:t>
      </w:r>
      <w:r>
        <w:rPr>
          <w:rFonts w:hint="eastAsia" w:ascii="Times New Roman" w:hAnsi="Times New Roman" w:eastAsia="宋体" w:cs="Times New Roman"/>
          <w:color w:val="auto"/>
          <w:kern w:val="0"/>
          <w:sz w:val="24"/>
          <w:szCs w:val="24"/>
          <w:highlight w:val="none"/>
          <w:u w:val="none"/>
          <w:lang w:eastAsia="zh-CN" w:bidi="ar"/>
        </w:rPr>
        <w:t>；</w:t>
      </w:r>
      <w:r>
        <w:rPr>
          <w:rFonts w:hint="eastAsia" w:ascii="Times New Roman" w:hAnsi="Times New Roman" w:eastAsia="宋体" w:cs="Times New Roman"/>
          <w:color w:val="auto"/>
          <w:kern w:val="0"/>
          <w:sz w:val="24"/>
          <w:szCs w:val="24"/>
          <w:highlight w:val="none"/>
          <w:u w:val="none"/>
          <w:lang w:val="en-US" w:eastAsia="zh-CN" w:bidi="ar"/>
        </w:rPr>
        <w:t>天然气均回收利用；</w:t>
      </w:r>
      <w:r>
        <w:rPr>
          <w:rFonts w:hint="default" w:ascii="Times New Roman" w:hAnsi="Times New Roman" w:eastAsia="宋体" w:cs="Times New Roman"/>
          <w:color w:val="auto"/>
          <w:kern w:val="0"/>
          <w:sz w:val="24"/>
          <w:szCs w:val="24"/>
          <w:highlight w:val="none"/>
          <w:u w:val="none"/>
          <w:lang w:eastAsia="zh-CN" w:bidi="ar"/>
        </w:rPr>
        <w:t>区域土地利用类型均为未利用土地中的沙地，土地现状以自然状态为主，呈典型的干旱荒漠，不占用农田、绿洲等地带。项目建设符合《新疆维吾尔自治区石油勘探开发环境管理办法》的要求。</w:t>
      </w:r>
    </w:p>
    <w:bookmarkEnd w:id="326"/>
    <w:bookmarkEnd w:id="327"/>
    <w:bookmarkEnd w:id="328"/>
    <w:bookmarkEnd w:id="329"/>
    <w:bookmarkEnd w:id="330"/>
    <w:bookmarkEnd w:id="331"/>
    <w:bookmarkEnd w:id="332"/>
    <w:bookmarkEnd w:id="333"/>
    <w:p w14:paraId="574D96AF">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5.16 </w:t>
      </w:r>
      <w:r>
        <w:rPr>
          <w:rFonts w:hint="default" w:ascii="黑体" w:hAnsi="黑体" w:eastAsia="黑体" w:cs="黑体"/>
          <w:b/>
          <w:color w:val="auto"/>
          <w:kern w:val="0"/>
          <w:sz w:val="24"/>
          <w:szCs w:val="24"/>
          <w:highlight w:val="none"/>
          <w:u w:val="none"/>
          <w:lang w:val="en-US" w:eastAsia="zh-CN"/>
        </w:rPr>
        <w:t>与《全国矿产资源规划》符合性分析</w:t>
      </w:r>
    </w:p>
    <w:p w14:paraId="4BC11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
        </w:rPr>
        <w:t>《全国矿产资源规划》第四章第二节指出，“强化东部老油区挖潜，加大中西部油气开发力度，加快海域石油增储上产，力争石油年产量保持在2亿吨左右。东部地区以松辽盆地、渤海湾盆地为重点，加强精细勘探开发，积极发展先进采油技术，增储挖潜，努力减缓老油田产量递减。西部以塔里木、鄂尔多斯、准噶尔等盆地为重点，探明优质资源储量，实现增储稳产、力争上产。做强渤海、拓展南海、加快东海、探索黄海及其他海域，加快海洋石油勘探开发，保持老油田持续稳产，加快新区产能建设，大力提升海域石油产量。”本工程属于准噶尔盆地的油气开采项目，符合《全国矿产资源规划》要求。</w:t>
      </w:r>
    </w:p>
    <w:p w14:paraId="6EE5650B">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5.17 </w:t>
      </w:r>
      <w:r>
        <w:rPr>
          <w:rFonts w:hint="default" w:ascii="黑体" w:hAnsi="黑体" w:eastAsia="黑体" w:cs="黑体"/>
          <w:b/>
          <w:color w:val="auto"/>
          <w:kern w:val="0"/>
          <w:sz w:val="24"/>
          <w:szCs w:val="24"/>
          <w:highlight w:val="none"/>
          <w:u w:val="none"/>
          <w:lang w:val="en-US" w:eastAsia="zh-CN"/>
        </w:rPr>
        <w:t>与《新疆维吾尔自治区国民经济和社会发展第十四个五年规划和2035年远景目标纲要》符合性分析</w:t>
      </w:r>
    </w:p>
    <w:p w14:paraId="3912780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bidi="ar"/>
        </w:rPr>
      </w:pPr>
      <w:r>
        <w:rPr>
          <w:rFonts w:hint="default" w:ascii="Times New Roman" w:hAnsi="Times New Roman" w:eastAsia="宋体" w:cs="Times New Roman"/>
          <w:color w:val="auto"/>
          <w:kern w:val="0"/>
          <w:sz w:val="24"/>
          <w:szCs w:val="24"/>
          <w:highlight w:val="none"/>
          <w:u w:val="none"/>
          <w:lang w:eastAsia="zh-CN" w:bidi="ar"/>
        </w:rPr>
        <w:t>《新疆维吾尔自治区国民经济和社会发展第十四个五年规划和2035年远景目标纲要》提出，坚持把发展经济着力点放在实体经济上，深化工业供给侧结构性改革，推动工业强基增效和转型升级，全面提升新型工业化发展水平。建设国家大型油气生产加工和储备基地。加大准噶尔、吐哈、塔里木三大盆地油气勘探开发力度，提高新疆在油气资源开发利用转化过程中的参与度。加快中石油玛湖、吉木萨尔、准噶尔盆地南缘以及中石化顺北等大型</w:t>
      </w:r>
      <w:r>
        <w:rPr>
          <w:rFonts w:hint="eastAsia" w:ascii="Times New Roman" w:hAnsi="Times New Roman" w:eastAsia="宋体" w:cs="Times New Roman"/>
          <w:color w:val="auto"/>
          <w:kern w:val="0"/>
          <w:sz w:val="24"/>
          <w:szCs w:val="24"/>
          <w:highlight w:val="none"/>
          <w:u w:val="none"/>
          <w:lang w:eastAsia="zh-CN" w:bidi="ar"/>
        </w:rPr>
        <w:t>油田</w:t>
      </w:r>
      <w:r>
        <w:rPr>
          <w:rFonts w:hint="default" w:ascii="Times New Roman" w:hAnsi="Times New Roman" w:eastAsia="宋体" w:cs="Times New Roman"/>
          <w:color w:val="auto"/>
          <w:kern w:val="0"/>
          <w:sz w:val="24"/>
          <w:szCs w:val="24"/>
          <w:highlight w:val="none"/>
          <w:u w:val="none"/>
          <w:lang w:eastAsia="zh-CN" w:bidi="ar"/>
        </w:rPr>
        <w:t>建设，促进油气增储上产。加强成品油储备，提升油气供应保障能力。</w:t>
      </w:r>
    </w:p>
    <w:p w14:paraId="32CFE40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24"/>
          <w:sz w:val="24"/>
          <w:szCs w:val="22"/>
          <w:highlight w:val="none"/>
          <w:u w:val="none"/>
        </w:rPr>
      </w:pPr>
      <w:r>
        <w:rPr>
          <w:rFonts w:hint="default" w:ascii="Times New Roman" w:hAnsi="Times New Roman" w:eastAsia="宋体" w:cs="Times New Roman"/>
          <w:color w:val="auto"/>
          <w:kern w:val="0"/>
          <w:sz w:val="24"/>
          <w:szCs w:val="24"/>
          <w:highlight w:val="none"/>
          <w:u w:val="none"/>
          <w:lang w:eastAsia="zh-CN" w:bidi="ar"/>
        </w:rPr>
        <w:t>本工程位于准噶尔盆地油气基地，符合《自治区国民经济和社会发展第十四个五年规划纲要》的要求。</w:t>
      </w:r>
    </w:p>
    <w:p w14:paraId="6E987185">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5.18 </w:t>
      </w:r>
      <w:r>
        <w:rPr>
          <w:rFonts w:hint="default" w:ascii="黑体" w:hAnsi="黑体" w:eastAsia="黑体" w:cs="黑体"/>
          <w:b/>
          <w:color w:val="auto"/>
          <w:kern w:val="0"/>
          <w:sz w:val="24"/>
          <w:szCs w:val="24"/>
          <w:highlight w:val="none"/>
          <w:u w:val="none"/>
          <w:lang w:val="en-US" w:eastAsia="zh-CN"/>
        </w:rPr>
        <w:t>与《新疆维吾尔自治区主体功能区规划》符合性分析</w:t>
      </w:r>
    </w:p>
    <w:p w14:paraId="36C1FF0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bidi="ar"/>
        </w:rPr>
      </w:pPr>
      <w:r>
        <w:rPr>
          <w:rFonts w:hint="default" w:ascii="Times New Roman" w:hAnsi="Times New Roman" w:eastAsia="宋体" w:cs="Times New Roman"/>
          <w:color w:val="auto"/>
          <w:kern w:val="0"/>
          <w:sz w:val="24"/>
          <w:szCs w:val="24"/>
          <w:highlight w:val="none"/>
          <w:u w:val="none"/>
          <w:lang w:eastAsia="zh-CN" w:bidi="ar"/>
        </w:rPr>
        <w:t>根据《新疆维吾尔自治区主体功能区规划》，将新疆分为以下主体功能区：按开发方式，分为优化开发区域、重点开发区域、限制开发区域和禁止开发区域四类；按开发内容，分为城市化地区、农产品主产区和重点生态功能区三类；按层级，分为国家和省级两个层面。新疆重点开发区包括国家层面重点开发区域—天山北坡经济带。呼图壁县属于天山北坡经济带国家级重点开发区域。</w:t>
      </w:r>
    </w:p>
    <w:p w14:paraId="0E28924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24"/>
          <w:sz w:val="24"/>
          <w:szCs w:val="22"/>
          <w:highlight w:val="none"/>
          <w:u w:val="none"/>
        </w:rPr>
      </w:pPr>
      <w:r>
        <w:rPr>
          <w:rFonts w:hint="default" w:ascii="Times New Roman" w:hAnsi="Times New Roman" w:eastAsia="宋体" w:cs="Times New Roman"/>
          <w:color w:val="auto"/>
          <w:kern w:val="0"/>
          <w:sz w:val="24"/>
          <w:szCs w:val="24"/>
          <w:highlight w:val="none"/>
          <w:u w:val="none"/>
          <w:lang w:eastAsia="zh-CN" w:bidi="ar"/>
        </w:rPr>
        <w:t>本项目属于</w:t>
      </w:r>
      <w:r>
        <w:rPr>
          <w:rFonts w:hint="eastAsia" w:ascii="Times New Roman" w:hAnsi="Times New Roman" w:eastAsia="宋体" w:cs="Times New Roman"/>
          <w:color w:val="auto"/>
          <w:kern w:val="0"/>
          <w:sz w:val="24"/>
          <w:szCs w:val="24"/>
          <w:highlight w:val="none"/>
          <w:u w:val="none"/>
          <w:lang w:val="en-US" w:eastAsia="zh-CN" w:bidi="ar"/>
        </w:rPr>
        <w:t>油气</w:t>
      </w:r>
      <w:r>
        <w:rPr>
          <w:rFonts w:hint="default" w:ascii="Times New Roman" w:hAnsi="Times New Roman" w:eastAsia="宋体" w:cs="Times New Roman"/>
          <w:color w:val="auto"/>
          <w:kern w:val="0"/>
          <w:sz w:val="24"/>
          <w:szCs w:val="24"/>
          <w:highlight w:val="none"/>
          <w:u w:val="none"/>
          <w:lang w:eastAsia="zh-CN" w:bidi="ar"/>
        </w:rPr>
        <w:t>开采项目，位于昌吉回族自治州呼图壁县境内，属于国家级重点开发区域，项目建设与《新疆维吾尔自治区主体功能区规划》相符合。</w:t>
      </w:r>
    </w:p>
    <w:p w14:paraId="4EFD550E">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5.19 </w:t>
      </w:r>
      <w:r>
        <w:rPr>
          <w:rFonts w:hint="default" w:ascii="黑体" w:hAnsi="黑体" w:eastAsia="黑体" w:cs="黑体"/>
          <w:b/>
          <w:color w:val="auto"/>
          <w:kern w:val="0"/>
          <w:sz w:val="24"/>
          <w:szCs w:val="24"/>
          <w:highlight w:val="none"/>
          <w:u w:val="none"/>
          <w:lang w:val="en-US" w:eastAsia="zh-CN"/>
        </w:rPr>
        <w:t>与《新疆生态环境保护“十四五”规划》符合性分析</w:t>
      </w:r>
    </w:p>
    <w:p w14:paraId="6F3D2AD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eastAsia="zh-CN" w:bidi="ar"/>
        </w:rPr>
        <w:t>本工程运营期采取的各项环保措施与《新疆生态环境保护“十四五”规划》中要求的相符性分析详</w:t>
      </w:r>
      <w:r>
        <w:rPr>
          <w:rFonts w:hint="eastAsia" w:ascii="Times New Roman" w:hAnsi="Times New Roman" w:eastAsia="宋体" w:cs="Times New Roman"/>
          <w:color w:val="auto"/>
          <w:kern w:val="0"/>
          <w:sz w:val="24"/>
          <w:szCs w:val="24"/>
          <w:highlight w:val="none"/>
          <w:u w:val="none"/>
          <w:lang w:eastAsia="zh-CN" w:bidi="ar"/>
        </w:rPr>
        <w:t>，</w:t>
      </w:r>
      <w:r>
        <w:rPr>
          <w:rFonts w:hint="default" w:ascii="Times New Roman" w:hAnsi="Times New Roman" w:eastAsia="宋体" w:cs="Times New Roman"/>
          <w:color w:val="auto"/>
          <w:kern w:val="0"/>
          <w:sz w:val="24"/>
          <w:szCs w:val="24"/>
          <w:highlight w:val="none"/>
          <w:u w:val="none"/>
          <w:lang w:eastAsia="zh-CN" w:bidi="ar"/>
        </w:rPr>
        <w:t>见表3.</w:t>
      </w:r>
      <w:r>
        <w:rPr>
          <w:rFonts w:hint="eastAsia" w:cs="Times New Roman"/>
          <w:color w:val="auto"/>
          <w:kern w:val="0"/>
          <w:sz w:val="24"/>
          <w:szCs w:val="24"/>
          <w:highlight w:val="none"/>
          <w:u w:val="none"/>
          <w:lang w:val="en-US" w:eastAsia="zh-CN" w:bidi="ar"/>
        </w:rPr>
        <w:t>5</w:t>
      </w:r>
      <w:r>
        <w:rPr>
          <w:rFonts w:hint="default" w:ascii="Times New Roman" w:hAnsi="Times New Roman" w:eastAsia="宋体" w:cs="Times New Roman"/>
          <w:color w:val="auto"/>
          <w:kern w:val="0"/>
          <w:sz w:val="24"/>
          <w:szCs w:val="24"/>
          <w:highlight w:val="none"/>
          <w:u w:val="none"/>
          <w:lang w:eastAsia="zh-CN" w:bidi="ar"/>
        </w:rPr>
        <w:t>-</w:t>
      </w:r>
      <w:r>
        <w:rPr>
          <w:rFonts w:hint="eastAsia" w:ascii="Times New Roman" w:hAnsi="Times New Roman" w:eastAsia="宋体" w:cs="Times New Roman"/>
          <w:color w:val="auto"/>
          <w:kern w:val="0"/>
          <w:sz w:val="24"/>
          <w:szCs w:val="24"/>
          <w:highlight w:val="none"/>
          <w:u w:val="none"/>
          <w:lang w:val="en-US" w:eastAsia="zh-CN" w:bidi="ar"/>
        </w:rPr>
        <w:t>1</w:t>
      </w:r>
      <w:r>
        <w:rPr>
          <w:rFonts w:hint="eastAsia" w:cs="Times New Roman"/>
          <w:color w:val="auto"/>
          <w:kern w:val="0"/>
          <w:sz w:val="24"/>
          <w:szCs w:val="24"/>
          <w:highlight w:val="none"/>
          <w:u w:val="none"/>
          <w:lang w:val="en-US" w:eastAsia="zh-CN" w:bidi="ar"/>
        </w:rPr>
        <w:t>1</w:t>
      </w:r>
      <w:r>
        <w:rPr>
          <w:rFonts w:hint="default" w:ascii="Times New Roman" w:hAnsi="Times New Roman" w:eastAsia="宋体" w:cs="Times New Roman"/>
          <w:color w:val="auto"/>
          <w:kern w:val="0"/>
          <w:sz w:val="24"/>
          <w:szCs w:val="24"/>
          <w:highlight w:val="none"/>
          <w:u w:val="none"/>
          <w:lang w:eastAsia="zh-CN" w:bidi="ar"/>
        </w:rPr>
        <w:t>。</w:t>
      </w:r>
    </w:p>
    <w:p w14:paraId="5D8263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11  </w:t>
      </w:r>
      <w:r>
        <w:rPr>
          <w:rFonts w:hint="default" w:ascii="黑体" w:hAnsi="黑体" w:eastAsia="黑体" w:cs="黑体"/>
          <w:b w:val="0"/>
          <w:bCs/>
          <w:color w:val="auto"/>
          <w:kern w:val="2"/>
          <w:sz w:val="24"/>
          <w:szCs w:val="24"/>
          <w:u w:val="none"/>
          <w:lang w:val="en-US" w:eastAsia="zh-CN" w:bidi="ar-SA"/>
        </w:rPr>
        <w:t>与《新疆生态环境保护“十四五”规划》符合性分析</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71"/>
        <w:gridCol w:w="3246"/>
        <w:gridCol w:w="815"/>
      </w:tblGrid>
      <w:tr w14:paraId="39955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00" w:type="pct"/>
            <w:tcBorders>
              <w:tl2br w:val="nil"/>
              <w:tr2bl w:val="nil"/>
            </w:tcBorders>
            <w:noWrap w:val="0"/>
            <w:vAlign w:val="center"/>
          </w:tcPr>
          <w:p w14:paraId="5571BF8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规划要求</w:t>
            </w:r>
          </w:p>
        </w:tc>
        <w:tc>
          <w:tcPr>
            <w:tcW w:w="1837" w:type="pct"/>
            <w:tcBorders>
              <w:tl2br w:val="nil"/>
              <w:tr2bl w:val="nil"/>
            </w:tcBorders>
            <w:noWrap w:val="0"/>
            <w:vAlign w:val="center"/>
          </w:tcPr>
          <w:p w14:paraId="719D0C6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lang w:eastAsia="zh-CN"/>
              </w:rPr>
            </w:pPr>
            <w:r>
              <w:rPr>
                <w:rFonts w:hint="eastAsia" w:ascii="宋体" w:hAnsi="宋体" w:eastAsia="宋体" w:cs="宋体"/>
                <w:color w:val="auto"/>
                <w:kern w:val="2"/>
                <w:sz w:val="21"/>
                <w:szCs w:val="21"/>
                <w:highlight w:val="none"/>
                <w:u w:val="none"/>
                <w:lang w:eastAsia="zh-CN"/>
              </w:rPr>
              <w:t>本工程</w:t>
            </w:r>
          </w:p>
        </w:tc>
        <w:tc>
          <w:tcPr>
            <w:tcW w:w="461" w:type="pct"/>
            <w:tcBorders>
              <w:tl2br w:val="nil"/>
              <w:tr2bl w:val="nil"/>
            </w:tcBorders>
            <w:noWrap w:val="0"/>
            <w:vAlign w:val="center"/>
          </w:tcPr>
          <w:p w14:paraId="19EB7B4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spacing w:val="-20"/>
                <w:kern w:val="2"/>
                <w:sz w:val="21"/>
                <w:szCs w:val="21"/>
                <w:highlight w:val="none"/>
                <w:u w:val="none"/>
              </w:rPr>
              <w:t>符合性</w:t>
            </w:r>
          </w:p>
        </w:tc>
      </w:tr>
      <w:tr w14:paraId="235D1C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00" w:type="pct"/>
            <w:tcBorders>
              <w:tl2br w:val="nil"/>
              <w:tr2bl w:val="nil"/>
            </w:tcBorders>
            <w:noWrap w:val="0"/>
            <w:vAlign w:val="center"/>
          </w:tcPr>
          <w:p w14:paraId="7121FC9B">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lang w:eastAsia="zh-CN"/>
              </w:rPr>
            </w:pPr>
            <w:r>
              <w:rPr>
                <w:rFonts w:hint="eastAsia" w:ascii="宋体" w:hAnsi="宋体" w:eastAsia="宋体" w:cs="宋体"/>
                <w:color w:val="auto"/>
                <w:kern w:val="2"/>
                <w:sz w:val="21"/>
                <w:szCs w:val="21"/>
                <w:highlight w:val="none"/>
                <w:u w:val="none"/>
              </w:rPr>
              <w:t>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r>
              <w:rPr>
                <w:rFonts w:hint="eastAsia" w:ascii="宋体" w:hAnsi="宋体" w:cs="宋体"/>
                <w:color w:val="auto"/>
                <w:kern w:val="2"/>
                <w:sz w:val="21"/>
                <w:szCs w:val="21"/>
                <w:highlight w:val="none"/>
                <w:u w:val="none"/>
                <w:lang w:eastAsia="zh-CN"/>
              </w:rPr>
              <w:t>。</w:t>
            </w:r>
          </w:p>
        </w:tc>
        <w:tc>
          <w:tcPr>
            <w:tcW w:w="1837" w:type="pct"/>
            <w:tcBorders>
              <w:tl2br w:val="nil"/>
              <w:tr2bl w:val="nil"/>
            </w:tcBorders>
            <w:noWrap w:val="0"/>
            <w:vAlign w:val="center"/>
          </w:tcPr>
          <w:p w14:paraId="42022FB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lang w:eastAsia="zh-CN"/>
              </w:rPr>
            </w:pPr>
            <w:r>
              <w:rPr>
                <w:rFonts w:hint="eastAsia" w:ascii="宋体" w:hAnsi="宋体" w:eastAsia="宋体" w:cs="宋体"/>
                <w:color w:val="auto"/>
                <w:kern w:val="2"/>
                <w:sz w:val="21"/>
                <w:szCs w:val="21"/>
                <w:highlight w:val="none"/>
                <w:u w:val="none"/>
                <w:lang w:eastAsia="zh-CN"/>
              </w:rPr>
              <w:t>本工程</w:t>
            </w:r>
            <w:r>
              <w:rPr>
                <w:rFonts w:hint="eastAsia" w:ascii="宋体" w:hAnsi="宋体" w:eastAsia="宋体" w:cs="宋体"/>
                <w:color w:val="auto"/>
                <w:kern w:val="2"/>
                <w:sz w:val="21"/>
                <w:szCs w:val="21"/>
                <w:highlight w:val="none"/>
                <w:u w:val="none"/>
              </w:rPr>
              <w:t>无组织废气排放涉及VOC</w:t>
            </w:r>
            <w:r>
              <w:rPr>
                <w:rFonts w:hint="eastAsia" w:ascii="宋体" w:hAnsi="宋体" w:eastAsia="宋体" w:cs="宋体"/>
                <w:color w:val="auto"/>
                <w:kern w:val="2"/>
                <w:sz w:val="21"/>
                <w:szCs w:val="21"/>
                <w:highlight w:val="none"/>
                <w:u w:val="none"/>
                <w:vertAlign w:val="subscript"/>
              </w:rPr>
              <w:t>S</w:t>
            </w:r>
            <w:r>
              <w:rPr>
                <w:rFonts w:hint="eastAsia" w:ascii="宋体" w:hAnsi="宋体" w:eastAsia="宋体" w:cs="宋体"/>
                <w:color w:val="auto"/>
                <w:kern w:val="2"/>
                <w:sz w:val="21"/>
                <w:szCs w:val="21"/>
                <w:highlight w:val="none"/>
                <w:u w:val="none"/>
              </w:rPr>
              <w:t>排放，报告中已针对无组织排放提出相应措施</w:t>
            </w:r>
            <w:r>
              <w:rPr>
                <w:rFonts w:hint="eastAsia" w:ascii="宋体" w:hAnsi="宋体" w:eastAsia="宋体" w:cs="宋体"/>
                <w:color w:val="auto"/>
                <w:kern w:val="2"/>
                <w:sz w:val="21"/>
                <w:szCs w:val="21"/>
                <w:highlight w:val="none"/>
                <w:u w:val="none"/>
                <w:lang w:eastAsia="zh-CN"/>
              </w:rPr>
              <w:t>。</w:t>
            </w:r>
          </w:p>
        </w:tc>
        <w:tc>
          <w:tcPr>
            <w:tcW w:w="461" w:type="pct"/>
            <w:tcBorders>
              <w:tl2br w:val="nil"/>
              <w:tr2bl w:val="nil"/>
            </w:tcBorders>
            <w:noWrap w:val="0"/>
            <w:vAlign w:val="center"/>
          </w:tcPr>
          <w:p w14:paraId="2C3AFE1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符合</w:t>
            </w:r>
          </w:p>
          <w:p w14:paraId="3790801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p>
        </w:tc>
      </w:tr>
      <w:tr w14:paraId="6A0C7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00" w:type="pct"/>
            <w:tcBorders>
              <w:tl2br w:val="nil"/>
              <w:tr2bl w:val="nil"/>
            </w:tcBorders>
            <w:noWrap w:val="0"/>
            <w:vAlign w:val="center"/>
          </w:tcPr>
          <w:p w14:paraId="2BF41B93">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有序实施建设用地风险管控和治理修复。推动全疆重点行业企业用地土壤污染状况调查成果应用，提升土壤环境监管能力。严格落实建设用地土壤污染风险管控和修复名录制度。以用途变更为住宅、公共管理与公共服务用地的地块为重点，严格建设用地准入管理和风险管控。严控土壤重金属污染，加强油（气）田开发土壤污染防治，以历史遗留工业企业污染场地为重点，开展风险管控与修复工程。推广绿色修复理念，强化修复过程二次污染防控。</w:t>
            </w:r>
          </w:p>
        </w:tc>
        <w:tc>
          <w:tcPr>
            <w:tcW w:w="1837" w:type="pct"/>
            <w:tcBorders>
              <w:tl2br w:val="nil"/>
              <w:tr2bl w:val="nil"/>
            </w:tcBorders>
            <w:noWrap w:val="0"/>
            <w:vAlign w:val="center"/>
          </w:tcPr>
          <w:p w14:paraId="25DABA33">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lang w:eastAsia="zh-CN"/>
              </w:rPr>
              <w:t>本工程</w:t>
            </w:r>
            <w:r>
              <w:rPr>
                <w:rFonts w:hint="eastAsia" w:ascii="宋体" w:hAnsi="宋体" w:eastAsia="宋体" w:cs="宋体"/>
                <w:color w:val="auto"/>
                <w:kern w:val="2"/>
                <w:sz w:val="21"/>
                <w:szCs w:val="21"/>
                <w:highlight w:val="none"/>
                <w:u w:val="none"/>
              </w:rPr>
              <w:t>在正常状况下不会造成土壤环境质量超标，不会增加土壤环境风险；</w:t>
            </w:r>
            <w:r>
              <w:rPr>
                <w:rFonts w:hint="eastAsia" w:ascii="宋体" w:hAnsi="宋体" w:eastAsia="宋体" w:cs="宋体"/>
                <w:color w:val="auto"/>
                <w:kern w:val="2"/>
                <w:sz w:val="21"/>
                <w:szCs w:val="21"/>
                <w:highlight w:val="none"/>
                <w:u w:val="none"/>
                <w:lang w:eastAsia="zh-CN"/>
              </w:rPr>
              <w:t>本工程</w:t>
            </w:r>
            <w:r>
              <w:rPr>
                <w:rFonts w:hint="eastAsia" w:ascii="宋体" w:hAnsi="宋体" w:eastAsia="宋体" w:cs="宋体"/>
                <w:color w:val="auto"/>
                <w:kern w:val="2"/>
                <w:sz w:val="21"/>
                <w:szCs w:val="21"/>
                <w:highlight w:val="none"/>
                <w:u w:val="none"/>
              </w:rPr>
              <w:t>运营后采取源头控制、过程防控措施；土壤满足《土壤环境质量</w:t>
            </w:r>
            <w:r>
              <w:rPr>
                <w:rFonts w:hint="eastAsia" w:ascii="宋体" w:hAnsi="宋体" w:eastAsia="宋体" w:cs="宋体"/>
                <w:color w:val="auto"/>
                <w:kern w:val="2"/>
                <w:sz w:val="21"/>
                <w:szCs w:val="21"/>
                <w:highlight w:val="none"/>
                <w:u w:val="none"/>
                <w:lang w:val="en-US" w:eastAsia="zh-CN"/>
              </w:rPr>
              <w:t xml:space="preserve"> </w:t>
            </w:r>
            <w:r>
              <w:rPr>
                <w:rFonts w:hint="eastAsia" w:ascii="宋体" w:hAnsi="宋体" w:eastAsia="宋体" w:cs="宋体"/>
                <w:color w:val="auto"/>
                <w:kern w:val="2"/>
                <w:sz w:val="21"/>
                <w:szCs w:val="21"/>
                <w:highlight w:val="none"/>
                <w:u w:val="none"/>
              </w:rPr>
              <w:t>建设用地土壤污染风险管控标准（试行）》（GB36600-2018）中第二类用地土壤污染风险筛选值，石油烃类执行表2第二类用地筛选值。</w:t>
            </w:r>
          </w:p>
        </w:tc>
        <w:tc>
          <w:tcPr>
            <w:tcW w:w="461" w:type="pct"/>
            <w:tcBorders>
              <w:tl2br w:val="nil"/>
              <w:tr2bl w:val="nil"/>
            </w:tcBorders>
            <w:noWrap w:val="0"/>
            <w:vAlign w:val="center"/>
          </w:tcPr>
          <w:p w14:paraId="12A0A6A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符合</w:t>
            </w:r>
          </w:p>
          <w:p w14:paraId="6C553BC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p>
        </w:tc>
      </w:tr>
      <w:tr w14:paraId="48DB3B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00" w:type="pct"/>
            <w:tcBorders>
              <w:tl2br w:val="nil"/>
              <w:tr2bl w:val="nil"/>
            </w:tcBorders>
            <w:noWrap w:val="0"/>
            <w:vAlign w:val="center"/>
          </w:tcPr>
          <w:p w14:paraId="2A9F60DB">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w:t>
            </w:r>
            <w:r>
              <w:rPr>
                <w:rFonts w:hint="eastAsia" w:ascii="宋体" w:hAnsi="宋体" w:eastAsia="宋体" w:cs="宋体"/>
                <w:color w:val="auto"/>
                <w:kern w:val="2"/>
                <w:sz w:val="21"/>
                <w:szCs w:val="21"/>
                <w:highlight w:val="none"/>
                <w:u w:val="none"/>
                <w:lang w:val="en-US" w:eastAsia="zh-CN"/>
              </w:rPr>
              <w:t>电子</w:t>
            </w:r>
            <w:r>
              <w:rPr>
                <w:rFonts w:hint="eastAsia" w:ascii="宋体" w:hAnsi="宋体" w:eastAsia="宋体" w:cs="宋体"/>
                <w:color w:val="auto"/>
                <w:kern w:val="2"/>
                <w:sz w:val="21"/>
                <w:szCs w:val="21"/>
                <w:highlight w:val="none"/>
                <w:u w:val="none"/>
              </w:rPr>
              <w:t>联单。</w:t>
            </w:r>
          </w:p>
        </w:tc>
        <w:tc>
          <w:tcPr>
            <w:tcW w:w="1837" w:type="pct"/>
            <w:tcBorders>
              <w:tl2br w:val="nil"/>
              <w:tr2bl w:val="nil"/>
            </w:tcBorders>
            <w:noWrap w:val="0"/>
            <w:vAlign w:val="center"/>
          </w:tcPr>
          <w:p w14:paraId="46F6F859">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spacing w:val="-6"/>
                <w:kern w:val="2"/>
                <w:sz w:val="21"/>
                <w:szCs w:val="21"/>
                <w:highlight w:val="none"/>
                <w:u w:val="none"/>
                <w:lang w:eastAsia="zh-CN"/>
              </w:rPr>
              <w:t>本工程</w:t>
            </w:r>
            <w:r>
              <w:rPr>
                <w:rFonts w:hint="eastAsia" w:ascii="宋体" w:hAnsi="宋体" w:eastAsia="宋体" w:cs="宋体"/>
                <w:color w:val="auto"/>
                <w:spacing w:val="-6"/>
                <w:kern w:val="2"/>
                <w:sz w:val="21"/>
                <w:szCs w:val="21"/>
                <w:highlight w:val="none"/>
                <w:u w:val="none"/>
              </w:rPr>
              <w:t>产生的危险废物严格落实《危险废物环境管理指南</w:t>
            </w:r>
            <w:r>
              <w:rPr>
                <w:rFonts w:hint="eastAsia" w:ascii="宋体" w:hAnsi="宋体" w:eastAsia="宋体" w:cs="宋体"/>
                <w:color w:val="auto"/>
                <w:spacing w:val="-6"/>
                <w:kern w:val="2"/>
                <w:sz w:val="21"/>
                <w:szCs w:val="21"/>
                <w:highlight w:val="none"/>
                <w:u w:val="none"/>
                <w:lang w:val="en-US" w:eastAsia="zh-CN"/>
              </w:rPr>
              <w:t xml:space="preserve"> </w:t>
            </w:r>
            <w:r>
              <w:rPr>
                <w:rFonts w:hint="eastAsia" w:ascii="宋体" w:hAnsi="宋体" w:eastAsia="宋体" w:cs="宋体"/>
                <w:color w:val="auto"/>
                <w:spacing w:val="-6"/>
                <w:kern w:val="2"/>
                <w:sz w:val="21"/>
                <w:szCs w:val="21"/>
                <w:highlight w:val="none"/>
                <w:u w:val="none"/>
              </w:rPr>
              <w:t>陆上石油天然气开采》（生态环境部公告2021年第74号）、《危险废物转移管理办法》（生态环境部令第23号）中相关管理要求。</w:t>
            </w:r>
          </w:p>
        </w:tc>
        <w:tc>
          <w:tcPr>
            <w:tcW w:w="461" w:type="pct"/>
            <w:tcBorders>
              <w:tl2br w:val="nil"/>
              <w:tr2bl w:val="nil"/>
            </w:tcBorders>
            <w:noWrap w:val="0"/>
            <w:vAlign w:val="center"/>
          </w:tcPr>
          <w:p w14:paraId="491C626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符合</w:t>
            </w:r>
          </w:p>
          <w:p w14:paraId="4CFC630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p>
        </w:tc>
      </w:tr>
      <w:tr w14:paraId="0D09F7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00" w:type="pct"/>
            <w:tcBorders>
              <w:tl2br w:val="nil"/>
              <w:tr2bl w:val="nil"/>
            </w:tcBorders>
            <w:noWrap w:val="0"/>
            <w:vAlign w:val="center"/>
          </w:tcPr>
          <w:p w14:paraId="7CFBA69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837" w:type="pct"/>
            <w:tcBorders>
              <w:tl2br w:val="nil"/>
              <w:tr2bl w:val="nil"/>
            </w:tcBorders>
            <w:noWrap w:val="0"/>
            <w:vAlign w:val="center"/>
          </w:tcPr>
          <w:p w14:paraId="1C1AB07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lang w:eastAsia="zh-CN"/>
              </w:rPr>
              <w:t>本工程</w:t>
            </w:r>
            <w:r>
              <w:rPr>
                <w:rFonts w:hint="eastAsia" w:ascii="宋体" w:hAnsi="宋体" w:eastAsia="宋体" w:cs="宋体"/>
                <w:color w:val="auto"/>
                <w:kern w:val="2"/>
                <w:sz w:val="21"/>
                <w:szCs w:val="21"/>
                <w:highlight w:val="none"/>
                <w:u w:val="none"/>
              </w:rPr>
              <w:t>位于新疆维吾尔自治区</w:t>
            </w:r>
            <w:r>
              <w:rPr>
                <w:rFonts w:hint="eastAsia" w:ascii="宋体" w:hAnsi="宋体" w:eastAsia="宋体" w:cs="宋体"/>
                <w:color w:val="auto"/>
                <w:kern w:val="2"/>
                <w:sz w:val="21"/>
                <w:szCs w:val="21"/>
                <w:highlight w:val="none"/>
                <w:u w:val="none"/>
                <w:lang w:val="en-US" w:eastAsia="zh-CN"/>
              </w:rPr>
              <w:t>昌吉回族自治州呼图壁县</w:t>
            </w:r>
            <w:r>
              <w:rPr>
                <w:rFonts w:hint="eastAsia" w:ascii="宋体" w:hAnsi="宋体" w:eastAsia="宋体" w:cs="宋体"/>
                <w:color w:val="auto"/>
                <w:kern w:val="2"/>
                <w:sz w:val="21"/>
                <w:szCs w:val="21"/>
                <w:highlight w:val="none"/>
                <w:u w:val="none"/>
              </w:rPr>
              <w:t>，为油气开发项目，不属于“两高”项目以及不符合产业准入标准和政策的落后项目，符合昌吉回族自治州“三线一单”生态环境分区管控要求。</w:t>
            </w:r>
          </w:p>
        </w:tc>
        <w:tc>
          <w:tcPr>
            <w:tcW w:w="461" w:type="pct"/>
            <w:tcBorders>
              <w:tl2br w:val="nil"/>
              <w:tr2bl w:val="nil"/>
            </w:tcBorders>
            <w:noWrap w:val="0"/>
            <w:vAlign w:val="center"/>
          </w:tcPr>
          <w:p w14:paraId="4B56B65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符合</w:t>
            </w:r>
          </w:p>
          <w:p w14:paraId="652CA95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p>
        </w:tc>
      </w:tr>
      <w:bookmarkEnd w:id="322"/>
    </w:tbl>
    <w:p w14:paraId="30C8302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5.20 </w:t>
      </w:r>
      <w:r>
        <w:rPr>
          <w:rFonts w:hint="default" w:ascii="黑体" w:hAnsi="黑体" w:eastAsia="黑体" w:cs="黑体"/>
          <w:b/>
          <w:color w:val="auto"/>
          <w:kern w:val="0"/>
          <w:sz w:val="24"/>
          <w:szCs w:val="24"/>
          <w:highlight w:val="none"/>
          <w:u w:val="none"/>
          <w:lang w:val="en-US" w:eastAsia="zh-CN"/>
        </w:rPr>
        <w:t>与《昌吉回族自治州国民经济和社会发展第十四个五年规划和2035年远景目标纲要》符合性分析</w:t>
      </w:r>
    </w:p>
    <w:p w14:paraId="3616830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bidi="ar"/>
        </w:rPr>
      </w:pPr>
      <w:r>
        <w:rPr>
          <w:rFonts w:hint="default" w:ascii="Times New Roman" w:hAnsi="Times New Roman" w:eastAsia="宋体" w:cs="Times New Roman"/>
          <w:color w:val="auto"/>
          <w:kern w:val="0"/>
          <w:sz w:val="24"/>
          <w:szCs w:val="24"/>
          <w:highlight w:val="none"/>
          <w:u w:val="none"/>
          <w:lang w:eastAsia="zh-CN" w:bidi="ar"/>
        </w:rPr>
        <w:t>《昌吉回族自治州国民经济和社会发展第十四个五年规划和2035年远景目标纲要》提出，推进油气资源开发利用加快培育发展煤层气。依托吉木萨尔县水溪沟、呼图壁县、阜康市煤层气资源，强化勘查、开采、储运、利用4个环节，推动煤层气勘探与开发、瓦斯发电、煤层气压缩CNG、煤层气液化LNG等形成上下游完整的产业链，增加清洁能源供应，优化洁净能源供给结构，缓解区域天然气供需矛盾。</w:t>
      </w:r>
    </w:p>
    <w:p w14:paraId="097A472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bidi="ar"/>
        </w:rPr>
      </w:pPr>
      <w:r>
        <w:rPr>
          <w:rFonts w:hint="default" w:ascii="Times New Roman" w:hAnsi="Times New Roman" w:eastAsia="宋体" w:cs="Times New Roman"/>
          <w:color w:val="auto"/>
          <w:kern w:val="0"/>
          <w:sz w:val="24"/>
          <w:szCs w:val="24"/>
          <w:highlight w:val="none"/>
          <w:u w:val="none"/>
          <w:lang w:eastAsia="zh-CN" w:bidi="ar"/>
        </w:rPr>
        <w:t>加快提升油气储备能力。落实上游供气企业、管道企业、城镇燃气企业、县级以上地方人民政府储气能力目标任务，推进储气设施集约、规模建设，源头上消除安全隐患。加快推进中石油新疆油田呼图壁储气库扩容达产工程，加强对北疆供气调峰的保障能力。推进储油设施建设，提高供应保障能力。</w:t>
      </w:r>
    </w:p>
    <w:p w14:paraId="3488053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24"/>
          <w:sz w:val="24"/>
          <w:szCs w:val="22"/>
          <w:highlight w:val="none"/>
          <w:u w:val="none"/>
        </w:rPr>
      </w:pPr>
      <w:r>
        <w:rPr>
          <w:rFonts w:hint="default" w:ascii="Times New Roman" w:hAnsi="Times New Roman" w:eastAsia="宋体" w:cs="Times New Roman"/>
          <w:color w:val="auto"/>
          <w:kern w:val="0"/>
          <w:sz w:val="24"/>
          <w:szCs w:val="24"/>
          <w:highlight w:val="none"/>
          <w:u w:val="none"/>
          <w:lang w:eastAsia="zh-CN" w:bidi="ar"/>
        </w:rPr>
        <w:t>本</w:t>
      </w:r>
      <w:r>
        <w:rPr>
          <w:rFonts w:hint="eastAsia" w:ascii="Times New Roman" w:hAnsi="Times New Roman" w:eastAsia="宋体" w:cs="Times New Roman"/>
          <w:color w:val="auto"/>
          <w:kern w:val="0"/>
          <w:sz w:val="24"/>
          <w:szCs w:val="24"/>
          <w:highlight w:val="none"/>
          <w:u w:val="none"/>
          <w:lang w:val="en-US" w:eastAsia="zh-CN" w:bidi="ar"/>
        </w:rPr>
        <w:t>项目属于天然气开采项目，</w:t>
      </w:r>
      <w:r>
        <w:rPr>
          <w:rFonts w:hint="default" w:ascii="Times New Roman" w:hAnsi="Times New Roman" w:eastAsia="宋体" w:cs="Times New Roman"/>
          <w:color w:val="auto"/>
          <w:kern w:val="0"/>
          <w:sz w:val="24"/>
          <w:szCs w:val="24"/>
          <w:highlight w:val="none"/>
          <w:u w:val="none"/>
          <w:lang w:eastAsia="zh-CN" w:bidi="ar"/>
        </w:rPr>
        <w:t>工程建设对于满足油气田开发、保障</w:t>
      </w:r>
      <w:r>
        <w:rPr>
          <w:rFonts w:hint="eastAsia" w:ascii="Times New Roman" w:hAnsi="Times New Roman" w:eastAsia="宋体" w:cs="Times New Roman"/>
          <w:color w:val="auto"/>
          <w:kern w:val="0"/>
          <w:sz w:val="24"/>
          <w:szCs w:val="24"/>
          <w:highlight w:val="none"/>
          <w:u w:val="none"/>
          <w:lang w:val="en-US" w:eastAsia="zh-CN" w:bidi="ar"/>
        </w:rPr>
        <w:t>下游天然气供气能力需求</w:t>
      </w:r>
      <w:r>
        <w:rPr>
          <w:rFonts w:hint="default" w:ascii="Times New Roman" w:hAnsi="Times New Roman" w:eastAsia="宋体" w:cs="Times New Roman"/>
          <w:color w:val="auto"/>
          <w:kern w:val="0"/>
          <w:sz w:val="24"/>
          <w:szCs w:val="24"/>
          <w:highlight w:val="none"/>
          <w:u w:val="none"/>
          <w:lang w:eastAsia="zh-CN" w:bidi="ar"/>
        </w:rPr>
        <w:t>具有十分重要的意义，符合《昌吉回族自治州国民经济和社会发展第十四个五年规划和2035年远景目标纲要》的要求。</w:t>
      </w:r>
    </w:p>
    <w:p w14:paraId="2A14D9D5">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5.21 </w:t>
      </w:r>
      <w:r>
        <w:rPr>
          <w:rFonts w:hint="default" w:ascii="黑体" w:hAnsi="黑体" w:eastAsia="黑体" w:cs="黑体"/>
          <w:b/>
          <w:color w:val="auto"/>
          <w:kern w:val="0"/>
          <w:sz w:val="24"/>
          <w:szCs w:val="24"/>
          <w:highlight w:val="none"/>
          <w:u w:val="none"/>
          <w:lang w:val="en-US" w:eastAsia="zh-CN"/>
        </w:rPr>
        <w:t>与《昌吉回族自治州生态环境保护与建设“十四五”规划》符合性分析</w:t>
      </w:r>
    </w:p>
    <w:p w14:paraId="0DDB3B4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eastAsia="zh-CN" w:bidi="ar"/>
        </w:rPr>
        <w:t>本</w:t>
      </w:r>
      <w:r>
        <w:rPr>
          <w:rFonts w:hint="eastAsia" w:ascii="Times New Roman" w:hAnsi="Times New Roman" w:eastAsia="宋体" w:cs="Times New Roman"/>
          <w:color w:val="auto"/>
          <w:kern w:val="0"/>
          <w:sz w:val="24"/>
          <w:szCs w:val="24"/>
          <w:highlight w:val="none"/>
          <w:u w:val="none"/>
          <w:lang w:val="en-US" w:eastAsia="zh-CN" w:bidi="ar"/>
        </w:rPr>
        <w:t>项目</w:t>
      </w:r>
      <w:r>
        <w:rPr>
          <w:rFonts w:hint="default" w:ascii="Times New Roman" w:hAnsi="Times New Roman" w:eastAsia="宋体" w:cs="Times New Roman"/>
          <w:color w:val="auto"/>
          <w:kern w:val="0"/>
          <w:sz w:val="24"/>
          <w:szCs w:val="24"/>
          <w:highlight w:val="none"/>
          <w:u w:val="none"/>
          <w:lang w:eastAsia="zh-CN" w:bidi="ar"/>
        </w:rPr>
        <w:t>与《昌吉回族自治州生态环境保护与建设“十四五”规划》中要求的相符性分析详</w:t>
      </w:r>
      <w:r>
        <w:rPr>
          <w:rFonts w:hint="eastAsia" w:ascii="Times New Roman" w:hAnsi="Times New Roman" w:eastAsia="宋体" w:cs="Times New Roman"/>
          <w:color w:val="auto"/>
          <w:kern w:val="0"/>
          <w:sz w:val="24"/>
          <w:szCs w:val="24"/>
          <w:highlight w:val="none"/>
          <w:u w:val="none"/>
          <w:lang w:eastAsia="zh-CN" w:bidi="ar"/>
        </w:rPr>
        <w:t>，</w:t>
      </w:r>
      <w:r>
        <w:rPr>
          <w:rFonts w:hint="default" w:ascii="Times New Roman" w:hAnsi="Times New Roman" w:eastAsia="宋体" w:cs="Times New Roman"/>
          <w:color w:val="auto"/>
          <w:kern w:val="0"/>
          <w:sz w:val="24"/>
          <w:szCs w:val="24"/>
          <w:highlight w:val="none"/>
          <w:u w:val="none"/>
          <w:lang w:eastAsia="zh-CN" w:bidi="ar"/>
        </w:rPr>
        <w:t>见表3.</w:t>
      </w:r>
      <w:r>
        <w:rPr>
          <w:rFonts w:hint="eastAsia" w:ascii="Times New Roman" w:hAnsi="Times New Roman" w:eastAsia="宋体" w:cs="Times New Roman"/>
          <w:color w:val="auto"/>
          <w:kern w:val="0"/>
          <w:sz w:val="24"/>
          <w:szCs w:val="24"/>
          <w:highlight w:val="none"/>
          <w:u w:val="none"/>
          <w:lang w:val="en-US" w:eastAsia="zh-CN" w:bidi="ar"/>
        </w:rPr>
        <w:t>5</w:t>
      </w:r>
      <w:r>
        <w:rPr>
          <w:rFonts w:hint="default" w:ascii="Times New Roman" w:hAnsi="Times New Roman" w:eastAsia="宋体" w:cs="Times New Roman"/>
          <w:color w:val="auto"/>
          <w:kern w:val="0"/>
          <w:sz w:val="24"/>
          <w:szCs w:val="24"/>
          <w:highlight w:val="none"/>
          <w:u w:val="none"/>
          <w:lang w:eastAsia="zh-CN" w:bidi="ar"/>
        </w:rPr>
        <w:t>-</w:t>
      </w:r>
      <w:r>
        <w:rPr>
          <w:rFonts w:hint="eastAsia" w:ascii="Times New Roman" w:hAnsi="Times New Roman" w:eastAsia="宋体" w:cs="Times New Roman"/>
          <w:color w:val="auto"/>
          <w:kern w:val="0"/>
          <w:sz w:val="24"/>
          <w:szCs w:val="24"/>
          <w:highlight w:val="none"/>
          <w:u w:val="none"/>
          <w:lang w:val="en-US" w:eastAsia="zh-CN" w:bidi="ar"/>
        </w:rPr>
        <w:t>11</w:t>
      </w:r>
      <w:r>
        <w:rPr>
          <w:rFonts w:hint="default" w:ascii="Times New Roman" w:hAnsi="Times New Roman" w:eastAsia="宋体" w:cs="Times New Roman"/>
          <w:color w:val="auto"/>
          <w:kern w:val="0"/>
          <w:sz w:val="24"/>
          <w:szCs w:val="24"/>
          <w:highlight w:val="none"/>
          <w:u w:val="none"/>
          <w:lang w:eastAsia="zh-CN" w:bidi="ar"/>
        </w:rPr>
        <w:t>。</w:t>
      </w:r>
    </w:p>
    <w:p w14:paraId="158817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表3.</w:t>
      </w:r>
      <w:r>
        <w:rPr>
          <w:rFonts w:hint="eastAsia" w:ascii="黑体" w:hAnsi="黑体" w:eastAsia="黑体" w:cs="黑体"/>
          <w:b w:val="0"/>
          <w:bCs/>
          <w:color w:val="auto"/>
          <w:kern w:val="2"/>
          <w:sz w:val="24"/>
          <w:szCs w:val="24"/>
          <w:u w:val="none"/>
          <w:lang w:val="en-US" w:eastAsia="zh-CN" w:bidi="ar-SA"/>
        </w:rPr>
        <w:t>5</w:t>
      </w:r>
      <w:r>
        <w:rPr>
          <w:rFonts w:hint="default" w:ascii="黑体" w:hAnsi="黑体" w:eastAsia="黑体" w:cs="黑体"/>
          <w:b w:val="0"/>
          <w:bCs/>
          <w:color w:val="auto"/>
          <w:kern w:val="2"/>
          <w:sz w:val="24"/>
          <w:szCs w:val="24"/>
          <w:u w:val="none"/>
          <w:lang w:val="en-US" w:eastAsia="zh-CN" w:bidi="ar-SA"/>
        </w:rPr>
        <w:t>-</w:t>
      </w:r>
      <w:r>
        <w:rPr>
          <w:rFonts w:hint="eastAsia" w:ascii="黑体" w:hAnsi="黑体" w:eastAsia="黑体" w:cs="黑体"/>
          <w:b w:val="0"/>
          <w:bCs/>
          <w:color w:val="auto"/>
          <w:kern w:val="2"/>
          <w:sz w:val="24"/>
          <w:szCs w:val="24"/>
          <w:u w:val="none"/>
          <w:lang w:val="en-US" w:eastAsia="zh-CN" w:bidi="ar-SA"/>
        </w:rPr>
        <w:t xml:space="preserve">11  </w:t>
      </w:r>
      <w:r>
        <w:rPr>
          <w:rFonts w:hint="default" w:ascii="黑体" w:hAnsi="黑体" w:eastAsia="黑体" w:cs="黑体"/>
          <w:b w:val="0"/>
          <w:bCs/>
          <w:color w:val="auto"/>
          <w:kern w:val="2"/>
          <w:sz w:val="24"/>
          <w:szCs w:val="24"/>
          <w:u w:val="none"/>
          <w:lang w:val="en-US" w:eastAsia="zh-CN" w:bidi="ar-SA"/>
        </w:rPr>
        <w:t>与《昌吉回族自治州生态环境保护与建设“十四五”规划》符合性分析</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109"/>
        <w:gridCol w:w="3909"/>
        <w:gridCol w:w="811"/>
      </w:tblGrid>
      <w:tr w14:paraId="51A79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327" w:type="pct"/>
            <w:tcBorders>
              <w:tl2br w:val="nil"/>
              <w:tr2bl w:val="nil"/>
            </w:tcBorders>
            <w:noWrap w:val="0"/>
            <w:vAlign w:val="center"/>
          </w:tcPr>
          <w:p w14:paraId="169AB66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规划要求</w:t>
            </w:r>
          </w:p>
        </w:tc>
        <w:tc>
          <w:tcPr>
            <w:tcW w:w="2213" w:type="pct"/>
            <w:tcBorders>
              <w:tl2br w:val="nil"/>
              <w:tr2bl w:val="nil"/>
            </w:tcBorders>
            <w:noWrap w:val="0"/>
            <w:vAlign w:val="center"/>
          </w:tcPr>
          <w:p w14:paraId="131480B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lang w:eastAsia="zh-CN"/>
              </w:rPr>
            </w:pPr>
            <w:r>
              <w:rPr>
                <w:rFonts w:hint="eastAsia" w:ascii="宋体" w:hAnsi="宋体" w:eastAsia="宋体" w:cs="宋体"/>
                <w:color w:val="auto"/>
                <w:kern w:val="2"/>
                <w:sz w:val="21"/>
                <w:szCs w:val="21"/>
                <w:highlight w:val="none"/>
                <w:u w:val="none"/>
                <w:lang w:eastAsia="zh-CN"/>
              </w:rPr>
              <w:t>本工程</w:t>
            </w:r>
          </w:p>
        </w:tc>
        <w:tc>
          <w:tcPr>
            <w:tcW w:w="459" w:type="pct"/>
            <w:tcBorders>
              <w:tl2br w:val="nil"/>
              <w:tr2bl w:val="nil"/>
            </w:tcBorders>
            <w:noWrap w:val="0"/>
            <w:vAlign w:val="center"/>
          </w:tcPr>
          <w:p w14:paraId="265FD6E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spacing w:val="-20"/>
                <w:kern w:val="2"/>
                <w:sz w:val="21"/>
                <w:szCs w:val="21"/>
                <w:highlight w:val="none"/>
                <w:u w:val="none"/>
              </w:rPr>
              <w:t>符合性</w:t>
            </w:r>
          </w:p>
        </w:tc>
      </w:tr>
      <w:tr w14:paraId="7A1D52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327" w:type="pct"/>
            <w:tcBorders>
              <w:tl2br w:val="nil"/>
              <w:tr2bl w:val="nil"/>
            </w:tcBorders>
            <w:noWrap w:val="0"/>
            <w:vAlign w:val="center"/>
          </w:tcPr>
          <w:p w14:paraId="1EF4DF1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推动产业绿色化，依据资源承载力和环境容量，推动产业结构调整。全面实施以“三线一单”为核心的生态环境分区管控体系，开展重点区域、重点流域、重点行业和产业布局的规划环评，充分发挥生态环境功能定位在产业布局结构中的基础性约束作用。</w:t>
            </w:r>
          </w:p>
        </w:tc>
        <w:tc>
          <w:tcPr>
            <w:tcW w:w="2213" w:type="pct"/>
            <w:tcBorders>
              <w:tl2br w:val="nil"/>
              <w:tr2bl w:val="nil"/>
            </w:tcBorders>
            <w:noWrap w:val="0"/>
            <w:vAlign w:val="center"/>
          </w:tcPr>
          <w:p w14:paraId="7E8B8682">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lang w:eastAsia="zh-CN"/>
              </w:rPr>
            </w:pPr>
            <w:r>
              <w:rPr>
                <w:rFonts w:hint="eastAsia" w:ascii="宋体" w:hAnsi="宋体" w:eastAsia="宋体" w:cs="宋体"/>
                <w:color w:val="auto"/>
                <w:kern w:val="2"/>
                <w:sz w:val="21"/>
                <w:szCs w:val="21"/>
                <w:highlight w:val="none"/>
                <w:u w:val="none"/>
                <w:lang w:val="en-US" w:eastAsia="zh-CN"/>
              </w:rPr>
              <w:t>本项目</w:t>
            </w:r>
            <w:r>
              <w:rPr>
                <w:rFonts w:hint="eastAsia" w:ascii="宋体" w:hAnsi="宋体" w:eastAsia="宋体" w:cs="宋体"/>
                <w:color w:val="auto"/>
                <w:kern w:val="2"/>
                <w:sz w:val="21"/>
                <w:szCs w:val="21"/>
                <w:highlight w:val="none"/>
                <w:u w:val="none"/>
                <w:lang w:eastAsia="zh-CN"/>
              </w:rPr>
              <w:t>符合昌吉回族自治州“三线一单”生态环境分区管控要求；</w:t>
            </w:r>
          </w:p>
          <w:p w14:paraId="5ABD3B28">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lang w:eastAsia="zh-CN"/>
              </w:rPr>
            </w:pPr>
            <w:r>
              <w:rPr>
                <w:rFonts w:hint="eastAsia" w:ascii="宋体" w:hAnsi="宋体" w:eastAsia="宋体" w:cs="宋体"/>
                <w:color w:val="auto"/>
                <w:kern w:val="2"/>
                <w:sz w:val="21"/>
                <w:szCs w:val="21"/>
                <w:highlight w:val="none"/>
                <w:u w:val="none"/>
                <w:lang w:eastAsia="zh-CN"/>
              </w:rPr>
              <w:t>新疆油田公司已编制完成新疆油田公司“十四五”地面工程发展规划，《新疆油田公司“十四五”发展规划环境影响报告书》于2022年12月1日取得新疆维吾尔自治区生态环境厅审查意见（新环审【2022】252号）</w:t>
            </w:r>
          </w:p>
        </w:tc>
        <w:tc>
          <w:tcPr>
            <w:tcW w:w="459" w:type="pct"/>
            <w:tcBorders>
              <w:tl2br w:val="nil"/>
              <w:tr2bl w:val="nil"/>
            </w:tcBorders>
            <w:noWrap w:val="0"/>
            <w:vAlign w:val="center"/>
          </w:tcPr>
          <w:p w14:paraId="33E46AB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宋体" w:hAnsi="宋体" w:eastAsia="宋体" w:cs="宋体"/>
                <w:color w:val="auto"/>
                <w:spacing w:val="-20"/>
                <w:kern w:val="2"/>
                <w:sz w:val="21"/>
                <w:szCs w:val="21"/>
                <w:highlight w:val="none"/>
                <w:u w:val="none"/>
                <w:lang w:val="en-US" w:eastAsia="zh-CN"/>
              </w:rPr>
            </w:pPr>
            <w:r>
              <w:rPr>
                <w:rFonts w:hint="eastAsia" w:ascii="宋体" w:hAnsi="宋体" w:eastAsia="宋体" w:cs="宋体"/>
                <w:color w:val="auto"/>
                <w:spacing w:val="-20"/>
                <w:kern w:val="2"/>
                <w:sz w:val="21"/>
                <w:szCs w:val="21"/>
                <w:highlight w:val="none"/>
                <w:u w:val="none"/>
                <w:lang w:val="en-US" w:eastAsia="zh-CN"/>
              </w:rPr>
              <w:t>符合</w:t>
            </w:r>
          </w:p>
        </w:tc>
      </w:tr>
      <w:tr w14:paraId="79E48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327" w:type="pct"/>
            <w:tcBorders>
              <w:tl2br w:val="nil"/>
              <w:tr2bl w:val="nil"/>
            </w:tcBorders>
            <w:noWrap w:val="0"/>
            <w:vAlign w:val="center"/>
          </w:tcPr>
          <w:p w14:paraId="7D3014FE">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开展多污染源治理。推进石化、化工、工业涂装、家具制造、塑料、橡胶、包装印刷、汽修等重点行业领域VOCs整治，加强VOCs源头、过程、末端全流程控制，重点加强对光化学反应活性强的VOCs物质控制，开展企业深度治理和精细化管控。</w:t>
            </w:r>
          </w:p>
        </w:tc>
        <w:tc>
          <w:tcPr>
            <w:tcW w:w="2213" w:type="pct"/>
            <w:tcBorders>
              <w:tl2br w:val="nil"/>
              <w:tr2bl w:val="nil"/>
            </w:tcBorders>
            <w:noWrap w:val="0"/>
            <w:vAlign w:val="center"/>
          </w:tcPr>
          <w:p w14:paraId="732BEC8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lang w:eastAsia="zh-CN"/>
              </w:rPr>
            </w:pPr>
            <w:r>
              <w:rPr>
                <w:rFonts w:hint="eastAsia" w:ascii="宋体" w:hAnsi="宋体" w:eastAsia="宋体" w:cs="宋体"/>
                <w:color w:val="auto"/>
                <w:kern w:val="2"/>
                <w:sz w:val="21"/>
                <w:szCs w:val="21"/>
                <w:highlight w:val="none"/>
                <w:u w:val="none"/>
                <w:lang w:eastAsia="zh-CN"/>
              </w:rPr>
              <w:t>本工程</w:t>
            </w:r>
            <w:r>
              <w:rPr>
                <w:rFonts w:hint="eastAsia" w:ascii="宋体" w:hAnsi="宋体" w:eastAsia="宋体" w:cs="宋体"/>
                <w:color w:val="auto"/>
                <w:kern w:val="2"/>
                <w:sz w:val="21"/>
                <w:szCs w:val="21"/>
                <w:highlight w:val="none"/>
                <w:u w:val="none"/>
              </w:rPr>
              <w:t>无组织废气排放涉及VOC</w:t>
            </w:r>
            <w:r>
              <w:rPr>
                <w:rFonts w:hint="eastAsia" w:ascii="宋体" w:hAnsi="宋体" w:eastAsia="宋体" w:cs="宋体"/>
                <w:color w:val="auto"/>
                <w:kern w:val="2"/>
                <w:sz w:val="21"/>
                <w:szCs w:val="21"/>
                <w:highlight w:val="none"/>
                <w:u w:val="none"/>
                <w:vertAlign w:val="subscript"/>
              </w:rPr>
              <w:t>S</w:t>
            </w:r>
            <w:r>
              <w:rPr>
                <w:rFonts w:hint="eastAsia" w:ascii="宋体" w:hAnsi="宋体" w:eastAsia="宋体" w:cs="宋体"/>
                <w:color w:val="auto"/>
                <w:kern w:val="2"/>
                <w:sz w:val="21"/>
                <w:szCs w:val="21"/>
                <w:highlight w:val="none"/>
                <w:u w:val="none"/>
              </w:rPr>
              <w:t>排放，报告中已针对无组织排放提出相应措施</w:t>
            </w:r>
            <w:r>
              <w:rPr>
                <w:rFonts w:hint="eastAsia" w:ascii="宋体" w:hAnsi="宋体" w:eastAsia="宋体" w:cs="宋体"/>
                <w:color w:val="auto"/>
                <w:kern w:val="2"/>
                <w:sz w:val="21"/>
                <w:szCs w:val="21"/>
                <w:highlight w:val="none"/>
                <w:u w:val="none"/>
                <w:lang w:eastAsia="zh-CN"/>
              </w:rPr>
              <w:t>。</w:t>
            </w:r>
          </w:p>
        </w:tc>
        <w:tc>
          <w:tcPr>
            <w:tcW w:w="459" w:type="pct"/>
            <w:tcBorders>
              <w:tl2br w:val="nil"/>
              <w:tr2bl w:val="nil"/>
            </w:tcBorders>
            <w:noWrap w:val="0"/>
            <w:vAlign w:val="center"/>
          </w:tcPr>
          <w:p w14:paraId="2F94CB6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符合</w:t>
            </w:r>
          </w:p>
          <w:p w14:paraId="5B44311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p>
        </w:tc>
      </w:tr>
      <w:tr w14:paraId="62F8B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327" w:type="pct"/>
            <w:tcBorders>
              <w:tl2br w:val="nil"/>
              <w:tr2bl w:val="nil"/>
            </w:tcBorders>
            <w:noWrap w:val="0"/>
            <w:vAlign w:val="center"/>
          </w:tcPr>
          <w:p w14:paraId="0BD7D61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强化危险废物全过程环境监管。持续推进危险废物规范化环境管理，对长期大量积存危险废物重点企业开展重点管控，不断完善固体废物信息管理平台，不断提升危险废物处置能力。</w:t>
            </w:r>
          </w:p>
        </w:tc>
        <w:tc>
          <w:tcPr>
            <w:tcW w:w="2213" w:type="pct"/>
            <w:tcBorders>
              <w:tl2br w:val="nil"/>
              <w:tr2bl w:val="nil"/>
            </w:tcBorders>
            <w:noWrap w:val="0"/>
            <w:vAlign w:val="center"/>
          </w:tcPr>
          <w:p w14:paraId="40E3A4D4">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spacing w:val="-6"/>
                <w:kern w:val="2"/>
                <w:sz w:val="21"/>
                <w:szCs w:val="21"/>
                <w:highlight w:val="none"/>
                <w:u w:val="none"/>
                <w:lang w:eastAsia="zh-CN"/>
              </w:rPr>
              <w:t>本工程</w:t>
            </w:r>
            <w:r>
              <w:rPr>
                <w:rFonts w:hint="eastAsia" w:ascii="宋体" w:hAnsi="宋体" w:eastAsia="宋体" w:cs="宋体"/>
                <w:color w:val="auto"/>
                <w:spacing w:val="-6"/>
                <w:kern w:val="2"/>
                <w:sz w:val="21"/>
                <w:szCs w:val="21"/>
                <w:highlight w:val="none"/>
                <w:u w:val="none"/>
              </w:rPr>
              <w:t>产生的危险废物严格落实《危险废物环境管理指南</w:t>
            </w:r>
            <w:r>
              <w:rPr>
                <w:rFonts w:hint="eastAsia" w:ascii="宋体" w:hAnsi="宋体" w:eastAsia="宋体" w:cs="宋体"/>
                <w:color w:val="auto"/>
                <w:spacing w:val="-6"/>
                <w:kern w:val="2"/>
                <w:sz w:val="21"/>
                <w:szCs w:val="21"/>
                <w:highlight w:val="none"/>
                <w:u w:val="none"/>
                <w:lang w:val="en-US" w:eastAsia="zh-CN"/>
              </w:rPr>
              <w:t xml:space="preserve"> </w:t>
            </w:r>
            <w:r>
              <w:rPr>
                <w:rFonts w:hint="eastAsia" w:ascii="宋体" w:hAnsi="宋体" w:eastAsia="宋体" w:cs="宋体"/>
                <w:color w:val="auto"/>
                <w:spacing w:val="-6"/>
                <w:kern w:val="2"/>
                <w:sz w:val="21"/>
                <w:szCs w:val="21"/>
                <w:highlight w:val="none"/>
                <w:u w:val="none"/>
              </w:rPr>
              <w:t>陆上石油天然气开采》（生态环境部公告2021年第74号）、《危险废物转移管理办法》（生态环境部令第23号）中相关管理要求。</w:t>
            </w:r>
          </w:p>
        </w:tc>
        <w:tc>
          <w:tcPr>
            <w:tcW w:w="459" w:type="pct"/>
            <w:tcBorders>
              <w:tl2br w:val="nil"/>
              <w:tr2bl w:val="nil"/>
            </w:tcBorders>
            <w:noWrap w:val="0"/>
            <w:vAlign w:val="center"/>
          </w:tcPr>
          <w:p w14:paraId="3D12CA5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符合</w:t>
            </w:r>
          </w:p>
          <w:p w14:paraId="6209626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2"/>
                <w:sz w:val="21"/>
                <w:szCs w:val="21"/>
                <w:highlight w:val="none"/>
                <w:u w:val="none"/>
              </w:rPr>
            </w:pPr>
          </w:p>
        </w:tc>
      </w:tr>
    </w:tbl>
    <w:p w14:paraId="2A2D74C6">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5.22 </w:t>
      </w:r>
      <w:r>
        <w:rPr>
          <w:rFonts w:hint="default" w:ascii="黑体" w:hAnsi="黑体" w:eastAsia="黑体" w:cs="黑体"/>
          <w:b/>
          <w:color w:val="auto"/>
          <w:kern w:val="0"/>
          <w:sz w:val="24"/>
          <w:szCs w:val="24"/>
          <w:highlight w:val="none"/>
          <w:u w:val="none"/>
          <w:lang w:val="en-US" w:eastAsia="zh-CN"/>
        </w:rPr>
        <w:t>与《新疆油田公司“十四五”发展规划》及规划环评符合性分析</w:t>
      </w:r>
    </w:p>
    <w:p w14:paraId="0619CCF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bidi="ar"/>
        </w:rPr>
      </w:pPr>
      <w:r>
        <w:rPr>
          <w:rFonts w:hint="eastAsia" w:ascii="Times New Roman" w:hAnsi="Times New Roman" w:eastAsia="宋体" w:cs="Times New Roman"/>
          <w:color w:val="auto"/>
          <w:kern w:val="0"/>
          <w:sz w:val="24"/>
          <w:szCs w:val="24"/>
          <w:highlight w:val="none"/>
          <w:u w:val="none"/>
          <w:lang w:eastAsia="zh-CN" w:bidi="ar"/>
        </w:rPr>
        <w:t>为满足油气田产能建设和重大开发试验需求，满足已建系统安全平稳运行、提质增效需求，促进传统生产向精益生产转变，助力安全、环保、节能上台阶，中国石油新疆油田分公司于2020年11月编制了《新疆油田公司“十四五”发展规划》。规划总体部署包括五大重点工程：玛湖500万吨上产工程、吉木萨尔页岩油建产工程、南缘建产工程、老区千万吨稳产工程（稠油400万吨稳产工程、常规稀油稳产工程）和天然气加快发展工程。</w:t>
      </w:r>
    </w:p>
    <w:p w14:paraId="42CE1FB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bidi="ar"/>
        </w:rPr>
      </w:pPr>
      <w:r>
        <w:rPr>
          <w:rFonts w:hint="eastAsia" w:ascii="Times New Roman" w:hAnsi="Times New Roman" w:eastAsia="宋体" w:cs="Times New Roman"/>
          <w:color w:val="auto"/>
          <w:kern w:val="0"/>
          <w:sz w:val="24"/>
          <w:szCs w:val="24"/>
          <w:highlight w:val="none"/>
          <w:u w:val="none"/>
          <w:lang w:eastAsia="zh-CN" w:bidi="ar"/>
        </w:rPr>
        <w:t>根据《新疆油田公司“十四五”发展规划》，稀油老区在西北缘新建产能323.4万吨、腹部新建产能23.7万吨、东部新建产能136.3万吨。本项目属于“腹部新建产能23.7万吨”中规划内容，运营后属于</w:t>
      </w:r>
      <w:r>
        <w:rPr>
          <w:rFonts w:hint="eastAsia" w:ascii="Times New Roman" w:hAnsi="Times New Roman" w:eastAsia="宋体" w:cs="Times New Roman"/>
          <w:color w:val="auto"/>
          <w:kern w:val="0"/>
          <w:sz w:val="24"/>
          <w:szCs w:val="24"/>
          <w:highlight w:val="none"/>
          <w:u w:val="none"/>
          <w:lang w:val="en-US" w:eastAsia="zh-CN" w:bidi="ar"/>
        </w:rPr>
        <w:t>石西油田作业区</w:t>
      </w:r>
      <w:r>
        <w:rPr>
          <w:rFonts w:hint="eastAsia" w:ascii="Times New Roman" w:hAnsi="Times New Roman" w:eastAsia="宋体" w:cs="Times New Roman"/>
          <w:color w:val="auto"/>
          <w:kern w:val="0"/>
          <w:sz w:val="24"/>
          <w:szCs w:val="24"/>
          <w:highlight w:val="none"/>
          <w:u w:val="none"/>
          <w:lang w:eastAsia="zh-CN" w:bidi="ar"/>
        </w:rPr>
        <w:t>管辖，符合规划要求。目前，《新疆油田公司“十四五”发展规划环境影响评价报告书》已编制完成并取得新疆维吾尔自治区生态环境厅审查意见（新环审[2022]252号）。审查意见中提出：开展项目环评时应将油气开发对环境敏感区影响作为重点评价内容，并采取合理、有效的保护措施，确保规划涉及环境敏感区和重要环境保护目标不因油气开发而造成环境污染和生态破坏；油气开采、输送、储存、净化等过程及非正常工况应加强挥发性有机物等污染物排放控制，确保满足区域环境空气质量要求。加强开采废水污染控制，涉及回注的应经处理满足《碎屑岩油藏注水水质推荐指标及分析方法》(SY/T5329-2012)等相关标准要求，采取切实可行的地下水污染防治和监控措施，防止造成地下水污染。油气开采过程中产生的固体废物，应当遵循减量化、资源化、无害化原则，合规处置。</w:t>
      </w:r>
    </w:p>
    <w:p w14:paraId="7C60858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bidi="ar"/>
        </w:rPr>
        <w:t>本项目位于准噶尔盆地古尔班通古特沙漠腹部，报告中已明确环境保护目标，并提出了相关生态环境保护措施，针对施工期和运营期产生的污染物也均提出了合理可行的污染防治措施，并提出了区域生态环境质量不因本项目的建设而下降的保护要求。本项目通过选用技术质量可靠的设备、仪表控制、阀门等，</w:t>
      </w:r>
      <w:r>
        <w:rPr>
          <w:rFonts w:hint="eastAsia" w:ascii="Times New Roman" w:hAnsi="Times New Roman" w:eastAsia="宋体" w:cs="Times New Roman"/>
          <w:color w:val="auto"/>
          <w:kern w:val="0"/>
          <w:sz w:val="24"/>
          <w:szCs w:val="24"/>
          <w:highlight w:val="none"/>
          <w:u w:val="none"/>
          <w:lang w:val="en-US" w:eastAsia="zh-CN" w:bidi="ar"/>
        </w:rPr>
        <w:t>运营期采用密闭集输工艺，有效</w:t>
      </w:r>
      <w:r>
        <w:rPr>
          <w:rFonts w:hint="eastAsia" w:ascii="Times New Roman" w:hAnsi="Times New Roman" w:eastAsia="宋体" w:cs="Times New Roman"/>
          <w:color w:val="auto"/>
          <w:kern w:val="0"/>
          <w:sz w:val="24"/>
          <w:szCs w:val="24"/>
          <w:highlight w:val="none"/>
          <w:u w:val="none"/>
          <w:lang w:eastAsia="zh-CN" w:bidi="ar"/>
        </w:rPr>
        <w:t>减少挥发性有机物的排放；井下作业废水和采出水经污水处理系统处理达到《碎屑岩油藏注水水质指标技术要求及分析方法》(SY/T5329-2022)标准后用于油田注水；施工期和运营期产生的固体废物按要求均能得到妥善处置，不会对生态环境造成不利影响。本项目在严格落实报告中提出的污染防治措施、风险防范措施和生态环护措施后，与新疆油田公司“十四五”发展规划环评审查意见相符。</w:t>
      </w:r>
    </w:p>
    <w:p w14:paraId="3374426F">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5.23 </w:t>
      </w:r>
      <w:r>
        <w:rPr>
          <w:rFonts w:hint="default" w:ascii="黑体" w:hAnsi="黑体" w:eastAsia="黑体" w:cs="黑体"/>
          <w:b/>
          <w:color w:val="auto"/>
          <w:kern w:val="0"/>
          <w:sz w:val="24"/>
          <w:szCs w:val="24"/>
          <w:highlight w:val="none"/>
          <w:u w:val="none"/>
          <w:lang w:val="en-US" w:eastAsia="zh-CN"/>
        </w:rPr>
        <w:t>《新疆维吾尔自治区环境保护条例》</w:t>
      </w:r>
    </w:p>
    <w:p w14:paraId="6EACD40D">
      <w:pPr>
        <w:widowControl/>
        <w:spacing w:line="360" w:lineRule="auto"/>
        <w:ind w:firstLine="480" w:firstLineChars="200"/>
        <w:jc w:val="left"/>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本</w:t>
      </w:r>
      <w:r>
        <w:rPr>
          <w:rFonts w:hint="eastAsia" w:ascii="Times New Roman" w:hAnsi="Times New Roman" w:eastAsia="宋体" w:cs="Times New Roman"/>
          <w:color w:val="auto"/>
          <w:kern w:val="0"/>
          <w:sz w:val="24"/>
          <w:szCs w:val="24"/>
          <w:highlight w:val="none"/>
          <w:u w:val="none"/>
          <w:lang w:val="en-US" w:eastAsia="zh-CN" w:bidi="ar"/>
        </w:rPr>
        <w:t>工程</w:t>
      </w:r>
      <w:r>
        <w:rPr>
          <w:rFonts w:hint="default" w:ascii="Times New Roman" w:hAnsi="Times New Roman" w:eastAsia="宋体" w:cs="Times New Roman"/>
          <w:color w:val="auto"/>
          <w:kern w:val="0"/>
          <w:sz w:val="24"/>
          <w:szCs w:val="24"/>
          <w:highlight w:val="none"/>
          <w:u w:val="none"/>
          <w:lang w:val="en-US" w:eastAsia="zh-CN" w:bidi="ar"/>
        </w:rPr>
        <w:t>位于</w:t>
      </w:r>
      <w:r>
        <w:rPr>
          <w:rFonts w:hint="eastAsia" w:ascii="Times New Roman" w:hAnsi="Times New Roman" w:eastAsia="宋体" w:cs="Times New Roman"/>
          <w:color w:val="auto"/>
          <w:kern w:val="0"/>
          <w:sz w:val="24"/>
          <w:szCs w:val="24"/>
          <w:highlight w:val="none"/>
          <w:u w:val="none"/>
          <w:lang w:val="en-US" w:eastAsia="zh-CN" w:bidi="ar"/>
        </w:rPr>
        <w:t>昌吉回族自治州呼图壁县境内</w:t>
      </w:r>
      <w:r>
        <w:rPr>
          <w:rFonts w:hint="default" w:ascii="Times New Roman" w:hAnsi="Times New Roman" w:eastAsia="宋体" w:cs="Times New Roman"/>
          <w:color w:val="auto"/>
          <w:kern w:val="0"/>
          <w:sz w:val="24"/>
          <w:szCs w:val="24"/>
          <w:highlight w:val="none"/>
          <w:u w:val="none"/>
          <w:lang w:val="en-US" w:eastAsia="zh-CN" w:bidi="ar"/>
        </w:rPr>
        <w:t>，不涉及依法划定的自然保护区、饮用水源保护区、风景名胜区、森林公园及其他需要特别保护的环境敏感区，距离生态保护红线较远。本工程符合国土空间规划的</w:t>
      </w:r>
      <w:r>
        <w:rPr>
          <w:rFonts w:hint="eastAsia" w:ascii="Times New Roman" w:hAnsi="Times New Roman" w:eastAsia="宋体" w:cs="Times New Roman"/>
          <w:color w:val="auto"/>
          <w:kern w:val="0"/>
          <w:sz w:val="24"/>
          <w:szCs w:val="24"/>
          <w:highlight w:val="none"/>
          <w:u w:val="none"/>
          <w:lang w:val="en-US" w:eastAsia="zh-CN" w:bidi="ar"/>
        </w:rPr>
        <w:t>油田</w:t>
      </w:r>
      <w:r>
        <w:rPr>
          <w:rFonts w:hint="default" w:ascii="Times New Roman" w:hAnsi="Times New Roman" w:eastAsia="宋体" w:cs="Times New Roman"/>
          <w:color w:val="auto"/>
          <w:kern w:val="0"/>
          <w:sz w:val="24"/>
          <w:szCs w:val="24"/>
          <w:highlight w:val="none"/>
          <w:u w:val="none"/>
          <w:lang w:val="en-US" w:eastAsia="zh-CN" w:bidi="ar"/>
        </w:rPr>
        <w:t>开发建设工程；开发过程中的生产废水进行综合利用，节约了水资源；油气集输常温，不消耗燃料。本工程占地类型为</w:t>
      </w:r>
      <w:r>
        <w:rPr>
          <w:rFonts w:hint="eastAsia" w:ascii="Times New Roman" w:hAnsi="Times New Roman" w:eastAsia="宋体" w:cs="Times New Roman"/>
          <w:color w:val="auto"/>
          <w:kern w:val="0"/>
          <w:sz w:val="24"/>
          <w:szCs w:val="24"/>
          <w:highlight w:val="none"/>
          <w:u w:val="none"/>
          <w:lang w:val="en-US" w:eastAsia="zh-CN" w:bidi="ar"/>
        </w:rPr>
        <w:t>沙地</w:t>
      </w:r>
      <w:r>
        <w:rPr>
          <w:rFonts w:hint="default" w:ascii="Times New Roman" w:hAnsi="Times New Roman" w:eastAsia="宋体" w:cs="Times New Roman"/>
          <w:color w:val="auto"/>
          <w:kern w:val="0"/>
          <w:sz w:val="24"/>
          <w:szCs w:val="24"/>
          <w:highlight w:val="none"/>
          <w:u w:val="none"/>
          <w:lang w:val="en-US" w:eastAsia="zh-CN" w:bidi="ar"/>
        </w:rPr>
        <w:t>，土地资源消耗符合要求。因此，本工程符合《新疆维吾尔自治区环境保护条例》的要求。</w:t>
      </w:r>
    </w:p>
    <w:bookmarkEnd w:id="323"/>
    <w:bookmarkEnd w:id="324"/>
    <w:bookmarkEnd w:id="325"/>
    <w:p w14:paraId="56C7A87E">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334" w:name="_Toc24610"/>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.5.24 </w:t>
      </w:r>
      <w:r>
        <w:rPr>
          <w:rFonts w:hint="default" w:ascii="黑体" w:hAnsi="黑体" w:eastAsia="黑体" w:cs="黑体"/>
          <w:b/>
          <w:color w:val="auto"/>
          <w:kern w:val="0"/>
          <w:sz w:val="24"/>
          <w:szCs w:val="24"/>
          <w:highlight w:val="none"/>
          <w:u w:val="none"/>
          <w:lang w:val="en-US" w:eastAsia="zh-CN"/>
        </w:rPr>
        <w:t>生态环境分区管控符合性分析</w:t>
      </w:r>
    </w:p>
    <w:p w14:paraId="5A4F7AC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三线一单</w:t>
      </w:r>
      <w:r>
        <w:rPr>
          <w:rFonts w:hint="eastAsia" w:ascii="宋体" w:hAnsi="宋体" w:eastAsia="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，是指生态保护红线、环境质量底线、资源利用上线和生态环境准入清单，是推进生态环境保护精细化管理、强化国土空间环境管控、推进绿色发展高质量发展的一项重要工作。</w:t>
      </w:r>
    </w:p>
    <w:p w14:paraId="79BF411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color w:val="auto"/>
          <w:kern w:val="0"/>
          <w:sz w:val="24"/>
          <w:szCs w:val="24"/>
          <w:highlight w:val="none"/>
          <w:u w:val="none"/>
          <w:lang w:val="en-US" w:eastAsia="zh-CN" w:bidi="ar-SA"/>
        </w:rPr>
      </w:pPr>
      <w:bookmarkStart w:id="335" w:name="_Toc19367"/>
      <w:r>
        <w:rPr>
          <w:rFonts w:hint="eastAsia" w:ascii="宋体" w:hAnsi="宋体" w:eastAsia="宋体" w:cs="宋体"/>
          <w:color w:val="auto"/>
          <w:kern w:val="0"/>
          <w:sz w:val="24"/>
          <w:szCs w:val="24"/>
          <w:highlight w:val="none"/>
          <w:u w:val="none"/>
          <w:lang w:val="en-US" w:eastAsia="zh-CN" w:bidi="ar-SA"/>
        </w:rPr>
        <w:t>（1）生态保护红线</w:t>
      </w:r>
      <w:bookmarkEnd w:id="335"/>
    </w:p>
    <w:p w14:paraId="49341C9A">
      <w:pPr>
        <w:keepNext w:val="0"/>
        <w:keepLines w:val="0"/>
        <w:pageBreakBefore w:val="0"/>
        <w:widowControl/>
        <w:kinsoku/>
        <w:wordWrap/>
        <w:overflowPunct/>
        <w:topLinePunct w:val="0"/>
        <w:autoSpaceDE/>
        <w:autoSpaceDN/>
        <w:bidi w:val="0"/>
        <w:adjustRightInd/>
        <w:snapToGrid/>
        <w:spacing w:line="480" w:lineRule="exact"/>
        <w:ind w:firstLine="456" w:firstLineChars="200"/>
        <w:textAlignment w:val="auto"/>
        <w:rPr>
          <w:rFonts w:hint="eastAsia" w:ascii="宋体" w:hAnsi="宋体" w:eastAsia="宋体" w:cs="宋体"/>
          <w:color w:val="auto"/>
          <w:spacing w:val="-6"/>
          <w:kern w:val="0"/>
          <w:sz w:val="24"/>
          <w:szCs w:val="24"/>
          <w:highlight w:val="none"/>
          <w:u w:val="none"/>
          <w:lang w:val="en-US" w:eastAsia="zh-CN" w:bidi="ar-SA"/>
        </w:rPr>
      </w:pPr>
      <w:r>
        <w:rPr>
          <w:rFonts w:hint="eastAsia" w:ascii="宋体" w:hAnsi="宋体" w:eastAsia="宋体" w:cs="宋体"/>
          <w:color w:val="auto"/>
          <w:spacing w:val="-6"/>
          <w:kern w:val="0"/>
          <w:sz w:val="24"/>
          <w:szCs w:val="24"/>
          <w:highlight w:val="none"/>
          <w:u w:val="none"/>
          <w:lang w:val="en-US" w:eastAsia="zh-CN" w:bidi="ar-SA"/>
        </w:rPr>
        <w:t>生态保护红线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p w14:paraId="5292121C">
      <w:pPr>
        <w:pStyle w:val="165"/>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bCs w:val="0"/>
          <w:color w:val="auto"/>
          <w:kern w:val="24"/>
          <w:sz w:val="24"/>
          <w:szCs w:val="22"/>
          <w:highlight w:val="none"/>
          <w:u w:val="none"/>
          <w:lang w:val="en-US" w:eastAsia="zh-CN" w:bidi="ar-SA"/>
        </w:rPr>
      </w:pPr>
      <w:r>
        <w:rPr>
          <w:rFonts w:hint="eastAsia" w:ascii="宋体" w:hAnsi="宋体" w:eastAsia="宋体" w:cs="宋体"/>
          <w:color w:val="auto"/>
          <w:highlight w:val="none"/>
          <w:u w:val="none"/>
        </w:rPr>
        <w:t>根据《关于印发＜新疆维吾尔自治区“三线一单”生态环境分区管控方案＞的通知》（新政发〔2021〕18号）</w:t>
      </w:r>
      <w:r>
        <w:rPr>
          <w:rFonts w:hint="eastAsia" w:ascii="宋体" w:eastAsia="宋体" w:cs="宋体"/>
          <w:color w:val="auto"/>
          <w:highlight w:val="none"/>
          <w:u w:val="none"/>
          <w:lang w:eastAsia="zh-CN"/>
        </w:rPr>
        <w:t>、《</w:t>
      </w:r>
      <w:r>
        <w:rPr>
          <w:rFonts w:hint="eastAsia" w:ascii="宋体" w:hAnsi="宋体" w:eastAsia="宋体" w:cs="宋体"/>
          <w:color w:val="auto"/>
          <w:highlight w:val="none"/>
          <w:u w:val="none"/>
        </w:rPr>
        <w:t>关于印发＜新疆维吾尔自治区生态环境分区管控动态更新成果＞的通知</w:t>
      </w:r>
      <w:r>
        <w:rPr>
          <w:rFonts w:hint="eastAsia" w:ascii="宋体" w:eastAsia="宋体" w:cs="宋体"/>
          <w:color w:val="auto"/>
          <w:highlight w:val="none"/>
          <w:u w:val="none"/>
          <w:lang w:eastAsia="zh-CN"/>
        </w:rPr>
        <w:t>》（</w:t>
      </w:r>
      <w:r>
        <w:rPr>
          <w:rFonts w:hint="eastAsia" w:ascii="宋体" w:hAnsi="宋体" w:eastAsia="宋体" w:cs="宋体"/>
          <w:color w:val="auto"/>
          <w:highlight w:val="none"/>
          <w:u w:val="none"/>
        </w:rPr>
        <w:t>新环环评发〔2024〕157号</w:t>
      </w:r>
      <w:r>
        <w:rPr>
          <w:rFonts w:hint="eastAsia" w:ascii="宋体" w:eastAsia="宋体" w:cs="宋体"/>
          <w:color w:val="auto"/>
          <w:highlight w:val="none"/>
          <w:u w:val="none"/>
          <w:lang w:eastAsia="zh-CN"/>
        </w:rPr>
        <w:t>）</w:t>
      </w:r>
      <w:r>
        <w:rPr>
          <w:rFonts w:hint="eastAsia" w:ascii="宋体" w:hAnsi="宋体" w:eastAsia="宋体" w:cs="宋体"/>
          <w:color w:val="auto"/>
          <w:highlight w:val="none"/>
          <w:u w:val="none"/>
        </w:rPr>
        <w:t>、《新疆维吾尔自治区七大片区“三线一单”生态环境分区管控要求》（新环环评发〔2021〕162号）以及《昌吉回族自治州“三线一单”生态环境分区管控方案》《昌吉回族自治州区域空间生态环境评价暨“三线一单”生态环境准入清单动态更新成果》要求，本工程位于呼图壁县一般管控单元内（环境管控单元编码：ZH65232330001），西距准噶尔盆地南缘土地沙化防控与防风固沙生态保护红线区最近距离</w:t>
      </w:r>
      <w:r>
        <w:rPr>
          <w:rFonts w:hint="eastAsia" w:ascii="宋体" w:eastAsia="宋体" w:cs="宋体"/>
          <w:color w:val="auto"/>
          <w:highlight w:val="none"/>
          <w:u w:val="none"/>
          <w:lang w:val="en-US" w:eastAsia="zh-CN"/>
        </w:rPr>
        <w:t>11.07</w:t>
      </w:r>
      <w:r>
        <w:rPr>
          <w:rFonts w:hint="eastAsia" w:ascii="宋体" w:hAnsi="宋体" w:eastAsia="宋体" w:cs="宋体"/>
          <w:color w:val="auto"/>
          <w:highlight w:val="none"/>
          <w:u w:val="none"/>
        </w:rPr>
        <w:t>km</w:t>
      </w:r>
      <w:r>
        <w:rPr>
          <w:rFonts w:hint="eastAsia" w:ascii="宋体" w:hAnsi="宋体" w:eastAsia="宋体" w:cs="宋体"/>
          <w:bCs w:val="0"/>
          <w:color w:val="auto"/>
          <w:kern w:val="24"/>
          <w:sz w:val="24"/>
          <w:szCs w:val="22"/>
          <w:highlight w:val="none"/>
          <w:u w:val="none"/>
          <w:lang w:val="en-US" w:eastAsia="zh-CN" w:bidi="ar-SA"/>
        </w:rPr>
        <w:t>。</w:t>
      </w:r>
    </w:p>
    <w:p w14:paraId="151C7C24">
      <w:pPr>
        <w:keepNext w:val="0"/>
        <w:keepLines w:val="0"/>
        <w:pageBreakBefore w:val="0"/>
        <w:widowControl/>
        <w:kinsoku/>
        <w:wordWrap/>
        <w:overflowPunct/>
        <w:topLinePunct w:val="0"/>
        <w:autoSpaceDE/>
        <w:autoSpaceDN/>
        <w:bidi w:val="0"/>
        <w:adjustRightInd/>
        <w:snapToGrid/>
        <w:spacing w:line="480" w:lineRule="exact"/>
        <w:ind w:firstLine="456" w:firstLineChars="200"/>
        <w:textAlignment w:val="auto"/>
        <w:outlineLvl w:val="9"/>
        <w:rPr>
          <w:rFonts w:hint="eastAsia" w:ascii="宋体" w:hAnsi="宋体" w:eastAsia="宋体" w:cs="宋体"/>
          <w:bCs/>
          <w:color w:val="auto"/>
          <w:spacing w:val="-6"/>
          <w:kern w:val="0"/>
          <w:sz w:val="24"/>
          <w:szCs w:val="24"/>
          <w:highlight w:val="none"/>
          <w:u w:val="none"/>
          <w:lang w:val="en-US" w:eastAsia="zh-CN" w:bidi="ar-SA"/>
        </w:rPr>
      </w:pPr>
      <w:bookmarkStart w:id="336" w:name="_Toc21195"/>
      <w:r>
        <w:rPr>
          <w:rFonts w:hint="eastAsia" w:ascii="宋体" w:hAnsi="宋体" w:eastAsia="宋体" w:cs="宋体"/>
          <w:bCs/>
          <w:color w:val="auto"/>
          <w:spacing w:val="-6"/>
          <w:kern w:val="0"/>
          <w:sz w:val="24"/>
          <w:szCs w:val="24"/>
          <w:highlight w:val="none"/>
          <w:u w:val="none"/>
          <w:lang w:val="en-US" w:eastAsia="zh-CN" w:bidi="ar-SA"/>
        </w:rPr>
        <w:t>（2）环境质量底线</w:t>
      </w:r>
      <w:bookmarkEnd w:id="336"/>
    </w:p>
    <w:p w14:paraId="6AC2F52A">
      <w:pPr>
        <w:keepNext w:val="0"/>
        <w:keepLines w:val="0"/>
        <w:pageBreakBefore w:val="0"/>
        <w:widowControl/>
        <w:kinsoku/>
        <w:wordWrap/>
        <w:overflowPunct/>
        <w:topLinePunct w:val="0"/>
        <w:autoSpaceDE/>
        <w:autoSpaceDN/>
        <w:bidi w:val="0"/>
        <w:adjustRightInd/>
        <w:snapToGrid/>
        <w:spacing w:line="480" w:lineRule="exact"/>
        <w:ind w:firstLine="456" w:firstLineChars="200"/>
        <w:jc w:val="both"/>
        <w:textAlignment w:val="auto"/>
        <w:rPr>
          <w:rFonts w:hint="eastAsia" w:ascii="宋体" w:hAnsi="宋体" w:eastAsia="宋体" w:cs="宋体"/>
          <w:bCs/>
          <w:color w:val="auto"/>
          <w:spacing w:val="-6"/>
          <w:kern w:val="0"/>
          <w:sz w:val="24"/>
          <w:szCs w:val="24"/>
          <w:highlight w:val="none"/>
          <w:u w:val="none"/>
          <w:lang w:val="en-US" w:eastAsia="zh-CN" w:bidi="ar-SA"/>
        </w:rPr>
      </w:pPr>
      <w:r>
        <w:rPr>
          <w:rFonts w:hint="eastAsia" w:ascii="宋体" w:hAnsi="宋体" w:eastAsia="宋体" w:cs="宋体"/>
          <w:bCs/>
          <w:color w:val="auto"/>
          <w:spacing w:val="-6"/>
          <w:kern w:val="0"/>
          <w:sz w:val="24"/>
          <w:szCs w:val="24"/>
          <w:highlight w:val="none"/>
          <w:u w:val="none"/>
          <w:lang w:val="en-US" w:eastAsia="zh-CN" w:bidi="ar-SA"/>
        </w:rPr>
        <w:t>本次评价现状调查结果显示，工程所在区域的环境空气为不达标区，超标因子主要为</w:t>
      </w:r>
      <w:r>
        <w:rPr>
          <w:rFonts w:hint="eastAsia" w:ascii="宋体" w:hAnsi="宋体" w:cs="宋体"/>
          <w:bCs/>
          <w:color w:val="auto"/>
          <w:spacing w:val="-6"/>
          <w:kern w:val="0"/>
          <w:sz w:val="24"/>
          <w:szCs w:val="24"/>
          <w:highlight w:val="none"/>
          <w:u w:val="none"/>
          <w:lang w:val="en-US" w:eastAsia="zh-CN" w:bidi="ar-SA"/>
        </w:rPr>
        <w:t>PM</w:t>
      </w:r>
      <w:r>
        <w:rPr>
          <w:rFonts w:hint="eastAsia" w:ascii="宋体" w:hAnsi="宋体" w:cs="宋体"/>
          <w:bCs/>
          <w:color w:val="auto"/>
          <w:spacing w:val="-6"/>
          <w:kern w:val="0"/>
          <w:sz w:val="24"/>
          <w:szCs w:val="24"/>
          <w:highlight w:val="none"/>
          <w:u w:val="none"/>
          <w:vertAlign w:val="subscript"/>
          <w:lang w:val="en-US" w:eastAsia="zh-CN" w:bidi="ar-SA"/>
        </w:rPr>
        <w:t>2.5</w:t>
      </w:r>
      <w:r>
        <w:rPr>
          <w:rFonts w:hint="eastAsia" w:ascii="宋体" w:hAnsi="宋体" w:cs="宋体"/>
          <w:bCs/>
          <w:color w:val="auto"/>
          <w:spacing w:val="-6"/>
          <w:kern w:val="0"/>
          <w:sz w:val="24"/>
          <w:szCs w:val="24"/>
          <w:highlight w:val="none"/>
          <w:u w:val="none"/>
          <w:lang w:val="en-US" w:eastAsia="zh-CN" w:bidi="ar-SA"/>
        </w:rPr>
        <w:t>、</w:t>
      </w:r>
      <w:r>
        <w:rPr>
          <w:rFonts w:hint="eastAsia" w:ascii="宋体" w:hAnsi="宋体" w:eastAsia="宋体" w:cs="宋体"/>
          <w:bCs/>
          <w:color w:val="auto"/>
          <w:spacing w:val="-6"/>
          <w:kern w:val="0"/>
          <w:sz w:val="24"/>
          <w:szCs w:val="24"/>
          <w:highlight w:val="none"/>
          <w:u w:val="none"/>
          <w:lang w:val="en-US" w:eastAsia="zh-CN" w:bidi="ar-SA"/>
        </w:rPr>
        <w:t>PM</w:t>
      </w:r>
      <w:r>
        <w:rPr>
          <w:rFonts w:hint="eastAsia" w:ascii="宋体" w:hAnsi="宋体" w:eastAsia="宋体" w:cs="宋体"/>
          <w:bCs/>
          <w:color w:val="auto"/>
          <w:spacing w:val="-6"/>
          <w:kern w:val="0"/>
          <w:sz w:val="24"/>
          <w:szCs w:val="24"/>
          <w:highlight w:val="none"/>
          <w:u w:val="none"/>
          <w:vertAlign w:val="subscript"/>
          <w:lang w:val="en-US" w:eastAsia="zh-CN" w:bidi="ar-SA"/>
        </w:rPr>
        <w:t>10</w:t>
      </w:r>
      <w:r>
        <w:rPr>
          <w:rFonts w:hint="eastAsia" w:ascii="宋体" w:hAnsi="宋体" w:eastAsia="宋体" w:cs="宋体"/>
          <w:bCs/>
          <w:color w:val="auto"/>
          <w:spacing w:val="-6"/>
          <w:kern w:val="0"/>
          <w:sz w:val="24"/>
          <w:szCs w:val="24"/>
          <w:highlight w:val="none"/>
          <w:u w:val="none"/>
          <w:lang w:val="en-US" w:eastAsia="zh-CN" w:bidi="ar-SA"/>
        </w:rPr>
        <w:t>，超标原因为当地气候条件干燥、自然扬尘导致；</w:t>
      </w:r>
    </w:p>
    <w:p w14:paraId="5E041C5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bCs/>
          <w:color w:val="auto"/>
          <w:spacing w:val="-6"/>
          <w:kern w:val="0"/>
          <w:sz w:val="24"/>
          <w:szCs w:val="24"/>
          <w:highlight w:val="none"/>
          <w:u w:val="none"/>
          <w:lang w:val="en-US" w:eastAsia="zh-CN" w:bidi="ar-SA"/>
        </w:rPr>
      </w:pPr>
      <w:r>
        <w:rPr>
          <w:rFonts w:hint="eastAsia" w:ascii="宋体" w:hAnsi="宋体" w:eastAsia="宋体" w:cs="宋体"/>
          <w:bCs/>
          <w:color w:val="auto"/>
          <w:spacing w:val="0"/>
          <w:kern w:val="0"/>
          <w:sz w:val="24"/>
          <w:szCs w:val="24"/>
          <w:highlight w:val="none"/>
          <w:u w:val="none"/>
          <w:lang w:val="en-US" w:eastAsia="zh-CN" w:bidi="ar-SA"/>
        </w:rPr>
        <w:t>项目所在区域地下水水质天然背景值较高，溶解性总固体、氯化物、硫酸盐、氟化物均有不同程度超标，其余监测因子可满足《地下水质量标准》（GB/T14848-2017）Ⅲ类限值。超标的</w:t>
      </w:r>
      <w:r>
        <w:rPr>
          <w:rFonts w:hint="eastAsia" w:ascii="宋体" w:hAnsi="宋体" w:cs="宋体"/>
          <w:bCs/>
          <w:color w:val="auto"/>
          <w:spacing w:val="0"/>
          <w:kern w:val="0"/>
          <w:sz w:val="24"/>
          <w:szCs w:val="24"/>
          <w:highlight w:val="none"/>
          <w:u w:val="none"/>
          <w:lang w:val="en-US" w:eastAsia="zh-CN" w:bidi="ar-SA"/>
        </w:rPr>
        <w:t>原因是</w:t>
      </w:r>
      <w:r>
        <w:rPr>
          <w:rFonts w:hint="eastAsia" w:ascii="宋体" w:hAnsi="宋体" w:eastAsia="宋体" w:cs="宋体"/>
          <w:bCs/>
          <w:color w:val="auto"/>
          <w:spacing w:val="0"/>
          <w:kern w:val="0"/>
          <w:sz w:val="24"/>
          <w:szCs w:val="24"/>
          <w:highlight w:val="none"/>
          <w:u w:val="none"/>
          <w:lang w:val="en-US" w:eastAsia="zh-CN" w:bidi="ar-SA"/>
        </w:rPr>
        <w:t>评价区域位于准噶尔盆地腹部，地势较低，是新疆北部地区地下水的排泄区。地下水在流动过程中将地层中的矿物质元素溶解并携带流动到该区域，使得区域浅层地下水矿化度较高，属天然背景值超标；项目区声环境质量良好，满足《声环境质量标准》（GB3096-2008）2类区标准；根据监测结果可知，项目区土壤环境质量满足《土壤环境质量 建设用地土壤污染风险管控标准（试行）》（GB36600-2018）中表1第二类用地筛选值，石油烃类执行表2第二类用地筛选值。</w:t>
      </w:r>
    </w:p>
    <w:p w14:paraId="7F893E0D">
      <w:pPr>
        <w:keepNext w:val="0"/>
        <w:keepLines w:val="0"/>
        <w:pageBreakBefore w:val="0"/>
        <w:widowControl/>
        <w:kinsoku/>
        <w:wordWrap/>
        <w:overflowPunct/>
        <w:topLinePunct w:val="0"/>
        <w:autoSpaceDE/>
        <w:autoSpaceDN/>
        <w:bidi w:val="0"/>
        <w:adjustRightInd/>
        <w:snapToGrid/>
        <w:spacing w:line="480" w:lineRule="exact"/>
        <w:ind w:firstLine="456" w:firstLineChars="200"/>
        <w:jc w:val="both"/>
        <w:textAlignment w:val="auto"/>
        <w:rPr>
          <w:rFonts w:hint="eastAsia" w:ascii="宋体" w:hAnsi="宋体" w:eastAsia="宋体" w:cs="宋体"/>
          <w:bCs/>
          <w:color w:val="auto"/>
          <w:spacing w:val="-6"/>
          <w:kern w:val="0"/>
          <w:sz w:val="24"/>
          <w:szCs w:val="24"/>
          <w:highlight w:val="none"/>
          <w:u w:val="none"/>
          <w:lang w:val="en-US" w:eastAsia="zh-CN" w:bidi="ar-SA"/>
        </w:rPr>
      </w:pPr>
      <w:r>
        <w:rPr>
          <w:rFonts w:hint="eastAsia" w:ascii="宋体" w:hAnsi="宋体" w:eastAsia="宋体" w:cs="宋体"/>
          <w:bCs/>
          <w:color w:val="auto"/>
          <w:spacing w:val="-6"/>
          <w:kern w:val="0"/>
          <w:sz w:val="24"/>
          <w:szCs w:val="24"/>
          <w:highlight w:val="none"/>
          <w:u w:val="none"/>
          <w:lang w:val="en-US" w:eastAsia="zh-CN" w:bidi="ar-SA"/>
        </w:rPr>
        <w:t>工程运营期产生的废气和噪声污染物均能达标排放，采取相应措施后经预测能够满足相关标准要求；污水采取了严格的治理和处置措施，全部综合利用，不外排；固废按照相关环保要求妥善处置，不会对项目区环境质量底线产生冲击，因此，本工程的建设符合环境质量底线要求。</w:t>
      </w:r>
    </w:p>
    <w:p w14:paraId="7FE8476D">
      <w:pPr>
        <w:keepNext w:val="0"/>
        <w:keepLines w:val="0"/>
        <w:pageBreakBefore w:val="0"/>
        <w:widowControl/>
        <w:kinsoku/>
        <w:wordWrap/>
        <w:overflowPunct/>
        <w:topLinePunct w:val="0"/>
        <w:autoSpaceDE/>
        <w:autoSpaceDN/>
        <w:bidi w:val="0"/>
        <w:adjustRightInd/>
        <w:snapToGrid/>
        <w:spacing w:line="480" w:lineRule="exact"/>
        <w:ind w:firstLine="456" w:firstLineChars="200"/>
        <w:textAlignment w:val="auto"/>
        <w:outlineLvl w:val="9"/>
        <w:rPr>
          <w:rFonts w:hint="eastAsia" w:ascii="宋体" w:hAnsi="宋体" w:eastAsia="宋体" w:cs="宋体"/>
          <w:bCs/>
          <w:color w:val="auto"/>
          <w:spacing w:val="-6"/>
          <w:kern w:val="0"/>
          <w:sz w:val="24"/>
          <w:szCs w:val="24"/>
          <w:highlight w:val="none"/>
          <w:u w:val="none"/>
          <w:lang w:val="en-US" w:eastAsia="zh-CN" w:bidi="ar-SA"/>
        </w:rPr>
      </w:pPr>
      <w:bookmarkStart w:id="337" w:name="_Toc5300"/>
      <w:r>
        <w:rPr>
          <w:rFonts w:hint="eastAsia" w:ascii="宋体" w:hAnsi="宋体" w:eastAsia="宋体" w:cs="宋体"/>
          <w:bCs/>
          <w:color w:val="auto"/>
          <w:spacing w:val="-6"/>
          <w:kern w:val="0"/>
          <w:sz w:val="24"/>
          <w:szCs w:val="24"/>
          <w:highlight w:val="none"/>
          <w:u w:val="none"/>
          <w:lang w:val="en-US" w:eastAsia="zh-CN" w:bidi="ar-SA"/>
        </w:rPr>
        <w:t>（3）资源利用上线</w:t>
      </w:r>
      <w:bookmarkEnd w:id="337"/>
    </w:p>
    <w:p w14:paraId="6FBE468C">
      <w:pPr>
        <w:keepNext w:val="0"/>
        <w:keepLines w:val="0"/>
        <w:pageBreakBefore w:val="0"/>
        <w:widowControl/>
        <w:kinsoku/>
        <w:wordWrap/>
        <w:overflowPunct/>
        <w:topLinePunct w:val="0"/>
        <w:autoSpaceDE/>
        <w:autoSpaceDN/>
        <w:bidi w:val="0"/>
        <w:adjustRightInd/>
        <w:snapToGrid/>
        <w:spacing w:line="480" w:lineRule="exact"/>
        <w:ind w:firstLine="456" w:firstLineChars="200"/>
        <w:textAlignment w:val="auto"/>
        <w:rPr>
          <w:rFonts w:hint="eastAsia" w:ascii="宋体" w:hAnsi="宋体" w:eastAsia="宋体" w:cs="宋体"/>
          <w:bCs/>
          <w:color w:val="auto"/>
          <w:spacing w:val="-6"/>
          <w:kern w:val="0"/>
          <w:sz w:val="24"/>
          <w:szCs w:val="24"/>
          <w:highlight w:val="none"/>
          <w:u w:val="none"/>
          <w:lang w:val="en-US" w:eastAsia="zh-CN" w:bidi="ar-SA"/>
        </w:rPr>
      </w:pPr>
      <w:r>
        <w:rPr>
          <w:rFonts w:hint="eastAsia" w:ascii="宋体" w:hAnsi="宋体" w:eastAsia="宋体" w:cs="宋体"/>
          <w:bCs/>
          <w:color w:val="auto"/>
          <w:spacing w:val="-6"/>
          <w:kern w:val="0"/>
          <w:sz w:val="24"/>
          <w:szCs w:val="24"/>
          <w:highlight w:val="none"/>
          <w:u w:val="none"/>
          <w:lang w:val="en-US" w:eastAsia="zh-CN" w:bidi="ar-SA"/>
        </w:rPr>
        <w:t>本工程开发过程中的生产废水进行综合利用，节约了水资源，油气集输采用常温密闭集输工艺，不消耗燃料；能源利用均在区域供气、供电负荷范围内，消耗未超出区域负荷上限。本工程占地类型为沙地，土地资源消耗符合要求。总之，本工程开发符合资源利用上线要求。</w:t>
      </w:r>
    </w:p>
    <w:p w14:paraId="2A53982D">
      <w:pPr>
        <w:keepNext w:val="0"/>
        <w:keepLines w:val="0"/>
        <w:pageBreakBefore w:val="0"/>
        <w:widowControl/>
        <w:kinsoku/>
        <w:wordWrap/>
        <w:overflowPunct/>
        <w:topLinePunct w:val="0"/>
        <w:autoSpaceDE/>
        <w:autoSpaceDN/>
        <w:bidi w:val="0"/>
        <w:adjustRightInd/>
        <w:snapToGrid/>
        <w:spacing w:line="480" w:lineRule="exact"/>
        <w:ind w:firstLine="456" w:firstLineChars="200"/>
        <w:textAlignment w:val="auto"/>
        <w:outlineLvl w:val="9"/>
        <w:rPr>
          <w:rFonts w:hint="eastAsia" w:ascii="宋体" w:hAnsi="宋体" w:eastAsia="宋体" w:cs="宋体"/>
          <w:bCs/>
          <w:color w:val="auto"/>
          <w:spacing w:val="-6"/>
          <w:kern w:val="0"/>
          <w:sz w:val="24"/>
          <w:szCs w:val="24"/>
          <w:highlight w:val="none"/>
          <w:u w:val="none"/>
          <w:lang w:val="en-US" w:eastAsia="zh-CN" w:bidi="ar-SA"/>
        </w:rPr>
      </w:pPr>
      <w:bookmarkStart w:id="338" w:name="_Toc13798"/>
      <w:r>
        <w:rPr>
          <w:rFonts w:hint="eastAsia" w:ascii="宋体" w:hAnsi="宋体" w:eastAsia="宋体" w:cs="宋体"/>
          <w:bCs/>
          <w:color w:val="auto"/>
          <w:spacing w:val="-6"/>
          <w:kern w:val="0"/>
          <w:sz w:val="24"/>
          <w:szCs w:val="24"/>
          <w:highlight w:val="none"/>
          <w:u w:val="none"/>
          <w:lang w:val="en-US" w:eastAsia="zh-CN" w:bidi="ar-SA"/>
        </w:rPr>
        <w:t>（4）生态环境准入清单</w:t>
      </w:r>
      <w:bookmarkEnd w:id="338"/>
    </w:p>
    <w:p w14:paraId="7CF1E9F3">
      <w:pPr>
        <w:keepNext w:val="0"/>
        <w:keepLines w:val="0"/>
        <w:pageBreakBefore w:val="0"/>
        <w:widowControl/>
        <w:kinsoku/>
        <w:wordWrap/>
        <w:overflowPunct/>
        <w:topLinePunct w:val="0"/>
        <w:autoSpaceDE/>
        <w:autoSpaceDN/>
        <w:bidi w:val="0"/>
        <w:adjustRightInd/>
        <w:snapToGrid/>
        <w:spacing w:line="480" w:lineRule="exact"/>
        <w:ind w:firstLine="456" w:firstLineChars="200"/>
        <w:textAlignment w:val="auto"/>
        <w:rPr>
          <w:rFonts w:hint="eastAsia" w:ascii="宋体" w:hAnsi="宋体" w:eastAsia="宋体" w:cs="宋体"/>
          <w:bCs/>
          <w:color w:val="auto"/>
          <w:spacing w:val="-6"/>
          <w:kern w:val="0"/>
          <w:sz w:val="24"/>
          <w:szCs w:val="24"/>
          <w:highlight w:val="none"/>
          <w:u w:val="none"/>
          <w:lang w:val="en-US" w:eastAsia="zh-CN" w:bidi="ar-SA"/>
        </w:rPr>
      </w:pPr>
      <w:r>
        <w:rPr>
          <w:rFonts w:hint="eastAsia" w:ascii="宋体" w:hAnsi="宋体" w:eastAsia="宋体" w:cs="宋体"/>
          <w:bCs/>
          <w:color w:val="auto"/>
          <w:spacing w:val="-6"/>
          <w:kern w:val="0"/>
          <w:sz w:val="24"/>
          <w:szCs w:val="24"/>
          <w:highlight w:val="none"/>
          <w:u w:val="none"/>
          <w:lang w:val="en-US" w:eastAsia="zh-CN" w:bidi="ar-SA"/>
        </w:rPr>
        <w:t>石油天然气开发是当前国民经济的重要基础产业和支柱产业，根据《产业结构调整指导目录（2024年本）》，将“石油、天然气勘探及开采”列入“鼓励类”项目。可知，石油天然气开发属于国家重点鼓励发展的产业，本工程的建设符合国家的相关政策。</w:t>
      </w:r>
    </w:p>
    <w:p w14:paraId="00D7A2F5">
      <w:pPr>
        <w:keepNext w:val="0"/>
        <w:keepLines w:val="0"/>
        <w:pageBreakBefore w:val="0"/>
        <w:widowControl/>
        <w:kinsoku/>
        <w:wordWrap/>
        <w:overflowPunct/>
        <w:topLinePunct w:val="0"/>
        <w:autoSpaceDE/>
        <w:autoSpaceDN/>
        <w:bidi w:val="0"/>
        <w:adjustRightInd/>
        <w:snapToGrid/>
        <w:spacing w:line="480" w:lineRule="exact"/>
        <w:ind w:firstLine="456" w:firstLineChars="200"/>
        <w:textAlignment w:val="auto"/>
        <w:rPr>
          <w:rFonts w:hint="eastAsia" w:ascii="宋体" w:hAnsi="宋体" w:eastAsia="宋体" w:cs="宋体"/>
          <w:bCs/>
          <w:color w:val="auto"/>
          <w:spacing w:val="-6"/>
          <w:kern w:val="0"/>
          <w:sz w:val="24"/>
          <w:szCs w:val="24"/>
          <w:highlight w:val="none"/>
          <w:u w:val="none"/>
          <w:lang w:val="en-US" w:eastAsia="zh-CN" w:bidi="ar-SA"/>
        </w:rPr>
      </w:pPr>
      <w:r>
        <w:rPr>
          <w:rFonts w:hint="eastAsia" w:ascii="宋体" w:hAnsi="宋体" w:eastAsia="宋体" w:cs="宋体"/>
          <w:bCs/>
          <w:color w:val="auto"/>
          <w:spacing w:val="-6"/>
          <w:kern w:val="0"/>
          <w:sz w:val="24"/>
          <w:szCs w:val="24"/>
          <w:highlight w:val="none"/>
          <w:u w:val="none"/>
          <w:lang w:val="en-US" w:eastAsia="zh-CN" w:bidi="ar-SA"/>
        </w:rPr>
        <w:t>综上所述，本工程建设符合生态环境分区管控要求。</w:t>
      </w:r>
    </w:p>
    <w:p w14:paraId="1A019DB5">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color w:val="auto"/>
          <w:spacing w:val="-6"/>
          <w:kern w:val="0"/>
          <w:sz w:val="24"/>
          <w:szCs w:val="24"/>
          <w:highlight w:val="none"/>
          <w:u w:val="none"/>
          <w:lang w:val="en-US" w:eastAsia="zh-CN" w:bidi="ar-SA"/>
        </w:rPr>
      </w:pPr>
      <w:r>
        <w:rPr>
          <w:rFonts w:hint="eastAsia" w:ascii="宋体" w:hAnsi="宋体" w:eastAsia="宋体" w:cs="宋体"/>
          <w:bCs w:val="0"/>
          <w:color w:val="auto"/>
          <w:kern w:val="24"/>
          <w:sz w:val="24"/>
          <w:szCs w:val="22"/>
          <w:highlight w:val="none"/>
          <w:u w:val="none"/>
          <w:lang w:val="en-US" w:eastAsia="zh-CN" w:bidi="ar-SA"/>
        </w:rPr>
        <w:t>本工程与生态保护红线位置关系</w:t>
      </w:r>
      <w:r>
        <w:rPr>
          <w:rFonts w:hint="eastAsia" w:ascii="宋体" w:hAnsi="宋体" w:cs="宋体"/>
          <w:bCs w:val="0"/>
          <w:color w:val="auto"/>
          <w:kern w:val="24"/>
          <w:sz w:val="24"/>
          <w:szCs w:val="22"/>
          <w:highlight w:val="none"/>
          <w:u w:val="none"/>
          <w:lang w:val="en-US" w:eastAsia="zh-CN" w:bidi="ar-SA"/>
        </w:rPr>
        <w:t>，</w:t>
      </w:r>
      <w:r>
        <w:rPr>
          <w:rFonts w:hint="eastAsia" w:ascii="宋体" w:hAnsi="宋体" w:eastAsia="宋体" w:cs="宋体"/>
          <w:bCs w:val="0"/>
          <w:color w:val="auto"/>
          <w:kern w:val="24"/>
          <w:sz w:val="24"/>
          <w:szCs w:val="22"/>
          <w:highlight w:val="none"/>
          <w:u w:val="none"/>
          <w:lang w:val="en-US" w:eastAsia="zh-CN" w:bidi="ar-SA"/>
        </w:rPr>
        <w:t>见图3.</w:t>
      </w:r>
      <w:r>
        <w:rPr>
          <w:rFonts w:hint="eastAsia" w:ascii="宋体" w:hAnsi="宋体" w:cs="宋体"/>
          <w:bCs w:val="0"/>
          <w:color w:val="auto"/>
          <w:kern w:val="24"/>
          <w:sz w:val="24"/>
          <w:szCs w:val="22"/>
          <w:highlight w:val="none"/>
          <w:u w:val="none"/>
          <w:lang w:val="en-US" w:eastAsia="zh-CN" w:bidi="ar-SA"/>
        </w:rPr>
        <w:t>5</w:t>
      </w:r>
      <w:r>
        <w:rPr>
          <w:rFonts w:hint="eastAsia" w:ascii="宋体" w:hAnsi="宋体" w:eastAsia="宋体" w:cs="宋体"/>
          <w:bCs w:val="0"/>
          <w:color w:val="auto"/>
          <w:kern w:val="24"/>
          <w:sz w:val="24"/>
          <w:szCs w:val="22"/>
          <w:highlight w:val="none"/>
          <w:u w:val="none"/>
          <w:lang w:val="en-US" w:eastAsia="zh-CN" w:bidi="ar-SA"/>
        </w:rPr>
        <w:t>-1。</w:t>
      </w:r>
    </w:p>
    <w:p w14:paraId="02C0A17D">
      <w:pPr>
        <w:keepNext w:val="0"/>
        <w:keepLines w:val="0"/>
        <w:pageBreakBefore w:val="0"/>
        <w:kinsoku/>
        <w:wordWrap/>
        <w:overflowPunct/>
        <w:topLinePunct w:val="0"/>
        <w:autoSpaceDE/>
        <w:autoSpaceDN/>
        <w:bidi w:val="0"/>
        <w:adjustRightInd/>
        <w:snapToGrid/>
        <w:spacing w:line="480" w:lineRule="exact"/>
        <w:ind w:firstLine="456" w:firstLineChars="200"/>
        <w:textAlignment w:val="auto"/>
        <w:rPr>
          <w:rFonts w:hint="eastAsia" w:ascii="宋体" w:hAnsi="宋体" w:eastAsia="宋体" w:cs="宋体"/>
          <w:bCs/>
          <w:color w:val="auto"/>
          <w:spacing w:val="-6"/>
          <w:kern w:val="0"/>
          <w:sz w:val="24"/>
          <w:szCs w:val="24"/>
          <w:highlight w:val="none"/>
          <w:u w:val="none"/>
          <w:lang w:val="en-US" w:eastAsia="zh-CN" w:bidi="ar-SA"/>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bCs/>
          <w:color w:val="auto"/>
          <w:spacing w:val="-6"/>
          <w:kern w:val="0"/>
          <w:sz w:val="24"/>
          <w:szCs w:val="24"/>
          <w:highlight w:val="none"/>
          <w:u w:val="none"/>
          <w:lang w:val="en-US" w:eastAsia="zh-CN" w:bidi="ar-SA"/>
        </w:rPr>
        <w:t>具体管控要求符合性能分析</w:t>
      </w:r>
      <w:r>
        <w:rPr>
          <w:rFonts w:hint="eastAsia" w:ascii="宋体" w:hAnsi="宋体" w:cs="宋体"/>
          <w:bCs/>
          <w:color w:val="auto"/>
          <w:spacing w:val="-6"/>
          <w:kern w:val="0"/>
          <w:sz w:val="24"/>
          <w:szCs w:val="24"/>
          <w:highlight w:val="none"/>
          <w:u w:val="none"/>
          <w:lang w:val="en-US" w:eastAsia="zh-CN" w:bidi="ar-SA"/>
        </w:rPr>
        <w:t>，</w:t>
      </w:r>
      <w:r>
        <w:rPr>
          <w:rFonts w:hint="eastAsia" w:ascii="宋体" w:hAnsi="宋体" w:eastAsia="宋体" w:cs="宋体"/>
          <w:bCs/>
          <w:color w:val="auto"/>
          <w:spacing w:val="-6"/>
          <w:kern w:val="0"/>
          <w:sz w:val="24"/>
          <w:szCs w:val="24"/>
          <w:highlight w:val="none"/>
          <w:u w:val="none"/>
          <w:lang w:val="en-US" w:eastAsia="zh-CN" w:bidi="ar-SA"/>
        </w:rPr>
        <w:t>见表3.</w:t>
      </w:r>
      <w:r>
        <w:rPr>
          <w:rFonts w:hint="eastAsia" w:ascii="宋体" w:hAnsi="宋体" w:cs="宋体"/>
          <w:bCs/>
          <w:color w:val="auto"/>
          <w:spacing w:val="-6"/>
          <w:kern w:val="0"/>
          <w:sz w:val="24"/>
          <w:szCs w:val="24"/>
          <w:highlight w:val="none"/>
          <w:u w:val="none"/>
          <w:lang w:val="en-US" w:eastAsia="zh-CN" w:bidi="ar-SA"/>
        </w:rPr>
        <w:t>5-12</w:t>
      </w:r>
      <w:r>
        <w:rPr>
          <w:rFonts w:hint="eastAsia" w:ascii="宋体" w:hAnsi="宋体" w:eastAsia="宋体" w:cs="宋体"/>
          <w:bCs/>
          <w:color w:val="auto"/>
          <w:spacing w:val="-6"/>
          <w:kern w:val="0"/>
          <w:sz w:val="24"/>
          <w:szCs w:val="24"/>
          <w:highlight w:val="none"/>
          <w:u w:val="none"/>
          <w:lang w:val="en-US" w:eastAsia="zh-CN" w:bidi="ar-SA"/>
        </w:rPr>
        <w:t>。</w:t>
      </w:r>
    </w:p>
    <w:p w14:paraId="43FE39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sectPr>
          <w:pgSz w:w="16838" w:h="11906" w:orient="landscape"/>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黑体" w:hAnsi="黑体" w:eastAsia="黑体" w:cs="黑体"/>
          <w:b w:val="0"/>
          <w:bCs/>
          <w:color w:val="auto"/>
          <w:kern w:val="2"/>
          <w:sz w:val="24"/>
          <w:szCs w:val="24"/>
          <w:u w:val="none"/>
          <w:lang w:val="en-US" w:eastAsia="zh-CN" w:bidi="ar-SA"/>
        </w:rPr>
        <w:drawing>
          <wp:anchor distT="0" distB="0" distL="114300" distR="114300" simplePos="0" relativeHeight="251706368" behindDoc="0" locked="0" layoutInCell="1" allowOverlap="1">
            <wp:simplePos x="0" y="0"/>
            <wp:positionH relativeFrom="column">
              <wp:posOffset>487045</wp:posOffset>
            </wp:positionH>
            <wp:positionV relativeFrom="paragraph">
              <wp:posOffset>69215</wp:posOffset>
            </wp:positionV>
            <wp:extent cx="8790940" cy="6214110"/>
            <wp:effectExtent l="0" t="0" r="10160" b="15240"/>
            <wp:wrapTopAndBottom/>
            <wp:docPr id="55" name="图片 55" descr="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红线"/>
                    <pic:cNvPicPr>
                      <a:picLocks noChangeAspect="1"/>
                    </pic:cNvPicPr>
                  </pic:nvPicPr>
                  <pic:blipFill>
                    <a:blip r:embed="rId51"/>
                    <a:stretch>
                      <a:fillRect/>
                    </a:stretch>
                  </pic:blipFill>
                  <pic:spPr>
                    <a:xfrm>
                      <a:off x="0" y="0"/>
                      <a:ext cx="8790940" cy="6214110"/>
                    </a:xfrm>
                    <a:prstGeom prst="rect">
                      <a:avLst/>
                    </a:prstGeom>
                  </pic:spPr>
                </pic:pic>
              </a:graphicData>
            </a:graphic>
          </wp:anchor>
        </w:drawing>
      </w:r>
      <w:r>
        <w:rPr>
          <w:rFonts w:hint="eastAsia" w:ascii="黑体" w:hAnsi="黑体" w:eastAsia="黑体" w:cs="黑体"/>
          <w:b w:val="0"/>
          <w:bCs/>
          <w:color w:val="auto"/>
          <w:kern w:val="2"/>
          <w:sz w:val="24"/>
          <w:szCs w:val="24"/>
          <w:u w:val="none"/>
          <w:lang w:val="en-US" w:eastAsia="zh-CN" w:bidi="ar-SA"/>
        </w:rPr>
        <w:t>图3.5-1  本工程与生态保护红线位置关系图</w:t>
      </w:r>
    </w:p>
    <w:p w14:paraId="1F9270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表3.</w:t>
      </w:r>
      <w:bookmarkStart w:id="339" w:name="_Toc69742109"/>
      <w:bookmarkStart w:id="340" w:name="_Toc65241745"/>
      <w:r>
        <w:rPr>
          <w:rFonts w:hint="eastAsia" w:ascii="黑体" w:hAnsi="黑体" w:eastAsia="黑体" w:cs="黑体"/>
          <w:b w:val="0"/>
          <w:bCs/>
          <w:color w:val="auto"/>
          <w:kern w:val="2"/>
          <w:sz w:val="24"/>
          <w:szCs w:val="24"/>
          <w:u w:val="none"/>
          <w:lang w:val="en-US" w:eastAsia="zh-CN" w:bidi="ar-SA"/>
        </w:rPr>
        <w:t xml:space="preserve">5-12  </w:t>
      </w:r>
      <w:bookmarkEnd w:id="339"/>
      <w:bookmarkEnd w:id="340"/>
      <w:r>
        <w:rPr>
          <w:rFonts w:hint="eastAsia" w:ascii="黑体" w:hAnsi="黑体" w:eastAsia="黑体" w:cs="黑体"/>
          <w:b w:val="0"/>
          <w:bCs/>
          <w:color w:val="auto"/>
          <w:kern w:val="2"/>
          <w:sz w:val="24"/>
          <w:szCs w:val="24"/>
          <w:u w:val="none"/>
          <w:lang w:val="en-US" w:eastAsia="zh-CN" w:bidi="ar-SA"/>
        </w:rPr>
        <w:t>呼图壁县环境管控单元生态环境准入清单（一般管控单元）</w:t>
      </w:r>
    </w:p>
    <w:tbl>
      <w:tblPr>
        <w:tblStyle w:val="37"/>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136"/>
        <w:gridCol w:w="1206"/>
        <w:gridCol w:w="1686"/>
        <w:gridCol w:w="5817"/>
        <w:gridCol w:w="3803"/>
      </w:tblGrid>
      <w:tr w14:paraId="020A0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26" w:type="pct"/>
            <w:tcBorders>
              <w:tl2br w:val="nil"/>
              <w:tr2bl w:val="nil"/>
            </w:tcBorders>
            <w:noWrap w:val="0"/>
            <w:vAlign w:val="center"/>
          </w:tcPr>
          <w:p w14:paraId="273A82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环境管控单元编码</w:t>
            </w:r>
          </w:p>
        </w:tc>
        <w:tc>
          <w:tcPr>
            <w:tcW w:w="364" w:type="pct"/>
            <w:tcBorders>
              <w:tl2br w:val="nil"/>
              <w:tr2bl w:val="nil"/>
            </w:tcBorders>
            <w:noWrap w:val="0"/>
            <w:vAlign w:val="center"/>
          </w:tcPr>
          <w:p w14:paraId="226425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环境管控单元名称</w:t>
            </w:r>
          </w:p>
        </w:tc>
        <w:tc>
          <w:tcPr>
            <w:tcW w:w="386" w:type="pct"/>
            <w:tcBorders>
              <w:tl2br w:val="nil"/>
              <w:tr2bl w:val="nil"/>
            </w:tcBorders>
            <w:noWrap w:val="0"/>
            <w:vAlign w:val="center"/>
          </w:tcPr>
          <w:p w14:paraId="03959C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环境管控单元类别</w:t>
            </w:r>
          </w:p>
        </w:tc>
        <w:tc>
          <w:tcPr>
            <w:tcW w:w="2404" w:type="pct"/>
            <w:gridSpan w:val="2"/>
            <w:tcBorders>
              <w:tl2br w:val="nil"/>
              <w:tr2bl w:val="nil"/>
            </w:tcBorders>
            <w:noWrap w:val="0"/>
            <w:vAlign w:val="center"/>
          </w:tcPr>
          <w:p w14:paraId="3C331F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管控要求</w:t>
            </w:r>
          </w:p>
        </w:tc>
        <w:tc>
          <w:tcPr>
            <w:tcW w:w="1218" w:type="pct"/>
            <w:tcBorders>
              <w:tl2br w:val="nil"/>
              <w:tr2bl w:val="nil"/>
            </w:tcBorders>
            <w:noWrap w:val="0"/>
            <w:vAlign w:val="center"/>
          </w:tcPr>
          <w:p w14:paraId="634223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eastAsia="zh-CN"/>
              </w:rPr>
            </w:pPr>
            <w:r>
              <w:rPr>
                <w:rFonts w:hint="eastAsia" w:ascii="宋体" w:hAnsi="宋体" w:cs="宋体"/>
                <w:color w:val="auto"/>
                <w:sz w:val="21"/>
                <w:szCs w:val="21"/>
                <w:highlight w:val="none"/>
                <w:u w:val="none"/>
                <w:lang w:val="en-US" w:eastAsia="zh-CN"/>
              </w:rPr>
              <w:t>本项目</w:t>
            </w:r>
          </w:p>
        </w:tc>
      </w:tr>
      <w:tr w14:paraId="76BB1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26" w:type="pct"/>
            <w:vMerge w:val="restart"/>
            <w:tcBorders>
              <w:tl2br w:val="nil"/>
              <w:tr2bl w:val="nil"/>
            </w:tcBorders>
            <w:noWrap w:val="0"/>
            <w:vAlign w:val="center"/>
          </w:tcPr>
          <w:p w14:paraId="2AD61CA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ZH65232330001</w:t>
            </w:r>
          </w:p>
        </w:tc>
        <w:tc>
          <w:tcPr>
            <w:tcW w:w="364" w:type="pct"/>
            <w:vMerge w:val="restart"/>
            <w:tcBorders>
              <w:tl2br w:val="nil"/>
              <w:tr2bl w:val="nil"/>
            </w:tcBorders>
            <w:noWrap w:val="0"/>
            <w:vAlign w:val="center"/>
          </w:tcPr>
          <w:p w14:paraId="4E4E68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呼图壁县一般管控单元</w:t>
            </w:r>
          </w:p>
        </w:tc>
        <w:tc>
          <w:tcPr>
            <w:tcW w:w="386" w:type="pct"/>
            <w:vMerge w:val="restart"/>
            <w:tcBorders>
              <w:tl2br w:val="nil"/>
              <w:tr2bl w:val="nil"/>
            </w:tcBorders>
            <w:noWrap w:val="0"/>
            <w:vAlign w:val="center"/>
          </w:tcPr>
          <w:p w14:paraId="4A68DD4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一般管控单元</w:t>
            </w:r>
          </w:p>
        </w:tc>
        <w:tc>
          <w:tcPr>
            <w:tcW w:w="540" w:type="pct"/>
            <w:tcBorders>
              <w:tl2br w:val="nil"/>
              <w:tr2bl w:val="nil"/>
            </w:tcBorders>
            <w:noWrap w:val="0"/>
            <w:vAlign w:val="center"/>
          </w:tcPr>
          <w:p w14:paraId="4575C1B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空间布局约束</w:t>
            </w:r>
          </w:p>
        </w:tc>
        <w:tc>
          <w:tcPr>
            <w:tcW w:w="1864" w:type="pct"/>
            <w:tcBorders>
              <w:tl2br w:val="nil"/>
              <w:tr2bl w:val="nil"/>
            </w:tcBorders>
            <w:noWrap w:val="0"/>
            <w:vAlign w:val="center"/>
          </w:tcPr>
          <w:p w14:paraId="5DACB4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1、符合国土空间规划要求。 </w:t>
            </w:r>
          </w:p>
          <w:p w14:paraId="5FE1155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default" w:ascii="宋体" w:hAnsi="宋体" w:eastAsia="宋体" w:cs="宋体"/>
                <w:color w:val="auto"/>
                <w:sz w:val="21"/>
                <w:szCs w:val="21"/>
                <w:highlight w:val="none"/>
                <w:u w:val="none"/>
              </w:rPr>
              <w:t>2、</w:t>
            </w:r>
            <w:r>
              <w:rPr>
                <w:rFonts w:hint="eastAsia" w:ascii="宋体" w:hAnsi="宋体" w:eastAsia="宋体" w:cs="宋体"/>
                <w:color w:val="auto"/>
                <w:sz w:val="21"/>
                <w:szCs w:val="21"/>
                <w:highlight w:val="none"/>
                <w:u w:val="none"/>
              </w:rPr>
              <w:t>符合《产业结构调整指导目录（2024年本）》、《市场准入负面清单（2022年版）》</w:t>
            </w:r>
          </w:p>
        </w:tc>
        <w:tc>
          <w:tcPr>
            <w:tcW w:w="1218" w:type="pct"/>
            <w:vMerge w:val="restart"/>
            <w:tcBorders>
              <w:tl2br w:val="nil"/>
              <w:tr2bl w:val="nil"/>
            </w:tcBorders>
            <w:noWrap w:val="0"/>
            <w:vAlign w:val="center"/>
          </w:tcPr>
          <w:p w14:paraId="02E98A4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本项目</w:t>
            </w:r>
            <w:r>
              <w:rPr>
                <w:rFonts w:hint="eastAsia" w:ascii="宋体" w:hAnsi="宋体" w:cs="宋体"/>
                <w:color w:val="auto"/>
                <w:sz w:val="21"/>
                <w:szCs w:val="21"/>
                <w:highlight w:val="none"/>
                <w:u w:val="none"/>
                <w:lang w:val="en-US" w:eastAsia="zh-CN"/>
              </w:rPr>
              <w:t>为油气</w:t>
            </w:r>
            <w:r>
              <w:rPr>
                <w:rFonts w:hint="eastAsia" w:ascii="宋体" w:hAnsi="宋体" w:eastAsia="宋体" w:cs="宋体"/>
                <w:color w:val="auto"/>
                <w:sz w:val="21"/>
                <w:szCs w:val="21"/>
                <w:highlight w:val="none"/>
                <w:u w:val="none"/>
              </w:rPr>
              <w:t>开采类项目，</w:t>
            </w:r>
            <w:r>
              <w:rPr>
                <w:rFonts w:hint="eastAsia" w:ascii="宋体" w:hAnsi="宋体" w:cs="宋体"/>
                <w:color w:val="auto"/>
                <w:sz w:val="21"/>
                <w:szCs w:val="21"/>
                <w:highlight w:val="none"/>
                <w:u w:val="none"/>
                <w:lang w:val="en-US" w:eastAsia="zh-CN"/>
              </w:rPr>
              <w:t>属</w:t>
            </w:r>
            <w:r>
              <w:rPr>
                <w:rFonts w:hint="eastAsia" w:ascii="宋体" w:hAnsi="宋体" w:eastAsia="宋体" w:cs="宋体"/>
                <w:color w:val="auto"/>
                <w:sz w:val="21"/>
                <w:szCs w:val="21"/>
                <w:highlight w:val="none"/>
                <w:u w:val="none"/>
              </w:rPr>
              <w:t>《产业结构调整指导目录（2024年本）》</w:t>
            </w:r>
            <w:r>
              <w:rPr>
                <w:rFonts w:hint="eastAsia" w:ascii="宋体" w:hAnsi="宋体" w:cs="宋体"/>
                <w:color w:val="auto"/>
                <w:sz w:val="21"/>
                <w:szCs w:val="21"/>
                <w:highlight w:val="none"/>
                <w:u w:val="none"/>
                <w:lang w:val="en-US" w:eastAsia="zh-CN"/>
              </w:rPr>
              <w:t>中</w:t>
            </w:r>
            <w:r>
              <w:rPr>
                <w:rFonts w:hint="eastAsia" w:ascii="宋体" w:hAnsi="宋体" w:eastAsia="宋体" w:cs="宋体"/>
                <w:color w:val="auto"/>
                <w:sz w:val="21"/>
                <w:szCs w:val="21"/>
                <w:highlight w:val="none"/>
                <w:u w:val="none"/>
              </w:rPr>
              <w:t>“鼓励类”项目</w:t>
            </w:r>
            <w:r>
              <w:rPr>
                <w:rFonts w:hint="eastAsia" w:ascii="宋体" w:hAnsi="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位于昌吉回族自治州呼图壁县境内，不涉及依法划定的自然保护区、饮用水源保护区、风景名胜区、森林公园及其他需要特别保护的环境敏感区，距离生态保护红线较远</w:t>
            </w:r>
            <w:r>
              <w:rPr>
                <w:rFonts w:hint="eastAsia" w:ascii="宋体" w:hAnsi="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符合国土空间规划。</w:t>
            </w:r>
          </w:p>
          <w:p w14:paraId="4F6D2F2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运营期采用密闭集输工艺，产生的废气主要为油气集输过程中产生的无组织非甲烷总烃、硫化氢挥发，类别同类型井场、站场，厂界污染物排放浓度可满足相关标准要求。</w:t>
            </w:r>
          </w:p>
        </w:tc>
      </w:tr>
      <w:tr w14:paraId="128B3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26" w:type="pct"/>
            <w:vMerge w:val="continue"/>
            <w:tcBorders>
              <w:tl2br w:val="nil"/>
              <w:tr2bl w:val="nil"/>
            </w:tcBorders>
            <w:noWrap w:val="0"/>
            <w:vAlign w:val="center"/>
          </w:tcPr>
          <w:p w14:paraId="427F113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c>
          <w:tcPr>
            <w:tcW w:w="364" w:type="pct"/>
            <w:vMerge w:val="continue"/>
            <w:tcBorders>
              <w:tl2br w:val="nil"/>
              <w:tr2bl w:val="nil"/>
            </w:tcBorders>
            <w:noWrap w:val="0"/>
            <w:vAlign w:val="center"/>
          </w:tcPr>
          <w:p w14:paraId="63C188D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c>
          <w:tcPr>
            <w:tcW w:w="386" w:type="pct"/>
            <w:vMerge w:val="continue"/>
            <w:tcBorders>
              <w:tl2br w:val="nil"/>
              <w:tr2bl w:val="nil"/>
            </w:tcBorders>
            <w:noWrap w:val="0"/>
            <w:vAlign w:val="center"/>
          </w:tcPr>
          <w:p w14:paraId="30472A7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c>
          <w:tcPr>
            <w:tcW w:w="540" w:type="pct"/>
            <w:tcBorders>
              <w:tl2br w:val="nil"/>
              <w:tr2bl w:val="nil"/>
            </w:tcBorders>
            <w:noWrap w:val="0"/>
            <w:vAlign w:val="center"/>
          </w:tcPr>
          <w:p w14:paraId="72F58F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污染物排放管控</w:t>
            </w:r>
          </w:p>
        </w:tc>
        <w:tc>
          <w:tcPr>
            <w:tcW w:w="1864" w:type="pct"/>
            <w:tcBorders>
              <w:tl2br w:val="nil"/>
              <w:tr2bl w:val="nil"/>
            </w:tcBorders>
            <w:noWrap w:val="0"/>
            <w:vAlign w:val="center"/>
          </w:tcPr>
          <w:p w14:paraId="1DC489D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1、污染物排放执行国家和地方相关标准中普适性要求。 </w:t>
            </w:r>
          </w:p>
          <w:p w14:paraId="0DC8B80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w:t>
            </w:r>
            <w:r>
              <w:rPr>
                <w:rFonts w:hint="default"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rPr>
              <w:t>乌-昌-石</w:t>
            </w:r>
            <w:r>
              <w:rPr>
                <w:rFonts w:hint="default"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rPr>
              <w:t xml:space="preserve">区域内，已实施超低排放的涉气排污单位，其实施超低排放改造的污染因子执行超低排放限值，其他污染因子执行特别排放限值和特别控制要求。 </w:t>
            </w:r>
          </w:p>
          <w:p w14:paraId="3A8BF94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3、加强农业面源污染治理，科学合理使用化肥农药，逐步削减农业面源污染物排放量。 </w:t>
            </w:r>
          </w:p>
          <w:p w14:paraId="5A1E22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4、施工工地全面落实</w:t>
            </w:r>
            <w:r>
              <w:rPr>
                <w:rFonts w:hint="default"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rPr>
              <w:t>六个百分之百</w:t>
            </w:r>
            <w:r>
              <w:rPr>
                <w:rFonts w:hint="default"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rPr>
              <w:t xml:space="preserve">（施工工地周边围挡、物料堆放覆盖、出入车辆冲洗、施工现场地面硬化、拆迁工地湿法作业、渣土车辆密闭运输）。 </w:t>
            </w:r>
          </w:p>
        </w:tc>
        <w:tc>
          <w:tcPr>
            <w:tcW w:w="1218" w:type="pct"/>
            <w:vMerge w:val="continue"/>
            <w:tcBorders>
              <w:tl2br w:val="nil"/>
              <w:tr2bl w:val="nil"/>
            </w:tcBorders>
            <w:noWrap w:val="0"/>
            <w:vAlign w:val="center"/>
          </w:tcPr>
          <w:p w14:paraId="4803825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color w:val="auto"/>
                <w:sz w:val="21"/>
                <w:szCs w:val="21"/>
                <w:highlight w:val="none"/>
                <w:u w:val="none"/>
                <w:lang w:val="en-US" w:eastAsia="zh-CN"/>
              </w:rPr>
            </w:pPr>
          </w:p>
        </w:tc>
      </w:tr>
      <w:tr w14:paraId="3436C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26" w:type="pct"/>
            <w:vMerge w:val="continue"/>
            <w:tcBorders>
              <w:tl2br w:val="nil"/>
              <w:tr2bl w:val="nil"/>
            </w:tcBorders>
            <w:noWrap w:val="0"/>
            <w:vAlign w:val="center"/>
          </w:tcPr>
          <w:p w14:paraId="52829F3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c>
          <w:tcPr>
            <w:tcW w:w="364" w:type="pct"/>
            <w:vMerge w:val="continue"/>
            <w:tcBorders>
              <w:tl2br w:val="nil"/>
              <w:tr2bl w:val="nil"/>
            </w:tcBorders>
            <w:noWrap w:val="0"/>
            <w:vAlign w:val="center"/>
          </w:tcPr>
          <w:p w14:paraId="1A8E91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c>
          <w:tcPr>
            <w:tcW w:w="386" w:type="pct"/>
            <w:vMerge w:val="continue"/>
            <w:tcBorders>
              <w:tl2br w:val="nil"/>
              <w:tr2bl w:val="nil"/>
            </w:tcBorders>
            <w:noWrap w:val="0"/>
            <w:vAlign w:val="center"/>
          </w:tcPr>
          <w:p w14:paraId="49A9B59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c>
          <w:tcPr>
            <w:tcW w:w="540" w:type="pct"/>
            <w:tcBorders>
              <w:tl2br w:val="nil"/>
              <w:tr2bl w:val="nil"/>
            </w:tcBorders>
            <w:noWrap w:val="0"/>
            <w:vAlign w:val="center"/>
          </w:tcPr>
          <w:p w14:paraId="384B4FC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环境风险防控</w:t>
            </w:r>
          </w:p>
        </w:tc>
        <w:tc>
          <w:tcPr>
            <w:tcW w:w="1864" w:type="pct"/>
            <w:tcBorders>
              <w:tl2br w:val="nil"/>
              <w:tr2bl w:val="nil"/>
            </w:tcBorders>
            <w:noWrap w:val="0"/>
            <w:vAlign w:val="center"/>
          </w:tcPr>
          <w:p w14:paraId="4C2DF03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1、执行区域生态环境保护的基本要求。 </w:t>
            </w:r>
          </w:p>
          <w:p w14:paraId="2A68C0A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2、执行昌吉州总体准入清单中的要求。</w:t>
            </w:r>
          </w:p>
        </w:tc>
        <w:tc>
          <w:tcPr>
            <w:tcW w:w="1218" w:type="pct"/>
            <w:vMerge w:val="continue"/>
            <w:tcBorders>
              <w:tl2br w:val="nil"/>
              <w:tr2bl w:val="nil"/>
            </w:tcBorders>
            <w:noWrap w:val="0"/>
            <w:vAlign w:val="center"/>
          </w:tcPr>
          <w:p w14:paraId="73171C7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r>
      <w:tr w14:paraId="23441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26" w:type="pct"/>
            <w:vMerge w:val="continue"/>
            <w:tcBorders>
              <w:tl2br w:val="nil"/>
              <w:tr2bl w:val="nil"/>
            </w:tcBorders>
            <w:noWrap w:val="0"/>
            <w:vAlign w:val="center"/>
          </w:tcPr>
          <w:p w14:paraId="424CAF4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c>
          <w:tcPr>
            <w:tcW w:w="364" w:type="pct"/>
            <w:vMerge w:val="continue"/>
            <w:tcBorders>
              <w:tl2br w:val="nil"/>
              <w:tr2bl w:val="nil"/>
            </w:tcBorders>
            <w:noWrap w:val="0"/>
            <w:vAlign w:val="center"/>
          </w:tcPr>
          <w:p w14:paraId="29074AB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c>
          <w:tcPr>
            <w:tcW w:w="386" w:type="pct"/>
            <w:vMerge w:val="continue"/>
            <w:tcBorders>
              <w:tl2br w:val="nil"/>
              <w:tr2bl w:val="nil"/>
            </w:tcBorders>
            <w:noWrap w:val="0"/>
            <w:vAlign w:val="center"/>
          </w:tcPr>
          <w:p w14:paraId="062633A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c>
          <w:tcPr>
            <w:tcW w:w="540" w:type="pct"/>
            <w:tcBorders>
              <w:tl2br w:val="nil"/>
              <w:tr2bl w:val="nil"/>
            </w:tcBorders>
            <w:noWrap w:val="0"/>
            <w:vAlign w:val="center"/>
          </w:tcPr>
          <w:p w14:paraId="1B883FA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资源利用效率</w:t>
            </w:r>
          </w:p>
        </w:tc>
        <w:tc>
          <w:tcPr>
            <w:tcW w:w="1864" w:type="pct"/>
            <w:tcBorders>
              <w:tl2br w:val="nil"/>
              <w:tr2bl w:val="nil"/>
            </w:tcBorders>
            <w:noWrap w:val="0"/>
            <w:vAlign w:val="center"/>
          </w:tcPr>
          <w:p w14:paraId="0A4CACE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1、执行区域资源能源利用的基本要求。 </w:t>
            </w:r>
          </w:p>
          <w:p w14:paraId="514307E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 xml:space="preserve">2、执行昌吉州总体准入清单中的要求。 </w:t>
            </w:r>
          </w:p>
        </w:tc>
        <w:tc>
          <w:tcPr>
            <w:tcW w:w="1218" w:type="pct"/>
            <w:vMerge w:val="continue"/>
            <w:tcBorders>
              <w:tl2br w:val="nil"/>
              <w:tr2bl w:val="nil"/>
            </w:tcBorders>
            <w:noWrap w:val="0"/>
            <w:vAlign w:val="center"/>
          </w:tcPr>
          <w:p w14:paraId="52FD07C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u w:val="none"/>
              </w:rPr>
            </w:pPr>
          </w:p>
        </w:tc>
      </w:tr>
    </w:tbl>
    <w:p w14:paraId="6C26DC07">
      <w:pPr>
        <w:pStyle w:val="2"/>
        <w:rPr>
          <w:rFonts w:hint="default"/>
          <w:color w:val="auto"/>
          <w:u w:val="none"/>
        </w:rPr>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ACCD5DF">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41" w:name="_Toc109382923"/>
      <w:bookmarkStart w:id="342" w:name="_Toc25750"/>
      <w:bookmarkStart w:id="343" w:name="_Toc2063"/>
      <w:bookmarkStart w:id="344" w:name="_Toc28358"/>
      <w:bookmarkStart w:id="345" w:name="_Toc1380"/>
      <w:bookmarkStart w:id="346" w:name="_Toc374724182"/>
      <w:bookmarkStart w:id="347" w:name="_Toc353966737"/>
      <w:bookmarkStart w:id="348" w:name="_Toc109382924"/>
      <w:bookmarkStart w:id="349" w:name="_Toc361761829"/>
      <w:bookmarkStart w:id="350" w:name="_Toc19359"/>
      <w:bookmarkStart w:id="351" w:name="_Toc508291885"/>
      <w:r>
        <w:rPr>
          <w:rFonts w:hint="default" w:ascii="黑体" w:hAnsi="黑体" w:eastAsia="黑体" w:cs="黑体"/>
          <w:color w:val="auto"/>
          <w:sz w:val="28"/>
          <w:szCs w:val="28"/>
          <w:u w:val="none"/>
          <w:lang w:val="en-US" w:eastAsia="zh-CN"/>
        </w:rPr>
        <w:t>3.</w:t>
      </w:r>
      <w:r>
        <w:rPr>
          <w:rFonts w:hint="eastAsia" w:ascii="黑体" w:hAnsi="黑体" w:eastAsia="黑体" w:cs="黑体"/>
          <w:color w:val="auto"/>
          <w:sz w:val="28"/>
          <w:szCs w:val="28"/>
          <w:u w:val="none"/>
          <w:lang w:val="en-US" w:eastAsia="zh-CN"/>
        </w:rPr>
        <w:t xml:space="preserve">6 </w:t>
      </w:r>
      <w:r>
        <w:rPr>
          <w:rFonts w:hint="default" w:ascii="黑体" w:hAnsi="黑体" w:eastAsia="黑体" w:cs="黑体"/>
          <w:color w:val="auto"/>
          <w:sz w:val="28"/>
          <w:szCs w:val="28"/>
          <w:u w:val="none"/>
          <w:lang w:val="en-US" w:eastAsia="zh-CN"/>
        </w:rPr>
        <w:t>选址选线合理性分析</w:t>
      </w:r>
      <w:bookmarkEnd w:id="341"/>
      <w:bookmarkEnd w:id="342"/>
      <w:bookmarkEnd w:id="343"/>
      <w:bookmarkEnd w:id="344"/>
    </w:p>
    <w:p w14:paraId="7F2B8BC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eastAsia="宋体" w:cs="Times New Roman"/>
          <w:color w:val="auto"/>
          <w:kern w:val="0"/>
          <w:sz w:val="24"/>
          <w:szCs w:val="24"/>
          <w:highlight w:val="none"/>
          <w:u w:val="none"/>
          <w:lang w:val="en-US" w:eastAsia="zh-CN" w:bidi="ar"/>
        </w:rPr>
      </w:pPr>
      <w:r>
        <w:rPr>
          <w:rFonts w:hint="eastAsia" w:ascii="Times New Roman" w:hAnsi="Times New Roman" w:eastAsia="宋体" w:cs="Times New Roman"/>
          <w:color w:val="auto"/>
          <w:kern w:val="0"/>
          <w:sz w:val="24"/>
          <w:szCs w:val="24"/>
          <w:highlight w:val="none"/>
          <w:u w:val="none"/>
          <w:lang w:val="en-US" w:eastAsia="zh-CN" w:bidi="ar"/>
        </w:rPr>
        <w:t>本工程</w:t>
      </w:r>
      <w:r>
        <w:rPr>
          <w:rFonts w:hint="default" w:ascii="Times New Roman" w:hAnsi="Times New Roman" w:eastAsia="宋体" w:cs="Times New Roman"/>
          <w:color w:val="auto"/>
          <w:kern w:val="0"/>
          <w:sz w:val="24"/>
          <w:szCs w:val="24"/>
          <w:highlight w:val="none"/>
          <w:u w:val="none"/>
          <w:lang w:val="en-US" w:eastAsia="zh-CN" w:bidi="ar"/>
        </w:rPr>
        <w:t>不涉及依法划定的自然保护区、饮用水源保护区、风景名胜区、森林公园及其他需要特别保护的环境敏感区。</w:t>
      </w:r>
    </w:p>
    <w:p w14:paraId="69518A3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根据现场调查及查阅相关资料，工程占地</w:t>
      </w:r>
      <w:r>
        <w:rPr>
          <w:rFonts w:hint="eastAsia" w:ascii="Times New Roman" w:hAnsi="Times New Roman" w:eastAsia="宋体" w:cs="Times New Roman"/>
          <w:color w:val="auto"/>
          <w:kern w:val="0"/>
          <w:sz w:val="24"/>
          <w:szCs w:val="24"/>
          <w:highlight w:val="none"/>
          <w:u w:val="none"/>
          <w:lang w:val="en-US" w:eastAsia="zh-CN" w:bidi="ar"/>
        </w:rPr>
        <w:t>类型</w:t>
      </w:r>
      <w:r>
        <w:rPr>
          <w:rFonts w:hint="default" w:ascii="Times New Roman" w:hAnsi="Times New Roman" w:eastAsia="宋体" w:cs="Times New Roman"/>
          <w:color w:val="auto"/>
          <w:kern w:val="0"/>
          <w:sz w:val="24"/>
          <w:szCs w:val="24"/>
          <w:highlight w:val="none"/>
          <w:u w:val="none"/>
          <w:lang w:val="en-US" w:eastAsia="zh-CN" w:bidi="ar"/>
        </w:rPr>
        <w:t>为沙地</w:t>
      </w:r>
      <w:r>
        <w:rPr>
          <w:rFonts w:hint="eastAsia" w:ascii="Times New Roman" w:hAnsi="Times New Roman" w:eastAsia="宋体" w:cs="Times New Roman"/>
          <w:color w:val="auto"/>
          <w:kern w:val="0"/>
          <w:sz w:val="24"/>
          <w:szCs w:val="24"/>
          <w:highlight w:val="none"/>
          <w:u w:val="none"/>
          <w:lang w:val="en-US" w:eastAsia="zh-CN" w:bidi="ar"/>
        </w:rPr>
        <w:t>，</w:t>
      </w:r>
      <w:r>
        <w:rPr>
          <w:rFonts w:hint="default" w:ascii="Times New Roman" w:hAnsi="Times New Roman" w:eastAsia="宋体" w:cs="Times New Roman"/>
          <w:color w:val="auto"/>
          <w:kern w:val="0"/>
          <w:sz w:val="24"/>
          <w:szCs w:val="24"/>
          <w:highlight w:val="none"/>
          <w:u w:val="none"/>
          <w:lang w:val="en-US" w:eastAsia="zh-CN" w:bidi="ar"/>
        </w:rPr>
        <w:t>地表为流动沙丘所覆盖，项目区内植被覆盖度在</w:t>
      </w:r>
      <w:r>
        <w:rPr>
          <w:rFonts w:hint="eastAsia" w:ascii="Times New Roman" w:hAnsi="Times New Roman" w:eastAsia="宋体" w:cs="Times New Roman"/>
          <w:color w:val="auto"/>
          <w:kern w:val="0"/>
          <w:sz w:val="24"/>
          <w:szCs w:val="24"/>
          <w:highlight w:val="none"/>
          <w:u w:val="none"/>
          <w:lang w:val="en-US" w:eastAsia="zh-CN" w:bidi="ar"/>
        </w:rPr>
        <w:t>5</w:t>
      </w:r>
      <w:r>
        <w:rPr>
          <w:rFonts w:hint="default" w:ascii="Times New Roman" w:hAnsi="Times New Roman" w:eastAsia="宋体" w:cs="Times New Roman"/>
          <w:color w:val="auto"/>
          <w:kern w:val="0"/>
          <w:sz w:val="24"/>
          <w:szCs w:val="24"/>
          <w:highlight w:val="none"/>
          <w:u w:val="none"/>
          <w:lang w:val="en-US" w:eastAsia="zh-CN" w:bidi="ar"/>
        </w:rPr>
        <w:t>%左右。根据《国家重点保护野生植物名录》《新疆维吾尔自治区人民政府关于公布新疆维吾尔自治区重点保护野生植物名录的通知》（新政发〔2023〕63号文），评价区无保护植物。</w:t>
      </w:r>
    </w:p>
    <w:p w14:paraId="3CB8912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2）本工程的各类集输管道设计严格遵守国家或行业标准《输油管道工程设计规范》（GB50253-2014）《石油天然气工程设计防火规范》（GB50183-2004）、《油气输送管道穿越工程设计规范》（GB50423-2013）《油气输送管道跨越工程设计规范》（GB50459-2009）；线路总体走向力求顺直，线路总体走向确定以后，局部线路走向应根据井场的位置作相应调整；井场靠近和利用现有油田公路，方便施工及运行管理；线路在无人区穿越，不涉及征地和拆迁；线路尽量避开不良工程地质区，保证管道运行安全可靠，从工艺、运行管理、征地分析，本工程集输管道选线合理。</w:t>
      </w:r>
    </w:p>
    <w:p w14:paraId="1A3D041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w:t>
      </w:r>
      <w:r>
        <w:rPr>
          <w:rFonts w:hint="eastAsia" w:ascii="Times New Roman" w:hAnsi="Times New Roman" w:eastAsia="宋体" w:cs="Times New Roman"/>
          <w:color w:val="auto"/>
          <w:kern w:val="0"/>
          <w:sz w:val="24"/>
          <w:szCs w:val="24"/>
          <w:highlight w:val="none"/>
          <w:u w:val="none"/>
          <w:lang w:val="en-US" w:eastAsia="zh-CN" w:bidi="ar"/>
        </w:rPr>
        <w:t>3</w:t>
      </w:r>
      <w:r>
        <w:rPr>
          <w:rFonts w:hint="default" w:ascii="Times New Roman" w:hAnsi="Times New Roman" w:eastAsia="宋体" w:cs="Times New Roman"/>
          <w:color w:val="auto"/>
          <w:kern w:val="0"/>
          <w:sz w:val="24"/>
          <w:szCs w:val="24"/>
          <w:highlight w:val="none"/>
          <w:u w:val="none"/>
          <w:lang w:val="en-US" w:eastAsia="zh-CN" w:bidi="ar"/>
        </w:rPr>
        <w:t>）本工程均在规划的油田内，属于水土流失重点预防区，项目建设及运行过程中需按照设计及环评要求采取水土保持措施和防沙治沙措施，根据工程水土流失影响预测分析和土地沙化趋势分析，工程对周边产生的环境影响在可接受范围内，各类集输管道选线合理。</w:t>
      </w:r>
    </w:p>
    <w:p w14:paraId="24DD8C8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w:t>
      </w:r>
      <w:r>
        <w:rPr>
          <w:rFonts w:hint="eastAsia" w:ascii="Times New Roman" w:hAnsi="Times New Roman" w:eastAsia="宋体" w:cs="Times New Roman"/>
          <w:color w:val="auto"/>
          <w:kern w:val="0"/>
          <w:sz w:val="24"/>
          <w:szCs w:val="24"/>
          <w:highlight w:val="none"/>
          <w:u w:val="none"/>
          <w:lang w:val="en-US" w:eastAsia="zh-CN" w:bidi="ar"/>
        </w:rPr>
        <w:t>4</w:t>
      </w:r>
      <w:r>
        <w:rPr>
          <w:rFonts w:hint="default" w:ascii="Times New Roman" w:hAnsi="Times New Roman" w:eastAsia="宋体" w:cs="Times New Roman"/>
          <w:color w:val="auto"/>
          <w:kern w:val="0"/>
          <w:sz w:val="24"/>
          <w:szCs w:val="24"/>
          <w:highlight w:val="none"/>
          <w:u w:val="none"/>
          <w:lang w:val="en-US" w:eastAsia="zh-CN" w:bidi="ar"/>
        </w:rPr>
        <w:t>）本工程实施过程中，废水、固废均可得到适当处置，不会对外环境造成不利影响。根据“地下决定地上，地下顾及地上”的原则，本工程在选址和布局上采用占地面积最小、环境影响最小的布局方案。同时在施工时严格限制施工作业宽度，尽量利用现有道路，减少新建道路，减少对沙地的占用。管线尽量沿道路敷设，总体布局合理。对临时占地采取生态恢复及补偿措施，把对生态环境的影响降至最小</w:t>
      </w:r>
      <w:r>
        <w:rPr>
          <w:rFonts w:hint="eastAsia" w:ascii="Times New Roman" w:hAnsi="Times New Roman" w:eastAsia="宋体" w:cs="Times New Roman"/>
          <w:color w:val="auto"/>
          <w:kern w:val="0"/>
          <w:sz w:val="24"/>
          <w:szCs w:val="24"/>
          <w:highlight w:val="none"/>
          <w:u w:val="none"/>
          <w:lang w:val="en-US" w:eastAsia="zh-CN" w:bidi="ar"/>
        </w:rPr>
        <w:t>。</w:t>
      </w:r>
    </w:p>
    <w:p w14:paraId="7FFAA67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宋体" w:hAnsi="宋体" w:eastAsia="宋体" w:cs="宋体"/>
          <w:snapToGrid w:val="0"/>
          <w:color w:val="auto"/>
          <w:kern w:val="0"/>
          <w:sz w:val="24"/>
          <w:szCs w:val="24"/>
          <w:highlight w:val="none"/>
          <w:u w:val="none"/>
          <w:lang w:val="en-US" w:eastAsia="zh-CN" w:bidi="ar-SA"/>
        </w:rPr>
      </w:pPr>
      <w:r>
        <w:rPr>
          <w:rFonts w:hint="default" w:ascii="宋体" w:hAnsi="宋体" w:eastAsia="宋体" w:cs="宋体"/>
          <w:snapToGrid w:val="0"/>
          <w:color w:val="auto"/>
          <w:kern w:val="0"/>
          <w:sz w:val="24"/>
          <w:szCs w:val="24"/>
          <w:highlight w:val="none"/>
          <w:u w:val="none"/>
          <w:lang w:val="en-US" w:eastAsia="zh-CN" w:bidi="ar-SA"/>
        </w:rPr>
        <w:t>综上所述，本项目所有占地均不涉及生态敏感区，</w:t>
      </w:r>
      <w:r>
        <w:rPr>
          <w:rFonts w:hint="eastAsia" w:ascii="宋体" w:hAnsi="宋体" w:eastAsia="宋体" w:cs="宋体"/>
          <w:snapToGrid w:val="0"/>
          <w:color w:val="auto"/>
          <w:kern w:val="0"/>
          <w:sz w:val="24"/>
          <w:szCs w:val="24"/>
          <w:highlight w:val="none"/>
          <w:u w:val="none"/>
          <w:lang w:val="en-US" w:eastAsia="zh-CN" w:bidi="ar-SA"/>
        </w:rPr>
        <w:t>井场、</w:t>
      </w:r>
      <w:r>
        <w:rPr>
          <w:rFonts w:hint="default" w:ascii="宋体" w:hAnsi="宋体" w:eastAsia="宋体" w:cs="宋体"/>
          <w:snapToGrid w:val="0"/>
          <w:color w:val="auto"/>
          <w:kern w:val="0"/>
          <w:sz w:val="24"/>
          <w:szCs w:val="24"/>
          <w:highlight w:val="none"/>
          <w:u w:val="none"/>
          <w:lang w:val="en-US" w:eastAsia="zh-CN" w:bidi="ar-SA"/>
        </w:rPr>
        <w:t>管线及道路选址均远离生态保护红线，占地类型主要为沙地，无环境限制因素，选址选线合理</w:t>
      </w:r>
      <w:r>
        <w:rPr>
          <w:rFonts w:hint="eastAsia" w:ascii="宋体" w:hAnsi="宋体" w:eastAsia="宋体" w:cs="宋体"/>
          <w:snapToGrid w:val="0"/>
          <w:color w:val="auto"/>
          <w:kern w:val="0"/>
          <w:sz w:val="24"/>
          <w:szCs w:val="24"/>
          <w:highlight w:val="none"/>
          <w:u w:val="none"/>
          <w:lang w:val="en-US" w:eastAsia="zh-CN" w:bidi="ar-SA"/>
        </w:rPr>
        <w:t>。</w:t>
      </w:r>
    </w:p>
    <w:p w14:paraId="7B995E4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napToGrid w:val="0"/>
          <w:color w:val="auto"/>
          <w:kern w:val="0"/>
          <w:sz w:val="24"/>
          <w:szCs w:val="24"/>
          <w:highlight w:val="none"/>
          <w:u w:val="none"/>
          <w:lang w:val="en-US" w:eastAsia="zh-CN" w:bidi="ar-SA"/>
        </w:rPr>
      </w:pPr>
    </w:p>
    <w:p w14:paraId="6EDB756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napToGrid w:val="0"/>
          <w:color w:val="auto"/>
          <w:kern w:val="0"/>
          <w:sz w:val="24"/>
          <w:szCs w:val="24"/>
          <w:highlight w:val="none"/>
          <w:u w:val="none"/>
          <w:lang w:val="en-US" w:eastAsia="zh-CN" w:bidi="ar-SA"/>
        </w:rPr>
      </w:pPr>
    </w:p>
    <w:p w14:paraId="56060FCA">
      <w:pPr>
        <w:keepNext w:val="0"/>
        <w:keepLines w:val="0"/>
        <w:pageBreakBefore w:val="0"/>
        <w:widowControl/>
        <w:kinsoku/>
        <w:wordWrap/>
        <w:overflowPunct/>
        <w:topLinePunct w:val="0"/>
        <w:autoSpaceDE/>
        <w:autoSpaceDN/>
        <w:bidi w:val="0"/>
        <w:adjustRightInd/>
        <w:snapToGrid/>
        <w:spacing w:before="120" w:after="120" w:line="360" w:lineRule="auto"/>
        <w:jc w:val="left"/>
        <w:textAlignment w:val="auto"/>
        <w:outlineLvl w:val="0"/>
        <w:rPr>
          <w:rFonts w:hint="default" w:ascii="Times New Roman" w:hAnsi="Times New Roman" w:cs="Times New Roman"/>
          <w:b/>
          <w:bCs/>
          <w:color w:val="auto"/>
          <w:u w:val="none"/>
        </w:rPr>
      </w:pPr>
      <w:bookmarkStart w:id="352" w:name="_Toc2271"/>
      <w:r>
        <w:rPr>
          <w:rFonts w:hint="default" w:ascii="黑体" w:hAnsi="黑体" w:eastAsia="黑体" w:cs="黑体"/>
          <w:b/>
          <w:bCs/>
          <w:color w:val="auto"/>
          <w:sz w:val="32"/>
          <w:szCs w:val="32"/>
          <w:u w:val="none"/>
        </w:rPr>
        <w:t>4</w:t>
      </w:r>
      <w:r>
        <w:rPr>
          <w:rFonts w:hint="eastAsia" w:ascii="黑体" w:hAnsi="黑体" w:eastAsia="黑体" w:cs="黑体"/>
          <w:b/>
          <w:bCs/>
          <w:color w:val="auto"/>
          <w:sz w:val="32"/>
          <w:szCs w:val="32"/>
          <w:u w:val="none"/>
          <w:lang w:val="en-US" w:eastAsia="zh-CN"/>
        </w:rPr>
        <w:t xml:space="preserve"> </w:t>
      </w:r>
      <w:r>
        <w:rPr>
          <w:rFonts w:hint="default" w:ascii="黑体" w:hAnsi="黑体" w:eastAsia="黑体" w:cs="黑体"/>
          <w:b/>
          <w:bCs/>
          <w:color w:val="auto"/>
          <w:sz w:val="32"/>
          <w:szCs w:val="32"/>
          <w:u w:val="none"/>
        </w:rPr>
        <w:t>环境现状调查与评价</w:t>
      </w:r>
      <w:bookmarkEnd w:id="345"/>
      <w:bookmarkEnd w:id="346"/>
      <w:bookmarkEnd w:id="347"/>
      <w:bookmarkEnd w:id="348"/>
      <w:bookmarkEnd w:id="349"/>
      <w:bookmarkEnd w:id="350"/>
      <w:bookmarkEnd w:id="351"/>
      <w:bookmarkEnd w:id="352"/>
    </w:p>
    <w:p w14:paraId="325DCB75">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53" w:name="_Toc19842"/>
      <w:bookmarkStart w:id="354" w:name="_Toc7991"/>
      <w:bookmarkStart w:id="355" w:name="_Toc22197"/>
      <w:bookmarkStart w:id="356" w:name="_Toc13451"/>
      <w:bookmarkStart w:id="357" w:name="_Toc20355"/>
      <w:bookmarkStart w:id="358" w:name="_Toc31598"/>
      <w:bookmarkStart w:id="359" w:name="_Toc119915016"/>
      <w:bookmarkStart w:id="360" w:name="_Toc27432"/>
      <w:bookmarkStart w:id="361" w:name="_Toc374724183"/>
      <w:bookmarkStart w:id="362" w:name="_Toc18030"/>
      <w:bookmarkStart w:id="363" w:name="_Toc508291886"/>
      <w:bookmarkStart w:id="364" w:name="_Toc109382925"/>
      <w:r>
        <w:rPr>
          <w:rFonts w:hint="default" w:ascii="黑体" w:hAnsi="黑体" w:eastAsia="黑体" w:cs="黑体"/>
          <w:color w:val="auto"/>
          <w:sz w:val="28"/>
          <w:szCs w:val="28"/>
          <w:u w:val="none"/>
          <w:lang w:val="en-US" w:eastAsia="zh-CN"/>
        </w:rPr>
        <w:t>4.1</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自然环境概况</w:t>
      </w:r>
      <w:bookmarkEnd w:id="353"/>
      <w:bookmarkEnd w:id="354"/>
      <w:bookmarkEnd w:id="355"/>
      <w:bookmarkEnd w:id="356"/>
      <w:bookmarkEnd w:id="357"/>
      <w:bookmarkEnd w:id="358"/>
      <w:bookmarkEnd w:id="359"/>
    </w:p>
    <w:p w14:paraId="32E98779">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4.1.1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地理位置</w:t>
      </w:r>
    </w:p>
    <w:p w14:paraId="3703BB4C">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呼图壁县位于新疆维吾尔自治区中北部，地理坐标为东经86°5′-87°8′、北纬43°7′-45°20′之间。南以天山分水岭与巴音郭楞蒙古自治州的和静县交界，北至古尔班通古特沙漠中心与塔城地区的和布克赛尔县接界，东邻昌吉市，西接玛纳斯县。全县南北长258km，东西最大宽度52km，总面积9721.6km2。</w:t>
      </w:r>
    </w:p>
    <w:p w14:paraId="46477C17">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本工程位于新疆维吾尔自治区昌吉回族自治州呼图壁县境内，南侧距离呼图壁县城中心约104km，东北侧距离莫北转油站约16km，中心地理坐标为：东经86°37'22.756"，北纬45°6'53.918"（MBHW6009井）。</w:t>
      </w:r>
    </w:p>
    <w:p w14:paraId="05567EDA">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4.1.2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地形地貌</w:t>
      </w:r>
    </w:p>
    <w:p w14:paraId="4D7D5040">
      <w:pPr>
        <w:keepNext w:val="0"/>
        <w:keepLines w:val="0"/>
        <w:pageBreakBefore w:val="0"/>
        <w:widowControl/>
        <w:kinsoku/>
        <w:wordWrap/>
        <w:overflowPunct/>
        <w:topLinePunct w:val="0"/>
        <w:autoSpaceDE/>
        <w:autoSpaceDN/>
        <w:bidi w:val="0"/>
        <w:adjustRightInd/>
        <w:snapToGrid/>
        <w:spacing w:after="0" w:afterLines="0" w:afterAutospacing="0" w:line="480" w:lineRule="exact"/>
        <w:ind w:left="0" w:leftChars="0" w:firstLine="480" w:firstLineChars="200"/>
        <w:textAlignment w:val="auto"/>
        <w:rPr>
          <w:rFonts w:hint="default"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val="en-US" w:eastAsia="zh-CN"/>
        </w:rPr>
        <w:t>莫116井区位于准噶尔盆地古尔班通古特沙漠腹地，项目区为典型的风积沙漠地貌，属风蚀地貌，地形起伏，总体地势北高南低，海拔高程在400m～450m之间，为低矮的固定、半固定沙丘，沙丘呈长垄状，以南北走向为主；沙梁高度为15m～30m，宽度20m～100m不等。作业区所在区域内没有自然保护区、风景旅游区、文物古迹等特殊敏感目标，没有固定集中的人群活动区。</w:t>
      </w:r>
    </w:p>
    <w:p w14:paraId="3D6B58DE">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zh-CN" w:eastAsia="zh-CN"/>
        </w:rPr>
      </w:pPr>
      <w:r>
        <w:rPr>
          <w:rFonts w:hint="default" w:ascii="黑体" w:hAnsi="黑体" w:eastAsia="黑体" w:cs="黑体"/>
          <w:b/>
          <w:color w:val="auto"/>
          <w:kern w:val="0"/>
          <w:sz w:val="24"/>
          <w:szCs w:val="24"/>
          <w:highlight w:val="none"/>
          <w:u w:val="none"/>
          <w:lang w:val="en-US" w:eastAsia="zh-CN"/>
        </w:rPr>
        <w:t>4.1.</w:t>
      </w:r>
      <w:r>
        <w:rPr>
          <w:rFonts w:hint="eastAsia" w:ascii="黑体" w:hAnsi="黑体" w:eastAsia="黑体" w:cs="黑体"/>
          <w:b/>
          <w:color w:val="auto"/>
          <w:kern w:val="0"/>
          <w:sz w:val="24"/>
          <w:szCs w:val="24"/>
          <w:highlight w:val="none"/>
          <w:u w:val="none"/>
          <w:lang w:val="en-US" w:eastAsia="zh-CN"/>
        </w:rPr>
        <w:t xml:space="preserve">3 </w:t>
      </w:r>
      <w:r>
        <w:rPr>
          <w:rFonts w:hint="default" w:ascii="黑体" w:hAnsi="黑体" w:eastAsia="黑体" w:cs="黑体"/>
          <w:b/>
          <w:color w:val="auto"/>
          <w:kern w:val="0"/>
          <w:sz w:val="24"/>
          <w:szCs w:val="24"/>
          <w:highlight w:val="none"/>
          <w:u w:val="none"/>
          <w:lang w:val="en-US" w:eastAsia="zh-CN"/>
        </w:rPr>
        <w:t>地质构造</w:t>
      </w:r>
    </w:p>
    <w:p w14:paraId="389057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据表层土壤分析：沙漠段土壤含水0.76%，含盐0.3%，属非盐渍土区，土壤电阻率随深度加大而减小，在地下0.6~0.7m处约200Ω，1.1~1.2m处约为30Ω。</w:t>
      </w:r>
    </w:p>
    <w:p w14:paraId="77A1F1C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场地内以细砂为主，局部为中砂，土黄色，稍密状态，干稍湿，土质均一，石英，长石质，级配不良，不均匀系数Cu=1.878~2.851，平均值为2.466，曲率系数Cc=0.636～0.995，平均值为0.731，地表有10～40cm结皮，地表以下1m以内含有大量的植物根系，地层厚度大于15m。地基承载力不小于160kPa。</w:t>
      </w:r>
    </w:p>
    <w:p w14:paraId="5950B3D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pacing w:val="0"/>
          <w:kern w:val="0"/>
          <w:sz w:val="24"/>
          <w:szCs w:val="24"/>
          <w:highlight w:val="none"/>
          <w:u w:val="none"/>
          <w:lang w:val="zh-CN" w:eastAsia="zh-CN" w:bidi="ar-SA"/>
        </w:rPr>
      </w:pPr>
      <w:r>
        <w:rPr>
          <w:rFonts w:hint="eastAsia" w:ascii="宋体" w:hAnsi="宋体" w:eastAsia="宋体" w:cs="宋体"/>
          <w:color w:val="auto"/>
          <w:sz w:val="24"/>
          <w:szCs w:val="24"/>
          <w:highlight w:val="none"/>
          <w:u w:val="none"/>
          <w:lang w:val="en-US" w:eastAsia="zh-CN"/>
        </w:rPr>
        <w:t>按国家地震局地震烈度区划分，本地区抗震设防烈度为6度，地震加速度值为0.05g。</w:t>
      </w:r>
    </w:p>
    <w:p w14:paraId="0719F5C9">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4.1.</w:t>
      </w:r>
      <w:r>
        <w:rPr>
          <w:rFonts w:hint="eastAsia" w:ascii="黑体" w:hAnsi="黑体" w:eastAsia="黑体" w:cs="黑体"/>
          <w:b/>
          <w:color w:val="auto"/>
          <w:kern w:val="0"/>
          <w:sz w:val="24"/>
          <w:szCs w:val="24"/>
          <w:highlight w:val="none"/>
          <w:u w:val="none"/>
          <w:lang w:val="en-US" w:eastAsia="zh-CN"/>
        </w:rPr>
        <w:t xml:space="preserve">4 </w:t>
      </w:r>
      <w:r>
        <w:rPr>
          <w:rFonts w:hint="default" w:ascii="黑体" w:hAnsi="黑体" w:eastAsia="黑体" w:cs="黑体"/>
          <w:b/>
          <w:color w:val="auto"/>
          <w:kern w:val="0"/>
          <w:sz w:val="24"/>
          <w:szCs w:val="24"/>
          <w:highlight w:val="none"/>
          <w:u w:val="none"/>
          <w:lang w:val="en-US" w:eastAsia="zh-CN"/>
        </w:rPr>
        <w:t>水文概况</w:t>
      </w:r>
    </w:p>
    <w:p w14:paraId="60C455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项目区无天然地表水体，与该地区有补给关系的准噶尔盆地边缘发育多条河流。其中南部有呼图壁河、塔西河、玛纳斯河；北部有乌伦古河、和布克河和白杨河。这些河流的径流特点均由盆地外围水资源形成的山区河流经盆地边缘汇流至盆地中心—玛纳斯湖。而实际上，由于各流域灌区的大量引水灌溉，加上沿程河道渗漏和蒸发，现已无地表水流入玛纳斯湖，基本上是以地下径流的方式汇入盆地，最终流向盆地的最低处—玛纳斯湖。</w:t>
      </w:r>
    </w:p>
    <w:p w14:paraId="71AD091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（1）地下水类型，含水层及富水特征</w:t>
      </w:r>
    </w:p>
    <w:p w14:paraId="496884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项目区域埋藏有两种类型的地下水，即第四系松散岩类孔隙水和第三系碎屑岩类孔隙-裂隙水。</w:t>
      </w:r>
    </w:p>
    <w:p w14:paraId="121C4B4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eastAsia" w:cs="Times New Roman"/>
          <w:snapToGrid/>
          <w:color w:val="auto"/>
          <w:kern w:val="2"/>
          <w:sz w:val="24"/>
          <w:szCs w:val="24"/>
          <w:highlight w:val="none"/>
          <w:u w:val="none"/>
          <w:lang w:val="en-US" w:eastAsia="zh-CN" w:bidi="ar-SA"/>
        </w:rPr>
        <w:t>1）</w:t>
      </w:r>
      <w:r>
        <w:rPr>
          <w:rFonts w:hint="default" w:ascii="Times New Roman" w:hAnsi="Times New Roman" w:eastAsia="宋体" w:cs="Times New Roman"/>
          <w:snapToGrid/>
          <w:color w:val="auto"/>
          <w:kern w:val="2"/>
          <w:sz w:val="24"/>
          <w:szCs w:val="24"/>
          <w:highlight w:val="none"/>
          <w:u w:val="none"/>
          <w:lang w:val="en-US" w:eastAsia="zh-CN" w:bidi="ar-SA"/>
        </w:rPr>
        <w:t>第四系松散岩类孔隙水</w:t>
      </w:r>
    </w:p>
    <w:p w14:paraId="745F59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第四系松散沉积物厚度数十米至上百米不等，含水层为一套冲积-湖积的双层结构，上部为潜水，下部为承压水，含水层岩性以粗砂为主，承压水含水层顶板埋深多大于60m。潜水位埋深为10m-15m，为微咸水；而且该层采水量一般小于50m</w:t>
      </w:r>
      <w:r>
        <w:rPr>
          <w:rFonts w:hint="default" w:ascii="Times New Roman" w:hAnsi="Times New Roman" w:eastAsia="宋体" w:cs="Times New Roman"/>
          <w:snapToGrid/>
          <w:color w:val="auto"/>
          <w:kern w:val="2"/>
          <w:sz w:val="24"/>
          <w:szCs w:val="24"/>
          <w:highlight w:val="none"/>
          <w:u w:val="none"/>
          <w:vertAlign w:val="superscript"/>
          <w:lang w:val="en-US" w:eastAsia="zh-CN" w:bidi="ar-SA"/>
        </w:rPr>
        <w:t>3</w:t>
      </w:r>
      <w:r>
        <w:rPr>
          <w:rFonts w:hint="default" w:ascii="Times New Roman" w:hAnsi="Times New Roman" w:eastAsia="宋体" w:cs="Times New Roman"/>
          <w:snapToGrid/>
          <w:color w:val="auto"/>
          <w:kern w:val="2"/>
          <w:sz w:val="24"/>
          <w:szCs w:val="24"/>
          <w:highlight w:val="none"/>
          <w:u w:val="none"/>
          <w:lang w:val="en-US" w:eastAsia="zh-CN" w:bidi="ar-SA"/>
        </w:rPr>
        <w:t>/d。矿化度1-3g/L，水化学类型主要以Cl-SO</w:t>
      </w:r>
      <w:r>
        <w:rPr>
          <w:rFonts w:hint="default" w:ascii="Times New Roman" w:hAnsi="Times New Roman" w:eastAsia="宋体" w:cs="Times New Roman"/>
          <w:snapToGrid/>
          <w:color w:val="auto"/>
          <w:kern w:val="2"/>
          <w:sz w:val="24"/>
          <w:szCs w:val="24"/>
          <w:highlight w:val="none"/>
          <w:u w:val="none"/>
          <w:vertAlign w:val="subscript"/>
          <w:lang w:val="en-US" w:eastAsia="zh-CN" w:bidi="ar-SA"/>
        </w:rPr>
        <w:t>4</w:t>
      </w:r>
      <w:r>
        <w:rPr>
          <w:rFonts w:hint="default" w:ascii="Times New Roman" w:hAnsi="Times New Roman" w:eastAsia="宋体" w:cs="Times New Roman"/>
          <w:snapToGrid/>
          <w:color w:val="auto"/>
          <w:kern w:val="2"/>
          <w:sz w:val="24"/>
          <w:szCs w:val="24"/>
          <w:highlight w:val="none"/>
          <w:u w:val="none"/>
          <w:lang w:val="en-US" w:eastAsia="zh-CN" w:bidi="ar-SA"/>
        </w:rPr>
        <w:t>-Na型和Cl-Na型为主。</w:t>
      </w:r>
    </w:p>
    <w:p w14:paraId="1F2DB6C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评价区内的第四系沉积物基本不含水或含少量水，地下水埋深浅则十数米，深则数十米，其水质较差，不适于工农业开发利用。另一方面，大部分地区，地下水位以上，降水入渗后被包气带地层阻隔，短期内形成局部上层滞水，地下水或以毛细水、结合水形式存在，正是这些主要接受少量、不定期降水补给的少量重力水、毛细水甚至结合水的存在，成为当地植被得以维系的前提和关键。</w:t>
      </w:r>
    </w:p>
    <w:p w14:paraId="6DFEE53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eastAsia" w:cs="Times New Roman"/>
          <w:snapToGrid/>
          <w:color w:val="auto"/>
          <w:kern w:val="2"/>
          <w:sz w:val="24"/>
          <w:szCs w:val="24"/>
          <w:highlight w:val="none"/>
          <w:u w:val="none"/>
          <w:lang w:val="en-US" w:eastAsia="zh-CN" w:bidi="ar-SA"/>
        </w:rPr>
        <w:t>2）</w:t>
      </w:r>
      <w:r>
        <w:rPr>
          <w:rFonts w:hint="default" w:ascii="Times New Roman" w:hAnsi="Times New Roman" w:eastAsia="宋体" w:cs="Times New Roman"/>
          <w:snapToGrid/>
          <w:color w:val="auto"/>
          <w:kern w:val="2"/>
          <w:sz w:val="24"/>
          <w:szCs w:val="24"/>
          <w:highlight w:val="none"/>
          <w:u w:val="none"/>
          <w:lang w:val="en-US" w:eastAsia="zh-CN" w:bidi="ar-SA"/>
        </w:rPr>
        <w:t>第三系碎屑岩类孔隙-裂隙水</w:t>
      </w:r>
    </w:p>
    <w:p w14:paraId="0990A22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第三系碎屑岩类孔隙-裂隙水顶板埋深50-100m，承压水岩性主要是砂岩和泥质砂岩，地下水单井涌水量122.89m</w:t>
      </w:r>
      <w:r>
        <w:rPr>
          <w:rFonts w:hint="default" w:ascii="Times New Roman" w:hAnsi="Times New Roman" w:eastAsia="宋体" w:cs="Times New Roman"/>
          <w:snapToGrid/>
          <w:color w:val="auto"/>
          <w:kern w:val="2"/>
          <w:sz w:val="24"/>
          <w:szCs w:val="24"/>
          <w:highlight w:val="none"/>
          <w:u w:val="none"/>
          <w:vertAlign w:val="superscript"/>
          <w:lang w:val="en-US" w:eastAsia="zh-CN" w:bidi="ar-SA"/>
        </w:rPr>
        <w:t>3</w:t>
      </w:r>
      <w:r>
        <w:rPr>
          <w:rFonts w:hint="default" w:ascii="Times New Roman" w:hAnsi="Times New Roman" w:eastAsia="宋体" w:cs="Times New Roman"/>
          <w:snapToGrid/>
          <w:color w:val="auto"/>
          <w:kern w:val="2"/>
          <w:sz w:val="24"/>
          <w:szCs w:val="24"/>
          <w:highlight w:val="none"/>
          <w:u w:val="none"/>
          <w:lang w:val="en-US" w:eastAsia="zh-CN" w:bidi="ar-SA"/>
        </w:rPr>
        <w:t>/d-345.4m</w:t>
      </w:r>
      <w:r>
        <w:rPr>
          <w:rFonts w:hint="default" w:ascii="Times New Roman" w:hAnsi="Times New Roman" w:eastAsia="宋体" w:cs="Times New Roman"/>
          <w:snapToGrid/>
          <w:color w:val="auto"/>
          <w:kern w:val="2"/>
          <w:sz w:val="24"/>
          <w:szCs w:val="24"/>
          <w:highlight w:val="none"/>
          <w:u w:val="none"/>
          <w:vertAlign w:val="superscript"/>
          <w:lang w:val="en-US" w:eastAsia="zh-CN" w:bidi="ar-SA"/>
        </w:rPr>
        <w:t>3</w:t>
      </w:r>
      <w:r>
        <w:rPr>
          <w:rFonts w:hint="default" w:ascii="Times New Roman" w:hAnsi="Times New Roman" w:eastAsia="宋体" w:cs="Times New Roman"/>
          <w:snapToGrid/>
          <w:color w:val="auto"/>
          <w:kern w:val="2"/>
          <w:sz w:val="24"/>
          <w:szCs w:val="24"/>
          <w:highlight w:val="none"/>
          <w:u w:val="none"/>
          <w:lang w:val="en-US" w:eastAsia="zh-CN" w:bidi="ar-SA"/>
        </w:rPr>
        <w:t>/d，矿化度3-10g/L，水化学类型以Cl-Na型和Cl-SO</w:t>
      </w:r>
      <w:r>
        <w:rPr>
          <w:rFonts w:hint="default" w:ascii="Times New Roman" w:hAnsi="Times New Roman" w:eastAsia="宋体" w:cs="Times New Roman"/>
          <w:snapToGrid/>
          <w:color w:val="auto"/>
          <w:kern w:val="2"/>
          <w:sz w:val="24"/>
          <w:szCs w:val="24"/>
          <w:highlight w:val="none"/>
          <w:u w:val="none"/>
          <w:vertAlign w:val="subscript"/>
          <w:lang w:val="en-US" w:eastAsia="zh-CN" w:bidi="ar-SA"/>
        </w:rPr>
        <w:t>4</w:t>
      </w:r>
      <w:r>
        <w:rPr>
          <w:rFonts w:hint="default" w:ascii="Times New Roman" w:hAnsi="Times New Roman" w:eastAsia="宋体" w:cs="Times New Roman"/>
          <w:snapToGrid/>
          <w:color w:val="auto"/>
          <w:kern w:val="2"/>
          <w:sz w:val="24"/>
          <w:szCs w:val="24"/>
          <w:highlight w:val="none"/>
          <w:u w:val="none"/>
          <w:lang w:val="en-US" w:eastAsia="zh-CN" w:bidi="ar-SA"/>
        </w:rPr>
        <w:t>-Na型为主，生产用水主要是开采第三系碎屑岩类孔隙-裂隙水。</w:t>
      </w:r>
    </w:p>
    <w:p w14:paraId="32CFC9F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（2）地下水补给、径流、排泄条件</w:t>
      </w:r>
    </w:p>
    <w:p w14:paraId="6FEF4A1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受区域水文地质条件控制，评价区位于准噶尔盆地腹地，下水补给来源较少，浅层承压水主要接受盆地北部山区以及上游玛纳斯湖等地表径流垂向渗漏补给，同时向深部承压水进行径流补给。浅层地下水的总体径流方向</w:t>
      </w:r>
      <w:r>
        <w:rPr>
          <w:rFonts w:hint="eastAsia" w:cs="Times New Roman"/>
          <w:snapToGrid/>
          <w:color w:val="auto"/>
          <w:kern w:val="2"/>
          <w:sz w:val="24"/>
          <w:szCs w:val="24"/>
          <w:highlight w:val="none"/>
          <w:u w:val="none"/>
          <w:lang w:val="en-US" w:eastAsia="zh-CN" w:bidi="ar-SA"/>
        </w:rPr>
        <w:t>自东北向西南</w:t>
      </w:r>
      <w:r>
        <w:rPr>
          <w:rFonts w:hint="default" w:ascii="Times New Roman" w:hAnsi="Times New Roman" w:eastAsia="宋体" w:cs="Times New Roman"/>
          <w:snapToGrid/>
          <w:color w:val="auto"/>
          <w:kern w:val="2"/>
          <w:sz w:val="24"/>
          <w:szCs w:val="24"/>
          <w:highlight w:val="none"/>
          <w:u w:val="none"/>
          <w:lang w:val="en-US" w:eastAsia="zh-CN" w:bidi="ar-SA"/>
        </w:rPr>
        <w:t>进行径流，径流速度缓慢，浅层承压水的径流强度比深部地下承压水的径流强度要大。深部承压水除主要接受北部以及浅层承压水还可能接受盆地南部补给，无论是来自北部和南部的补给，汇集于此的深部承压水径流速度缓慢，几乎处于滞缓状态。</w:t>
      </w:r>
    </w:p>
    <w:p w14:paraId="020D079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（3）地下水化学特征</w:t>
      </w:r>
    </w:p>
    <w:p w14:paraId="0052C95F">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u w:val="none"/>
          <w:lang w:val="en-US" w:eastAsia="zh-CN" w:bidi="ar-SA"/>
        </w:rPr>
      </w:pPr>
      <w:r>
        <w:rPr>
          <w:rFonts w:hint="default" w:ascii="Times New Roman" w:hAnsi="Times New Roman" w:eastAsia="宋体" w:cs="Times New Roman"/>
          <w:snapToGrid/>
          <w:color w:val="auto"/>
          <w:kern w:val="2"/>
          <w:sz w:val="24"/>
          <w:szCs w:val="24"/>
          <w:highlight w:val="none"/>
          <w:u w:val="none"/>
          <w:lang w:val="en-US" w:eastAsia="zh-CN" w:bidi="ar-SA"/>
        </w:rPr>
        <w:t>由于评价区位于准噶尔盆地腹地，气候干燥，地下水补给总体上来源匮乏，蒸发浓缩作用强烈，加之径流速度也缓慢，导致其矿化度逐渐升高、地下水质逐渐变差，地下水多为半咸水及咸水。区内地下水水化学特征水平方向上变化很小，但在垂向上，无论是矿化度还是水化学类型均存在一定的变化。在垂向上，地下水化学类型由浅部的Cl-Na型过渡到Cl·SO</w:t>
      </w:r>
      <w:r>
        <w:rPr>
          <w:rFonts w:hint="default" w:ascii="Times New Roman" w:hAnsi="Times New Roman" w:eastAsia="宋体" w:cs="Times New Roman"/>
          <w:snapToGrid/>
          <w:color w:val="auto"/>
          <w:kern w:val="2"/>
          <w:sz w:val="24"/>
          <w:szCs w:val="24"/>
          <w:highlight w:val="none"/>
          <w:u w:val="none"/>
          <w:vertAlign w:val="subscript"/>
          <w:lang w:val="en-US" w:eastAsia="zh-CN" w:bidi="ar-SA"/>
        </w:rPr>
        <w:t>4</w:t>
      </w:r>
      <w:r>
        <w:rPr>
          <w:rFonts w:hint="default" w:ascii="Times New Roman" w:hAnsi="Times New Roman" w:eastAsia="宋体" w:cs="Times New Roman"/>
          <w:snapToGrid/>
          <w:color w:val="auto"/>
          <w:kern w:val="2"/>
          <w:sz w:val="24"/>
          <w:szCs w:val="24"/>
          <w:highlight w:val="none"/>
          <w:u w:val="none"/>
          <w:lang w:val="en-US" w:eastAsia="zh-CN" w:bidi="ar-SA"/>
        </w:rPr>
        <w:t>-Na（Ca）型；浅层承压水矿化度向深层承压水的矿化度逐渐减，地下水矿化度从大于10g/L变化到5-10g/L左右。承压水水化学类型由浅层的Cl-Na型过渡到至深部的Cl×SO</w:t>
      </w:r>
      <w:r>
        <w:rPr>
          <w:rFonts w:hint="default" w:ascii="Times New Roman" w:hAnsi="Times New Roman" w:eastAsia="宋体" w:cs="Times New Roman"/>
          <w:snapToGrid/>
          <w:color w:val="auto"/>
          <w:kern w:val="2"/>
          <w:sz w:val="24"/>
          <w:szCs w:val="24"/>
          <w:highlight w:val="none"/>
          <w:u w:val="none"/>
          <w:vertAlign w:val="subscript"/>
          <w:lang w:val="en-US" w:eastAsia="zh-CN" w:bidi="ar-SA"/>
        </w:rPr>
        <w:t>4</w:t>
      </w:r>
      <w:r>
        <w:rPr>
          <w:rFonts w:hint="default" w:ascii="Times New Roman" w:hAnsi="Times New Roman" w:eastAsia="宋体" w:cs="Times New Roman"/>
          <w:snapToGrid/>
          <w:color w:val="auto"/>
          <w:kern w:val="2"/>
          <w:sz w:val="24"/>
          <w:szCs w:val="24"/>
          <w:highlight w:val="none"/>
          <w:u w:val="none"/>
          <w:lang w:val="en-US" w:eastAsia="zh-CN" w:bidi="ar-SA"/>
        </w:rPr>
        <w:t>-Na（Ca）型，矿化度由浅层19.06g/L过渡到至深部的5.44g/L。</w:t>
      </w:r>
    </w:p>
    <w:p w14:paraId="472698C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4.1.</w:t>
      </w:r>
      <w:r>
        <w:rPr>
          <w:rFonts w:hint="eastAsia" w:ascii="黑体" w:hAnsi="黑体" w:eastAsia="黑体" w:cs="黑体"/>
          <w:b/>
          <w:color w:val="auto"/>
          <w:kern w:val="0"/>
          <w:sz w:val="24"/>
          <w:szCs w:val="24"/>
          <w:highlight w:val="none"/>
          <w:u w:val="none"/>
          <w:lang w:val="en-US" w:eastAsia="zh-CN"/>
        </w:rPr>
        <w:t xml:space="preserve">5 </w:t>
      </w:r>
      <w:r>
        <w:rPr>
          <w:rFonts w:hint="default" w:ascii="黑体" w:hAnsi="黑体" w:eastAsia="黑体" w:cs="黑体"/>
          <w:b/>
          <w:color w:val="auto"/>
          <w:kern w:val="0"/>
          <w:sz w:val="24"/>
          <w:szCs w:val="24"/>
          <w:highlight w:val="none"/>
          <w:u w:val="none"/>
          <w:lang w:val="en-US" w:eastAsia="zh-CN"/>
        </w:rPr>
        <w:t>气候、气象</w:t>
      </w:r>
    </w:p>
    <w:p w14:paraId="20A6180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项目区位于古尔班通古特沙漠腹地，属于大陆北温带干旱、半干旱性气候，具有典型的荒漠大陆性气候特征，即冬季寒冷，夏季炎热，干旱少雨，日照充足，春秋季气温变化快，日较差和年较差大，蒸发量大，风沙日多。</w:t>
      </w:r>
    </w:p>
    <w:p w14:paraId="5F3CC2F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hint="eastAsia" w:ascii="宋体" w:hAnsi="宋体" w:cs="宋体"/>
          <w:color w:val="auto"/>
          <w:kern w:val="0"/>
          <w:sz w:val="24"/>
          <w:szCs w:val="24"/>
          <w:highlight w:val="none"/>
          <w:u w:val="none"/>
          <w:lang w:val="en-US" w:eastAsia="zh-CN"/>
        </w:rPr>
        <w:t>当地气象站近20年统计</w:t>
      </w:r>
      <w:r>
        <w:rPr>
          <w:rFonts w:hint="eastAsia" w:ascii="宋体" w:hAnsi="宋体" w:eastAsia="宋体" w:cs="宋体"/>
          <w:color w:val="auto"/>
          <w:kern w:val="0"/>
          <w:sz w:val="24"/>
          <w:szCs w:val="24"/>
          <w:highlight w:val="none"/>
          <w:u w:val="none"/>
        </w:rPr>
        <w:t>气象资料</w:t>
      </w:r>
      <w:r>
        <w:rPr>
          <w:rFonts w:hint="eastAsia" w:ascii="宋体" w:hAnsi="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见表4.1-</w:t>
      </w:r>
      <w:r>
        <w:rPr>
          <w:rFonts w:hint="eastAsia" w:ascii="宋体" w:hAnsi="宋体" w:cs="宋体"/>
          <w:color w:val="auto"/>
          <w:kern w:val="0"/>
          <w:sz w:val="24"/>
          <w:szCs w:val="24"/>
          <w:highlight w:val="none"/>
          <w:u w:val="none"/>
          <w:lang w:val="en-US" w:eastAsia="zh-CN"/>
        </w:rPr>
        <w:t>1</w:t>
      </w:r>
      <w:r>
        <w:rPr>
          <w:rFonts w:hint="eastAsia" w:ascii="宋体" w:hAnsi="宋体" w:eastAsia="宋体" w:cs="宋体"/>
          <w:color w:val="auto"/>
          <w:kern w:val="0"/>
          <w:sz w:val="24"/>
          <w:szCs w:val="24"/>
          <w:highlight w:val="none"/>
          <w:u w:val="none"/>
        </w:rPr>
        <w:t>。</w:t>
      </w:r>
    </w:p>
    <w:p w14:paraId="4C7AB1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表4.1-1  评价区域气象资料统计</w:t>
      </w:r>
    </w:p>
    <w:tbl>
      <w:tblPr>
        <w:tblStyle w:val="37"/>
        <w:tblW w:w="500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438"/>
        <w:gridCol w:w="3473"/>
        <w:gridCol w:w="921"/>
        <w:gridCol w:w="1823"/>
      </w:tblGrid>
      <w:tr w14:paraId="5F4D4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14" w:type="pct"/>
            <w:gridSpan w:val="2"/>
            <w:tcBorders>
              <w:tl2br w:val="nil"/>
              <w:tr2bl w:val="nil"/>
            </w:tcBorders>
            <w:noWrap w:val="0"/>
            <w:vAlign w:val="center"/>
          </w:tcPr>
          <w:p w14:paraId="5316BC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项    目</w:t>
            </w:r>
          </w:p>
        </w:tc>
        <w:tc>
          <w:tcPr>
            <w:tcW w:w="532" w:type="pct"/>
            <w:tcBorders>
              <w:tl2br w:val="nil"/>
              <w:tr2bl w:val="nil"/>
            </w:tcBorders>
            <w:noWrap w:val="0"/>
            <w:vAlign w:val="center"/>
          </w:tcPr>
          <w:p w14:paraId="4BC338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单位</w:t>
            </w:r>
          </w:p>
        </w:tc>
        <w:tc>
          <w:tcPr>
            <w:tcW w:w="1053" w:type="pct"/>
            <w:tcBorders>
              <w:tl2br w:val="nil"/>
              <w:tr2bl w:val="nil"/>
            </w:tcBorders>
            <w:noWrap w:val="0"/>
            <w:vAlign w:val="center"/>
          </w:tcPr>
          <w:p w14:paraId="707BB3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r>
      <w:tr w14:paraId="581EA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restart"/>
            <w:tcBorders>
              <w:tl2br w:val="nil"/>
              <w:tr2bl w:val="nil"/>
            </w:tcBorders>
            <w:noWrap w:val="0"/>
            <w:vAlign w:val="center"/>
          </w:tcPr>
          <w:p w14:paraId="7EB7EC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气温</w:t>
            </w:r>
          </w:p>
        </w:tc>
        <w:tc>
          <w:tcPr>
            <w:tcW w:w="2006" w:type="pct"/>
            <w:tcBorders>
              <w:tl2br w:val="nil"/>
              <w:tr2bl w:val="nil"/>
            </w:tcBorders>
            <w:noWrap w:val="0"/>
            <w:vAlign w:val="center"/>
          </w:tcPr>
          <w:p w14:paraId="4057CE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年平均</w:t>
            </w:r>
          </w:p>
        </w:tc>
        <w:tc>
          <w:tcPr>
            <w:tcW w:w="532" w:type="pct"/>
            <w:tcBorders>
              <w:tl2br w:val="nil"/>
              <w:tr2bl w:val="nil"/>
            </w:tcBorders>
            <w:noWrap w:val="0"/>
            <w:vAlign w:val="center"/>
          </w:tcPr>
          <w:p w14:paraId="398DB9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186463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7.0</w:t>
            </w:r>
          </w:p>
        </w:tc>
      </w:tr>
      <w:tr w14:paraId="49965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0A8A01A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032628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最冷月平均/最热月平均</w:t>
            </w:r>
          </w:p>
        </w:tc>
        <w:tc>
          <w:tcPr>
            <w:tcW w:w="532" w:type="pct"/>
            <w:tcBorders>
              <w:tl2br w:val="nil"/>
              <w:tr2bl w:val="nil"/>
            </w:tcBorders>
            <w:noWrap w:val="0"/>
            <w:vAlign w:val="center"/>
          </w:tcPr>
          <w:p w14:paraId="5598E9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3A573A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-22.3/28.0</w:t>
            </w:r>
          </w:p>
        </w:tc>
      </w:tr>
      <w:tr w14:paraId="1021A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0E67836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456EFF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极端最高/极端最低</w:t>
            </w:r>
          </w:p>
        </w:tc>
        <w:tc>
          <w:tcPr>
            <w:tcW w:w="532" w:type="pct"/>
            <w:tcBorders>
              <w:tl2br w:val="nil"/>
              <w:tr2bl w:val="nil"/>
            </w:tcBorders>
            <w:noWrap w:val="0"/>
            <w:vAlign w:val="center"/>
          </w:tcPr>
          <w:p w14:paraId="5CC10D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4F994C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42.3/-34.5</w:t>
            </w:r>
          </w:p>
        </w:tc>
      </w:tr>
      <w:tr w14:paraId="47292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restart"/>
            <w:tcBorders>
              <w:tl2br w:val="nil"/>
              <w:tr2bl w:val="nil"/>
            </w:tcBorders>
            <w:noWrap w:val="0"/>
            <w:vAlign w:val="center"/>
          </w:tcPr>
          <w:p w14:paraId="14C76E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主导风向及频率</w:t>
            </w:r>
          </w:p>
        </w:tc>
        <w:tc>
          <w:tcPr>
            <w:tcW w:w="2006" w:type="pct"/>
            <w:tcBorders>
              <w:tl2br w:val="nil"/>
              <w:tr2bl w:val="nil"/>
            </w:tcBorders>
            <w:noWrap w:val="0"/>
            <w:vAlign w:val="center"/>
          </w:tcPr>
          <w:p w14:paraId="200FAD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年平均</w:t>
            </w:r>
          </w:p>
        </w:tc>
        <w:tc>
          <w:tcPr>
            <w:tcW w:w="532" w:type="pct"/>
            <w:tcBorders>
              <w:tl2br w:val="nil"/>
              <w:tr2bl w:val="nil"/>
            </w:tcBorders>
            <w:noWrap w:val="0"/>
            <w:vAlign w:val="center"/>
          </w:tcPr>
          <w:p w14:paraId="351B17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71DFDB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NW，14.84</w:t>
            </w:r>
          </w:p>
        </w:tc>
      </w:tr>
      <w:tr w14:paraId="3340B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10A33C4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3C6783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春季</w:t>
            </w:r>
          </w:p>
        </w:tc>
        <w:tc>
          <w:tcPr>
            <w:tcW w:w="532" w:type="pct"/>
            <w:tcBorders>
              <w:tl2br w:val="nil"/>
              <w:tr2bl w:val="nil"/>
            </w:tcBorders>
            <w:noWrap w:val="0"/>
            <w:vAlign w:val="center"/>
          </w:tcPr>
          <w:p w14:paraId="0470DC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6CC25F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W，16.71</w:t>
            </w:r>
          </w:p>
        </w:tc>
      </w:tr>
      <w:tr w14:paraId="77001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772FBA7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126781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夏季</w:t>
            </w:r>
          </w:p>
        </w:tc>
        <w:tc>
          <w:tcPr>
            <w:tcW w:w="532" w:type="pct"/>
            <w:tcBorders>
              <w:tl2br w:val="nil"/>
              <w:tr2bl w:val="nil"/>
            </w:tcBorders>
            <w:noWrap w:val="0"/>
            <w:vAlign w:val="center"/>
          </w:tcPr>
          <w:p w14:paraId="6B56B2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05D275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W，18.89</w:t>
            </w:r>
          </w:p>
        </w:tc>
      </w:tr>
      <w:tr w14:paraId="7C995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300A397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4D86D8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秋季</w:t>
            </w:r>
          </w:p>
        </w:tc>
        <w:tc>
          <w:tcPr>
            <w:tcW w:w="532" w:type="pct"/>
            <w:tcBorders>
              <w:tl2br w:val="nil"/>
              <w:tr2bl w:val="nil"/>
            </w:tcBorders>
            <w:noWrap w:val="0"/>
            <w:vAlign w:val="center"/>
          </w:tcPr>
          <w:p w14:paraId="0C5AFD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2B2EAE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W，15.75</w:t>
            </w:r>
          </w:p>
        </w:tc>
      </w:tr>
      <w:tr w14:paraId="796C3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012C0C0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0CD058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冬季</w:t>
            </w:r>
          </w:p>
        </w:tc>
        <w:tc>
          <w:tcPr>
            <w:tcW w:w="532" w:type="pct"/>
            <w:tcBorders>
              <w:tl2br w:val="nil"/>
              <w:tr2bl w:val="nil"/>
            </w:tcBorders>
            <w:noWrap w:val="0"/>
            <w:vAlign w:val="center"/>
          </w:tcPr>
          <w:p w14:paraId="6A5D70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5A7D53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ENE，16.53</w:t>
            </w:r>
          </w:p>
        </w:tc>
      </w:tr>
      <w:tr w14:paraId="2337D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restart"/>
            <w:tcBorders>
              <w:tl2br w:val="nil"/>
              <w:tr2bl w:val="nil"/>
            </w:tcBorders>
            <w:noWrap w:val="0"/>
            <w:vAlign w:val="center"/>
          </w:tcPr>
          <w:p w14:paraId="5267FB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风速</w:t>
            </w:r>
          </w:p>
        </w:tc>
        <w:tc>
          <w:tcPr>
            <w:tcW w:w="2006" w:type="pct"/>
            <w:tcBorders>
              <w:tl2br w:val="nil"/>
              <w:tr2bl w:val="nil"/>
            </w:tcBorders>
            <w:noWrap w:val="0"/>
            <w:vAlign w:val="center"/>
          </w:tcPr>
          <w:p w14:paraId="20AB15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年平均</w:t>
            </w:r>
          </w:p>
        </w:tc>
        <w:tc>
          <w:tcPr>
            <w:tcW w:w="532" w:type="pct"/>
            <w:tcBorders>
              <w:tl2br w:val="nil"/>
              <w:tr2bl w:val="nil"/>
            </w:tcBorders>
            <w:noWrap w:val="0"/>
            <w:vAlign w:val="center"/>
          </w:tcPr>
          <w:p w14:paraId="72900F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m/s</w:t>
            </w:r>
          </w:p>
        </w:tc>
        <w:tc>
          <w:tcPr>
            <w:tcW w:w="1053" w:type="pct"/>
            <w:tcBorders>
              <w:tl2br w:val="nil"/>
              <w:tr2bl w:val="nil"/>
            </w:tcBorders>
            <w:noWrap w:val="0"/>
            <w:vAlign w:val="center"/>
          </w:tcPr>
          <w:p w14:paraId="3FC995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2.6</w:t>
            </w:r>
          </w:p>
        </w:tc>
      </w:tr>
      <w:tr w14:paraId="005C5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3ED99F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525730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最大风速</w:t>
            </w:r>
          </w:p>
        </w:tc>
        <w:tc>
          <w:tcPr>
            <w:tcW w:w="532" w:type="pct"/>
            <w:tcBorders>
              <w:tl2br w:val="nil"/>
              <w:tr2bl w:val="nil"/>
            </w:tcBorders>
            <w:noWrap w:val="0"/>
            <w:vAlign w:val="center"/>
          </w:tcPr>
          <w:p w14:paraId="068806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m/s</w:t>
            </w:r>
          </w:p>
        </w:tc>
        <w:tc>
          <w:tcPr>
            <w:tcW w:w="1053" w:type="pct"/>
            <w:tcBorders>
              <w:tl2br w:val="nil"/>
              <w:tr2bl w:val="nil"/>
            </w:tcBorders>
            <w:noWrap w:val="0"/>
            <w:vAlign w:val="center"/>
          </w:tcPr>
          <w:p w14:paraId="715C72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20</w:t>
            </w:r>
          </w:p>
        </w:tc>
      </w:tr>
      <w:tr w14:paraId="36C23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1D16C9F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40DB72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冬季/夏季</w:t>
            </w:r>
          </w:p>
        </w:tc>
        <w:tc>
          <w:tcPr>
            <w:tcW w:w="532" w:type="pct"/>
            <w:tcBorders>
              <w:tl2br w:val="nil"/>
              <w:tr2bl w:val="nil"/>
            </w:tcBorders>
            <w:noWrap w:val="0"/>
            <w:vAlign w:val="center"/>
          </w:tcPr>
          <w:p w14:paraId="6D7C55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m/s</w:t>
            </w:r>
          </w:p>
        </w:tc>
        <w:tc>
          <w:tcPr>
            <w:tcW w:w="1053" w:type="pct"/>
            <w:tcBorders>
              <w:tl2br w:val="nil"/>
              <w:tr2bl w:val="nil"/>
            </w:tcBorders>
            <w:noWrap w:val="0"/>
            <w:vAlign w:val="center"/>
          </w:tcPr>
          <w:p w14:paraId="76C0EA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1.4/3.0</w:t>
            </w:r>
          </w:p>
        </w:tc>
      </w:tr>
      <w:tr w14:paraId="403A0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restart"/>
            <w:tcBorders>
              <w:tl2br w:val="nil"/>
              <w:tr2bl w:val="nil"/>
            </w:tcBorders>
            <w:noWrap w:val="0"/>
            <w:vAlign w:val="center"/>
          </w:tcPr>
          <w:p w14:paraId="2CC069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相对湿度</w:t>
            </w:r>
          </w:p>
        </w:tc>
        <w:tc>
          <w:tcPr>
            <w:tcW w:w="2006" w:type="pct"/>
            <w:tcBorders>
              <w:tl2br w:val="nil"/>
              <w:tr2bl w:val="nil"/>
            </w:tcBorders>
            <w:noWrap w:val="0"/>
            <w:vAlign w:val="center"/>
          </w:tcPr>
          <w:p w14:paraId="6B81C0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年平均</w:t>
            </w:r>
          </w:p>
        </w:tc>
        <w:tc>
          <w:tcPr>
            <w:tcW w:w="532" w:type="pct"/>
            <w:tcBorders>
              <w:tl2br w:val="nil"/>
              <w:tr2bl w:val="nil"/>
            </w:tcBorders>
            <w:noWrap w:val="0"/>
            <w:vAlign w:val="center"/>
          </w:tcPr>
          <w:p w14:paraId="0C763D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4A6333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53</w:t>
            </w:r>
          </w:p>
        </w:tc>
      </w:tr>
      <w:tr w14:paraId="7CAC6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4D664F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303051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冬季/夏季</w:t>
            </w:r>
          </w:p>
        </w:tc>
        <w:tc>
          <w:tcPr>
            <w:tcW w:w="532" w:type="pct"/>
            <w:tcBorders>
              <w:tl2br w:val="nil"/>
              <w:tr2bl w:val="nil"/>
            </w:tcBorders>
            <w:noWrap w:val="0"/>
            <w:vAlign w:val="center"/>
          </w:tcPr>
          <w:p w14:paraId="650C09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c>
          <w:tcPr>
            <w:tcW w:w="1053" w:type="pct"/>
            <w:tcBorders>
              <w:tl2br w:val="nil"/>
              <w:tr2bl w:val="nil"/>
            </w:tcBorders>
            <w:noWrap w:val="0"/>
            <w:vAlign w:val="center"/>
          </w:tcPr>
          <w:p w14:paraId="5FD164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79/35</w:t>
            </w:r>
          </w:p>
        </w:tc>
      </w:tr>
      <w:tr w14:paraId="467C4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restart"/>
            <w:tcBorders>
              <w:tl2br w:val="nil"/>
              <w:tr2bl w:val="nil"/>
            </w:tcBorders>
            <w:noWrap w:val="0"/>
            <w:vAlign w:val="center"/>
          </w:tcPr>
          <w:p w14:paraId="3963CD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最大冻土深度</w:t>
            </w:r>
          </w:p>
        </w:tc>
        <w:tc>
          <w:tcPr>
            <w:tcW w:w="2006" w:type="pct"/>
            <w:tcBorders>
              <w:tl2br w:val="nil"/>
              <w:tr2bl w:val="nil"/>
            </w:tcBorders>
            <w:noWrap w:val="0"/>
            <w:vAlign w:val="center"/>
          </w:tcPr>
          <w:p w14:paraId="6AD699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平均值</w:t>
            </w:r>
          </w:p>
        </w:tc>
        <w:tc>
          <w:tcPr>
            <w:tcW w:w="532" w:type="pct"/>
            <w:tcBorders>
              <w:tl2br w:val="nil"/>
              <w:tr2bl w:val="nil"/>
            </w:tcBorders>
            <w:noWrap w:val="0"/>
            <w:vAlign w:val="center"/>
          </w:tcPr>
          <w:p w14:paraId="136B7F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cm</w:t>
            </w:r>
          </w:p>
        </w:tc>
        <w:tc>
          <w:tcPr>
            <w:tcW w:w="1053" w:type="pct"/>
            <w:tcBorders>
              <w:tl2br w:val="nil"/>
              <w:tr2bl w:val="nil"/>
            </w:tcBorders>
            <w:noWrap w:val="0"/>
            <w:vAlign w:val="center"/>
          </w:tcPr>
          <w:p w14:paraId="29BC8C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114</w:t>
            </w:r>
          </w:p>
        </w:tc>
      </w:tr>
      <w:tr w14:paraId="06367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408" w:type="pct"/>
            <w:vMerge w:val="continue"/>
            <w:tcBorders>
              <w:tl2br w:val="nil"/>
              <w:tr2bl w:val="nil"/>
            </w:tcBorders>
            <w:noWrap w:val="0"/>
            <w:vAlign w:val="center"/>
          </w:tcPr>
          <w:p w14:paraId="6006C83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u w:val="none"/>
              </w:rPr>
            </w:pPr>
          </w:p>
        </w:tc>
        <w:tc>
          <w:tcPr>
            <w:tcW w:w="2006" w:type="pct"/>
            <w:tcBorders>
              <w:tl2br w:val="nil"/>
              <w:tr2bl w:val="nil"/>
            </w:tcBorders>
            <w:noWrap w:val="0"/>
            <w:vAlign w:val="center"/>
          </w:tcPr>
          <w:p w14:paraId="76CEBF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极值</w:t>
            </w:r>
          </w:p>
        </w:tc>
        <w:tc>
          <w:tcPr>
            <w:tcW w:w="532" w:type="pct"/>
            <w:tcBorders>
              <w:tl2br w:val="nil"/>
              <w:tr2bl w:val="nil"/>
            </w:tcBorders>
            <w:noWrap w:val="0"/>
            <w:vAlign w:val="center"/>
          </w:tcPr>
          <w:p w14:paraId="17D96C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cm</w:t>
            </w:r>
          </w:p>
        </w:tc>
        <w:tc>
          <w:tcPr>
            <w:tcW w:w="1053" w:type="pct"/>
            <w:tcBorders>
              <w:tl2br w:val="nil"/>
              <w:tr2bl w:val="nil"/>
            </w:tcBorders>
            <w:noWrap w:val="0"/>
            <w:vAlign w:val="center"/>
          </w:tcPr>
          <w:p w14:paraId="50C897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167</w:t>
            </w:r>
          </w:p>
        </w:tc>
      </w:tr>
      <w:tr w14:paraId="37826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14" w:type="pct"/>
            <w:gridSpan w:val="2"/>
            <w:tcBorders>
              <w:tl2br w:val="nil"/>
              <w:tr2bl w:val="nil"/>
            </w:tcBorders>
            <w:noWrap w:val="0"/>
            <w:vAlign w:val="center"/>
          </w:tcPr>
          <w:p w14:paraId="5140C1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最大积雪厚度</w:t>
            </w:r>
          </w:p>
        </w:tc>
        <w:tc>
          <w:tcPr>
            <w:tcW w:w="532" w:type="pct"/>
            <w:tcBorders>
              <w:tl2br w:val="nil"/>
              <w:tr2bl w:val="nil"/>
            </w:tcBorders>
            <w:noWrap w:val="0"/>
            <w:vAlign w:val="center"/>
          </w:tcPr>
          <w:p w14:paraId="18902F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mm</w:t>
            </w:r>
          </w:p>
        </w:tc>
        <w:tc>
          <w:tcPr>
            <w:tcW w:w="1053" w:type="pct"/>
            <w:tcBorders>
              <w:tl2br w:val="nil"/>
              <w:tr2bl w:val="nil"/>
            </w:tcBorders>
            <w:noWrap w:val="0"/>
            <w:vAlign w:val="center"/>
          </w:tcPr>
          <w:p w14:paraId="24A7D7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140</w:t>
            </w:r>
          </w:p>
        </w:tc>
      </w:tr>
      <w:bookmarkEnd w:id="360"/>
      <w:bookmarkEnd w:id="361"/>
      <w:bookmarkEnd w:id="362"/>
      <w:bookmarkEnd w:id="363"/>
      <w:bookmarkEnd w:id="364"/>
    </w:tbl>
    <w:p w14:paraId="221968C4">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65" w:name="_Toc17473"/>
      <w:bookmarkStart w:id="366" w:name="_Toc31344"/>
      <w:bookmarkStart w:id="367" w:name="_Toc77006749"/>
      <w:bookmarkStart w:id="368" w:name="_Toc109382926"/>
      <w:bookmarkStart w:id="369" w:name="_Toc16164"/>
      <w:r>
        <w:rPr>
          <w:rFonts w:hint="default" w:ascii="黑体" w:hAnsi="黑体" w:eastAsia="黑体" w:cs="黑体"/>
          <w:color w:val="auto"/>
          <w:sz w:val="28"/>
          <w:szCs w:val="28"/>
          <w:u w:val="none"/>
          <w:lang w:val="en-US" w:eastAsia="zh-CN"/>
        </w:rPr>
        <w:t>4.2</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生态现状调查与评价</w:t>
      </w:r>
      <w:bookmarkEnd w:id="365"/>
      <w:bookmarkEnd w:id="366"/>
    </w:p>
    <w:p w14:paraId="2E0136D9">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zh-CN" w:eastAsia="zh-CN"/>
        </w:rPr>
      </w:pPr>
      <w:r>
        <w:rPr>
          <w:rFonts w:hint="default" w:ascii="黑体" w:hAnsi="黑体" w:eastAsia="黑体" w:cs="黑体"/>
          <w:b/>
          <w:color w:val="auto"/>
          <w:kern w:val="0"/>
          <w:sz w:val="24"/>
          <w:szCs w:val="24"/>
          <w:highlight w:val="none"/>
          <w:u w:val="none"/>
          <w:lang w:val="zh-CN" w:eastAsia="zh-CN"/>
        </w:rPr>
        <w:t>4.2.</w:t>
      </w:r>
      <w:r>
        <w:rPr>
          <w:rFonts w:hint="eastAsia" w:ascii="黑体" w:hAnsi="黑体" w:eastAsia="黑体" w:cs="黑体"/>
          <w:b/>
          <w:color w:val="auto"/>
          <w:kern w:val="0"/>
          <w:sz w:val="24"/>
          <w:szCs w:val="24"/>
          <w:highlight w:val="none"/>
          <w:u w:val="none"/>
          <w:lang w:val="en-US" w:eastAsia="zh-CN"/>
        </w:rPr>
        <w:t xml:space="preserve">1 </w:t>
      </w:r>
      <w:r>
        <w:rPr>
          <w:rFonts w:hint="default" w:ascii="黑体" w:hAnsi="黑体" w:eastAsia="黑体" w:cs="黑体"/>
          <w:b/>
          <w:color w:val="auto"/>
          <w:kern w:val="0"/>
          <w:sz w:val="24"/>
          <w:szCs w:val="24"/>
          <w:highlight w:val="none"/>
          <w:u w:val="none"/>
          <w:lang w:val="zh-CN" w:eastAsia="zh-CN"/>
        </w:rPr>
        <w:t>区域生态系统及主要环境问题</w:t>
      </w:r>
    </w:p>
    <w:p w14:paraId="3A6FBCAA">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zh-CN" w:eastAsia="zh-CN"/>
        </w:rPr>
      </w:pPr>
      <w:r>
        <w:rPr>
          <w:rFonts w:hint="default" w:ascii="宋体" w:hAnsi="宋体" w:eastAsia="宋体" w:cs="宋体"/>
          <w:color w:val="auto"/>
          <w:u w:val="none"/>
          <w:lang w:val="zh-CN" w:eastAsia="zh-CN"/>
        </w:rPr>
        <w:t>4.2.</w:t>
      </w:r>
      <w:r>
        <w:rPr>
          <w:rFonts w:hint="eastAsia" w:ascii="宋体" w:hAnsi="宋体" w:eastAsia="宋体" w:cs="宋体"/>
          <w:color w:val="auto"/>
          <w:u w:val="none"/>
          <w:lang w:val="en-US" w:eastAsia="zh-CN"/>
        </w:rPr>
        <w:t>1</w:t>
      </w:r>
      <w:r>
        <w:rPr>
          <w:rFonts w:hint="default" w:ascii="宋体" w:hAnsi="宋体" w:eastAsia="宋体" w:cs="宋体"/>
          <w:color w:val="auto"/>
          <w:u w:val="none"/>
          <w:lang w:val="zh-CN" w:eastAsia="zh-CN"/>
        </w:rPr>
        <w:t>.1</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工程所在区域</w:t>
      </w:r>
      <w:r>
        <w:rPr>
          <w:rFonts w:hint="default" w:ascii="宋体" w:hAnsi="宋体" w:eastAsia="宋体" w:cs="宋体"/>
          <w:color w:val="auto"/>
          <w:u w:val="none"/>
          <w:lang w:val="zh-CN" w:eastAsia="zh-CN"/>
        </w:rPr>
        <w:t>生态功能区划</w:t>
      </w:r>
    </w:p>
    <w:p w14:paraId="15AFC74E">
      <w:pPr>
        <w:keepNext w:val="0"/>
        <w:keepLines w:val="0"/>
        <w:pageBreakBefore w:val="0"/>
        <w:widowControl/>
        <w:kinsoku/>
        <w:wordWrap/>
        <w:overflowPunct/>
        <w:topLinePunct w:val="0"/>
        <w:autoSpaceDE/>
        <w:autoSpaceDN/>
        <w:bidi w:val="0"/>
        <w:adjustRightInd/>
        <w:snapToGrid/>
        <w:spacing w:after="0" w:line="480" w:lineRule="exact"/>
        <w:ind w:firstLine="496" w:firstLineChars="200"/>
        <w:jc w:val="both"/>
        <w:textAlignment w:val="auto"/>
        <w:rPr>
          <w:rFonts w:hint="default" w:ascii="Times New Roman" w:hAnsi="Times New Roman" w:eastAsia="宋体" w:cs="Times New Roman"/>
          <w:color w:val="auto"/>
          <w:spacing w:val="4"/>
          <w:kern w:val="0"/>
          <w:sz w:val="24"/>
          <w:szCs w:val="24"/>
          <w:highlight w:val="none"/>
          <w:u w:val="none"/>
          <w:lang w:val="en-US" w:eastAsia="zh-CN" w:bidi="ar-SA"/>
        </w:rPr>
      </w:pPr>
      <w:r>
        <w:rPr>
          <w:rFonts w:hint="default" w:ascii="Times New Roman" w:hAnsi="Times New Roman" w:eastAsia="宋体" w:cs="Times New Roman"/>
          <w:color w:val="auto"/>
          <w:spacing w:val="4"/>
          <w:kern w:val="0"/>
          <w:sz w:val="24"/>
          <w:szCs w:val="24"/>
          <w:highlight w:val="none"/>
          <w:u w:val="none"/>
          <w:lang w:val="en-US" w:eastAsia="zh-CN" w:bidi="ar-SA"/>
        </w:rPr>
        <w:t>根据《新疆生态功能区划》，项目区属于《新疆生态功能区划》中的II准噶尔盆地温性荒漠与绿洲农业生态区-II3准噶尔盆地中部固定、半固定沙漠生态亚区-23古尔班通古特沙漠化敏感及植被保护生态功能区。适宜发展方向为维护固定、半固定沙漠景观与植被，治理活化沙丘、遏制蔓延。</w:t>
      </w:r>
    </w:p>
    <w:p w14:paraId="59E3C3CD">
      <w:pPr>
        <w:keepNext w:val="0"/>
        <w:keepLines w:val="0"/>
        <w:pageBreakBefore w:val="0"/>
        <w:widowControl/>
        <w:kinsoku/>
        <w:wordWrap/>
        <w:overflowPunct/>
        <w:topLinePunct w:val="0"/>
        <w:autoSpaceDE/>
        <w:autoSpaceDN/>
        <w:bidi w:val="0"/>
        <w:adjustRightInd/>
        <w:snapToGrid/>
        <w:spacing w:after="0" w:line="480" w:lineRule="exact"/>
        <w:ind w:firstLine="496" w:firstLineChars="200"/>
        <w:jc w:val="both"/>
        <w:textAlignment w:val="auto"/>
        <w:rPr>
          <w:rFonts w:hint="default" w:ascii="Times New Roman" w:hAnsi="Times New Roman" w:eastAsia="宋体" w:cs="Times New Roman"/>
          <w:b/>
          <w:color w:val="auto"/>
          <w:kern w:val="0"/>
          <w:sz w:val="21"/>
          <w:szCs w:val="21"/>
          <w:highlight w:val="none"/>
          <w:u w:val="none"/>
        </w:rPr>
      </w:pPr>
      <w:r>
        <w:rPr>
          <w:rFonts w:hint="default" w:ascii="Times New Roman" w:hAnsi="Times New Roman" w:eastAsia="宋体" w:cs="Times New Roman"/>
          <w:color w:val="auto"/>
          <w:spacing w:val="4"/>
          <w:kern w:val="0"/>
          <w:sz w:val="24"/>
          <w:szCs w:val="24"/>
          <w:highlight w:val="none"/>
          <w:u w:val="none"/>
          <w:lang w:val="en-US" w:eastAsia="zh-CN" w:bidi="ar-SA"/>
        </w:rPr>
        <w:t>工程所在区域油田勘探开发工作已开展多年工程区生态功能区的主要生态服务功能、生态敏感因子、主要生态环境问题和主要保护目标</w:t>
      </w:r>
      <w:r>
        <w:rPr>
          <w:rFonts w:hint="eastAsia" w:cs="Times New Roman"/>
          <w:color w:val="auto"/>
          <w:spacing w:val="4"/>
          <w:kern w:val="0"/>
          <w:sz w:val="24"/>
          <w:szCs w:val="24"/>
          <w:highlight w:val="none"/>
          <w:u w:val="none"/>
          <w:lang w:val="en-US" w:eastAsia="zh-CN" w:bidi="ar-SA"/>
        </w:rPr>
        <w:t>，</w:t>
      </w:r>
      <w:r>
        <w:rPr>
          <w:rFonts w:hint="default" w:ascii="Times New Roman" w:hAnsi="Times New Roman" w:eastAsia="宋体" w:cs="Times New Roman"/>
          <w:color w:val="auto"/>
          <w:spacing w:val="4"/>
          <w:kern w:val="0"/>
          <w:sz w:val="24"/>
          <w:szCs w:val="24"/>
          <w:highlight w:val="none"/>
          <w:u w:val="none"/>
          <w:lang w:val="en-US" w:eastAsia="zh-CN" w:bidi="ar-SA"/>
        </w:rPr>
        <w:t>见表4.2-1。</w:t>
      </w:r>
    </w:p>
    <w:p w14:paraId="4FDFDB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表4.2-1        项目区域生态功能区划</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617"/>
        <w:gridCol w:w="6518"/>
      </w:tblGrid>
      <w:tr w14:paraId="4AAF8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5" w:type="pct"/>
            <w:vMerge w:val="restart"/>
            <w:tcBorders>
              <w:tl2br w:val="nil"/>
              <w:tr2bl w:val="nil"/>
            </w:tcBorders>
            <w:noWrap w:val="0"/>
            <w:vAlign w:val="center"/>
          </w:tcPr>
          <w:p w14:paraId="3EB666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生态功能分区单元</w:t>
            </w:r>
          </w:p>
        </w:tc>
        <w:tc>
          <w:tcPr>
            <w:tcW w:w="915" w:type="pct"/>
            <w:tcBorders>
              <w:tl2br w:val="nil"/>
              <w:tr2bl w:val="nil"/>
            </w:tcBorders>
            <w:noWrap w:val="0"/>
            <w:vAlign w:val="center"/>
          </w:tcPr>
          <w:p w14:paraId="008E03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生态区</w:t>
            </w:r>
          </w:p>
        </w:tc>
        <w:tc>
          <w:tcPr>
            <w:tcW w:w="3689" w:type="pct"/>
            <w:tcBorders>
              <w:tl2br w:val="nil"/>
              <w:tr2bl w:val="nil"/>
            </w:tcBorders>
            <w:noWrap w:val="0"/>
            <w:vAlign w:val="center"/>
          </w:tcPr>
          <w:p w14:paraId="7082F7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Ⅱ准噶尔盆地温性干旱荒漠与绿洲生态功能区</w:t>
            </w:r>
          </w:p>
        </w:tc>
      </w:tr>
      <w:tr w14:paraId="35D19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5" w:type="pct"/>
            <w:vMerge w:val="continue"/>
            <w:tcBorders>
              <w:tl2br w:val="nil"/>
              <w:tr2bl w:val="nil"/>
            </w:tcBorders>
            <w:noWrap w:val="0"/>
            <w:vAlign w:val="center"/>
          </w:tcPr>
          <w:p w14:paraId="3FBEBD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915" w:type="pct"/>
            <w:tcBorders>
              <w:tl2br w:val="nil"/>
              <w:tr2bl w:val="nil"/>
            </w:tcBorders>
            <w:noWrap w:val="0"/>
            <w:vAlign w:val="center"/>
          </w:tcPr>
          <w:p w14:paraId="228176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生态亚区</w:t>
            </w:r>
          </w:p>
        </w:tc>
        <w:tc>
          <w:tcPr>
            <w:tcW w:w="3689" w:type="pct"/>
            <w:tcBorders>
              <w:tl2br w:val="nil"/>
              <w:tr2bl w:val="nil"/>
            </w:tcBorders>
            <w:noWrap w:val="0"/>
            <w:vAlign w:val="center"/>
          </w:tcPr>
          <w:p w14:paraId="6CBB92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II3准噶尔盆地中部固定、半固定沙漠生态亚区</w:t>
            </w:r>
          </w:p>
        </w:tc>
      </w:tr>
      <w:tr w14:paraId="6F571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5" w:type="pct"/>
            <w:vMerge w:val="continue"/>
            <w:tcBorders>
              <w:tl2br w:val="nil"/>
              <w:tr2bl w:val="nil"/>
            </w:tcBorders>
            <w:noWrap w:val="0"/>
            <w:vAlign w:val="center"/>
          </w:tcPr>
          <w:p w14:paraId="3BD0BA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915" w:type="pct"/>
            <w:tcBorders>
              <w:tl2br w:val="nil"/>
              <w:tr2bl w:val="nil"/>
            </w:tcBorders>
            <w:noWrap w:val="0"/>
            <w:vAlign w:val="center"/>
          </w:tcPr>
          <w:p w14:paraId="68A257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生态功能区</w:t>
            </w:r>
          </w:p>
        </w:tc>
        <w:tc>
          <w:tcPr>
            <w:tcW w:w="3689" w:type="pct"/>
            <w:tcBorders>
              <w:tl2br w:val="nil"/>
              <w:tr2bl w:val="nil"/>
            </w:tcBorders>
            <w:noWrap w:val="0"/>
            <w:vAlign w:val="center"/>
          </w:tcPr>
          <w:p w14:paraId="053218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23古尔班通古特沙漠化敏感及植被保护生态功能区</w:t>
            </w:r>
          </w:p>
        </w:tc>
      </w:tr>
      <w:tr w14:paraId="04076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pct"/>
            <w:gridSpan w:val="2"/>
            <w:tcBorders>
              <w:tl2br w:val="nil"/>
              <w:tr2bl w:val="nil"/>
            </w:tcBorders>
            <w:noWrap w:val="0"/>
            <w:vAlign w:val="center"/>
          </w:tcPr>
          <w:p w14:paraId="74CF26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隶属行政区</w:t>
            </w:r>
          </w:p>
        </w:tc>
        <w:tc>
          <w:tcPr>
            <w:tcW w:w="3689" w:type="pct"/>
            <w:tcBorders>
              <w:tl2br w:val="nil"/>
              <w:tr2bl w:val="nil"/>
            </w:tcBorders>
            <w:noWrap w:val="0"/>
            <w:vAlign w:val="center"/>
          </w:tcPr>
          <w:p w14:paraId="5D3F9E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和布克赛尔县、沙湾县、玛纳斯县、呼图壁县、昌吉市、米泉市、阜康市、吉木萨尔县、奇台县、木垒县</w:t>
            </w:r>
          </w:p>
        </w:tc>
      </w:tr>
      <w:tr w14:paraId="264F3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pct"/>
            <w:gridSpan w:val="2"/>
            <w:tcBorders>
              <w:tl2br w:val="nil"/>
              <w:tr2bl w:val="nil"/>
            </w:tcBorders>
            <w:noWrap w:val="0"/>
            <w:vAlign w:val="center"/>
          </w:tcPr>
          <w:p w14:paraId="5F425D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主要生态服务功能</w:t>
            </w:r>
          </w:p>
        </w:tc>
        <w:tc>
          <w:tcPr>
            <w:tcW w:w="3689" w:type="pct"/>
            <w:tcBorders>
              <w:tl2br w:val="nil"/>
              <w:tr2bl w:val="nil"/>
            </w:tcBorders>
            <w:noWrap w:val="0"/>
            <w:vAlign w:val="center"/>
          </w:tcPr>
          <w:p w14:paraId="23D78C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沙漠化控制、生物多样性维护</w:t>
            </w:r>
          </w:p>
        </w:tc>
      </w:tr>
      <w:tr w14:paraId="6D59B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pct"/>
            <w:gridSpan w:val="2"/>
            <w:tcBorders>
              <w:tl2br w:val="nil"/>
              <w:tr2bl w:val="nil"/>
            </w:tcBorders>
            <w:noWrap w:val="0"/>
            <w:vAlign w:val="center"/>
          </w:tcPr>
          <w:p w14:paraId="28C704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主要生态环境问题</w:t>
            </w:r>
          </w:p>
        </w:tc>
        <w:tc>
          <w:tcPr>
            <w:tcW w:w="3689" w:type="pct"/>
            <w:tcBorders>
              <w:tl2br w:val="nil"/>
              <w:tr2bl w:val="nil"/>
            </w:tcBorders>
            <w:noWrap w:val="0"/>
            <w:vAlign w:val="center"/>
          </w:tcPr>
          <w:p w14:paraId="00C650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人为干扰范围扩大、工程建设引起沙漠植被破坏、鼠害严重、植被退化、沙漠化构成对南缘绿洲的威胁</w:t>
            </w:r>
          </w:p>
        </w:tc>
      </w:tr>
      <w:tr w14:paraId="4E73D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pct"/>
            <w:gridSpan w:val="2"/>
            <w:tcBorders>
              <w:tl2br w:val="nil"/>
              <w:tr2bl w:val="nil"/>
            </w:tcBorders>
            <w:noWrap w:val="0"/>
            <w:vAlign w:val="center"/>
          </w:tcPr>
          <w:p w14:paraId="5C1B28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生态敏感因子敏感程度</w:t>
            </w:r>
          </w:p>
        </w:tc>
        <w:tc>
          <w:tcPr>
            <w:tcW w:w="3689" w:type="pct"/>
            <w:tcBorders>
              <w:tl2br w:val="nil"/>
              <w:tr2bl w:val="nil"/>
            </w:tcBorders>
            <w:noWrap w:val="0"/>
            <w:vAlign w:val="center"/>
          </w:tcPr>
          <w:p w14:paraId="35F5AD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生物多样性及其生境高度敏感，土地沙漠化极度敏感，土壤侵蚀高度敏感、土壤盐渍化轻度敏感</w:t>
            </w:r>
          </w:p>
        </w:tc>
      </w:tr>
      <w:tr w14:paraId="33B28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pct"/>
            <w:gridSpan w:val="2"/>
            <w:tcBorders>
              <w:tl2br w:val="nil"/>
              <w:tr2bl w:val="nil"/>
            </w:tcBorders>
            <w:noWrap w:val="0"/>
            <w:vAlign w:val="center"/>
          </w:tcPr>
          <w:p w14:paraId="42A694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保护目标</w:t>
            </w:r>
          </w:p>
        </w:tc>
        <w:tc>
          <w:tcPr>
            <w:tcW w:w="3689" w:type="pct"/>
            <w:tcBorders>
              <w:tl2br w:val="nil"/>
              <w:tr2bl w:val="nil"/>
            </w:tcBorders>
            <w:noWrap w:val="0"/>
            <w:vAlign w:val="center"/>
          </w:tcPr>
          <w:p w14:paraId="69BD21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保护沙漠植被、防止沙丘活化</w:t>
            </w:r>
          </w:p>
        </w:tc>
      </w:tr>
      <w:tr w14:paraId="500FC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pct"/>
            <w:gridSpan w:val="2"/>
            <w:tcBorders>
              <w:tl2br w:val="nil"/>
              <w:tr2bl w:val="nil"/>
            </w:tcBorders>
            <w:noWrap w:val="0"/>
            <w:vAlign w:val="center"/>
          </w:tcPr>
          <w:p w14:paraId="67DA03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保护措施</w:t>
            </w:r>
          </w:p>
        </w:tc>
        <w:tc>
          <w:tcPr>
            <w:tcW w:w="3689" w:type="pct"/>
            <w:tcBorders>
              <w:tl2br w:val="nil"/>
              <w:tr2bl w:val="nil"/>
            </w:tcBorders>
            <w:noWrap w:val="0"/>
            <w:vAlign w:val="center"/>
          </w:tcPr>
          <w:p w14:paraId="6650EE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对沙漠边缘流动沙丘、活化沙丘进行封沙育林、退耕还林（草），禁止樵采和放牧，禁止开荒</w:t>
            </w:r>
          </w:p>
        </w:tc>
      </w:tr>
      <w:tr w14:paraId="16EA8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0" w:type="pct"/>
            <w:gridSpan w:val="2"/>
            <w:tcBorders>
              <w:tl2br w:val="nil"/>
              <w:tr2bl w:val="nil"/>
            </w:tcBorders>
            <w:noWrap w:val="0"/>
            <w:vAlign w:val="center"/>
          </w:tcPr>
          <w:p w14:paraId="35D394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发展方向</w:t>
            </w:r>
          </w:p>
        </w:tc>
        <w:tc>
          <w:tcPr>
            <w:tcW w:w="3689" w:type="pct"/>
            <w:tcBorders>
              <w:tl2br w:val="nil"/>
              <w:tr2bl w:val="nil"/>
            </w:tcBorders>
            <w:noWrap w:val="0"/>
            <w:vAlign w:val="center"/>
          </w:tcPr>
          <w:p w14:paraId="64C301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维护固定、半固定沙漠景观与植被，治理活化沙丘、遏制蔓延</w:t>
            </w:r>
          </w:p>
        </w:tc>
      </w:tr>
    </w:tbl>
    <w:p w14:paraId="46DC6E3A">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9"/>
        <w:rPr>
          <w:rFonts w:hint="default" w:ascii="宋体" w:hAnsi="宋体" w:eastAsia="宋体" w:cs="宋体"/>
          <w:color w:val="auto"/>
          <w:u w:val="none"/>
          <w:lang w:val="zh-CN" w:eastAsia="zh-CN"/>
        </w:rPr>
      </w:pPr>
    </w:p>
    <w:p w14:paraId="55F6E3C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zh-CN" w:eastAsia="zh-CN"/>
        </w:rPr>
      </w:pPr>
      <w:r>
        <w:rPr>
          <w:rFonts w:hint="default" w:ascii="宋体" w:hAnsi="宋体" w:eastAsia="宋体" w:cs="宋体"/>
          <w:color w:val="auto"/>
          <w:u w:val="none"/>
          <w:lang w:val="zh-CN" w:eastAsia="zh-CN"/>
        </w:rPr>
        <w:t>4.2.</w:t>
      </w:r>
      <w:r>
        <w:rPr>
          <w:rFonts w:hint="eastAsia" w:ascii="宋体" w:hAnsi="宋体" w:eastAsia="宋体" w:cs="宋体"/>
          <w:color w:val="auto"/>
          <w:u w:val="none"/>
          <w:lang w:val="en-US" w:eastAsia="zh-CN"/>
        </w:rPr>
        <w:t>1</w:t>
      </w:r>
      <w:r>
        <w:rPr>
          <w:rFonts w:hint="default" w:ascii="宋体" w:hAnsi="宋体" w:eastAsia="宋体" w:cs="宋体"/>
          <w:color w:val="auto"/>
          <w:u w:val="none"/>
          <w:lang w:val="zh-CN" w:eastAsia="zh-CN"/>
        </w:rPr>
        <w:t>.2</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zh-CN" w:eastAsia="zh-CN"/>
        </w:rPr>
        <w:t>生态系统</w:t>
      </w:r>
      <w:r>
        <w:rPr>
          <w:rFonts w:hint="default" w:ascii="宋体" w:hAnsi="宋体" w:eastAsia="宋体" w:cs="宋体"/>
          <w:color w:val="auto"/>
          <w:u w:val="none"/>
          <w:lang w:val="en-US" w:eastAsia="zh-CN"/>
        </w:rPr>
        <w:t>结构</w:t>
      </w:r>
      <w:r>
        <w:rPr>
          <w:rFonts w:hint="default" w:ascii="宋体" w:hAnsi="宋体" w:eastAsia="宋体" w:cs="宋体"/>
          <w:color w:val="auto"/>
          <w:u w:val="none"/>
          <w:lang w:val="zh-CN" w:eastAsia="zh-CN"/>
        </w:rPr>
        <w:t>和特征</w:t>
      </w:r>
    </w:p>
    <w:p w14:paraId="532765AE">
      <w:pPr>
        <w:keepNext w:val="0"/>
        <w:keepLines w:val="0"/>
        <w:pageBreakBefore w:val="0"/>
        <w:widowControl/>
        <w:kinsoku/>
        <w:wordWrap/>
        <w:overflowPunct/>
        <w:topLinePunct w:val="0"/>
        <w:autoSpaceDE/>
        <w:autoSpaceDN/>
        <w:bidi w:val="0"/>
        <w:adjustRightInd/>
        <w:snapToGrid/>
        <w:spacing w:line="480" w:lineRule="exact"/>
        <w:ind w:firstLine="456" w:firstLineChars="200"/>
        <w:jc w:val="left"/>
        <w:textAlignment w:val="auto"/>
        <w:rPr>
          <w:rFonts w:hint="eastAsia" w:ascii="宋体" w:hAnsi="宋体" w:cs="宋体"/>
          <w:snapToGrid w:val="0"/>
          <w:color w:val="auto"/>
          <w:kern w:val="0"/>
          <w:sz w:val="24"/>
          <w:szCs w:val="24"/>
          <w:highlight w:val="none"/>
          <w:u w:val="none"/>
        </w:rPr>
      </w:pPr>
      <w:r>
        <w:rPr>
          <w:rFonts w:hint="eastAsia" w:ascii="宋体" w:hAnsi="宋体" w:cs="宋体"/>
          <w:snapToGrid w:val="0"/>
          <w:color w:val="auto"/>
          <w:spacing w:val="-6"/>
          <w:kern w:val="0"/>
          <w:sz w:val="24"/>
          <w:szCs w:val="24"/>
          <w:highlight w:val="none"/>
          <w:u w:val="none"/>
        </w:rPr>
        <w:t>项目区生态系统</w:t>
      </w:r>
      <w:r>
        <w:rPr>
          <w:rFonts w:hint="eastAsia" w:ascii="宋体" w:hAnsi="宋体" w:cs="宋体"/>
          <w:snapToGrid w:val="0"/>
          <w:color w:val="auto"/>
          <w:spacing w:val="-6"/>
          <w:kern w:val="0"/>
          <w:sz w:val="24"/>
          <w:szCs w:val="24"/>
          <w:highlight w:val="none"/>
          <w:u w:val="none"/>
          <w:lang w:val="en-US" w:eastAsia="zh-CN"/>
        </w:rPr>
        <w:t>为沙漠生态系统</w:t>
      </w:r>
      <w:r>
        <w:rPr>
          <w:rFonts w:hint="eastAsia" w:ascii="宋体" w:hAnsi="宋体" w:cs="宋体"/>
          <w:snapToGrid w:val="0"/>
          <w:color w:val="auto"/>
          <w:spacing w:val="-6"/>
          <w:kern w:val="0"/>
          <w:sz w:val="24"/>
          <w:szCs w:val="24"/>
          <w:highlight w:val="none"/>
          <w:u w:val="none"/>
          <w:lang w:eastAsia="zh-CN"/>
        </w:rPr>
        <w:t>，</w:t>
      </w:r>
      <w:r>
        <w:rPr>
          <w:rFonts w:hint="eastAsia" w:ascii="宋体" w:hAnsi="宋体" w:cs="宋体"/>
          <w:snapToGrid w:val="0"/>
          <w:color w:val="auto"/>
          <w:spacing w:val="-6"/>
          <w:kern w:val="0"/>
          <w:sz w:val="24"/>
          <w:szCs w:val="24"/>
          <w:highlight w:val="none"/>
          <w:u w:val="none"/>
          <w:lang w:val="en-US" w:eastAsia="zh-CN"/>
        </w:rPr>
        <w:t>以沙地为主，地表植被稀疏</w:t>
      </w:r>
      <w:r>
        <w:rPr>
          <w:rFonts w:hint="eastAsia" w:ascii="宋体" w:hAnsi="宋体" w:cs="宋体"/>
          <w:snapToGrid w:val="0"/>
          <w:color w:val="auto"/>
          <w:spacing w:val="-6"/>
          <w:kern w:val="0"/>
          <w:sz w:val="24"/>
          <w:szCs w:val="24"/>
          <w:highlight w:val="none"/>
          <w:u w:val="none"/>
        </w:rPr>
        <w:t>，生态系统结构简单。</w:t>
      </w:r>
      <w:r>
        <w:rPr>
          <w:rFonts w:hint="eastAsia" w:ascii="宋体" w:hAnsi="宋体" w:cs="宋体"/>
          <w:snapToGrid w:val="0"/>
          <w:color w:val="auto"/>
          <w:spacing w:val="-6"/>
          <w:kern w:val="0"/>
          <w:sz w:val="24"/>
          <w:szCs w:val="24"/>
          <w:u w:val="none"/>
        </w:rPr>
        <w:t>环境水分稀少是该生态系统的最基本环境特征。在气候上，评价区处于干旱地区，且降水随着季节不同分配不均匀。由于降水稀少和蒸散强烈，少量天然降水远不能满足中生植物生长发育所需要的水分，只有耐干旱的沙生植物才能得以生存，由此形成</w:t>
      </w:r>
      <w:r>
        <w:rPr>
          <w:rFonts w:hint="eastAsia" w:ascii="宋体" w:hAnsi="宋体" w:cs="宋体"/>
          <w:snapToGrid w:val="0"/>
          <w:color w:val="auto"/>
          <w:spacing w:val="-6"/>
          <w:kern w:val="0"/>
          <w:sz w:val="24"/>
          <w:szCs w:val="24"/>
          <w:u w:val="none"/>
          <w:lang w:val="en-US" w:eastAsia="zh-CN"/>
        </w:rPr>
        <w:t>沙漠</w:t>
      </w:r>
      <w:r>
        <w:rPr>
          <w:rFonts w:hint="eastAsia" w:ascii="宋体" w:hAnsi="宋体" w:cs="宋体"/>
          <w:snapToGrid w:val="0"/>
          <w:color w:val="auto"/>
          <w:spacing w:val="-6"/>
          <w:kern w:val="0"/>
          <w:sz w:val="24"/>
          <w:szCs w:val="24"/>
          <w:u w:val="none"/>
        </w:rPr>
        <w:t>生态景观。</w:t>
      </w:r>
      <w:r>
        <w:rPr>
          <w:rFonts w:hint="eastAsia" w:ascii="宋体" w:hAnsi="宋体" w:eastAsia="宋体" w:cs="宋体"/>
          <w:snapToGrid w:val="0"/>
          <w:color w:val="auto"/>
          <w:spacing w:val="-6"/>
          <w:kern w:val="0"/>
          <w:sz w:val="24"/>
          <w:szCs w:val="24"/>
          <w:u w:val="none"/>
          <w:lang w:val="en-US" w:eastAsia="zh-CN" w:bidi="ar-SA"/>
        </w:rPr>
        <w:t>工程区内的生态环境十分脆弱，生态系统类型单一、稳定性较差、结构简单、环境异质性较低，系统受扰动后自我恢复的能力差。</w:t>
      </w:r>
    </w:p>
    <w:bookmarkEnd w:id="367"/>
    <w:bookmarkEnd w:id="368"/>
    <w:bookmarkEnd w:id="369"/>
    <w:p w14:paraId="6181210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zh-CN" w:eastAsia="zh-CN"/>
        </w:rPr>
      </w:pPr>
      <w:bookmarkStart w:id="370" w:name="_Toc14027"/>
      <w:bookmarkStart w:id="371" w:name="_Toc361761833"/>
      <w:bookmarkStart w:id="372" w:name="_Toc353966741"/>
      <w:bookmarkStart w:id="373" w:name="_Toc109382927"/>
      <w:bookmarkStart w:id="374" w:name="_Toc374724186"/>
      <w:bookmarkStart w:id="375" w:name="_Toc508291889"/>
      <w:r>
        <w:rPr>
          <w:rFonts w:hint="default" w:ascii="黑体" w:hAnsi="黑体" w:eastAsia="黑体" w:cs="黑体"/>
          <w:b/>
          <w:color w:val="auto"/>
          <w:kern w:val="0"/>
          <w:sz w:val="24"/>
          <w:szCs w:val="24"/>
          <w:highlight w:val="none"/>
          <w:u w:val="none"/>
          <w:lang w:val="zh-CN" w:eastAsia="zh-CN"/>
        </w:rPr>
        <w:t>4.2.2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zh-CN" w:eastAsia="zh-CN"/>
        </w:rPr>
        <w:t>土地利用现状调查</w:t>
      </w:r>
    </w:p>
    <w:p w14:paraId="061C2E47">
      <w:pPr>
        <w:keepNext w:val="0"/>
        <w:keepLines w:val="0"/>
        <w:pageBreakBefore w:val="0"/>
        <w:kinsoku/>
        <w:wordWrap/>
        <w:overflowPunct/>
        <w:topLinePunct w:val="0"/>
        <w:autoSpaceDE/>
        <w:autoSpaceDN/>
        <w:bidi w:val="0"/>
        <w:adjustRightInd/>
        <w:snapToGrid/>
        <w:spacing w:line="480" w:lineRule="exact"/>
        <w:ind w:firstLine="540" w:firstLineChars="225"/>
        <w:textAlignment w:val="auto"/>
        <w:rPr>
          <w:rFonts w:hint="default" w:ascii="Times New Roman" w:hAnsi="Times New Roman" w:cs="Times New Roman"/>
          <w:snapToGrid w:val="0"/>
          <w:color w:val="auto"/>
          <w:kern w:val="0"/>
          <w:sz w:val="24"/>
          <w:szCs w:val="24"/>
          <w:highlight w:val="none"/>
          <w:u w:val="none"/>
        </w:rPr>
      </w:pPr>
      <w:r>
        <w:rPr>
          <w:rFonts w:hint="default" w:ascii="Times New Roman" w:hAnsi="Times New Roman" w:cs="Times New Roman"/>
          <w:snapToGrid w:val="0"/>
          <w:color w:val="auto"/>
          <w:kern w:val="0"/>
          <w:sz w:val="24"/>
          <w:szCs w:val="24"/>
          <w:highlight w:val="none"/>
          <w:u w:val="none"/>
        </w:rPr>
        <w:t>本次土地利用现状调查的主要技术方法采用遥感数据分析和解译，即以高分辨率遥感影像为基础，采用图形叠加法对评价范围内的生态环境现状进行分析，并参照《土地利用现状分类》（GBT21010-2017），以确定评价范围内的土地利用类型，将成果绘制成土地利用现状图。同时选择有代表性的地物类型，建立遥感影像野外标志数据库，收集能反映区域土地利用特征</w:t>
      </w:r>
      <w:r>
        <w:rPr>
          <w:rFonts w:hint="eastAsia" w:cs="Times New Roman"/>
          <w:snapToGrid w:val="0"/>
          <w:color w:val="auto"/>
          <w:kern w:val="0"/>
          <w:sz w:val="24"/>
          <w:szCs w:val="24"/>
          <w:highlight w:val="none"/>
          <w:u w:val="none"/>
          <w:lang w:eastAsia="zh-CN"/>
        </w:rPr>
        <w:t>的</w:t>
      </w:r>
      <w:r>
        <w:rPr>
          <w:rFonts w:hint="default" w:ascii="Times New Roman" w:hAnsi="Times New Roman" w:cs="Times New Roman"/>
          <w:snapToGrid w:val="0"/>
          <w:color w:val="auto"/>
          <w:kern w:val="0"/>
          <w:sz w:val="24"/>
          <w:szCs w:val="24"/>
          <w:highlight w:val="none"/>
          <w:u w:val="none"/>
        </w:rPr>
        <w:t>野外照片、录像资料，在实地踏勘和调查时进行野外核查。</w:t>
      </w:r>
    </w:p>
    <w:p w14:paraId="55C9679D">
      <w:pPr>
        <w:keepNext w:val="0"/>
        <w:keepLines w:val="0"/>
        <w:pageBreakBefore w:val="0"/>
        <w:kinsoku/>
        <w:wordWrap/>
        <w:overflowPunct/>
        <w:topLinePunct w:val="0"/>
        <w:autoSpaceDE/>
        <w:autoSpaceDN/>
        <w:bidi w:val="0"/>
        <w:adjustRightInd/>
        <w:snapToGrid/>
        <w:spacing w:line="480" w:lineRule="exact"/>
        <w:ind w:firstLine="540" w:firstLineChars="225"/>
        <w:textAlignment w:val="auto"/>
        <w:rPr>
          <w:rFonts w:hint="default" w:ascii="Times New Roman" w:hAnsi="Times New Roman" w:cs="Times New Roman"/>
          <w:snapToGrid w:val="0"/>
          <w:color w:val="auto"/>
          <w:kern w:val="0"/>
          <w:sz w:val="24"/>
          <w:szCs w:val="24"/>
          <w:highlight w:val="none"/>
          <w:u w:val="none"/>
        </w:rPr>
      </w:pPr>
      <w:r>
        <w:rPr>
          <w:rFonts w:hint="default" w:ascii="Times New Roman" w:hAnsi="Times New Roman" w:cs="Times New Roman"/>
          <w:snapToGrid w:val="0"/>
          <w:color w:val="auto"/>
          <w:kern w:val="0"/>
          <w:sz w:val="24"/>
          <w:szCs w:val="24"/>
          <w:highlight w:val="none"/>
          <w:u w:val="none"/>
        </w:rPr>
        <w:t>根据调查，评价区及占地范围内土地利用现状类型均为沙地</w:t>
      </w:r>
      <w:r>
        <w:rPr>
          <w:rFonts w:hint="eastAsia" w:cs="Times New Roman"/>
          <w:snapToGrid w:val="0"/>
          <w:color w:val="auto"/>
          <w:kern w:val="0"/>
          <w:sz w:val="24"/>
          <w:szCs w:val="24"/>
          <w:highlight w:val="none"/>
          <w:u w:val="none"/>
          <w:lang w:val="en-US" w:eastAsia="zh-CN"/>
        </w:rPr>
        <w:t>,</w:t>
      </w:r>
      <w:r>
        <w:rPr>
          <w:rFonts w:hint="default" w:ascii="Times New Roman" w:hAnsi="Times New Roman" w:cs="Times New Roman"/>
          <w:snapToGrid w:val="0"/>
          <w:color w:val="auto"/>
          <w:kern w:val="0"/>
          <w:sz w:val="24"/>
          <w:szCs w:val="24"/>
          <w:highlight w:val="none"/>
          <w:u w:val="none"/>
        </w:rPr>
        <w:t>工程区地表为流动沙丘所覆盖，项目区内植被覆盖度在</w:t>
      </w:r>
      <w:r>
        <w:rPr>
          <w:rFonts w:hint="eastAsia" w:cs="Times New Roman"/>
          <w:snapToGrid w:val="0"/>
          <w:color w:val="auto"/>
          <w:kern w:val="0"/>
          <w:sz w:val="24"/>
          <w:szCs w:val="24"/>
          <w:highlight w:val="none"/>
          <w:u w:val="none"/>
          <w:lang w:val="en-US" w:eastAsia="zh-CN"/>
        </w:rPr>
        <w:t>5</w:t>
      </w:r>
      <w:r>
        <w:rPr>
          <w:rFonts w:hint="default" w:ascii="Times New Roman" w:hAnsi="Times New Roman" w:cs="Times New Roman"/>
          <w:snapToGrid w:val="0"/>
          <w:color w:val="auto"/>
          <w:kern w:val="0"/>
          <w:sz w:val="24"/>
          <w:szCs w:val="24"/>
          <w:highlight w:val="none"/>
          <w:u w:val="none"/>
        </w:rPr>
        <w:t>%左右</w:t>
      </w:r>
      <w:r>
        <w:rPr>
          <w:rFonts w:hint="eastAsia" w:cs="Times New Roman"/>
          <w:snapToGrid w:val="0"/>
          <w:color w:val="auto"/>
          <w:kern w:val="0"/>
          <w:sz w:val="24"/>
          <w:szCs w:val="24"/>
          <w:highlight w:val="none"/>
          <w:u w:val="none"/>
          <w:lang w:eastAsia="zh-CN"/>
        </w:rPr>
        <w:t>，</w:t>
      </w:r>
      <w:r>
        <w:rPr>
          <w:rFonts w:hint="default" w:ascii="Times New Roman" w:hAnsi="Times New Roman" w:cs="Times New Roman"/>
          <w:snapToGrid w:val="0"/>
          <w:color w:val="auto"/>
          <w:kern w:val="0"/>
          <w:sz w:val="24"/>
          <w:szCs w:val="24"/>
          <w:highlight w:val="none"/>
          <w:u w:val="none"/>
        </w:rPr>
        <w:t>土地现状以自然状态为主。</w:t>
      </w:r>
    </w:p>
    <w:p w14:paraId="6D3F1B95">
      <w:pPr>
        <w:keepNext w:val="0"/>
        <w:keepLines w:val="0"/>
        <w:pageBreakBefore w:val="0"/>
        <w:kinsoku/>
        <w:wordWrap/>
        <w:overflowPunct/>
        <w:topLinePunct w:val="0"/>
        <w:autoSpaceDE/>
        <w:autoSpaceDN/>
        <w:bidi w:val="0"/>
        <w:adjustRightInd/>
        <w:snapToGrid/>
        <w:spacing w:line="480" w:lineRule="exact"/>
        <w:ind w:firstLine="540" w:firstLineChars="225"/>
        <w:textAlignment w:val="auto"/>
        <w:rPr>
          <w:rFonts w:hint="eastAsia" w:cs="Times New Roman"/>
          <w:snapToGrid w:val="0"/>
          <w:color w:val="auto"/>
          <w:kern w:val="0"/>
          <w:sz w:val="24"/>
          <w:szCs w:val="24"/>
          <w:highlight w:val="yellow"/>
          <w:u w:val="none"/>
          <w:lang w:val="en-US" w:eastAsia="zh-CN"/>
        </w:rPr>
        <w:sectPr>
          <w:footerReference r:id="rId11" w:type="default"/>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snapToGrid w:val="0"/>
          <w:color w:val="auto"/>
          <w:kern w:val="0"/>
          <w:sz w:val="24"/>
          <w:szCs w:val="24"/>
          <w:highlight w:val="none"/>
          <w:u w:val="none"/>
        </w:rPr>
        <w:t>评价区域土地利用现状</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见图4.2-1。</w:t>
      </w:r>
    </w:p>
    <w:p w14:paraId="2E5045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olor w:val="auto"/>
          <w:u w:val="none"/>
          <w:lang w:val="en-US" w:eastAsia="zh-CN"/>
        </w:rPr>
        <w:sectPr>
          <w:pgSz w:w="16838" w:h="11906" w:orient="landscape"/>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黑体" w:hAnsi="黑体" w:eastAsia="黑体" w:cs="黑体"/>
          <w:b w:val="0"/>
          <w:bCs/>
          <w:color w:val="auto"/>
          <w:kern w:val="2"/>
          <w:sz w:val="24"/>
          <w:szCs w:val="24"/>
          <w:u w:val="none"/>
          <w:lang w:val="en-US" w:eastAsia="zh-CN" w:bidi="ar-SA"/>
        </w:rPr>
        <w:drawing>
          <wp:anchor distT="0" distB="0" distL="114300" distR="114300" simplePos="0" relativeHeight="251707392" behindDoc="0" locked="0" layoutInCell="1" allowOverlap="1">
            <wp:simplePos x="0" y="0"/>
            <wp:positionH relativeFrom="column">
              <wp:posOffset>432435</wp:posOffset>
            </wp:positionH>
            <wp:positionV relativeFrom="paragraph">
              <wp:posOffset>55245</wp:posOffset>
            </wp:positionV>
            <wp:extent cx="8829675" cy="6241415"/>
            <wp:effectExtent l="0" t="0" r="9525" b="6985"/>
            <wp:wrapTopAndBottom/>
            <wp:docPr id="57" name="图片 57" descr="土地利用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土地利用现状"/>
                    <pic:cNvPicPr>
                      <a:picLocks noChangeAspect="1"/>
                    </pic:cNvPicPr>
                  </pic:nvPicPr>
                  <pic:blipFill>
                    <a:blip r:embed="rId52"/>
                    <a:stretch>
                      <a:fillRect/>
                    </a:stretch>
                  </pic:blipFill>
                  <pic:spPr>
                    <a:xfrm>
                      <a:off x="0" y="0"/>
                      <a:ext cx="8829675" cy="6241415"/>
                    </a:xfrm>
                    <a:prstGeom prst="rect">
                      <a:avLst/>
                    </a:prstGeom>
                  </pic:spPr>
                </pic:pic>
              </a:graphicData>
            </a:graphic>
          </wp:anchor>
        </w:drawing>
      </w:r>
      <w:r>
        <w:rPr>
          <w:rFonts w:hint="eastAsia" w:ascii="黑体" w:hAnsi="黑体" w:eastAsia="黑体" w:cs="黑体"/>
          <w:b w:val="0"/>
          <w:bCs/>
          <w:color w:val="auto"/>
          <w:kern w:val="2"/>
          <w:sz w:val="24"/>
          <w:szCs w:val="24"/>
          <w:u w:val="none"/>
          <w:lang w:val="en-US" w:eastAsia="zh-CN" w:bidi="ar-SA"/>
        </w:rPr>
        <w:t>图4.2-1  评价区域土地利用现状图</w:t>
      </w:r>
    </w:p>
    <w:p w14:paraId="1BCEB948">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zh-CN" w:eastAsia="zh-CN"/>
        </w:rPr>
      </w:pPr>
      <w:r>
        <w:rPr>
          <w:rFonts w:hint="default" w:ascii="黑体" w:hAnsi="黑体" w:eastAsia="黑体" w:cs="黑体"/>
          <w:b/>
          <w:color w:val="auto"/>
          <w:kern w:val="0"/>
          <w:sz w:val="24"/>
          <w:szCs w:val="24"/>
          <w:highlight w:val="none"/>
          <w:u w:val="none"/>
          <w:lang w:val="zh-CN" w:eastAsia="zh-CN"/>
        </w:rPr>
        <w:t>4.2.</w:t>
      </w:r>
      <w:r>
        <w:rPr>
          <w:rFonts w:hint="eastAsia" w:ascii="黑体" w:hAnsi="黑体" w:eastAsia="黑体" w:cs="黑体"/>
          <w:b/>
          <w:color w:val="auto"/>
          <w:kern w:val="0"/>
          <w:sz w:val="24"/>
          <w:szCs w:val="24"/>
          <w:highlight w:val="none"/>
          <w:u w:val="none"/>
          <w:lang w:val="en-US" w:eastAsia="zh-CN"/>
        </w:rPr>
        <w:t xml:space="preserve">3 </w:t>
      </w:r>
      <w:r>
        <w:rPr>
          <w:rFonts w:hint="default" w:ascii="黑体" w:hAnsi="黑体" w:eastAsia="黑体" w:cs="黑体"/>
          <w:b/>
          <w:color w:val="auto"/>
          <w:kern w:val="0"/>
          <w:sz w:val="24"/>
          <w:szCs w:val="24"/>
          <w:highlight w:val="none"/>
          <w:u w:val="none"/>
          <w:lang w:val="zh-CN" w:eastAsia="zh-CN"/>
        </w:rPr>
        <w:t>植被环境现状调查及评价</w:t>
      </w:r>
    </w:p>
    <w:p w14:paraId="4E847D5A">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zh-CN" w:eastAsia="zh-CN"/>
        </w:rPr>
        <w:t>4.2.</w:t>
      </w:r>
      <w:r>
        <w:rPr>
          <w:rFonts w:hint="eastAsia" w:ascii="宋体" w:hAnsi="宋体" w:eastAsia="宋体" w:cs="宋体"/>
          <w:color w:val="auto"/>
          <w:u w:val="none"/>
          <w:lang w:val="en-US" w:eastAsia="zh-CN"/>
        </w:rPr>
        <w:t>3</w:t>
      </w:r>
      <w:r>
        <w:rPr>
          <w:rFonts w:hint="default" w:ascii="宋体" w:hAnsi="宋体" w:eastAsia="宋体" w:cs="宋体"/>
          <w:color w:val="auto"/>
          <w:u w:val="none"/>
          <w:lang w:val="zh-CN" w:eastAsia="zh-CN"/>
        </w:rPr>
        <w:t>.1</w:t>
      </w:r>
      <w:r>
        <w:rPr>
          <w:rFonts w:hint="eastAsia" w:ascii="宋体" w:hAnsi="宋体" w:eastAsia="宋体" w:cs="宋体"/>
          <w:color w:val="auto"/>
          <w:u w:val="none"/>
          <w:lang w:val="en-US" w:eastAsia="zh-CN"/>
        </w:rPr>
        <w:t xml:space="preserve"> 区域</w:t>
      </w:r>
      <w:r>
        <w:rPr>
          <w:rFonts w:hint="default" w:ascii="宋体" w:hAnsi="宋体" w:eastAsia="宋体" w:cs="宋体"/>
          <w:color w:val="auto"/>
          <w:u w:val="none"/>
          <w:lang w:val="en-US" w:eastAsia="zh-CN"/>
        </w:rPr>
        <w:t>植被类型</w:t>
      </w:r>
    </w:p>
    <w:p w14:paraId="257A5F2A">
      <w:pPr>
        <w:keepNext w:val="0"/>
        <w:keepLines w:val="0"/>
        <w:pageBreakBefore w:val="0"/>
        <w:widowControl w:val="0"/>
        <w:kinsoku/>
        <w:wordWrap/>
        <w:overflowPunct/>
        <w:topLinePunct/>
        <w:autoSpaceDE/>
        <w:autoSpaceDN/>
        <w:bidi w:val="0"/>
        <w:adjustRightInd/>
        <w:snapToGrid/>
        <w:spacing w:line="480" w:lineRule="exact"/>
        <w:ind w:firstLine="480" w:firstLineChars="200"/>
        <w:jc w:val="left"/>
        <w:textAlignment w:val="auto"/>
        <w:rPr>
          <w:rFonts w:hint="eastAsia"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rPr>
        <w:t>评价区主要植被类型为梭梭+白梭梭群系，按中国植被自然地理区划划分，本项目所在区域属北方植物界、新疆荒漠区、北疆荒漠亚区、准噶尔荒漠省、准噶尔荒漠亚省、古尔班通古特洲。由于单一的地貌类型及严酷的气候特征，该区域内植被类型少而单一，在沙垄上分布着白梭梭(Haloxylon persicum)、苦艾蒿(Artemisia santolina)形成的荒漠，在窝状沙丘上多分布着沙拐枣-白梭梭荒漠。项目区内植被覆盖度在5%左右</w:t>
      </w:r>
      <w:r>
        <w:rPr>
          <w:rFonts w:hint="eastAsia"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lang w:val="en-US" w:eastAsia="zh-CN"/>
        </w:rPr>
        <w:t>工程区植被类型</w:t>
      </w:r>
      <w:r>
        <w:rPr>
          <w:rFonts w:hint="eastAsia" w:cs="Times New Roman"/>
          <w:color w:val="auto"/>
          <w:kern w:val="0"/>
          <w:sz w:val="24"/>
          <w:szCs w:val="24"/>
          <w:highlight w:val="none"/>
          <w:u w:val="none"/>
          <w:lang w:val="en-US" w:eastAsia="zh-CN"/>
        </w:rPr>
        <w:t>，</w:t>
      </w:r>
      <w:r>
        <w:rPr>
          <w:rFonts w:hint="default" w:ascii="Times New Roman" w:hAnsi="Times New Roman" w:eastAsia="宋体" w:cs="Times New Roman"/>
          <w:color w:val="auto"/>
          <w:kern w:val="0"/>
          <w:sz w:val="24"/>
          <w:szCs w:val="24"/>
          <w:highlight w:val="none"/>
          <w:u w:val="none"/>
          <w:lang w:val="en-US" w:eastAsia="zh-CN"/>
        </w:rPr>
        <w:t>见图4.2-</w:t>
      </w:r>
      <w:r>
        <w:rPr>
          <w:rFonts w:hint="eastAsia" w:cs="Times New Roman"/>
          <w:color w:val="auto"/>
          <w:kern w:val="0"/>
          <w:sz w:val="24"/>
          <w:szCs w:val="24"/>
          <w:highlight w:val="none"/>
          <w:u w:val="none"/>
          <w:lang w:val="en-US" w:eastAsia="zh-CN"/>
        </w:rPr>
        <w:t>2。</w:t>
      </w:r>
    </w:p>
    <w:p w14:paraId="4DFEAEC1">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zh-CN" w:eastAsia="zh-CN"/>
        </w:rPr>
        <w:t>4.2.</w:t>
      </w:r>
      <w:r>
        <w:rPr>
          <w:rFonts w:hint="eastAsia" w:ascii="宋体" w:hAnsi="宋体" w:eastAsia="宋体" w:cs="宋体"/>
          <w:color w:val="auto"/>
          <w:u w:val="none"/>
          <w:lang w:val="en-US" w:eastAsia="zh-CN"/>
        </w:rPr>
        <w:t>3</w:t>
      </w:r>
      <w:r>
        <w:rPr>
          <w:rFonts w:hint="default" w:ascii="宋体" w:hAnsi="宋体" w:eastAsia="宋体" w:cs="宋体"/>
          <w:color w:val="auto"/>
          <w:u w:val="none"/>
          <w:lang w:val="zh-CN" w:eastAsia="zh-CN"/>
        </w:rPr>
        <w:t>.</w:t>
      </w:r>
      <w:r>
        <w:rPr>
          <w:rFonts w:hint="default" w:ascii="宋体" w:hAnsi="宋体" w:eastAsia="宋体" w:cs="宋体"/>
          <w:color w:val="auto"/>
          <w:u w:val="none"/>
          <w:lang w:val="en-US" w:eastAsia="zh-CN"/>
        </w:rPr>
        <w:t>2</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评价区植物种类</w:t>
      </w:r>
    </w:p>
    <w:p w14:paraId="574DB92C">
      <w:pPr>
        <w:keepNext w:val="0"/>
        <w:keepLines w:val="0"/>
        <w:pageBreakBefore w:val="0"/>
        <w:widowControl/>
        <w:tabs>
          <w:tab w:val="left" w:pos="312"/>
        </w:tabs>
        <w:kinsoku/>
        <w:wordWrap/>
        <w:overflowPunct/>
        <w:autoSpaceDE/>
        <w:autoSpaceDN/>
        <w:bidi w:val="0"/>
        <w:adjustRightInd/>
        <w:snapToGrid/>
        <w:spacing w:line="480" w:lineRule="exact"/>
        <w:ind w:firstLine="480" w:firstLineChars="200"/>
        <w:jc w:val="both"/>
        <w:textAlignment w:val="auto"/>
        <w:rPr>
          <w:rFonts w:hint="eastAsia" w:ascii="宋体" w:hAnsi="宋体" w:cs="Times New Roman"/>
          <w:color w:val="auto"/>
          <w:kern w:val="0"/>
          <w:sz w:val="24"/>
          <w:szCs w:val="24"/>
          <w:highlight w:val="none"/>
          <w:u w:val="none"/>
          <w:lang w:eastAsia="zh-CN"/>
        </w:rPr>
      </w:pPr>
      <w:r>
        <w:rPr>
          <w:rFonts w:hint="eastAsia" w:ascii="宋体" w:hAnsi="宋体" w:eastAsia="宋体" w:cs="宋体"/>
          <w:color w:val="auto"/>
          <w:kern w:val="0"/>
          <w:sz w:val="24"/>
          <w:szCs w:val="24"/>
          <w:highlight w:val="none"/>
          <w:u w:val="none"/>
        </w:rPr>
        <w:t>根据现场调查及查阅相关资料，本项目所在区域内的主要植被类型</w:t>
      </w:r>
      <w:r>
        <w:rPr>
          <w:rFonts w:hint="eastAsia" w:ascii="宋体" w:hAnsi="宋体" w:cs="宋体"/>
          <w:color w:val="auto"/>
          <w:kern w:val="0"/>
          <w:sz w:val="24"/>
          <w:szCs w:val="24"/>
          <w:highlight w:val="none"/>
          <w:u w:val="none"/>
          <w:lang w:val="en-US" w:eastAsia="zh-CN"/>
        </w:rPr>
        <w:t>分为</w:t>
      </w:r>
      <w:r>
        <w:rPr>
          <w:rFonts w:hint="eastAsia" w:ascii="宋体" w:hAnsi="宋体" w:eastAsia="宋体" w:cs="宋体"/>
          <w:color w:val="auto"/>
          <w:kern w:val="0"/>
          <w:sz w:val="24"/>
          <w:szCs w:val="24"/>
          <w:highlight w:val="none"/>
          <w:u w:val="none"/>
        </w:rPr>
        <w:t>:</w:t>
      </w:r>
      <w:r>
        <w:rPr>
          <w:rFonts w:ascii="Times New Roman" w:hAnsi="Times New Roman" w:eastAsia="宋体" w:cs="Times New Roman"/>
          <w:color w:val="auto"/>
          <w:kern w:val="0"/>
          <w:sz w:val="24"/>
          <w:szCs w:val="24"/>
          <w:highlight w:val="none"/>
          <w:u w:val="none"/>
        </w:rPr>
        <w:t>梭</w:t>
      </w:r>
      <w:r>
        <w:rPr>
          <w:rFonts w:hint="eastAsia" w:ascii="宋体" w:hAnsi="宋体" w:eastAsia="宋体" w:cs="宋体"/>
          <w:color w:val="auto"/>
          <w:kern w:val="0"/>
          <w:sz w:val="24"/>
          <w:szCs w:val="24"/>
          <w:highlight w:val="none"/>
          <w:u w:val="none"/>
        </w:rPr>
        <w:t>梭+白梭梭群系</w:t>
      </w:r>
      <w:r>
        <w:rPr>
          <w:rFonts w:hint="eastAsia" w:ascii="宋体" w:hAnsi="宋体" w:cs="宋体"/>
          <w:color w:val="auto"/>
          <w:kern w:val="0"/>
          <w:sz w:val="24"/>
          <w:szCs w:val="24"/>
          <w:highlight w:val="none"/>
          <w:u w:val="none"/>
          <w:lang w:eastAsia="zh-CN"/>
        </w:rPr>
        <w:t>、</w:t>
      </w:r>
      <w:r>
        <w:rPr>
          <w:rFonts w:hint="eastAsia" w:ascii="宋体" w:hAnsi="宋体" w:eastAsia="宋体" w:cs="Times New Roman"/>
          <w:color w:val="auto"/>
          <w:kern w:val="0"/>
          <w:sz w:val="24"/>
          <w:szCs w:val="24"/>
          <w:highlight w:val="none"/>
          <w:u w:val="none"/>
        </w:rPr>
        <w:t>白梭梭+沙拐枣+三芒草群系</w:t>
      </w:r>
      <w:r>
        <w:rPr>
          <w:rFonts w:hint="eastAsia" w:ascii="宋体" w:hAnsi="宋体" w:cs="Times New Roman"/>
          <w:color w:val="auto"/>
          <w:kern w:val="0"/>
          <w:sz w:val="24"/>
          <w:szCs w:val="24"/>
          <w:highlight w:val="none"/>
          <w:u w:val="none"/>
          <w:lang w:eastAsia="zh-CN"/>
        </w:rPr>
        <w:t>。</w:t>
      </w:r>
      <w:r>
        <w:rPr>
          <w:rFonts w:hint="eastAsia" w:ascii="宋体" w:hAnsi="宋体" w:cs="宋体"/>
          <w:color w:val="auto"/>
          <w:kern w:val="0"/>
          <w:sz w:val="24"/>
          <w:szCs w:val="24"/>
          <w:highlight w:val="none"/>
          <w:u w:val="none"/>
          <w:lang w:eastAsia="zh-CN"/>
        </w:rPr>
        <w:t>根据《国家重点保护野生植物名录》《新疆维吾尔自治区人民政府关于公布新疆维吾尔自治区重点保护野生植物名录的通知》（新政发〔2023〕63号）、《新疆维吾尔自治区重点保护野生植物名录》（</w:t>
      </w:r>
      <w:r>
        <w:rPr>
          <w:rFonts w:hint="eastAsia" w:ascii="宋体" w:hAnsi="宋体" w:cs="宋体"/>
          <w:color w:val="auto"/>
          <w:kern w:val="0"/>
          <w:sz w:val="24"/>
          <w:szCs w:val="24"/>
          <w:highlight w:val="none"/>
          <w:u w:val="none"/>
          <w:lang w:val="en-US" w:eastAsia="zh-CN"/>
        </w:rPr>
        <w:t>2024年</w:t>
      </w:r>
      <w:r>
        <w:rPr>
          <w:rFonts w:hint="eastAsia" w:ascii="宋体" w:hAnsi="宋体" w:cs="宋体"/>
          <w:color w:val="auto"/>
          <w:kern w:val="0"/>
          <w:sz w:val="24"/>
          <w:szCs w:val="24"/>
          <w:highlight w:val="none"/>
          <w:u w:val="none"/>
          <w:lang w:eastAsia="zh-CN"/>
        </w:rPr>
        <w:t>），评价区</w:t>
      </w:r>
      <w:r>
        <w:rPr>
          <w:rFonts w:hint="eastAsia" w:ascii="宋体" w:hAnsi="宋体" w:cs="宋体"/>
          <w:color w:val="auto"/>
          <w:kern w:val="0"/>
          <w:sz w:val="24"/>
          <w:szCs w:val="24"/>
          <w:highlight w:val="none"/>
          <w:u w:val="none"/>
          <w:lang w:val="en-US" w:eastAsia="zh-CN"/>
        </w:rPr>
        <w:t>无</w:t>
      </w:r>
      <w:r>
        <w:rPr>
          <w:rFonts w:hint="eastAsia" w:ascii="宋体" w:hAnsi="宋体" w:cs="宋体"/>
          <w:color w:val="auto"/>
          <w:kern w:val="0"/>
          <w:sz w:val="24"/>
          <w:szCs w:val="24"/>
          <w:highlight w:val="none"/>
          <w:u w:val="none"/>
          <w:lang w:eastAsia="zh-CN"/>
        </w:rPr>
        <w:t>保护植物</w:t>
      </w:r>
      <w:r>
        <w:rPr>
          <w:rFonts w:hint="eastAsia" w:ascii="宋体" w:hAnsi="宋体" w:eastAsia="宋体" w:cs="宋体"/>
          <w:color w:val="auto"/>
          <w:kern w:val="0"/>
          <w:sz w:val="24"/>
          <w:szCs w:val="24"/>
          <w:highlight w:val="none"/>
          <w:u w:val="none"/>
        </w:rPr>
        <w:t>。</w:t>
      </w:r>
    </w:p>
    <w:p w14:paraId="7F8734B7">
      <w:pPr>
        <w:keepNext w:val="0"/>
        <w:keepLines w:val="0"/>
        <w:pageBreakBefore w:val="0"/>
        <w:widowControl/>
        <w:tabs>
          <w:tab w:val="left" w:pos="312"/>
        </w:tabs>
        <w:kinsoku/>
        <w:wordWrap/>
        <w:overflowPunct/>
        <w:autoSpaceDE/>
        <w:autoSpaceDN/>
        <w:bidi w:val="0"/>
        <w:adjustRightInd/>
        <w:snapToGrid/>
        <w:spacing w:line="480" w:lineRule="exact"/>
        <w:ind w:firstLine="480" w:firstLineChars="200"/>
        <w:jc w:val="both"/>
        <w:textAlignment w:val="auto"/>
        <w:rPr>
          <w:rFonts w:hint="eastAsia" w:ascii="宋体" w:hAnsi="宋体" w:cs="宋体"/>
          <w:color w:val="auto"/>
          <w:kern w:val="0"/>
          <w:sz w:val="24"/>
          <w:szCs w:val="24"/>
          <w:highlight w:val="none"/>
          <w:u w:val="none"/>
          <w:lang w:eastAsia="zh-CN"/>
        </w:rPr>
      </w:pPr>
      <w:r>
        <w:rPr>
          <w:rFonts w:hint="eastAsia" w:ascii="宋体" w:hAnsi="宋体" w:cs="宋体"/>
          <w:color w:val="auto"/>
          <w:kern w:val="0"/>
          <w:sz w:val="24"/>
          <w:szCs w:val="24"/>
          <w:highlight w:val="none"/>
          <w:u w:val="none"/>
          <w:lang w:val="en-US" w:eastAsia="zh-CN"/>
        </w:rPr>
        <w:t>所在区域</w:t>
      </w:r>
      <w:r>
        <w:rPr>
          <w:rFonts w:hint="eastAsia" w:ascii="宋体" w:hAnsi="宋体" w:eastAsia="宋体" w:cs="宋体"/>
          <w:color w:val="auto"/>
          <w:kern w:val="0"/>
          <w:sz w:val="24"/>
          <w:szCs w:val="24"/>
          <w:highlight w:val="none"/>
          <w:u w:val="none"/>
        </w:rPr>
        <w:t>各个植物种均具有特定的旱生生理特征，其分布适应于不同的干旱环境，主要植物种类及分布</w:t>
      </w:r>
      <w:r>
        <w:rPr>
          <w:rFonts w:hint="eastAsia" w:ascii="宋体" w:hAnsi="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见表4.2-</w:t>
      </w:r>
      <w:r>
        <w:rPr>
          <w:rFonts w:hint="eastAsia" w:ascii="宋体" w:hAnsi="宋体" w:cs="宋体"/>
          <w:color w:val="auto"/>
          <w:kern w:val="0"/>
          <w:sz w:val="24"/>
          <w:szCs w:val="24"/>
          <w:highlight w:val="none"/>
          <w:u w:val="none"/>
          <w:lang w:val="en-US" w:eastAsia="zh-CN"/>
        </w:rPr>
        <w:t>2</w:t>
      </w:r>
      <w:r>
        <w:rPr>
          <w:rFonts w:hint="eastAsia" w:ascii="宋体" w:hAnsi="宋体" w:cs="宋体"/>
          <w:color w:val="auto"/>
          <w:kern w:val="0"/>
          <w:sz w:val="24"/>
          <w:szCs w:val="24"/>
          <w:highlight w:val="none"/>
          <w:u w:val="none"/>
          <w:lang w:eastAsia="zh-CN"/>
        </w:rPr>
        <w:t>。</w:t>
      </w:r>
    </w:p>
    <w:p w14:paraId="60DC08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表4.2-2  主要植物种类及分布</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44"/>
        <w:gridCol w:w="4262"/>
        <w:gridCol w:w="1012"/>
        <w:gridCol w:w="1012"/>
      </w:tblGrid>
      <w:tr w14:paraId="0617F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440" w:type="pct"/>
            <w:tcBorders>
              <w:tl2br w:val="nil"/>
              <w:tr2bl w:val="nil"/>
            </w:tcBorders>
            <w:noWrap/>
            <w:vAlign w:val="center"/>
          </w:tcPr>
          <w:p w14:paraId="71A7B002">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中文名</w:t>
            </w:r>
          </w:p>
        </w:tc>
        <w:tc>
          <w:tcPr>
            <w:tcW w:w="2412" w:type="pct"/>
            <w:tcBorders>
              <w:tl2br w:val="nil"/>
              <w:tr2bl w:val="nil"/>
            </w:tcBorders>
            <w:noWrap/>
            <w:vAlign w:val="center"/>
          </w:tcPr>
          <w:p w14:paraId="3ED3ABDB">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学</w:t>
            </w:r>
            <w:r>
              <w:rPr>
                <w:rFonts w:hint="eastAsia" w:ascii="宋体" w:hAnsi="宋体" w:cs="Times New Roman"/>
                <w:color w:val="auto"/>
                <w:sz w:val="21"/>
                <w:szCs w:val="21"/>
                <w:highlight w:val="none"/>
                <w:u w:val="none"/>
                <w:lang w:val="en-US" w:eastAsia="zh-CN" w:bidi="ar-SA"/>
              </w:rPr>
              <w:t xml:space="preserve">    </w:t>
            </w:r>
            <w:r>
              <w:rPr>
                <w:rFonts w:hint="eastAsia" w:ascii="宋体" w:hAnsi="宋体" w:eastAsia="宋体" w:cs="Times New Roman"/>
                <w:color w:val="auto"/>
                <w:sz w:val="21"/>
                <w:szCs w:val="21"/>
                <w:highlight w:val="none"/>
                <w:u w:val="none"/>
                <w:lang w:val="en-US" w:eastAsia="zh-CN" w:bidi="ar-SA"/>
              </w:rPr>
              <w:t>名</w:t>
            </w:r>
          </w:p>
        </w:tc>
        <w:tc>
          <w:tcPr>
            <w:tcW w:w="573" w:type="pct"/>
            <w:tcBorders>
              <w:tl2br w:val="nil"/>
              <w:tr2bl w:val="nil"/>
            </w:tcBorders>
            <w:noWrap/>
            <w:vAlign w:val="center"/>
          </w:tcPr>
          <w:p w14:paraId="61AA5893">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沙</w:t>
            </w:r>
            <w:r>
              <w:rPr>
                <w:rFonts w:hint="eastAsia" w:ascii="宋体" w:hAnsi="宋体" w:cs="Times New Roman"/>
                <w:color w:val="auto"/>
                <w:sz w:val="21"/>
                <w:szCs w:val="21"/>
                <w:highlight w:val="none"/>
                <w:u w:val="none"/>
                <w:lang w:val="en-US" w:eastAsia="zh-CN" w:bidi="ar-SA"/>
              </w:rPr>
              <w:t xml:space="preserve"> </w:t>
            </w:r>
            <w:r>
              <w:rPr>
                <w:rFonts w:hint="eastAsia" w:ascii="宋体" w:hAnsi="宋体" w:eastAsia="宋体" w:cs="Times New Roman"/>
                <w:color w:val="auto"/>
                <w:sz w:val="21"/>
                <w:szCs w:val="21"/>
                <w:highlight w:val="none"/>
                <w:u w:val="none"/>
                <w:lang w:val="en-US" w:eastAsia="zh-CN" w:bidi="ar-SA"/>
              </w:rPr>
              <w:t>丘</w:t>
            </w:r>
          </w:p>
        </w:tc>
        <w:tc>
          <w:tcPr>
            <w:tcW w:w="573" w:type="pct"/>
            <w:tcBorders>
              <w:tl2br w:val="nil"/>
              <w:tr2bl w:val="nil"/>
            </w:tcBorders>
            <w:noWrap/>
            <w:vAlign w:val="center"/>
          </w:tcPr>
          <w:p w14:paraId="4D0BC7A7">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丘间地</w:t>
            </w:r>
          </w:p>
        </w:tc>
      </w:tr>
      <w:tr w14:paraId="4EB51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75D8AF71">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一、麻黄科</w:t>
            </w:r>
          </w:p>
        </w:tc>
        <w:tc>
          <w:tcPr>
            <w:tcW w:w="2412" w:type="pct"/>
            <w:tcBorders>
              <w:tl2br w:val="nil"/>
              <w:tr2bl w:val="nil"/>
            </w:tcBorders>
            <w:noWrap/>
            <w:vAlign w:val="center"/>
          </w:tcPr>
          <w:p w14:paraId="1EFC7E5D">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Ephedraceae</w:t>
            </w:r>
          </w:p>
        </w:tc>
        <w:tc>
          <w:tcPr>
            <w:tcW w:w="573" w:type="pct"/>
            <w:tcBorders>
              <w:tl2br w:val="nil"/>
              <w:tr2bl w:val="nil"/>
            </w:tcBorders>
            <w:noWrap/>
            <w:vAlign w:val="center"/>
          </w:tcPr>
          <w:p w14:paraId="68215147">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p>
        </w:tc>
        <w:tc>
          <w:tcPr>
            <w:tcW w:w="573" w:type="pct"/>
            <w:tcBorders>
              <w:tl2br w:val="nil"/>
              <w:tr2bl w:val="nil"/>
            </w:tcBorders>
            <w:noWrap/>
            <w:vAlign w:val="center"/>
          </w:tcPr>
          <w:p w14:paraId="3CDAA0D8">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p>
        </w:tc>
      </w:tr>
      <w:tr w14:paraId="33D00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3CB3C850">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1.蛇麻黄</w:t>
            </w:r>
          </w:p>
        </w:tc>
        <w:tc>
          <w:tcPr>
            <w:tcW w:w="2412" w:type="pct"/>
            <w:tcBorders>
              <w:tl2br w:val="nil"/>
              <w:tr2bl w:val="nil"/>
            </w:tcBorders>
            <w:noWrap/>
            <w:vAlign w:val="center"/>
          </w:tcPr>
          <w:p w14:paraId="50B38543">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Ephedra distachya</w:t>
            </w:r>
          </w:p>
        </w:tc>
        <w:tc>
          <w:tcPr>
            <w:tcW w:w="573" w:type="pct"/>
            <w:tcBorders>
              <w:tl2br w:val="nil"/>
              <w:tr2bl w:val="nil"/>
            </w:tcBorders>
            <w:noWrap/>
            <w:vAlign w:val="center"/>
          </w:tcPr>
          <w:p w14:paraId="5C4CE6D8">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w:t>
            </w:r>
          </w:p>
        </w:tc>
        <w:tc>
          <w:tcPr>
            <w:tcW w:w="573" w:type="pct"/>
            <w:tcBorders>
              <w:tl2br w:val="nil"/>
              <w:tr2bl w:val="nil"/>
            </w:tcBorders>
            <w:noWrap/>
            <w:vAlign w:val="center"/>
          </w:tcPr>
          <w:p w14:paraId="45E3375E">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w:t>
            </w:r>
          </w:p>
        </w:tc>
      </w:tr>
      <w:tr w14:paraId="00363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3327766F">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二、禾本科</w:t>
            </w:r>
          </w:p>
        </w:tc>
        <w:tc>
          <w:tcPr>
            <w:tcW w:w="2412" w:type="pct"/>
            <w:tcBorders>
              <w:tl2br w:val="nil"/>
              <w:tr2bl w:val="nil"/>
            </w:tcBorders>
            <w:noWrap/>
            <w:vAlign w:val="center"/>
          </w:tcPr>
          <w:p w14:paraId="089B5735">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Gramineae</w:t>
            </w:r>
          </w:p>
        </w:tc>
        <w:tc>
          <w:tcPr>
            <w:tcW w:w="573" w:type="pct"/>
            <w:tcBorders>
              <w:tl2br w:val="nil"/>
              <w:tr2bl w:val="nil"/>
            </w:tcBorders>
            <w:noWrap/>
            <w:vAlign w:val="center"/>
          </w:tcPr>
          <w:p w14:paraId="38FCBAF6">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p>
        </w:tc>
        <w:tc>
          <w:tcPr>
            <w:tcW w:w="573" w:type="pct"/>
            <w:tcBorders>
              <w:tl2br w:val="nil"/>
              <w:tr2bl w:val="nil"/>
            </w:tcBorders>
            <w:noWrap/>
            <w:vAlign w:val="center"/>
          </w:tcPr>
          <w:p w14:paraId="5347F108">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p>
        </w:tc>
      </w:tr>
      <w:tr w14:paraId="4407D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1440" w:type="pct"/>
            <w:tcBorders>
              <w:tl2br w:val="nil"/>
              <w:tr2bl w:val="nil"/>
            </w:tcBorders>
            <w:noWrap/>
            <w:vAlign w:val="center"/>
          </w:tcPr>
          <w:p w14:paraId="147559B8">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2.东方旱麦草</w:t>
            </w:r>
          </w:p>
        </w:tc>
        <w:tc>
          <w:tcPr>
            <w:tcW w:w="2412" w:type="pct"/>
            <w:tcBorders>
              <w:tl2br w:val="nil"/>
              <w:tr2bl w:val="nil"/>
            </w:tcBorders>
            <w:noWrap/>
            <w:vAlign w:val="center"/>
          </w:tcPr>
          <w:p w14:paraId="37BC1CEA">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Eremopyrum orienetale</w:t>
            </w:r>
          </w:p>
        </w:tc>
        <w:tc>
          <w:tcPr>
            <w:tcW w:w="573" w:type="pct"/>
            <w:tcBorders>
              <w:tl2br w:val="nil"/>
              <w:tr2bl w:val="nil"/>
            </w:tcBorders>
            <w:noWrap/>
            <w:vAlign w:val="center"/>
          </w:tcPr>
          <w:p w14:paraId="7DFA417C">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c>
          <w:tcPr>
            <w:tcW w:w="573" w:type="pct"/>
            <w:tcBorders>
              <w:tl2br w:val="nil"/>
              <w:tr2bl w:val="nil"/>
            </w:tcBorders>
            <w:noWrap/>
            <w:vAlign w:val="center"/>
          </w:tcPr>
          <w:p w14:paraId="651AD2E2">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r>
      <w:tr w14:paraId="0A6E0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3F75A683">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3.羽状三芒草</w:t>
            </w:r>
          </w:p>
        </w:tc>
        <w:tc>
          <w:tcPr>
            <w:tcW w:w="2412" w:type="pct"/>
            <w:tcBorders>
              <w:tl2br w:val="nil"/>
              <w:tr2bl w:val="nil"/>
            </w:tcBorders>
            <w:noWrap/>
            <w:vAlign w:val="center"/>
          </w:tcPr>
          <w:p w14:paraId="66A0FB76">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Aristida pennata</w:t>
            </w:r>
          </w:p>
        </w:tc>
        <w:tc>
          <w:tcPr>
            <w:tcW w:w="573" w:type="pct"/>
            <w:tcBorders>
              <w:tl2br w:val="nil"/>
              <w:tr2bl w:val="nil"/>
            </w:tcBorders>
            <w:noWrap/>
            <w:vAlign w:val="center"/>
          </w:tcPr>
          <w:p w14:paraId="7291CE5C">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c>
          <w:tcPr>
            <w:tcW w:w="573" w:type="pct"/>
            <w:tcBorders>
              <w:tl2br w:val="nil"/>
              <w:tr2bl w:val="nil"/>
            </w:tcBorders>
            <w:noWrap/>
            <w:vAlign w:val="center"/>
          </w:tcPr>
          <w:p w14:paraId="56E38814">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p>
        </w:tc>
      </w:tr>
      <w:tr w14:paraId="515CF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0765D851">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cs="Times New Roman"/>
                <w:color w:val="auto"/>
                <w:sz w:val="21"/>
                <w:szCs w:val="21"/>
                <w:highlight w:val="none"/>
                <w:u w:val="none"/>
                <w:lang w:val="en-US" w:eastAsia="zh-CN" w:bidi="ar-SA"/>
              </w:rPr>
              <w:t>三</w:t>
            </w:r>
            <w:r>
              <w:rPr>
                <w:rFonts w:hint="eastAsia" w:ascii="宋体" w:hAnsi="宋体" w:eastAsia="宋体" w:cs="Times New Roman"/>
                <w:color w:val="auto"/>
                <w:sz w:val="21"/>
                <w:szCs w:val="21"/>
                <w:highlight w:val="none"/>
                <w:u w:val="none"/>
                <w:lang w:val="en-US" w:eastAsia="zh-CN" w:bidi="ar-SA"/>
              </w:rPr>
              <w:t>、蓼科</w:t>
            </w:r>
          </w:p>
        </w:tc>
        <w:tc>
          <w:tcPr>
            <w:tcW w:w="2412" w:type="pct"/>
            <w:tcBorders>
              <w:tl2br w:val="nil"/>
              <w:tr2bl w:val="nil"/>
            </w:tcBorders>
            <w:noWrap/>
            <w:vAlign w:val="center"/>
          </w:tcPr>
          <w:p w14:paraId="66151500">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Polygonaceae</w:t>
            </w:r>
          </w:p>
        </w:tc>
        <w:tc>
          <w:tcPr>
            <w:tcW w:w="573" w:type="pct"/>
            <w:tcBorders>
              <w:tl2br w:val="nil"/>
              <w:tr2bl w:val="nil"/>
            </w:tcBorders>
            <w:noWrap/>
            <w:vAlign w:val="center"/>
          </w:tcPr>
          <w:p w14:paraId="3D9BE131">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p>
        </w:tc>
        <w:tc>
          <w:tcPr>
            <w:tcW w:w="573" w:type="pct"/>
            <w:tcBorders>
              <w:tl2br w:val="nil"/>
              <w:tr2bl w:val="nil"/>
            </w:tcBorders>
            <w:noWrap/>
            <w:vAlign w:val="center"/>
          </w:tcPr>
          <w:p w14:paraId="7D77F948">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p>
        </w:tc>
      </w:tr>
      <w:tr w14:paraId="11A8E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63B9CB6E">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cs="Times New Roman"/>
                <w:color w:val="auto"/>
                <w:sz w:val="21"/>
                <w:szCs w:val="21"/>
                <w:highlight w:val="none"/>
                <w:u w:val="none"/>
                <w:lang w:val="en-US" w:eastAsia="zh-CN" w:bidi="ar-SA"/>
              </w:rPr>
              <w:t>4</w:t>
            </w:r>
            <w:r>
              <w:rPr>
                <w:rFonts w:hint="eastAsia" w:ascii="宋体" w:hAnsi="宋体" w:eastAsia="宋体" w:cs="Times New Roman"/>
                <w:color w:val="auto"/>
                <w:sz w:val="21"/>
                <w:szCs w:val="21"/>
                <w:highlight w:val="none"/>
                <w:u w:val="none"/>
                <w:lang w:val="en-US" w:eastAsia="zh-CN" w:bidi="ar-SA"/>
              </w:rPr>
              <w:t>.白杆沙拐枣</w:t>
            </w:r>
          </w:p>
        </w:tc>
        <w:tc>
          <w:tcPr>
            <w:tcW w:w="2412" w:type="pct"/>
            <w:tcBorders>
              <w:tl2br w:val="nil"/>
              <w:tr2bl w:val="nil"/>
            </w:tcBorders>
            <w:noWrap/>
            <w:vAlign w:val="center"/>
          </w:tcPr>
          <w:p w14:paraId="1EC5DA02">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Calligonum leucocladum</w:t>
            </w:r>
          </w:p>
        </w:tc>
        <w:tc>
          <w:tcPr>
            <w:tcW w:w="573" w:type="pct"/>
            <w:tcBorders>
              <w:tl2br w:val="nil"/>
              <w:tr2bl w:val="nil"/>
            </w:tcBorders>
            <w:noWrap/>
            <w:vAlign w:val="center"/>
          </w:tcPr>
          <w:p w14:paraId="63A342DE">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c>
          <w:tcPr>
            <w:tcW w:w="573" w:type="pct"/>
            <w:tcBorders>
              <w:tl2br w:val="nil"/>
              <w:tr2bl w:val="nil"/>
            </w:tcBorders>
            <w:noWrap/>
            <w:vAlign w:val="center"/>
          </w:tcPr>
          <w:p w14:paraId="3298FC37">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r>
      <w:tr w14:paraId="75DF1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46341176">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cs="Times New Roman"/>
                <w:color w:val="auto"/>
                <w:sz w:val="21"/>
                <w:szCs w:val="21"/>
                <w:highlight w:val="none"/>
                <w:u w:val="none"/>
                <w:lang w:val="en-US" w:eastAsia="zh-CN" w:bidi="ar-SA"/>
              </w:rPr>
              <w:t>5</w:t>
            </w:r>
            <w:r>
              <w:rPr>
                <w:rFonts w:hint="eastAsia" w:ascii="宋体" w:hAnsi="宋体" w:eastAsia="宋体" w:cs="Times New Roman"/>
                <w:color w:val="auto"/>
                <w:sz w:val="21"/>
                <w:szCs w:val="21"/>
                <w:highlight w:val="none"/>
                <w:u w:val="none"/>
                <w:lang w:val="en-US" w:eastAsia="zh-CN" w:bidi="ar-SA"/>
              </w:rPr>
              <w:t>.红皮沙拐枣.</w:t>
            </w:r>
          </w:p>
        </w:tc>
        <w:tc>
          <w:tcPr>
            <w:tcW w:w="2412" w:type="pct"/>
            <w:tcBorders>
              <w:tl2br w:val="nil"/>
              <w:tr2bl w:val="nil"/>
            </w:tcBorders>
            <w:noWrap/>
            <w:vAlign w:val="center"/>
          </w:tcPr>
          <w:p w14:paraId="2297F523">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Calligonum mongolicum</w:t>
            </w:r>
          </w:p>
        </w:tc>
        <w:tc>
          <w:tcPr>
            <w:tcW w:w="573" w:type="pct"/>
            <w:tcBorders>
              <w:tl2br w:val="nil"/>
              <w:tr2bl w:val="nil"/>
            </w:tcBorders>
            <w:noWrap/>
            <w:vAlign w:val="center"/>
          </w:tcPr>
          <w:p w14:paraId="10B1BAD6">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c>
          <w:tcPr>
            <w:tcW w:w="573" w:type="pct"/>
            <w:tcBorders>
              <w:tl2br w:val="nil"/>
              <w:tr2bl w:val="nil"/>
            </w:tcBorders>
            <w:noWrap/>
            <w:vAlign w:val="center"/>
          </w:tcPr>
          <w:p w14:paraId="230D8F5C">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r>
      <w:tr w14:paraId="54A20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79EE5153">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cs="Times New Roman"/>
                <w:color w:val="auto"/>
                <w:sz w:val="21"/>
                <w:szCs w:val="21"/>
                <w:highlight w:val="none"/>
                <w:u w:val="none"/>
                <w:lang w:val="en-US" w:eastAsia="zh-CN" w:bidi="ar-SA"/>
              </w:rPr>
              <w:t>四</w:t>
            </w:r>
            <w:r>
              <w:rPr>
                <w:rFonts w:hint="eastAsia" w:ascii="宋体" w:hAnsi="宋体" w:eastAsia="宋体" w:cs="Times New Roman"/>
                <w:color w:val="auto"/>
                <w:sz w:val="21"/>
                <w:szCs w:val="21"/>
                <w:highlight w:val="none"/>
                <w:u w:val="none"/>
                <w:lang w:val="en-US" w:eastAsia="zh-CN" w:bidi="ar-SA"/>
              </w:rPr>
              <w:t>、藜科</w:t>
            </w:r>
          </w:p>
        </w:tc>
        <w:tc>
          <w:tcPr>
            <w:tcW w:w="2412" w:type="pct"/>
            <w:tcBorders>
              <w:tl2br w:val="nil"/>
              <w:tr2bl w:val="nil"/>
            </w:tcBorders>
            <w:noWrap/>
            <w:vAlign w:val="center"/>
          </w:tcPr>
          <w:p w14:paraId="02314A90">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Chenopodiaecea</w:t>
            </w:r>
          </w:p>
        </w:tc>
        <w:tc>
          <w:tcPr>
            <w:tcW w:w="573" w:type="pct"/>
            <w:tcBorders>
              <w:tl2br w:val="nil"/>
              <w:tr2bl w:val="nil"/>
            </w:tcBorders>
            <w:noWrap/>
            <w:vAlign w:val="center"/>
          </w:tcPr>
          <w:p w14:paraId="79AC06B7">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p>
        </w:tc>
        <w:tc>
          <w:tcPr>
            <w:tcW w:w="573" w:type="pct"/>
            <w:tcBorders>
              <w:tl2br w:val="nil"/>
              <w:tr2bl w:val="nil"/>
            </w:tcBorders>
            <w:noWrap/>
            <w:vAlign w:val="center"/>
          </w:tcPr>
          <w:p w14:paraId="17F986AA">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p>
        </w:tc>
      </w:tr>
      <w:tr w14:paraId="56CA0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5E9D5EAB">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cs="Times New Roman"/>
                <w:color w:val="auto"/>
                <w:sz w:val="21"/>
                <w:szCs w:val="21"/>
                <w:highlight w:val="none"/>
                <w:u w:val="none"/>
                <w:lang w:val="en-US" w:eastAsia="zh-CN" w:bidi="ar-SA"/>
              </w:rPr>
              <w:t>6</w:t>
            </w:r>
            <w:r>
              <w:rPr>
                <w:rFonts w:hint="eastAsia" w:ascii="宋体" w:hAnsi="宋体" w:eastAsia="宋体" w:cs="Times New Roman"/>
                <w:color w:val="auto"/>
                <w:sz w:val="21"/>
                <w:szCs w:val="21"/>
                <w:highlight w:val="none"/>
                <w:u w:val="none"/>
                <w:lang w:val="en-US" w:eastAsia="zh-CN" w:bidi="ar-SA"/>
              </w:rPr>
              <w:t>.沙蓬</w:t>
            </w:r>
          </w:p>
        </w:tc>
        <w:tc>
          <w:tcPr>
            <w:tcW w:w="2412" w:type="pct"/>
            <w:tcBorders>
              <w:tl2br w:val="nil"/>
              <w:tr2bl w:val="nil"/>
            </w:tcBorders>
            <w:noWrap/>
            <w:vAlign w:val="center"/>
          </w:tcPr>
          <w:p w14:paraId="7F8F0817">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AgriophyI1um arenrium</w:t>
            </w:r>
          </w:p>
        </w:tc>
        <w:tc>
          <w:tcPr>
            <w:tcW w:w="573" w:type="pct"/>
            <w:tcBorders>
              <w:tl2br w:val="nil"/>
              <w:tr2bl w:val="nil"/>
            </w:tcBorders>
            <w:noWrap/>
            <w:vAlign w:val="center"/>
          </w:tcPr>
          <w:p w14:paraId="7CBF6E98">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c>
          <w:tcPr>
            <w:tcW w:w="573" w:type="pct"/>
            <w:tcBorders>
              <w:tl2br w:val="nil"/>
              <w:tr2bl w:val="nil"/>
            </w:tcBorders>
            <w:noWrap/>
            <w:vAlign w:val="center"/>
          </w:tcPr>
          <w:p w14:paraId="704A11D7">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r>
      <w:tr w14:paraId="5B856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4EF3704D">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cs="Times New Roman"/>
                <w:color w:val="auto"/>
                <w:sz w:val="21"/>
                <w:szCs w:val="21"/>
                <w:highlight w:val="none"/>
                <w:u w:val="none"/>
                <w:lang w:val="en-US" w:eastAsia="zh-CN" w:bidi="ar-SA"/>
              </w:rPr>
              <w:t>7</w:t>
            </w:r>
            <w:r>
              <w:rPr>
                <w:rFonts w:hint="eastAsia" w:ascii="宋体" w:hAnsi="宋体" w:eastAsia="宋体" w:cs="Times New Roman"/>
                <w:color w:val="auto"/>
                <w:sz w:val="21"/>
                <w:szCs w:val="21"/>
                <w:highlight w:val="none"/>
                <w:u w:val="none"/>
                <w:lang w:val="en-US" w:eastAsia="zh-CN" w:bidi="ar-SA"/>
              </w:rPr>
              <w:t>.白梭梭.</w:t>
            </w:r>
          </w:p>
        </w:tc>
        <w:tc>
          <w:tcPr>
            <w:tcW w:w="2412" w:type="pct"/>
            <w:tcBorders>
              <w:tl2br w:val="nil"/>
              <w:tr2bl w:val="nil"/>
            </w:tcBorders>
            <w:noWrap/>
            <w:vAlign w:val="center"/>
          </w:tcPr>
          <w:p w14:paraId="345AC8FF">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Haloxylon persicum</w:t>
            </w:r>
          </w:p>
        </w:tc>
        <w:tc>
          <w:tcPr>
            <w:tcW w:w="573" w:type="pct"/>
            <w:tcBorders>
              <w:tl2br w:val="nil"/>
              <w:tr2bl w:val="nil"/>
            </w:tcBorders>
            <w:noWrap/>
            <w:vAlign w:val="center"/>
          </w:tcPr>
          <w:p w14:paraId="7BDA053D">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c>
          <w:tcPr>
            <w:tcW w:w="573" w:type="pct"/>
            <w:tcBorders>
              <w:tl2br w:val="nil"/>
              <w:tr2bl w:val="nil"/>
            </w:tcBorders>
            <w:noWrap/>
            <w:vAlign w:val="center"/>
          </w:tcPr>
          <w:p w14:paraId="3D5E72A7">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r>
      <w:tr w14:paraId="7BF57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0" w:type="pct"/>
            <w:tcBorders>
              <w:tl2br w:val="nil"/>
              <w:tr2bl w:val="nil"/>
            </w:tcBorders>
            <w:noWrap/>
            <w:vAlign w:val="center"/>
          </w:tcPr>
          <w:p w14:paraId="2138DBB1">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cs="Times New Roman"/>
                <w:color w:val="auto"/>
                <w:sz w:val="21"/>
                <w:szCs w:val="21"/>
                <w:highlight w:val="none"/>
                <w:u w:val="none"/>
                <w:lang w:val="en-US" w:eastAsia="zh-CN" w:bidi="ar-SA"/>
              </w:rPr>
              <w:t>8</w:t>
            </w:r>
            <w:r>
              <w:rPr>
                <w:rFonts w:hint="eastAsia" w:ascii="宋体" w:hAnsi="宋体" w:eastAsia="宋体" w:cs="Times New Roman"/>
                <w:color w:val="auto"/>
                <w:sz w:val="21"/>
                <w:szCs w:val="21"/>
                <w:highlight w:val="none"/>
                <w:u w:val="none"/>
                <w:lang w:val="en-US" w:eastAsia="zh-CN" w:bidi="ar-SA"/>
              </w:rPr>
              <w:t>.梭梭</w:t>
            </w:r>
          </w:p>
        </w:tc>
        <w:tc>
          <w:tcPr>
            <w:tcW w:w="2412" w:type="pct"/>
            <w:tcBorders>
              <w:tl2br w:val="nil"/>
              <w:tr2bl w:val="nil"/>
            </w:tcBorders>
            <w:noWrap/>
            <w:vAlign w:val="center"/>
          </w:tcPr>
          <w:p w14:paraId="4242D1DB">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zh-CN" w:eastAsia="zh-CN" w:bidi="ar-SA"/>
              </w:rPr>
            </w:pPr>
            <w:r>
              <w:rPr>
                <w:rFonts w:hint="eastAsia" w:ascii="宋体" w:hAnsi="宋体" w:eastAsia="宋体" w:cs="Times New Roman"/>
                <w:color w:val="auto"/>
                <w:sz w:val="21"/>
                <w:szCs w:val="21"/>
                <w:highlight w:val="none"/>
                <w:u w:val="none"/>
                <w:lang w:val="en-US" w:eastAsia="zh-CN" w:bidi="ar-SA"/>
              </w:rPr>
              <w:t>Haloxylon ammodendron</w:t>
            </w:r>
          </w:p>
        </w:tc>
        <w:tc>
          <w:tcPr>
            <w:tcW w:w="573" w:type="pct"/>
            <w:tcBorders>
              <w:tl2br w:val="nil"/>
              <w:tr2bl w:val="nil"/>
            </w:tcBorders>
            <w:noWrap/>
            <w:vAlign w:val="center"/>
          </w:tcPr>
          <w:p w14:paraId="00F117CD">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c>
          <w:tcPr>
            <w:tcW w:w="573" w:type="pct"/>
            <w:tcBorders>
              <w:tl2br w:val="nil"/>
              <w:tr2bl w:val="nil"/>
            </w:tcBorders>
            <w:noWrap/>
            <w:vAlign w:val="center"/>
          </w:tcPr>
          <w:p w14:paraId="35F089A4">
            <w:pPr>
              <w:keepNext w:val="0"/>
              <w:keepLines w:val="0"/>
              <w:pageBreakBefore w:val="0"/>
              <w:widowControl w:val="0"/>
              <w:kinsoku/>
              <w:wordWrap/>
              <w:overflowPunct/>
              <w:topLinePunct w:val="0"/>
              <w:autoSpaceDE/>
              <w:autoSpaceDN/>
              <w:bidi w:val="0"/>
              <w:adjustRightInd w:val="0"/>
              <w:snapToGrid/>
              <w:spacing w:line="380" w:lineRule="exact"/>
              <w:jc w:val="center"/>
              <w:textAlignment w:val="baseline"/>
              <w:rPr>
                <w:rFonts w:ascii="宋体" w:hAnsi="宋体" w:eastAsia="宋体" w:cs="Times New Roman"/>
                <w:color w:val="auto"/>
                <w:sz w:val="21"/>
                <w:szCs w:val="21"/>
                <w:highlight w:val="none"/>
                <w:u w:val="none"/>
                <w:lang w:val="en-US" w:eastAsia="zh-CN" w:bidi="ar-SA"/>
              </w:rPr>
            </w:pPr>
            <w:r>
              <w:rPr>
                <w:rFonts w:hint="eastAsia" w:ascii="宋体" w:hAnsi="宋体" w:eastAsia="宋体" w:cs="Times New Roman"/>
                <w:color w:val="auto"/>
                <w:sz w:val="21"/>
                <w:szCs w:val="21"/>
                <w:highlight w:val="none"/>
                <w:u w:val="none"/>
                <w:lang w:val="en-US" w:eastAsia="zh-CN" w:bidi="ar-SA"/>
              </w:rPr>
              <w:t>++</w:t>
            </w:r>
          </w:p>
        </w:tc>
      </w:tr>
    </w:tbl>
    <w:p w14:paraId="72708B45">
      <w:pPr>
        <w:keepNext w:val="0"/>
        <w:keepLines w:val="0"/>
        <w:pageBreakBefore w:val="0"/>
        <w:widowControl/>
        <w:tabs>
          <w:tab w:val="left" w:pos="312"/>
        </w:tabs>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auto"/>
          <w:kern w:val="0"/>
          <w:sz w:val="24"/>
          <w:szCs w:val="24"/>
          <w:u w:val="none"/>
          <w:lang w:val="zh-CN" w:eastAsia="zh-CN"/>
        </w:rPr>
      </w:pPr>
      <w:r>
        <w:rPr>
          <w:rFonts w:hint="default" w:ascii="宋体" w:hAnsi="宋体" w:eastAsia="宋体" w:cs="宋体"/>
          <w:color w:val="auto"/>
          <w:kern w:val="0"/>
          <w:sz w:val="21"/>
          <w:szCs w:val="21"/>
          <w:u w:val="none"/>
          <w:lang w:val="zh-CN" w:eastAsia="zh-CN"/>
        </w:rPr>
        <w:t>注：++多见，+少见，-偶见</w:t>
      </w:r>
    </w:p>
    <w:p w14:paraId="376DB6E0">
      <w:pPr>
        <w:widowControl/>
        <w:tabs>
          <w:tab w:val="left" w:pos="312"/>
        </w:tabs>
        <w:spacing w:line="360" w:lineRule="auto"/>
        <w:ind w:firstLine="480" w:firstLineChars="200"/>
        <w:jc w:val="both"/>
        <w:rPr>
          <w:rFonts w:hint="default" w:ascii="宋体" w:hAnsi="宋体" w:eastAsia="宋体" w:cs="宋体"/>
          <w:color w:val="auto"/>
          <w:kern w:val="0"/>
          <w:sz w:val="24"/>
          <w:szCs w:val="24"/>
          <w:u w:val="none"/>
          <w:lang w:val="zh-CN" w:eastAsia="zh-CN"/>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3F63E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zh-CN" w:eastAsia="zh-CN" w:bidi="ar-SA"/>
        </w:rPr>
        <w:sectPr>
          <w:pgSz w:w="16838" w:h="11906" w:orient="landscape"/>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黑体" w:hAnsi="黑体" w:eastAsia="黑体" w:cs="黑体"/>
          <w:b w:val="0"/>
          <w:bCs/>
          <w:color w:val="auto"/>
          <w:kern w:val="2"/>
          <w:sz w:val="24"/>
          <w:szCs w:val="24"/>
          <w:u w:val="none"/>
          <w:lang w:val="zh-CN" w:eastAsia="zh-CN" w:bidi="ar-SA"/>
        </w:rPr>
        <w:drawing>
          <wp:anchor distT="0" distB="0" distL="114300" distR="114300" simplePos="0" relativeHeight="251708416" behindDoc="0" locked="0" layoutInCell="1" allowOverlap="1">
            <wp:simplePos x="0" y="0"/>
            <wp:positionH relativeFrom="column">
              <wp:posOffset>541020</wp:posOffset>
            </wp:positionH>
            <wp:positionV relativeFrom="paragraph">
              <wp:posOffset>69215</wp:posOffset>
            </wp:positionV>
            <wp:extent cx="8705850" cy="6153785"/>
            <wp:effectExtent l="0" t="0" r="0" b="18415"/>
            <wp:wrapTopAndBottom/>
            <wp:docPr id="59" name="图片 59" descr="植被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植被类型图"/>
                    <pic:cNvPicPr>
                      <a:picLocks noChangeAspect="1"/>
                    </pic:cNvPicPr>
                  </pic:nvPicPr>
                  <pic:blipFill>
                    <a:blip r:embed="rId53"/>
                    <a:stretch>
                      <a:fillRect/>
                    </a:stretch>
                  </pic:blipFill>
                  <pic:spPr>
                    <a:xfrm>
                      <a:off x="0" y="0"/>
                      <a:ext cx="8705850" cy="6153785"/>
                    </a:xfrm>
                    <a:prstGeom prst="rect">
                      <a:avLst/>
                    </a:prstGeom>
                  </pic:spPr>
                </pic:pic>
              </a:graphicData>
            </a:graphic>
          </wp:anchor>
        </w:drawing>
      </w:r>
      <w:r>
        <w:rPr>
          <w:rFonts w:hint="eastAsia" w:ascii="黑体" w:hAnsi="黑体" w:eastAsia="黑体" w:cs="黑体"/>
          <w:b w:val="0"/>
          <w:bCs/>
          <w:color w:val="auto"/>
          <w:kern w:val="2"/>
          <w:sz w:val="24"/>
          <w:szCs w:val="24"/>
          <w:u w:val="none"/>
          <w:lang w:val="zh-CN" w:eastAsia="zh-CN" w:bidi="ar-SA"/>
        </w:rPr>
        <w:t>图4.2-2</w:t>
      </w:r>
      <w:r>
        <w:rPr>
          <w:rFonts w:hint="eastAsia" w:ascii="黑体" w:hAnsi="黑体" w:eastAsia="黑体" w:cs="黑体"/>
          <w:b w:val="0"/>
          <w:bCs/>
          <w:color w:val="auto"/>
          <w:kern w:val="2"/>
          <w:sz w:val="24"/>
          <w:szCs w:val="24"/>
          <w:u w:val="none"/>
          <w:lang w:val="en-US" w:eastAsia="zh-CN" w:bidi="ar-SA"/>
        </w:rPr>
        <w:t xml:space="preserve">  </w:t>
      </w:r>
      <w:r>
        <w:rPr>
          <w:rFonts w:hint="eastAsia" w:ascii="黑体" w:hAnsi="黑体" w:eastAsia="黑体" w:cs="黑体"/>
          <w:b w:val="0"/>
          <w:bCs/>
          <w:color w:val="auto"/>
          <w:kern w:val="2"/>
          <w:sz w:val="24"/>
          <w:szCs w:val="24"/>
          <w:u w:val="none"/>
          <w:lang w:val="zh-CN" w:eastAsia="zh-CN" w:bidi="ar-SA"/>
        </w:rPr>
        <w:t>植被类型分布示意图</w:t>
      </w:r>
    </w:p>
    <w:p w14:paraId="0106488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zh-CN" w:eastAsia="zh-CN"/>
        </w:rPr>
      </w:pPr>
      <w:r>
        <w:rPr>
          <w:rFonts w:hint="default" w:ascii="黑体" w:hAnsi="黑体" w:eastAsia="黑体" w:cs="黑体"/>
          <w:b/>
          <w:color w:val="auto"/>
          <w:kern w:val="0"/>
          <w:sz w:val="24"/>
          <w:szCs w:val="24"/>
          <w:highlight w:val="none"/>
          <w:u w:val="none"/>
          <w:lang w:val="zh-CN" w:eastAsia="zh-CN"/>
        </w:rPr>
        <w:t>4.2.</w:t>
      </w:r>
      <w:r>
        <w:rPr>
          <w:rFonts w:hint="eastAsia" w:ascii="黑体" w:hAnsi="黑体" w:eastAsia="黑体" w:cs="黑体"/>
          <w:b/>
          <w:color w:val="auto"/>
          <w:kern w:val="0"/>
          <w:sz w:val="24"/>
          <w:szCs w:val="24"/>
          <w:highlight w:val="none"/>
          <w:u w:val="none"/>
          <w:lang w:val="en-US" w:eastAsia="zh-CN"/>
        </w:rPr>
        <w:t xml:space="preserve">4 </w:t>
      </w:r>
      <w:r>
        <w:rPr>
          <w:rFonts w:hint="default" w:ascii="黑体" w:hAnsi="黑体" w:eastAsia="黑体" w:cs="黑体"/>
          <w:b/>
          <w:color w:val="auto"/>
          <w:kern w:val="0"/>
          <w:sz w:val="24"/>
          <w:szCs w:val="24"/>
          <w:highlight w:val="none"/>
          <w:u w:val="none"/>
          <w:lang w:val="zh-CN" w:eastAsia="zh-CN"/>
        </w:rPr>
        <w:t>野生动物现状调查</w:t>
      </w:r>
    </w:p>
    <w:p w14:paraId="3D242AE7">
      <w:pPr>
        <w:keepNext w:val="0"/>
        <w:keepLines w:val="0"/>
        <w:pageBreakBefore w:val="0"/>
        <w:widowControl w:val="0"/>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rPr>
      </w:pPr>
      <w:r>
        <w:rPr>
          <w:rFonts w:hint="default" w:ascii="Times New Roman" w:hAnsi="Times New Roman" w:eastAsia="宋体" w:cs="Times New Roman"/>
          <w:snapToGrid w:val="0"/>
          <w:color w:val="auto"/>
          <w:kern w:val="0"/>
          <w:sz w:val="24"/>
          <w:szCs w:val="24"/>
          <w:highlight w:val="none"/>
          <w:u w:val="none"/>
          <w:lang w:val="en-US" w:eastAsia="zh-CN"/>
        </w:rPr>
        <w:t>（1）野生动物区划</w:t>
      </w:r>
    </w:p>
    <w:p w14:paraId="7587CD5E">
      <w:pPr>
        <w:keepNext w:val="0"/>
        <w:keepLines w:val="0"/>
        <w:pageBreakBefore w:val="0"/>
        <w:widowControl w:val="0"/>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rPr>
      </w:pPr>
      <w:r>
        <w:rPr>
          <w:rFonts w:hint="default" w:ascii="Times New Roman" w:hAnsi="Times New Roman" w:eastAsia="宋体" w:cs="Times New Roman"/>
          <w:snapToGrid w:val="0"/>
          <w:color w:val="auto"/>
          <w:kern w:val="0"/>
          <w:sz w:val="24"/>
          <w:szCs w:val="24"/>
          <w:highlight w:val="none"/>
          <w:u w:val="none"/>
          <w:lang w:val="en-US" w:eastAsia="zh-CN"/>
        </w:rPr>
        <w:t>按中国动物地理区划的分级标准，项目开发区域属古北界、中亚亚界、蒙新区、西部荒漠亚区、准噶尔盆地小区。</w:t>
      </w:r>
    </w:p>
    <w:p w14:paraId="4AC0ACE5">
      <w:pPr>
        <w:keepNext w:val="0"/>
        <w:keepLines w:val="0"/>
        <w:pageBreakBefore w:val="0"/>
        <w:widowControl w:val="0"/>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rPr>
      </w:pPr>
      <w:r>
        <w:rPr>
          <w:rFonts w:hint="default" w:ascii="Times New Roman" w:hAnsi="Times New Roman" w:eastAsia="宋体" w:cs="Times New Roman"/>
          <w:snapToGrid w:val="0"/>
          <w:color w:val="auto"/>
          <w:kern w:val="0"/>
          <w:sz w:val="24"/>
          <w:szCs w:val="24"/>
          <w:highlight w:val="none"/>
          <w:u w:val="none"/>
          <w:lang w:val="en-US" w:eastAsia="zh-CN"/>
        </w:rPr>
        <w:t>（2）野生动物栖息生境类型</w:t>
      </w:r>
    </w:p>
    <w:p w14:paraId="683D6FD4">
      <w:pPr>
        <w:keepNext w:val="0"/>
        <w:keepLines w:val="0"/>
        <w:pageBreakBefore w:val="0"/>
        <w:widowControl w:val="0"/>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rPr>
      </w:pPr>
      <w:r>
        <w:rPr>
          <w:rFonts w:hint="default" w:ascii="Times New Roman" w:hAnsi="Times New Roman" w:eastAsia="宋体" w:cs="Times New Roman"/>
          <w:snapToGrid w:val="0"/>
          <w:color w:val="auto"/>
          <w:kern w:val="0"/>
          <w:sz w:val="24"/>
          <w:szCs w:val="24"/>
          <w:highlight w:val="none"/>
          <w:u w:val="none"/>
          <w:lang w:val="en-US" w:eastAsia="zh-CN"/>
        </w:rPr>
        <w:t>因该区域地处准噶尔盆地的古尔班通古特沙漠腹地，气候极端干燥，按气候区划为酷热干旱区。</w:t>
      </w:r>
    </w:p>
    <w:p w14:paraId="7D46AD70">
      <w:pPr>
        <w:keepNext w:val="0"/>
        <w:keepLines w:val="0"/>
        <w:pageBreakBefore w:val="0"/>
        <w:widowControl w:val="0"/>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rPr>
      </w:pPr>
      <w:r>
        <w:rPr>
          <w:rFonts w:hint="default" w:ascii="Times New Roman" w:hAnsi="Times New Roman" w:eastAsia="宋体" w:cs="Times New Roman"/>
          <w:snapToGrid w:val="0"/>
          <w:color w:val="auto"/>
          <w:kern w:val="0"/>
          <w:sz w:val="24"/>
          <w:szCs w:val="24"/>
          <w:highlight w:val="none"/>
          <w:u w:val="none"/>
          <w:lang w:val="en-US" w:eastAsia="zh-CN"/>
        </w:rPr>
        <w:t>（</w:t>
      </w:r>
      <w:r>
        <w:rPr>
          <w:rFonts w:hint="eastAsia" w:ascii="Times New Roman" w:hAnsi="Times New Roman" w:eastAsia="宋体" w:cs="Times New Roman"/>
          <w:snapToGrid w:val="0"/>
          <w:color w:val="auto"/>
          <w:kern w:val="0"/>
          <w:sz w:val="24"/>
          <w:szCs w:val="24"/>
          <w:highlight w:val="none"/>
          <w:u w:val="none"/>
          <w:lang w:val="en-US" w:eastAsia="zh-CN"/>
        </w:rPr>
        <w:t>3</w:t>
      </w:r>
      <w:r>
        <w:rPr>
          <w:rFonts w:hint="default" w:ascii="Times New Roman" w:hAnsi="Times New Roman" w:eastAsia="宋体" w:cs="Times New Roman"/>
          <w:snapToGrid w:val="0"/>
          <w:color w:val="auto"/>
          <w:kern w:val="0"/>
          <w:sz w:val="24"/>
          <w:szCs w:val="24"/>
          <w:highlight w:val="none"/>
          <w:u w:val="none"/>
          <w:lang w:val="en-US" w:eastAsia="zh-CN"/>
        </w:rPr>
        <w:t>）野生动物种类及分布</w:t>
      </w:r>
    </w:p>
    <w:p w14:paraId="563E1E7F">
      <w:pPr>
        <w:keepNext w:val="0"/>
        <w:keepLines w:val="0"/>
        <w:pageBreakBefore w:val="0"/>
        <w:widowControl/>
        <w:kinsoku/>
        <w:wordWrap/>
        <w:overflowPunct/>
        <w:autoSpaceDE/>
        <w:autoSpaceDN/>
        <w:bidi w:val="0"/>
        <w:adjustRightInd/>
        <w:snapToGrid/>
        <w:spacing w:line="480" w:lineRule="exact"/>
        <w:ind w:firstLine="480" w:firstLineChars="200"/>
        <w:jc w:val="both"/>
        <w:textAlignment w:val="auto"/>
        <w:rPr>
          <w:rFonts w:ascii="宋体" w:hAnsi="宋体" w:eastAsia="宋体" w:cs="宋体"/>
          <w:color w:val="auto"/>
          <w:kern w:val="0"/>
          <w:sz w:val="24"/>
          <w:szCs w:val="24"/>
          <w:u w:val="none"/>
        </w:rPr>
      </w:pPr>
      <w:r>
        <w:rPr>
          <w:rFonts w:hint="eastAsia" w:ascii="Times New Roman" w:hAnsi="Times New Roman" w:eastAsia="宋体" w:cs="Times New Roman"/>
          <w:snapToGrid w:val="0"/>
          <w:color w:val="auto"/>
          <w:kern w:val="0"/>
          <w:sz w:val="24"/>
          <w:szCs w:val="24"/>
          <w:highlight w:val="none"/>
          <w:u w:val="none"/>
        </w:rPr>
        <w:t>项目区域分布</w:t>
      </w:r>
      <w:r>
        <w:rPr>
          <w:rFonts w:hint="eastAsia" w:cs="Times New Roman"/>
          <w:snapToGrid w:val="0"/>
          <w:color w:val="auto"/>
          <w:kern w:val="0"/>
          <w:sz w:val="24"/>
          <w:szCs w:val="24"/>
          <w:highlight w:val="none"/>
          <w:u w:val="none"/>
          <w:lang w:val="en-US" w:eastAsia="zh-CN"/>
        </w:rPr>
        <w:t>的主要</w:t>
      </w:r>
      <w:r>
        <w:rPr>
          <w:rFonts w:ascii="Times New Roman" w:hAnsi="Times New Roman" w:eastAsia="宋体" w:cs="Times New Roman"/>
          <w:snapToGrid w:val="0"/>
          <w:color w:val="auto"/>
          <w:kern w:val="0"/>
          <w:sz w:val="24"/>
          <w:szCs w:val="24"/>
          <w:highlight w:val="none"/>
          <w:u w:val="none"/>
        </w:rPr>
        <w:t>野生脊椎动物约</w:t>
      </w:r>
      <w:r>
        <w:rPr>
          <w:rFonts w:hint="eastAsia" w:cs="Times New Roman"/>
          <w:snapToGrid w:val="0"/>
          <w:color w:val="auto"/>
          <w:kern w:val="0"/>
          <w:sz w:val="24"/>
          <w:szCs w:val="24"/>
          <w:highlight w:val="none"/>
          <w:u w:val="none"/>
          <w:lang w:val="en-US" w:eastAsia="zh-CN"/>
        </w:rPr>
        <w:t>16</w:t>
      </w:r>
      <w:r>
        <w:rPr>
          <w:rFonts w:ascii="Times New Roman" w:hAnsi="Times New Roman" w:eastAsia="宋体" w:cs="Times New Roman"/>
          <w:snapToGrid w:val="0"/>
          <w:color w:val="auto"/>
          <w:kern w:val="0"/>
          <w:sz w:val="24"/>
          <w:szCs w:val="24"/>
          <w:highlight w:val="none"/>
          <w:u w:val="none"/>
        </w:rPr>
        <w:t>种，以鸟类和小型哺乳动物为主。野生动物种类</w:t>
      </w:r>
      <w:r>
        <w:rPr>
          <w:rFonts w:hint="eastAsia" w:cs="Times New Roman"/>
          <w:snapToGrid w:val="0"/>
          <w:color w:val="auto"/>
          <w:kern w:val="0"/>
          <w:sz w:val="24"/>
          <w:szCs w:val="24"/>
          <w:highlight w:val="none"/>
          <w:u w:val="none"/>
          <w:lang w:eastAsia="zh-CN"/>
        </w:rPr>
        <w:t>，</w:t>
      </w:r>
      <w:r>
        <w:rPr>
          <w:rFonts w:ascii="Times New Roman" w:hAnsi="Times New Roman" w:eastAsia="宋体" w:cs="Times New Roman"/>
          <w:snapToGrid w:val="0"/>
          <w:color w:val="auto"/>
          <w:kern w:val="0"/>
          <w:sz w:val="24"/>
          <w:szCs w:val="24"/>
          <w:highlight w:val="none"/>
          <w:u w:val="none"/>
        </w:rPr>
        <w:t>见表4.2-</w:t>
      </w:r>
      <w:r>
        <w:rPr>
          <w:rFonts w:hint="eastAsia" w:cs="Times New Roman"/>
          <w:snapToGrid w:val="0"/>
          <w:color w:val="auto"/>
          <w:kern w:val="0"/>
          <w:sz w:val="24"/>
          <w:szCs w:val="24"/>
          <w:highlight w:val="none"/>
          <w:u w:val="none"/>
          <w:lang w:val="en-US" w:eastAsia="zh-CN"/>
        </w:rPr>
        <w:t>3</w:t>
      </w:r>
      <w:r>
        <w:rPr>
          <w:rFonts w:ascii="Times New Roman" w:hAnsi="Times New Roman" w:eastAsia="宋体" w:cs="Times New Roman"/>
          <w:snapToGrid w:val="0"/>
          <w:color w:val="auto"/>
          <w:kern w:val="0"/>
          <w:sz w:val="24"/>
          <w:szCs w:val="24"/>
          <w:highlight w:val="none"/>
          <w:u w:val="none"/>
        </w:rPr>
        <w:t>。</w:t>
      </w:r>
    </w:p>
    <w:p w14:paraId="59C0D1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表4.2-3   项目区周围主要脊椎动物的种类</w:t>
      </w:r>
    </w:p>
    <w:tbl>
      <w:tblPr>
        <w:tblStyle w:val="3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697"/>
        <w:gridCol w:w="3215"/>
        <w:gridCol w:w="968"/>
        <w:gridCol w:w="968"/>
        <w:gridCol w:w="982"/>
      </w:tblGrid>
      <w:tr w14:paraId="02F48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347" w:type="pct"/>
            <w:gridSpan w:val="2"/>
            <w:vMerge w:val="restart"/>
            <w:tcBorders>
              <w:tl2br w:val="nil"/>
              <w:tr2bl w:val="nil"/>
            </w:tcBorders>
            <w:noWrap/>
            <w:vAlign w:val="center"/>
          </w:tcPr>
          <w:p w14:paraId="69C6A3B2">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color w:val="auto"/>
                <w:kern w:val="0"/>
                <w:sz w:val="21"/>
                <w:szCs w:val="21"/>
                <w:highlight w:val="none"/>
                <w:u w:val="none"/>
              </w:rPr>
              <w:t>种</w:t>
            </w:r>
            <w:r>
              <w:rPr>
                <w:rFonts w:hint="eastAsia"/>
                <w:color w:val="auto"/>
                <w:kern w:val="0"/>
                <w:sz w:val="21"/>
                <w:szCs w:val="21"/>
                <w:highlight w:val="none"/>
                <w:u w:val="none"/>
                <w:lang w:val="en-US" w:eastAsia="zh-CN"/>
              </w:rPr>
              <w:t xml:space="preserve">    </w:t>
            </w:r>
            <w:r>
              <w:rPr>
                <w:rFonts w:hint="eastAsia" w:eastAsia="宋体"/>
                <w:color w:val="auto"/>
                <w:kern w:val="0"/>
                <w:sz w:val="21"/>
                <w:szCs w:val="21"/>
                <w:highlight w:val="none"/>
                <w:u w:val="none"/>
              </w:rPr>
              <w:t>类</w:t>
            </w:r>
          </w:p>
        </w:tc>
        <w:tc>
          <w:tcPr>
            <w:tcW w:w="1652" w:type="pct"/>
            <w:gridSpan w:val="3"/>
            <w:tcBorders>
              <w:tl2br w:val="nil"/>
              <w:tr2bl w:val="nil"/>
            </w:tcBorders>
            <w:noWrap/>
            <w:vAlign w:val="center"/>
          </w:tcPr>
          <w:p w14:paraId="07B84C91">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分布状况</w:t>
            </w:r>
          </w:p>
        </w:tc>
      </w:tr>
      <w:tr w14:paraId="28BA0C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347" w:type="pct"/>
            <w:gridSpan w:val="2"/>
            <w:vMerge w:val="continue"/>
            <w:tcBorders>
              <w:tl2br w:val="nil"/>
              <w:tr2bl w:val="nil"/>
            </w:tcBorders>
            <w:noWrap/>
            <w:vAlign w:val="center"/>
          </w:tcPr>
          <w:p w14:paraId="575BE1F3">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p>
        </w:tc>
        <w:tc>
          <w:tcPr>
            <w:tcW w:w="548" w:type="pct"/>
            <w:tcBorders>
              <w:tl2br w:val="nil"/>
              <w:tr2bl w:val="nil"/>
            </w:tcBorders>
            <w:noWrap/>
            <w:vAlign w:val="center"/>
          </w:tcPr>
          <w:p w14:paraId="177A8897">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多见种</w:t>
            </w:r>
          </w:p>
        </w:tc>
        <w:tc>
          <w:tcPr>
            <w:tcW w:w="548" w:type="pct"/>
            <w:tcBorders>
              <w:tl2br w:val="nil"/>
              <w:tr2bl w:val="nil"/>
            </w:tcBorders>
            <w:noWrap/>
            <w:vAlign w:val="center"/>
          </w:tcPr>
          <w:p w14:paraId="650FA6A6">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少见种</w:t>
            </w:r>
          </w:p>
        </w:tc>
        <w:tc>
          <w:tcPr>
            <w:tcW w:w="556" w:type="pct"/>
            <w:tcBorders>
              <w:tl2br w:val="nil"/>
              <w:tr2bl w:val="nil"/>
            </w:tcBorders>
            <w:noWrap/>
            <w:vAlign w:val="center"/>
          </w:tcPr>
          <w:p w14:paraId="6CD8A48B">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偶见种</w:t>
            </w:r>
          </w:p>
        </w:tc>
      </w:tr>
      <w:tr w14:paraId="799254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696B0143">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爬行类</w:t>
            </w:r>
          </w:p>
        </w:tc>
        <w:tc>
          <w:tcPr>
            <w:tcW w:w="1819" w:type="pct"/>
            <w:tcBorders>
              <w:tl2br w:val="nil"/>
              <w:tr2bl w:val="nil"/>
            </w:tcBorders>
            <w:noWrap/>
            <w:vAlign w:val="center"/>
          </w:tcPr>
          <w:p w14:paraId="20FB5547">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p>
        </w:tc>
        <w:tc>
          <w:tcPr>
            <w:tcW w:w="548" w:type="pct"/>
            <w:tcBorders>
              <w:tl2br w:val="nil"/>
              <w:tr2bl w:val="nil"/>
            </w:tcBorders>
            <w:noWrap/>
            <w:vAlign w:val="center"/>
          </w:tcPr>
          <w:p w14:paraId="0CA7D596">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11002313">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56" w:type="pct"/>
            <w:tcBorders>
              <w:tl2br w:val="nil"/>
              <w:tr2bl w:val="nil"/>
            </w:tcBorders>
            <w:noWrap/>
            <w:vAlign w:val="center"/>
          </w:tcPr>
          <w:p w14:paraId="776E9808">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2619D6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28EA9DEF">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1、变色沙蜥</w:t>
            </w:r>
          </w:p>
        </w:tc>
        <w:tc>
          <w:tcPr>
            <w:tcW w:w="1819" w:type="pct"/>
            <w:tcBorders>
              <w:tl2br w:val="nil"/>
              <w:tr2bl w:val="nil"/>
            </w:tcBorders>
            <w:noWrap/>
            <w:vAlign w:val="center"/>
          </w:tcPr>
          <w:p w14:paraId="51442D16">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Phrynocephalus versicolor</w:t>
            </w:r>
          </w:p>
        </w:tc>
        <w:tc>
          <w:tcPr>
            <w:tcW w:w="548" w:type="pct"/>
            <w:tcBorders>
              <w:tl2br w:val="nil"/>
              <w:tr2bl w:val="nil"/>
            </w:tcBorders>
            <w:noWrap/>
            <w:vAlign w:val="center"/>
          </w:tcPr>
          <w:p w14:paraId="4C92BC71">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0E1B4C0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105ABF92">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4A6478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2585001A">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2、东疆沙蜥</w:t>
            </w:r>
          </w:p>
        </w:tc>
        <w:tc>
          <w:tcPr>
            <w:tcW w:w="1819" w:type="pct"/>
            <w:tcBorders>
              <w:tl2br w:val="nil"/>
              <w:tr2bl w:val="nil"/>
            </w:tcBorders>
            <w:noWrap/>
            <w:vAlign w:val="center"/>
          </w:tcPr>
          <w:p w14:paraId="161DD66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P.grumgrizimaloi</w:t>
            </w:r>
          </w:p>
        </w:tc>
        <w:tc>
          <w:tcPr>
            <w:tcW w:w="548" w:type="pct"/>
            <w:tcBorders>
              <w:tl2br w:val="nil"/>
              <w:tr2bl w:val="nil"/>
            </w:tcBorders>
            <w:noWrap/>
            <w:vAlign w:val="center"/>
          </w:tcPr>
          <w:p w14:paraId="296AEA8B">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48" w:type="pct"/>
            <w:tcBorders>
              <w:tl2br w:val="nil"/>
              <w:tr2bl w:val="nil"/>
            </w:tcBorders>
            <w:noWrap/>
            <w:vAlign w:val="center"/>
          </w:tcPr>
          <w:p w14:paraId="6A8F8002">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56" w:type="pct"/>
            <w:tcBorders>
              <w:tl2br w:val="nil"/>
              <w:tr2bl w:val="nil"/>
            </w:tcBorders>
            <w:noWrap/>
            <w:vAlign w:val="center"/>
          </w:tcPr>
          <w:p w14:paraId="523D259C">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671CED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5185723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3、快步麻蜥</w:t>
            </w:r>
          </w:p>
        </w:tc>
        <w:tc>
          <w:tcPr>
            <w:tcW w:w="1819" w:type="pct"/>
            <w:tcBorders>
              <w:tl2br w:val="nil"/>
              <w:tr2bl w:val="nil"/>
            </w:tcBorders>
            <w:noWrap/>
            <w:vAlign w:val="center"/>
          </w:tcPr>
          <w:p w14:paraId="5915E6A2">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Eremias velox</w:t>
            </w:r>
          </w:p>
        </w:tc>
        <w:tc>
          <w:tcPr>
            <w:tcW w:w="548" w:type="pct"/>
            <w:tcBorders>
              <w:tl2br w:val="nil"/>
              <w:tr2bl w:val="nil"/>
            </w:tcBorders>
            <w:noWrap/>
            <w:vAlign w:val="center"/>
          </w:tcPr>
          <w:p w14:paraId="523D2C1B">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48" w:type="pct"/>
            <w:tcBorders>
              <w:tl2br w:val="nil"/>
              <w:tr2bl w:val="nil"/>
            </w:tcBorders>
            <w:noWrap/>
            <w:vAlign w:val="center"/>
          </w:tcPr>
          <w:p w14:paraId="485CEBE6">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56" w:type="pct"/>
            <w:tcBorders>
              <w:tl2br w:val="nil"/>
              <w:tr2bl w:val="nil"/>
            </w:tcBorders>
            <w:noWrap/>
            <w:vAlign w:val="center"/>
          </w:tcPr>
          <w:p w14:paraId="2AF5D84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75885A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7D0EBDB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鸟类</w:t>
            </w:r>
          </w:p>
        </w:tc>
        <w:tc>
          <w:tcPr>
            <w:tcW w:w="1819" w:type="pct"/>
            <w:tcBorders>
              <w:tl2br w:val="nil"/>
              <w:tr2bl w:val="nil"/>
            </w:tcBorders>
            <w:noWrap/>
            <w:vAlign w:val="center"/>
          </w:tcPr>
          <w:p w14:paraId="52064331">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p>
        </w:tc>
        <w:tc>
          <w:tcPr>
            <w:tcW w:w="548" w:type="pct"/>
            <w:tcBorders>
              <w:tl2br w:val="nil"/>
              <w:tr2bl w:val="nil"/>
            </w:tcBorders>
            <w:noWrap/>
            <w:vAlign w:val="center"/>
          </w:tcPr>
          <w:p w14:paraId="2D85CBC8">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5031A64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56" w:type="pct"/>
            <w:tcBorders>
              <w:tl2br w:val="nil"/>
              <w:tr2bl w:val="nil"/>
            </w:tcBorders>
            <w:noWrap/>
            <w:vAlign w:val="center"/>
          </w:tcPr>
          <w:p w14:paraId="4052403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01D25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1FE01DBB">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4</w:t>
            </w:r>
            <w:r>
              <w:rPr>
                <w:rFonts w:hint="eastAsia" w:eastAsia="宋体"/>
                <w:color w:val="auto"/>
                <w:kern w:val="0"/>
                <w:sz w:val="21"/>
                <w:szCs w:val="21"/>
                <w:highlight w:val="none"/>
                <w:u w:val="none"/>
              </w:rPr>
              <w:t>、鸢</w:t>
            </w:r>
          </w:p>
        </w:tc>
        <w:tc>
          <w:tcPr>
            <w:tcW w:w="1819" w:type="pct"/>
            <w:tcBorders>
              <w:tl2br w:val="nil"/>
              <w:tr2bl w:val="nil"/>
            </w:tcBorders>
            <w:noWrap/>
            <w:vAlign w:val="center"/>
          </w:tcPr>
          <w:p w14:paraId="46AF2E6A">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Milvus korschun</w:t>
            </w:r>
          </w:p>
        </w:tc>
        <w:tc>
          <w:tcPr>
            <w:tcW w:w="548" w:type="pct"/>
            <w:tcBorders>
              <w:tl2br w:val="nil"/>
              <w:tr2bl w:val="nil"/>
            </w:tcBorders>
            <w:noWrap/>
            <w:vAlign w:val="center"/>
          </w:tcPr>
          <w:p w14:paraId="3F7BEB17">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01994DC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3651E1D2">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45A040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0BB9F017">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5</w:t>
            </w:r>
            <w:r>
              <w:rPr>
                <w:rFonts w:hint="eastAsia" w:eastAsia="宋体"/>
                <w:color w:val="auto"/>
                <w:kern w:val="0"/>
                <w:sz w:val="21"/>
                <w:szCs w:val="21"/>
                <w:highlight w:val="none"/>
                <w:u w:val="none"/>
              </w:rPr>
              <w:t>、雀鹰</w:t>
            </w:r>
          </w:p>
        </w:tc>
        <w:tc>
          <w:tcPr>
            <w:tcW w:w="1819" w:type="pct"/>
            <w:tcBorders>
              <w:tl2br w:val="nil"/>
              <w:tr2bl w:val="nil"/>
            </w:tcBorders>
            <w:noWrap/>
            <w:vAlign w:val="center"/>
          </w:tcPr>
          <w:p w14:paraId="090799FF">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Accipiter nisus</w:t>
            </w:r>
          </w:p>
        </w:tc>
        <w:tc>
          <w:tcPr>
            <w:tcW w:w="548" w:type="pct"/>
            <w:tcBorders>
              <w:tl2br w:val="nil"/>
              <w:tr2bl w:val="nil"/>
            </w:tcBorders>
            <w:noWrap/>
            <w:vAlign w:val="center"/>
          </w:tcPr>
          <w:p w14:paraId="70498F41">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54BB0352">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01A1537F">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5B0AC7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11773293">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6</w:t>
            </w:r>
            <w:r>
              <w:rPr>
                <w:rFonts w:hint="eastAsia" w:eastAsia="宋体"/>
                <w:color w:val="auto"/>
                <w:kern w:val="0"/>
                <w:sz w:val="21"/>
                <w:szCs w:val="21"/>
                <w:highlight w:val="none"/>
                <w:u w:val="none"/>
              </w:rPr>
              <w:t>、草原鹞</w:t>
            </w:r>
          </w:p>
        </w:tc>
        <w:tc>
          <w:tcPr>
            <w:tcW w:w="1819" w:type="pct"/>
            <w:tcBorders>
              <w:tl2br w:val="nil"/>
              <w:tr2bl w:val="nil"/>
            </w:tcBorders>
            <w:noWrap/>
            <w:vAlign w:val="center"/>
          </w:tcPr>
          <w:p w14:paraId="6169D45A">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Circus macrourus</w:t>
            </w:r>
          </w:p>
        </w:tc>
        <w:tc>
          <w:tcPr>
            <w:tcW w:w="548" w:type="pct"/>
            <w:tcBorders>
              <w:tl2br w:val="nil"/>
              <w:tr2bl w:val="nil"/>
            </w:tcBorders>
            <w:noWrap/>
            <w:vAlign w:val="center"/>
          </w:tcPr>
          <w:p w14:paraId="0F637D9C">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50D4B5D5">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31C72C17">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653CD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27" w:type="pct"/>
            <w:tcBorders>
              <w:tl2br w:val="nil"/>
              <w:tr2bl w:val="nil"/>
            </w:tcBorders>
            <w:noWrap/>
            <w:vAlign w:val="center"/>
          </w:tcPr>
          <w:p w14:paraId="2D1B6767">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7</w:t>
            </w:r>
            <w:r>
              <w:rPr>
                <w:rFonts w:hint="eastAsia" w:eastAsia="宋体"/>
                <w:color w:val="auto"/>
                <w:kern w:val="0"/>
                <w:sz w:val="21"/>
                <w:szCs w:val="21"/>
                <w:highlight w:val="none"/>
                <w:u w:val="none"/>
              </w:rPr>
              <w:t>、棕尾鵟</w:t>
            </w:r>
          </w:p>
        </w:tc>
        <w:tc>
          <w:tcPr>
            <w:tcW w:w="1819" w:type="pct"/>
            <w:tcBorders>
              <w:tl2br w:val="nil"/>
              <w:tr2bl w:val="nil"/>
            </w:tcBorders>
            <w:noWrap/>
            <w:vAlign w:val="center"/>
          </w:tcPr>
          <w:p w14:paraId="198B759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Buteo rufinus</w:t>
            </w:r>
          </w:p>
        </w:tc>
        <w:tc>
          <w:tcPr>
            <w:tcW w:w="548" w:type="pct"/>
            <w:tcBorders>
              <w:tl2br w:val="nil"/>
              <w:tr2bl w:val="nil"/>
            </w:tcBorders>
            <w:noWrap/>
            <w:vAlign w:val="center"/>
          </w:tcPr>
          <w:p w14:paraId="43B923BC">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266671C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33967B8F">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04BB65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56204633">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8</w:t>
            </w:r>
            <w:r>
              <w:rPr>
                <w:rFonts w:hint="eastAsia" w:eastAsia="宋体"/>
                <w:color w:val="auto"/>
                <w:kern w:val="0"/>
                <w:sz w:val="21"/>
                <w:szCs w:val="21"/>
                <w:highlight w:val="none"/>
                <w:u w:val="none"/>
              </w:rPr>
              <w:t>、红隼</w:t>
            </w:r>
          </w:p>
        </w:tc>
        <w:tc>
          <w:tcPr>
            <w:tcW w:w="1819" w:type="pct"/>
            <w:tcBorders>
              <w:tl2br w:val="nil"/>
              <w:tr2bl w:val="nil"/>
            </w:tcBorders>
            <w:noWrap/>
            <w:vAlign w:val="center"/>
          </w:tcPr>
          <w:p w14:paraId="5C3A3AFF">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Falco tinnunculus</w:t>
            </w:r>
          </w:p>
        </w:tc>
        <w:tc>
          <w:tcPr>
            <w:tcW w:w="548" w:type="pct"/>
            <w:tcBorders>
              <w:tl2br w:val="nil"/>
              <w:tr2bl w:val="nil"/>
            </w:tcBorders>
            <w:noWrap/>
            <w:vAlign w:val="center"/>
          </w:tcPr>
          <w:p w14:paraId="35FE8BDE">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32D8B7DC">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313FD875">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68686A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4F6DFA2A">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哺乳类</w:t>
            </w:r>
          </w:p>
        </w:tc>
        <w:tc>
          <w:tcPr>
            <w:tcW w:w="1819" w:type="pct"/>
            <w:tcBorders>
              <w:tl2br w:val="nil"/>
              <w:tr2bl w:val="nil"/>
            </w:tcBorders>
            <w:noWrap/>
            <w:vAlign w:val="center"/>
          </w:tcPr>
          <w:p w14:paraId="1FFC64A8">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p>
        </w:tc>
        <w:tc>
          <w:tcPr>
            <w:tcW w:w="548" w:type="pct"/>
            <w:tcBorders>
              <w:tl2br w:val="nil"/>
              <w:tr2bl w:val="nil"/>
            </w:tcBorders>
            <w:noWrap/>
            <w:vAlign w:val="center"/>
          </w:tcPr>
          <w:p w14:paraId="3FC5EAF7">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304B5DD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56" w:type="pct"/>
            <w:tcBorders>
              <w:tl2br w:val="nil"/>
              <w:tr2bl w:val="nil"/>
            </w:tcBorders>
            <w:noWrap/>
            <w:vAlign w:val="center"/>
          </w:tcPr>
          <w:p w14:paraId="189AB9CE">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7D7D8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6B15920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9</w:t>
            </w:r>
            <w:r>
              <w:rPr>
                <w:rFonts w:hint="eastAsia" w:eastAsia="宋体"/>
                <w:color w:val="auto"/>
                <w:kern w:val="0"/>
                <w:sz w:val="21"/>
                <w:szCs w:val="21"/>
                <w:highlight w:val="none"/>
                <w:u w:val="none"/>
              </w:rPr>
              <w:t>、鹅喉羚</w:t>
            </w:r>
          </w:p>
        </w:tc>
        <w:tc>
          <w:tcPr>
            <w:tcW w:w="1819" w:type="pct"/>
            <w:tcBorders>
              <w:tl2br w:val="nil"/>
              <w:tr2bl w:val="nil"/>
            </w:tcBorders>
            <w:noWrap/>
            <w:vAlign w:val="center"/>
          </w:tcPr>
          <w:p w14:paraId="36859E8B">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Gozella subgutturosa</w:t>
            </w:r>
          </w:p>
        </w:tc>
        <w:tc>
          <w:tcPr>
            <w:tcW w:w="548" w:type="pct"/>
            <w:tcBorders>
              <w:tl2br w:val="nil"/>
              <w:tr2bl w:val="nil"/>
            </w:tcBorders>
            <w:noWrap/>
            <w:vAlign w:val="center"/>
          </w:tcPr>
          <w:p w14:paraId="7BB0161E">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76E85BAB">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15700B2A">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62B7DE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2DB9849C">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10</w:t>
            </w:r>
            <w:r>
              <w:rPr>
                <w:rFonts w:hint="eastAsia" w:eastAsia="宋体"/>
                <w:color w:val="auto"/>
                <w:kern w:val="0"/>
                <w:sz w:val="21"/>
                <w:szCs w:val="21"/>
                <w:highlight w:val="none"/>
                <w:u w:val="none"/>
              </w:rPr>
              <w:t>、草兔</w:t>
            </w:r>
          </w:p>
        </w:tc>
        <w:tc>
          <w:tcPr>
            <w:tcW w:w="1819" w:type="pct"/>
            <w:tcBorders>
              <w:tl2br w:val="nil"/>
              <w:tr2bl w:val="nil"/>
            </w:tcBorders>
            <w:noWrap/>
            <w:vAlign w:val="center"/>
          </w:tcPr>
          <w:p w14:paraId="0D472818">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Lepus capensis</w:t>
            </w:r>
          </w:p>
        </w:tc>
        <w:tc>
          <w:tcPr>
            <w:tcW w:w="548" w:type="pct"/>
            <w:tcBorders>
              <w:tl2br w:val="nil"/>
              <w:tr2bl w:val="nil"/>
            </w:tcBorders>
            <w:noWrap/>
            <w:vAlign w:val="center"/>
          </w:tcPr>
          <w:p w14:paraId="7ED99B2A">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6A4CE96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5CFC3064">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5CC5C7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1BCE22B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11</w:t>
            </w:r>
            <w:r>
              <w:rPr>
                <w:rFonts w:hint="eastAsia" w:eastAsia="宋体"/>
                <w:color w:val="auto"/>
                <w:kern w:val="0"/>
                <w:sz w:val="21"/>
                <w:szCs w:val="21"/>
                <w:highlight w:val="none"/>
                <w:u w:val="none"/>
              </w:rPr>
              <w:t>、小五趾跳鼠</w:t>
            </w:r>
          </w:p>
        </w:tc>
        <w:tc>
          <w:tcPr>
            <w:tcW w:w="1819" w:type="pct"/>
            <w:tcBorders>
              <w:tl2br w:val="nil"/>
              <w:tr2bl w:val="nil"/>
            </w:tcBorders>
            <w:noWrap/>
            <w:vAlign w:val="center"/>
          </w:tcPr>
          <w:p w14:paraId="113C6A23">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Allactage elater</w:t>
            </w:r>
          </w:p>
        </w:tc>
        <w:tc>
          <w:tcPr>
            <w:tcW w:w="548" w:type="pct"/>
            <w:tcBorders>
              <w:tl2br w:val="nil"/>
              <w:tr2bl w:val="nil"/>
            </w:tcBorders>
            <w:noWrap/>
            <w:vAlign w:val="center"/>
          </w:tcPr>
          <w:p w14:paraId="7B6E9DB8">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6B2C2FB6">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7C694134">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64337B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2103625E">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12</w:t>
            </w:r>
            <w:r>
              <w:rPr>
                <w:rFonts w:hint="eastAsia" w:eastAsia="宋体"/>
                <w:color w:val="auto"/>
                <w:kern w:val="0"/>
                <w:sz w:val="21"/>
                <w:szCs w:val="21"/>
                <w:highlight w:val="none"/>
                <w:u w:val="none"/>
              </w:rPr>
              <w:t>、西伯利亚五趾跳鼠</w:t>
            </w:r>
          </w:p>
        </w:tc>
        <w:tc>
          <w:tcPr>
            <w:tcW w:w="1819" w:type="pct"/>
            <w:tcBorders>
              <w:tl2br w:val="nil"/>
              <w:tr2bl w:val="nil"/>
            </w:tcBorders>
            <w:noWrap/>
            <w:vAlign w:val="center"/>
          </w:tcPr>
          <w:p w14:paraId="6A070B78">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A. sibirica</w:t>
            </w:r>
          </w:p>
        </w:tc>
        <w:tc>
          <w:tcPr>
            <w:tcW w:w="548" w:type="pct"/>
            <w:tcBorders>
              <w:tl2br w:val="nil"/>
              <w:tr2bl w:val="nil"/>
            </w:tcBorders>
            <w:noWrap/>
            <w:vAlign w:val="center"/>
          </w:tcPr>
          <w:p w14:paraId="2CE0083E">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2A8D0801">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1B774C8F">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3C227A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770F38EF">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13</w:t>
            </w:r>
            <w:r>
              <w:rPr>
                <w:rFonts w:hint="eastAsia" w:eastAsia="宋体"/>
                <w:color w:val="auto"/>
                <w:kern w:val="0"/>
                <w:sz w:val="21"/>
                <w:szCs w:val="21"/>
                <w:highlight w:val="none"/>
                <w:u w:val="none"/>
              </w:rPr>
              <w:t>、小地兔</w:t>
            </w:r>
          </w:p>
        </w:tc>
        <w:tc>
          <w:tcPr>
            <w:tcW w:w="1819" w:type="pct"/>
            <w:tcBorders>
              <w:tl2br w:val="nil"/>
              <w:tr2bl w:val="nil"/>
            </w:tcBorders>
            <w:noWrap/>
            <w:vAlign w:val="center"/>
          </w:tcPr>
          <w:p w14:paraId="48352DC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Alactagulus pygmaeus</w:t>
            </w:r>
          </w:p>
        </w:tc>
        <w:tc>
          <w:tcPr>
            <w:tcW w:w="548" w:type="pct"/>
            <w:tcBorders>
              <w:tl2br w:val="nil"/>
              <w:tr2bl w:val="nil"/>
            </w:tcBorders>
            <w:noWrap/>
            <w:vAlign w:val="center"/>
          </w:tcPr>
          <w:p w14:paraId="4FE04DD4">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48" w:type="pct"/>
            <w:tcBorders>
              <w:tl2br w:val="nil"/>
              <w:tr2bl w:val="nil"/>
            </w:tcBorders>
            <w:noWrap/>
            <w:vAlign w:val="center"/>
          </w:tcPr>
          <w:p w14:paraId="7F266CF3">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56" w:type="pct"/>
            <w:tcBorders>
              <w:tl2br w:val="nil"/>
              <w:tr2bl w:val="nil"/>
            </w:tcBorders>
            <w:noWrap/>
            <w:vAlign w:val="center"/>
          </w:tcPr>
          <w:p w14:paraId="20375B06">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323912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6A112CDE">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14</w:t>
            </w:r>
            <w:r>
              <w:rPr>
                <w:rFonts w:hint="eastAsia" w:eastAsia="宋体"/>
                <w:color w:val="auto"/>
                <w:kern w:val="0"/>
                <w:sz w:val="21"/>
                <w:szCs w:val="21"/>
                <w:highlight w:val="none"/>
                <w:u w:val="none"/>
              </w:rPr>
              <w:t>、毛脚跳鼠</w:t>
            </w:r>
          </w:p>
        </w:tc>
        <w:tc>
          <w:tcPr>
            <w:tcW w:w="1819" w:type="pct"/>
            <w:tcBorders>
              <w:tl2br w:val="nil"/>
              <w:tr2bl w:val="nil"/>
            </w:tcBorders>
            <w:noWrap/>
            <w:vAlign w:val="center"/>
          </w:tcPr>
          <w:p w14:paraId="370A69B4">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Dipus sagitta</w:t>
            </w:r>
          </w:p>
        </w:tc>
        <w:tc>
          <w:tcPr>
            <w:tcW w:w="548" w:type="pct"/>
            <w:tcBorders>
              <w:tl2br w:val="nil"/>
              <w:tr2bl w:val="nil"/>
            </w:tcBorders>
            <w:noWrap/>
            <w:vAlign w:val="center"/>
          </w:tcPr>
          <w:p w14:paraId="5B79F642">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48" w:type="pct"/>
            <w:tcBorders>
              <w:tl2br w:val="nil"/>
              <w:tr2bl w:val="nil"/>
            </w:tcBorders>
            <w:noWrap/>
            <w:vAlign w:val="center"/>
          </w:tcPr>
          <w:p w14:paraId="5D90F12B">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56" w:type="pct"/>
            <w:tcBorders>
              <w:tl2br w:val="nil"/>
              <w:tr2bl w:val="nil"/>
            </w:tcBorders>
            <w:noWrap/>
            <w:vAlign w:val="center"/>
          </w:tcPr>
          <w:p w14:paraId="24BBA892">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2BB99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0A04E953">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15</w:t>
            </w:r>
            <w:r>
              <w:rPr>
                <w:rFonts w:hint="eastAsia" w:eastAsia="宋体"/>
                <w:color w:val="auto"/>
                <w:kern w:val="0"/>
                <w:sz w:val="21"/>
                <w:szCs w:val="21"/>
                <w:highlight w:val="none"/>
                <w:u w:val="none"/>
              </w:rPr>
              <w:t>、大沙鼠</w:t>
            </w:r>
          </w:p>
        </w:tc>
        <w:tc>
          <w:tcPr>
            <w:tcW w:w="1819" w:type="pct"/>
            <w:tcBorders>
              <w:tl2br w:val="nil"/>
              <w:tr2bl w:val="nil"/>
            </w:tcBorders>
            <w:noWrap/>
            <w:vAlign w:val="center"/>
          </w:tcPr>
          <w:p w14:paraId="527F02F1">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Rhombomys opimus</w:t>
            </w:r>
          </w:p>
        </w:tc>
        <w:tc>
          <w:tcPr>
            <w:tcW w:w="548" w:type="pct"/>
            <w:tcBorders>
              <w:tl2br w:val="nil"/>
              <w:tr2bl w:val="nil"/>
            </w:tcBorders>
            <w:noWrap/>
            <w:vAlign w:val="center"/>
          </w:tcPr>
          <w:p w14:paraId="1CA685B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48" w:type="pct"/>
            <w:tcBorders>
              <w:tl2br w:val="nil"/>
              <w:tr2bl w:val="nil"/>
            </w:tcBorders>
            <w:noWrap/>
            <w:vAlign w:val="center"/>
          </w:tcPr>
          <w:p w14:paraId="19D3B790">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56" w:type="pct"/>
            <w:tcBorders>
              <w:tl2br w:val="nil"/>
              <w:tr2bl w:val="nil"/>
            </w:tcBorders>
            <w:noWrap/>
            <w:vAlign w:val="center"/>
          </w:tcPr>
          <w:p w14:paraId="44D87935">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r w14:paraId="07B6F5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27" w:type="pct"/>
            <w:tcBorders>
              <w:tl2br w:val="nil"/>
              <w:tr2bl w:val="nil"/>
            </w:tcBorders>
            <w:noWrap/>
            <w:vAlign w:val="center"/>
          </w:tcPr>
          <w:p w14:paraId="0313C0B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color w:val="auto"/>
                <w:kern w:val="0"/>
                <w:sz w:val="21"/>
                <w:szCs w:val="21"/>
                <w:highlight w:val="none"/>
                <w:u w:val="none"/>
                <w:lang w:val="en-US" w:eastAsia="zh-CN"/>
              </w:rPr>
              <w:t>16</w:t>
            </w:r>
            <w:r>
              <w:rPr>
                <w:rFonts w:hint="eastAsia" w:eastAsia="宋体"/>
                <w:color w:val="auto"/>
                <w:kern w:val="0"/>
                <w:sz w:val="21"/>
                <w:szCs w:val="21"/>
                <w:highlight w:val="none"/>
                <w:u w:val="none"/>
              </w:rPr>
              <w:t>、子午沙鼠</w:t>
            </w:r>
          </w:p>
        </w:tc>
        <w:tc>
          <w:tcPr>
            <w:tcW w:w="1819" w:type="pct"/>
            <w:tcBorders>
              <w:tl2br w:val="nil"/>
              <w:tr2bl w:val="nil"/>
            </w:tcBorders>
            <w:noWrap/>
            <w:vAlign w:val="center"/>
          </w:tcPr>
          <w:p w14:paraId="59C13BC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i/>
                <w:iCs/>
                <w:color w:val="auto"/>
                <w:kern w:val="0"/>
                <w:szCs w:val="21"/>
                <w:highlight w:val="none"/>
                <w:u w:val="none"/>
              </w:rPr>
            </w:pPr>
            <w:r>
              <w:rPr>
                <w:rFonts w:hint="eastAsia" w:eastAsia="宋体"/>
                <w:i/>
                <w:iCs/>
                <w:color w:val="auto"/>
                <w:kern w:val="0"/>
                <w:sz w:val="21"/>
                <w:szCs w:val="21"/>
                <w:highlight w:val="none"/>
                <w:u w:val="none"/>
              </w:rPr>
              <w:t>Meriones meridixnus .</w:t>
            </w:r>
          </w:p>
        </w:tc>
        <w:tc>
          <w:tcPr>
            <w:tcW w:w="548" w:type="pct"/>
            <w:tcBorders>
              <w:tl2br w:val="nil"/>
              <w:tr2bl w:val="nil"/>
            </w:tcBorders>
            <w:noWrap/>
            <w:vAlign w:val="center"/>
          </w:tcPr>
          <w:p w14:paraId="4CD79F99">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r>
              <w:rPr>
                <w:rFonts w:hint="eastAsia" w:eastAsia="宋体"/>
                <w:color w:val="auto"/>
                <w:kern w:val="0"/>
                <w:sz w:val="21"/>
                <w:szCs w:val="21"/>
                <w:highlight w:val="none"/>
                <w:u w:val="none"/>
              </w:rPr>
              <w:t>+</w:t>
            </w:r>
          </w:p>
        </w:tc>
        <w:tc>
          <w:tcPr>
            <w:tcW w:w="548" w:type="pct"/>
            <w:tcBorders>
              <w:tl2br w:val="nil"/>
              <w:tr2bl w:val="nil"/>
            </w:tcBorders>
            <w:noWrap/>
            <w:vAlign w:val="center"/>
          </w:tcPr>
          <w:p w14:paraId="198D06E6">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c>
          <w:tcPr>
            <w:tcW w:w="556" w:type="pct"/>
            <w:tcBorders>
              <w:tl2br w:val="nil"/>
              <w:tr2bl w:val="nil"/>
            </w:tcBorders>
            <w:noWrap/>
            <w:vAlign w:val="center"/>
          </w:tcPr>
          <w:p w14:paraId="0C1C08F7">
            <w:pPr>
              <w:pStyle w:val="170"/>
              <w:keepNext w:val="0"/>
              <w:keepLines w:val="0"/>
              <w:pageBreakBefore w:val="0"/>
              <w:widowControl/>
              <w:kinsoku/>
              <w:wordWrap/>
              <w:overflowPunct/>
              <w:topLinePunct w:val="0"/>
              <w:autoSpaceDE/>
              <w:autoSpaceDN/>
              <w:bidi w:val="0"/>
              <w:adjustRightInd w:val="0"/>
              <w:snapToGrid w:val="0"/>
              <w:spacing w:line="380" w:lineRule="exact"/>
              <w:textAlignment w:val="baseline"/>
              <w:rPr>
                <w:rFonts w:eastAsia="宋体"/>
                <w:color w:val="auto"/>
                <w:kern w:val="0"/>
                <w:szCs w:val="21"/>
                <w:highlight w:val="none"/>
                <w:u w:val="none"/>
              </w:rPr>
            </w:pPr>
          </w:p>
        </w:tc>
      </w:tr>
    </w:tbl>
    <w:p w14:paraId="32BDA351">
      <w:pPr>
        <w:keepNext w:val="0"/>
        <w:keepLines w:val="0"/>
        <w:pageBreakBefore w:val="0"/>
        <w:widowControl/>
        <w:tabs>
          <w:tab w:val="left" w:pos="312"/>
        </w:tabs>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1"/>
          <w:szCs w:val="21"/>
          <w:u w:val="none"/>
          <w:lang w:val="zh-CN" w:eastAsia="zh-CN"/>
        </w:rPr>
      </w:pPr>
      <w:r>
        <w:rPr>
          <w:rFonts w:hint="eastAsia" w:ascii="宋体" w:hAnsi="宋体" w:eastAsia="宋体" w:cs="宋体"/>
          <w:color w:val="auto"/>
          <w:kern w:val="0"/>
          <w:sz w:val="21"/>
          <w:szCs w:val="21"/>
          <w:u w:val="none"/>
          <w:lang w:val="zh-CN" w:eastAsia="zh-CN"/>
        </w:rPr>
        <w:t>注：++多见，+少见，—偶见</w:t>
      </w:r>
    </w:p>
    <w:p w14:paraId="3A19842A">
      <w:pPr>
        <w:keepNext w:val="0"/>
        <w:keepLines w:val="0"/>
        <w:pageBreakBefore w:val="0"/>
        <w:widowControl w:val="0"/>
        <w:kinsoku/>
        <w:wordWrap/>
        <w:overflowPunct/>
        <w:autoSpaceDE/>
        <w:autoSpaceDN/>
        <w:bidi w:val="0"/>
        <w:adjustRightInd/>
        <w:snapToGrid/>
        <w:spacing w:line="480" w:lineRule="exact"/>
        <w:ind w:firstLine="540" w:firstLineChars="225"/>
        <w:jc w:val="both"/>
        <w:textAlignment w:val="auto"/>
        <w:rPr>
          <w:rFonts w:hint="default" w:cs="Times New Roman"/>
          <w:snapToGrid w:val="0"/>
          <w:color w:val="auto"/>
          <w:kern w:val="0"/>
          <w:sz w:val="24"/>
          <w:szCs w:val="24"/>
          <w:highlight w:val="none"/>
          <w:u w:val="none"/>
          <w:lang w:val="en-US" w:eastAsia="zh-CN"/>
        </w:rPr>
      </w:pPr>
      <w:r>
        <w:rPr>
          <w:rFonts w:hint="eastAsia" w:ascii="Times New Roman" w:hAnsi="Times New Roman" w:eastAsia="宋体" w:cs="Times New Roman"/>
          <w:snapToGrid w:val="0"/>
          <w:color w:val="auto"/>
          <w:kern w:val="0"/>
          <w:sz w:val="24"/>
          <w:szCs w:val="24"/>
          <w:highlight w:val="none"/>
          <w:u w:val="none"/>
        </w:rPr>
        <w:t>根据《国家重点保护野生动物名录（2021）》及</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关于发布</w:t>
      </w:r>
      <w:r>
        <w:rPr>
          <w:rFonts w:hint="eastAsia" w:ascii="Times New Roman" w:hAnsi="Times New Roman" w:eastAsia="宋体" w:cs="Times New Roman"/>
          <w:snapToGrid w:val="0"/>
          <w:color w:val="auto"/>
          <w:kern w:val="0"/>
          <w:sz w:val="24"/>
          <w:szCs w:val="24"/>
          <w:highlight w:val="none"/>
          <w:u w:val="none"/>
        </w:rPr>
        <w:t>新疆维吾尔自治区重点保护野生动物名录（修订）</w:t>
      </w:r>
      <w:r>
        <w:rPr>
          <w:rFonts w:hint="eastAsia" w:cs="Times New Roman"/>
          <w:snapToGrid w:val="0"/>
          <w:color w:val="auto"/>
          <w:kern w:val="0"/>
          <w:sz w:val="24"/>
          <w:szCs w:val="24"/>
          <w:highlight w:val="none"/>
          <w:u w:val="none"/>
          <w:lang w:val="en-US" w:eastAsia="zh-CN"/>
        </w:rPr>
        <w:t>的通知</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新政发〔2022〕75号</w:t>
      </w:r>
      <w:r>
        <w:rPr>
          <w:rFonts w:hint="eastAsia" w:cs="Times New Roman"/>
          <w:snapToGrid w:val="0"/>
          <w:color w:val="auto"/>
          <w:kern w:val="0"/>
          <w:sz w:val="24"/>
          <w:szCs w:val="24"/>
          <w:highlight w:val="none"/>
          <w:u w:val="none"/>
          <w:lang w:eastAsia="zh-CN"/>
        </w:rPr>
        <w:t>）</w:t>
      </w:r>
      <w:r>
        <w:rPr>
          <w:rFonts w:hint="eastAsia" w:ascii="Times New Roman" w:hAnsi="Times New Roman" w:eastAsia="宋体" w:cs="Times New Roman"/>
          <w:snapToGrid w:val="0"/>
          <w:color w:val="auto"/>
          <w:kern w:val="0"/>
          <w:sz w:val="24"/>
          <w:szCs w:val="24"/>
          <w:highlight w:val="none"/>
          <w:u w:val="none"/>
        </w:rPr>
        <w:t>，作业区及周边区域内的</w:t>
      </w:r>
      <w:r>
        <w:rPr>
          <w:rFonts w:hint="eastAsia" w:cs="Times New Roman"/>
          <w:snapToGrid w:val="0"/>
          <w:color w:val="auto"/>
          <w:kern w:val="0"/>
          <w:sz w:val="24"/>
          <w:szCs w:val="24"/>
          <w:highlight w:val="none"/>
          <w:u w:val="none"/>
          <w:lang w:val="en-US" w:eastAsia="zh-CN"/>
        </w:rPr>
        <w:t>16</w:t>
      </w:r>
      <w:r>
        <w:rPr>
          <w:rFonts w:hint="eastAsia" w:ascii="Times New Roman" w:hAnsi="Times New Roman" w:eastAsia="宋体" w:cs="Times New Roman"/>
          <w:snapToGrid w:val="0"/>
          <w:color w:val="auto"/>
          <w:kern w:val="0"/>
          <w:sz w:val="24"/>
          <w:szCs w:val="24"/>
          <w:highlight w:val="none"/>
          <w:u w:val="none"/>
        </w:rPr>
        <w:t>种动物中</w:t>
      </w:r>
      <w:r>
        <w:rPr>
          <w:rFonts w:hint="eastAsia" w:cs="Times New Roman"/>
          <w:snapToGrid w:val="0"/>
          <w:color w:val="auto"/>
          <w:kern w:val="0"/>
          <w:sz w:val="24"/>
          <w:szCs w:val="24"/>
          <w:highlight w:val="none"/>
          <w:u w:val="none"/>
          <w:lang w:eastAsia="zh-CN"/>
        </w:rPr>
        <w:t>，</w:t>
      </w:r>
      <w:r>
        <w:rPr>
          <w:rFonts w:hint="eastAsia" w:ascii="Times New Roman" w:hAnsi="Times New Roman" w:eastAsia="宋体" w:cs="Times New Roman"/>
          <w:snapToGrid w:val="0"/>
          <w:color w:val="auto"/>
          <w:kern w:val="0"/>
          <w:sz w:val="24"/>
          <w:szCs w:val="24"/>
          <w:highlight w:val="none"/>
          <w:u w:val="none"/>
        </w:rPr>
        <w:t>国家Ⅱ级保护动物有</w:t>
      </w:r>
      <w:r>
        <w:rPr>
          <w:rFonts w:hint="eastAsia" w:cs="Times New Roman"/>
          <w:snapToGrid w:val="0"/>
          <w:color w:val="auto"/>
          <w:kern w:val="0"/>
          <w:sz w:val="24"/>
          <w:szCs w:val="24"/>
          <w:highlight w:val="none"/>
          <w:u w:val="none"/>
          <w:lang w:eastAsia="zh-CN"/>
        </w:rPr>
        <w:t>：</w:t>
      </w:r>
      <w:r>
        <w:rPr>
          <w:rFonts w:hint="eastAsia" w:ascii="Times New Roman" w:hAnsi="Times New Roman" w:eastAsia="宋体" w:cs="Times New Roman"/>
          <w:snapToGrid w:val="0"/>
          <w:color w:val="auto"/>
          <w:kern w:val="0"/>
          <w:sz w:val="24"/>
          <w:szCs w:val="24"/>
          <w:highlight w:val="none"/>
          <w:u w:val="none"/>
        </w:rPr>
        <w:t>鹅喉羚</w:t>
      </w:r>
      <w:r>
        <w:rPr>
          <w:rFonts w:hint="eastAsia" w:cs="Times New Roman"/>
          <w:snapToGrid w:val="0"/>
          <w:color w:val="auto"/>
          <w:kern w:val="0"/>
          <w:sz w:val="24"/>
          <w:szCs w:val="24"/>
          <w:highlight w:val="none"/>
          <w:u w:val="none"/>
          <w:lang w:eastAsia="zh-CN"/>
        </w:rPr>
        <w:t>、</w:t>
      </w:r>
      <w:r>
        <w:rPr>
          <w:rFonts w:hint="eastAsia" w:ascii="Times New Roman" w:hAnsi="Times New Roman" w:eastAsia="宋体" w:cs="Times New Roman"/>
          <w:snapToGrid w:val="0"/>
          <w:color w:val="auto"/>
          <w:kern w:val="0"/>
          <w:sz w:val="24"/>
          <w:szCs w:val="24"/>
          <w:highlight w:val="none"/>
          <w:u w:val="none"/>
        </w:rPr>
        <w:t>鸢、红隼、棕尾鵟、草原鹞、雀鹰</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共6种</w:t>
      </w: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根据</w:t>
      </w:r>
      <w:r>
        <w:rPr>
          <w:rFonts w:hint="eastAsia" w:cs="Times New Roman"/>
          <w:snapToGrid w:val="0"/>
          <w:color w:val="auto"/>
          <w:kern w:val="0"/>
          <w:sz w:val="24"/>
          <w:szCs w:val="24"/>
          <w:highlight w:val="none"/>
          <w:u w:val="none"/>
          <w:lang w:eastAsia="zh-CN"/>
        </w:rPr>
        <w:t>《陆生野生动物重要栖息地名录（第一批）》，</w:t>
      </w:r>
      <w:r>
        <w:rPr>
          <w:rFonts w:hint="eastAsia" w:cs="Times New Roman"/>
          <w:snapToGrid w:val="0"/>
          <w:color w:val="auto"/>
          <w:kern w:val="0"/>
          <w:sz w:val="24"/>
          <w:szCs w:val="24"/>
          <w:highlight w:val="none"/>
          <w:u w:val="none"/>
          <w:lang w:val="en-US" w:eastAsia="zh-CN"/>
        </w:rPr>
        <w:t>本项目所在区域不涉及野生动物重要栖息地。</w:t>
      </w:r>
    </w:p>
    <w:p w14:paraId="23364473">
      <w:pPr>
        <w:keepNext w:val="0"/>
        <w:keepLines w:val="0"/>
        <w:pageBreakBefore w:val="0"/>
        <w:widowControl w:val="0"/>
        <w:kinsoku/>
        <w:wordWrap/>
        <w:overflowPunct/>
        <w:autoSpaceDE/>
        <w:autoSpaceDN/>
        <w:bidi w:val="0"/>
        <w:adjustRightInd/>
        <w:snapToGrid/>
        <w:spacing w:line="480" w:lineRule="exact"/>
        <w:ind w:firstLine="540" w:firstLineChars="225"/>
        <w:jc w:val="both"/>
        <w:textAlignment w:val="auto"/>
        <w:rPr>
          <w:rFonts w:hint="eastAsia" w:ascii="Times New Roman" w:hAnsi="Times New Roman" w:eastAsia="宋体" w:cs="Times New Roman"/>
          <w:snapToGrid w:val="0"/>
          <w:color w:val="auto"/>
          <w:kern w:val="0"/>
          <w:sz w:val="24"/>
          <w:szCs w:val="24"/>
          <w:u w:val="none"/>
        </w:rPr>
      </w:pPr>
      <w:r>
        <w:rPr>
          <w:rFonts w:hint="eastAsia" w:ascii="Times New Roman" w:hAnsi="Times New Roman" w:eastAsia="宋体" w:cs="Times New Roman"/>
          <w:snapToGrid w:val="0"/>
          <w:color w:val="auto"/>
          <w:kern w:val="0"/>
          <w:sz w:val="24"/>
          <w:szCs w:val="24"/>
          <w:highlight w:val="none"/>
          <w:u w:val="none"/>
        </w:rPr>
        <w:t>由于准噶尔盆地严酷的气候条件，夏季酷热，冬季严寒而且极为干旱，所以野生动物种类分布较少，没有区域特有种类。该区域大型哺乳动物种类相对较少，区域内</w:t>
      </w:r>
      <w:r>
        <w:rPr>
          <w:rFonts w:hint="eastAsia" w:cs="Times New Roman"/>
          <w:snapToGrid w:val="0"/>
          <w:color w:val="auto"/>
          <w:kern w:val="0"/>
          <w:sz w:val="24"/>
          <w:szCs w:val="24"/>
          <w:highlight w:val="none"/>
          <w:u w:val="none"/>
          <w:lang w:val="en-US" w:eastAsia="zh-CN"/>
        </w:rPr>
        <w:t>主要</w:t>
      </w:r>
      <w:r>
        <w:rPr>
          <w:rFonts w:hint="eastAsia" w:ascii="Times New Roman" w:hAnsi="Times New Roman" w:eastAsia="宋体" w:cs="Times New Roman"/>
          <w:snapToGrid w:val="0"/>
          <w:color w:val="auto"/>
          <w:kern w:val="0"/>
          <w:sz w:val="24"/>
          <w:szCs w:val="24"/>
          <w:highlight w:val="none"/>
          <w:u w:val="none"/>
        </w:rPr>
        <w:t>分布仅有鹅喉羚。由于饮水、食物及人类活动影响的原因，准噶尔盆地荒漠中各种大型资源动物数量不多，因此作业区不是有蹄类动物的主要分布区，只是偶然在此活动，有些动物只在冬季降雪后才深入沙漠的腹地。同时，由于作业区周边油田较多，人为活动频繁，项目现状调查和走访中，未发现大型野生动物和受保护野生动物。</w:t>
      </w:r>
    </w:p>
    <w:p w14:paraId="50BC0F5A">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zh-CN" w:eastAsia="zh-CN"/>
        </w:rPr>
      </w:pPr>
      <w:r>
        <w:rPr>
          <w:rFonts w:hint="default" w:ascii="黑体" w:hAnsi="黑体" w:eastAsia="黑体" w:cs="黑体"/>
          <w:b/>
          <w:color w:val="auto"/>
          <w:kern w:val="0"/>
          <w:sz w:val="24"/>
          <w:szCs w:val="24"/>
          <w:highlight w:val="none"/>
          <w:u w:val="none"/>
          <w:lang w:val="zh-CN" w:eastAsia="zh-CN"/>
        </w:rPr>
        <w:t>4.2.</w:t>
      </w:r>
      <w:r>
        <w:rPr>
          <w:rFonts w:hint="eastAsia" w:ascii="黑体" w:hAnsi="黑体" w:eastAsia="黑体" w:cs="黑体"/>
          <w:b/>
          <w:color w:val="auto"/>
          <w:kern w:val="0"/>
          <w:sz w:val="24"/>
          <w:szCs w:val="24"/>
          <w:highlight w:val="none"/>
          <w:u w:val="none"/>
          <w:lang w:val="en-US" w:eastAsia="zh-CN"/>
        </w:rPr>
        <w:t xml:space="preserve">5 </w:t>
      </w:r>
      <w:r>
        <w:rPr>
          <w:rFonts w:hint="default" w:ascii="黑体" w:hAnsi="黑体" w:eastAsia="黑体" w:cs="黑体"/>
          <w:b/>
          <w:color w:val="auto"/>
          <w:kern w:val="0"/>
          <w:sz w:val="24"/>
          <w:szCs w:val="24"/>
          <w:highlight w:val="none"/>
          <w:u w:val="none"/>
          <w:lang w:val="zh-CN" w:eastAsia="zh-CN"/>
        </w:rPr>
        <w:t>水土流失现状</w:t>
      </w:r>
    </w:p>
    <w:p w14:paraId="6AF509C6">
      <w:pPr>
        <w:keepNext w:val="0"/>
        <w:keepLines w:val="0"/>
        <w:pageBreakBefore w:val="0"/>
        <w:widowControl/>
        <w:kinsoku/>
        <w:wordWrap/>
        <w:overflowPunct/>
        <w:topLinePunct w:val="0"/>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bidi="ar-SA"/>
        </w:rPr>
      </w:pPr>
      <w:r>
        <w:rPr>
          <w:rFonts w:hint="default" w:ascii="Times New Roman" w:hAnsi="Times New Roman" w:eastAsia="宋体" w:cs="Times New Roman"/>
          <w:snapToGrid w:val="0"/>
          <w:color w:val="auto"/>
          <w:kern w:val="0"/>
          <w:sz w:val="24"/>
          <w:szCs w:val="24"/>
          <w:highlight w:val="none"/>
          <w:u w:val="none"/>
          <w:lang w:val="en-US" w:eastAsia="zh-CN" w:bidi="ar-SA"/>
        </w:rPr>
        <w:t>项目区位于准噶尔盆地古尔班通古特沙漠腹地，处于玛纳斯河流域下游的东部，属典型的风积沙漠地貌，整个地势由东北向西南倾斜，海拔高程360～440m。受构造作用及风力等外力作用，形成风积地形，地形复杂。其地貌成因类型为风积平原区，表现为沙漠、土质和沙质平原。沙漠广为分布在开发区域大部分地区，由第四系风积物组成，沙丘高10～30m，宽数十米。</w:t>
      </w:r>
    </w:p>
    <w:p w14:paraId="69D26EC9">
      <w:pPr>
        <w:keepNext w:val="0"/>
        <w:keepLines w:val="0"/>
        <w:pageBreakBefore w:val="0"/>
        <w:widowControl/>
        <w:kinsoku/>
        <w:wordWrap/>
        <w:overflowPunct/>
        <w:topLinePunct w:val="0"/>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bidi="ar-SA"/>
        </w:rPr>
      </w:pPr>
      <w:r>
        <w:rPr>
          <w:rFonts w:hint="default" w:ascii="Times New Roman" w:hAnsi="Times New Roman" w:eastAsia="宋体" w:cs="Times New Roman"/>
          <w:snapToGrid w:val="0"/>
          <w:color w:val="auto"/>
          <w:kern w:val="0"/>
          <w:sz w:val="24"/>
          <w:szCs w:val="24"/>
          <w:highlight w:val="none"/>
          <w:u w:val="none"/>
          <w:lang w:val="en-US" w:eastAsia="zh-CN" w:bidi="ar-SA"/>
        </w:rPr>
        <w:t>根据《2019年新疆维吾尔自治区水土保持公报》，呼图壁县水土流失主要为风力侵蚀、水力侵蚀和冻融侵蚀，风力轻度侵蚀比例占93.65%，主要侵蚀土地利用类型为林地、沙地和草地。</w:t>
      </w:r>
    </w:p>
    <w:p w14:paraId="2DEE16FA">
      <w:pPr>
        <w:keepNext w:val="0"/>
        <w:keepLines w:val="0"/>
        <w:pageBreakBefore w:val="0"/>
        <w:widowControl/>
        <w:kinsoku/>
        <w:wordWrap/>
        <w:overflowPunct/>
        <w:topLinePunct w:val="0"/>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bidi="ar-SA"/>
        </w:rPr>
      </w:pPr>
      <w:r>
        <w:rPr>
          <w:rFonts w:hint="default" w:ascii="Times New Roman" w:hAnsi="Times New Roman" w:eastAsia="宋体" w:cs="Times New Roman"/>
          <w:snapToGrid w:val="0"/>
          <w:color w:val="auto"/>
          <w:kern w:val="0"/>
          <w:sz w:val="24"/>
          <w:szCs w:val="24"/>
          <w:highlight w:val="none"/>
          <w:u w:val="none"/>
          <w:lang w:val="en-US" w:eastAsia="zh-CN" w:bidi="ar-SA"/>
        </w:rPr>
        <w:t>根据《昌吉回族自治州水土保持规划(2021-2030年)》，本项目所在评价区域涉及水土流失预防区。重点保护林草植被和治理成果，强化生产建设活动和项目水土保持管理，实施封育保护，促进自然修复，全面预防水土流失。</w:t>
      </w:r>
    </w:p>
    <w:p w14:paraId="40286543">
      <w:pPr>
        <w:keepNext w:val="0"/>
        <w:keepLines w:val="0"/>
        <w:pageBreakBefore w:val="0"/>
        <w:widowControl/>
        <w:kinsoku/>
        <w:wordWrap/>
        <w:overflowPunct/>
        <w:topLinePunct w:val="0"/>
        <w:autoSpaceDE/>
        <w:autoSpaceDN/>
        <w:bidi w:val="0"/>
        <w:adjustRightInd/>
        <w:snapToGrid/>
        <w:spacing w:line="480" w:lineRule="exact"/>
        <w:ind w:firstLine="540" w:firstLineChars="225"/>
        <w:jc w:val="both"/>
        <w:textAlignment w:val="auto"/>
        <w:rPr>
          <w:rFonts w:hint="eastAsia" w:ascii="黑体" w:hAnsi="黑体" w:eastAsia="黑体" w:cs="黑体"/>
          <w:b w:val="0"/>
          <w:bCs/>
          <w:color w:val="auto"/>
          <w:kern w:val="2"/>
          <w:sz w:val="24"/>
          <w:szCs w:val="24"/>
          <w:u w:val="none"/>
          <w:lang w:val="en-US" w:eastAsia="zh-CN" w:bidi="ar-SA"/>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eastAsia="宋体" w:cs="Times New Roman"/>
          <w:snapToGrid w:val="0"/>
          <w:color w:val="auto"/>
          <w:kern w:val="0"/>
          <w:sz w:val="24"/>
          <w:szCs w:val="24"/>
          <w:highlight w:val="none"/>
          <w:u w:val="none"/>
          <w:lang w:val="en-US" w:eastAsia="zh-CN" w:bidi="ar-SA"/>
        </w:rPr>
        <w:t>本项目与昌吉回族自治州两区划分位置关系见图4.2-3。</w:t>
      </w:r>
    </w:p>
    <w:p w14:paraId="51603C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olor w:val="auto"/>
          <w:u w:val="none"/>
          <w:lang w:val="en-US" w:eastAsia="zh-CN"/>
        </w:rPr>
        <w:sectPr>
          <w:pgSz w:w="16838" w:h="11906" w:orient="landscape"/>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黑体" w:hAnsi="黑体" w:eastAsia="黑体" w:cs="黑体"/>
          <w:b w:val="0"/>
          <w:bCs/>
          <w:color w:val="auto"/>
          <w:kern w:val="2"/>
          <w:sz w:val="24"/>
          <w:szCs w:val="24"/>
          <w:u w:val="none"/>
          <w:lang w:val="en-US" w:eastAsia="zh-CN" w:bidi="ar-SA"/>
        </w:rPr>
        <w:t>图4.2-</w:t>
      </w:r>
      <w:r>
        <w:rPr>
          <w:rFonts w:hint="eastAsia" w:ascii="黑体" w:hAnsi="黑体" w:eastAsia="黑体" w:cs="黑体"/>
          <w:b w:val="0"/>
          <w:bCs/>
          <w:color w:val="auto"/>
          <w:kern w:val="2"/>
          <w:sz w:val="24"/>
          <w:szCs w:val="24"/>
          <w:u w:val="none"/>
          <w:lang w:val="en-US" w:eastAsia="zh-CN" w:bidi="ar-SA"/>
        </w:rPr>
        <w:t>3</w:t>
      </w:r>
      <w:r>
        <w:rPr>
          <w:rFonts w:hint="default" w:ascii="黑体" w:hAnsi="黑体" w:eastAsia="黑体" w:cs="黑体"/>
          <w:b w:val="0"/>
          <w:bCs/>
          <w:color w:val="auto"/>
          <w:kern w:val="2"/>
          <w:sz w:val="24"/>
          <w:szCs w:val="24"/>
          <w:u w:val="none"/>
          <w:lang w:val="en-US" w:eastAsia="zh-CN" w:bidi="ar-SA"/>
        </w:rPr>
        <w:t xml:space="preserve">  本项目与昌吉回族自治州两区划分</w:t>
      </w:r>
      <w:r>
        <w:rPr>
          <w:rFonts w:hint="default"/>
          <w:color w:val="auto"/>
          <w:u w:val="none"/>
          <w:lang w:val="en-US" w:eastAsia="zh-CN"/>
        </w:rPr>
        <w:drawing>
          <wp:anchor distT="0" distB="0" distL="114300" distR="114300" simplePos="0" relativeHeight="251713536" behindDoc="0" locked="0" layoutInCell="1" allowOverlap="1">
            <wp:simplePos x="0" y="0"/>
            <wp:positionH relativeFrom="column">
              <wp:posOffset>198755</wp:posOffset>
            </wp:positionH>
            <wp:positionV relativeFrom="paragraph">
              <wp:posOffset>139700</wp:posOffset>
            </wp:positionV>
            <wp:extent cx="9458325" cy="5754370"/>
            <wp:effectExtent l="0" t="0" r="9525" b="17780"/>
            <wp:wrapTopAndBottom/>
            <wp:docPr id="23" name="图片 23" descr="《昌吉回族自治州水土保持规划(2021-2030年)》附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昌吉回族自治州水土保持规划(2021-2030年)》附图-3"/>
                    <pic:cNvPicPr>
                      <a:picLocks noChangeAspect="1"/>
                    </pic:cNvPicPr>
                  </pic:nvPicPr>
                  <pic:blipFill>
                    <a:blip r:embed="rId54"/>
                    <a:srcRect t="4770"/>
                    <a:stretch>
                      <a:fillRect/>
                    </a:stretch>
                  </pic:blipFill>
                  <pic:spPr>
                    <a:xfrm>
                      <a:off x="0" y="0"/>
                      <a:ext cx="9458325" cy="5754370"/>
                    </a:xfrm>
                    <a:prstGeom prst="rect">
                      <a:avLst/>
                    </a:prstGeom>
                  </pic:spPr>
                </pic:pic>
              </a:graphicData>
            </a:graphic>
          </wp:anchor>
        </w:drawing>
      </w:r>
      <w:r>
        <w:rPr>
          <w:rFonts w:hint="eastAsia" w:ascii="黑体" w:hAnsi="黑体" w:eastAsia="黑体" w:cs="黑体"/>
          <w:b w:val="0"/>
          <w:bCs/>
          <w:color w:val="auto"/>
          <w:kern w:val="2"/>
          <w:sz w:val="24"/>
          <w:szCs w:val="24"/>
          <w:u w:val="none"/>
          <w:lang w:val="en-US" w:eastAsia="zh-CN" w:bidi="ar-SA"/>
        </w:rPr>
        <w:t>位置关系图</w:t>
      </w:r>
    </w:p>
    <w:p w14:paraId="33C2E7A7">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 xml:space="preserve">4.2.5.1 </w:t>
      </w:r>
      <w:r>
        <w:rPr>
          <w:rFonts w:hint="default" w:ascii="宋体" w:hAnsi="宋体" w:eastAsia="宋体" w:cs="宋体"/>
          <w:color w:val="auto"/>
          <w:u w:val="none"/>
          <w:lang w:val="en-US" w:eastAsia="zh-CN"/>
        </w:rPr>
        <w:t>区域水土流失概况</w:t>
      </w:r>
    </w:p>
    <w:p w14:paraId="38A4A20F">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bidi="ar-SA"/>
        </w:rPr>
      </w:pPr>
      <w:r>
        <w:rPr>
          <w:rFonts w:hint="default" w:ascii="Times New Roman" w:hAnsi="Times New Roman" w:eastAsia="宋体" w:cs="Times New Roman"/>
          <w:snapToGrid w:val="0"/>
          <w:color w:val="auto"/>
          <w:kern w:val="0"/>
          <w:sz w:val="24"/>
          <w:szCs w:val="24"/>
          <w:highlight w:val="none"/>
          <w:u w:val="none"/>
          <w:lang w:val="en-US" w:eastAsia="zh-CN" w:bidi="ar-SA"/>
        </w:rPr>
        <w:t>项目区位于呼图壁县境内北部的古尔班通古特沙漠内。</w:t>
      </w:r>
    </w:p>
    <w:p w14:paraId="333A108D">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（1）</w:t>
      </w:r>
      <w:r>
        <w:rPr>
          <w:rFonts w:hint="default" w:ascii="Times New Roman" w:hAnsi="Times New Roman" w:eastAsia="宋体" w:cs="Times New Roman"/>
          <w:snapToGrid w:val="0"/>
          <w:color w:val="auto"/>
          <w:kern w:val="0"/>
          <w:sz w:val="24"/>
          <w:szCs w:val="24"/>
          <w:highlight w:val="none"/>
          <w:u w:val="none"/>
          <w:lang w:val="en-US" w:eastAsia="zh-CN" w:bidi="ar-SA"/>
        </w:rPr>
        <w:t>风力侵蚀现状</w:t>
      </w:r>
    </w:p>
    <w:p w14:paraId="203D2AE3">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bidi="ar-SA"/>
        </w:rPr>
      </w:pPr>
      <w:r>
        <w:rPr>
          <w:rFonts w:hint="default" w:ascii="Times New Roman" w:hAnsi="Times New Roman" w:eastAsia="宋体" w:cs="Times New Roman"/>
          <w:snapToGrid w:val="0"/>
          <w:color w:val="auto"/>
          <w:kern w:val="0"/>
          <w:sz w:val="24"/>
          <w:szCs w:val="24"/>
          <w:highlight w:val="none"/>
          <w:u w:val="none"/>
          <w:lang w:val="en-US" w:eastAsia="zh-CN" w:bidi="ar-SA"/>
        </w:rPr>
        <w:t>根据气象统计资料显示，项目所在区域属于温带大陆性干燥气候，属于干旱地区，冬季寒冷、夏季酷热，干旱少雨，光照充足，热量丰富，蒸发旺盛，风沙活动频繁。项目区年平均降水量100mm左右，年降水量集中在4-8月份，不能形成地表径流。历年平均风速1.5-3m/s，春、夏和秋三季最大。由于地表组成物质松散，极易被风运移，形成沙尘暴。起沙风速的是造成风蚀的动力因素，下垫面裸露的地表土壤又是产生风蚀不可缺少的物质条件。据研究，当下垫面为植被稀疏的干燥沙土时，低强度起沙风约为3-4级(6.0-7.0m/s)，中等强度起沙风约为4-5级(8.0-11.7m/s)，风速越大沙尘发生的概率和强度也就越大；结合当地现有水文、气象资料，项目区内植被覆盖度</w:t>
      </w:r>
      <w:r>
        <w:rPr>
          <w:rFonts w:hint="eastAsia" w:cs="Times New Roman"/>
          <w:snapToGrid w:val="0"/>
          <w:color w:val="auto"/>
          <w:kern w:val="0"/>
          <w:sz w:val="24"/>
          <w:szCs w:val="24"/>
          <w:highlight w:val="none"/>
          <w:u w:val="none"/>
          <w:lang w:val="en-US" w:eastAsia="zh-CN" w:bidi="ar-SA"/>
        </w:rPr>
        <w:t>较低</w:t>
      </w:r>
      <w:r>
        <w:rPr>
          <w:rFonts w:hint="default" w:ascii="Times New Roman" w:hAnsi="Times New Roman" w:eastAsia="宋体" w:cs="Times New Roman"/>
          <w:snapToGrid w:val="0"/>
          <w:color w:val="auto"/>
          <w:kern w:val="0"/>
          <w:sz w:val="24"/>
          <w:szCs w:val="24"/>
          <w:highlight w:val="none"/>
          <w:u w:val="none"/>
          <w:lang w:val="en-US" w:eastAsia="zh-CN" w:bidi="ar-SA"/>
        </w:rPr>
        <w:t>，平均风蚀厚度25-50mm/a。按水利部颁布的《土壤侵蚀分类分级标准》（SL190-2007）（见表4.</w:t>
      </w:r>
      <w:r>
        <w:rPr>
          <w:rFonts w:hint="eastAsia" w:cs="Times New Roman"/>
          <w:snapToGrid w:val="0"/>
          <w:color w:val="auto"/>
          <w:kern w:val="0"/>
          <w:sz w:val="24"/>
          <w:szCs w:val="24"/>
          <w:highlight w:val="none"/>
          <w:u w:val="none"/>
          <w:lang w:val="en-US" w:eastAsia="zh-CN" w:bidi="ar-SA"/>
        </w:rPr>
        <w:t>2</w:t>
      </w:r>
      <w:r>
        <w:rPr>
          <w:rFonts w:hint="default" w:ascii="Times New Roman" w:hAnsi="Times New Roman" w:eastAsia="宋体" w:cs="Times New Roman"/>
          <w:snapToGrid w:val="0"/>
          <w:color w:val="auto"/>
          <w:kern w:val="0"/>
          <w:sz w:val="24"/>
          <w:szCs w:val="24"/>
          <w:highlight w:val="none"/>
          <w:u w:val="none"/>
          <w:lang w:val="en-US" w:eastAsia="zh-CN" w:bidi="ar-SA"/>
        </w:rPr>
        <w:t>-</w:t>
      </w:r>
      <w:r>
        <w:rPr>
          <w:rFonts w:hint="eastAsia" w:cs="Times New Roman"/>
          <w:snapToGrid w:val="0"/>
          <w:color w:val="auto"/>
          <w:kern w:val="0"/>
          <w:sz w:val="24"/>
          <w:szCs w:val="24"/>
          <w:highlight w:val="none"/>
          <w:u w:val="none"/>
          <w:lang w:val="en-US" w:eastAsia="zh-CN" w:bidi="ar-SA"/>
        </w:rPr>
        <w:t>4</w:t>
      </w:r>
      <w:r>
        <w:rPr>
          <w:rFonts w:hint="default" w:ascii="Times New Roman" w:hAnsi="Times New Roman" w:eastAsia="宋体" w:cs="Times New Roman"/>
          <w:snapToGrid w:val="0"/>
          <w:color w:val="auto"/>
          <w:kern w:val="0"/>
          <w:sz w:val="24"/>
          <w:szCs w:val="24"/>
          <w:highlight w:val="none"/>
          <w:u w:val="none"/>
          <w:lang w:val="en-US" w:eastAsia="zh-CN" w:bidi="ar-SA"/>
        </w:rPr>
        <w:t>）中有关侵蚀分级指标，项目区属强度侵蚀区。</w:t>
      </w:r>
    </w:p>
    <w:p w14:paraId="207CC9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 4</w:t>
      </w:r>
      <w:r>
        <w:rPr>
          <w:rFonts w:hint="eastAsia" w:ascii="黑体" w:hAnsi="黑体" w:eastAsia="黑体" w:cs="黑体"/>
          <w:b w:val="0"/>
          <w:bCs/>
          <w:color w:val="auto"/>
          <w:kern w:val="2"/>
          <w:sz w:val="24"/>
          <w:szCs w:val="24"/>
          <w:u w:val="none"/>
          <w:lang w:val="en-US" w:eastAsia="zh-CN" w:bidi="ar-SA"/>
        </w:rPr>
        <w:t>.2-4</w:t>
      </w:r>
      <w:r>
        <w:rPr>
          <w:rFonts w:hint="default" w:ascii="黑体" w:hAnsi="黑体" w:eastAsia="黑体" w:cs="黑体"/>
          <w:b w:val="0"/>
          <w:bCs/>
          <w:color w:val="auto"/>
          <w:kern w:val="2"/>
          <w:sz w:val="24"/>
          <w:szCs w:val="24"/>
          <w:u w:val="none"/>
          <w:lang w:val="en-US" w:eastAsia="zh-CN" w:bidi="ar-SA"/>
        </w:rPr>
        <w:tab/>
      </w:r>
      <w:r>
        <w:rPr>
          <w:rFonts w:hint="default" w:ascii="黑体" w:hAnsi="黑体" w:eastAsia="黑体" w:cs="黑体"/>
          <w:b w:val="0"/>
          <w:bCs/>
          <w:color w:val="auto"/>
          <w:kern w:val="2"/>
          <w:sz w:val="24"/>
          <w:szCs w:val="24"/>
          <w:u w:val="none"/>
          <w:lang w:val="en-US" w:eastAsia="zh-CN" w:bidi="ar-SA"/>
        </w:rPr>
        <w:t>土壤侵蚀强度分级标准表</w:t>
      </w:r>
    </w:p>
    <w:tbl>
      <w:tblPr>
        <w:tblStyle w:val="37"/>
        <w:tblW w:w="502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56"/>
        <w:gridCol w:w="2856"/>
        <w:gridCol w:w="1627"/>
        <w:gridCol w:w="1159"/>
        <w:gridCol w:w="2198"/>
      </w:tblGrid>
      <w:tr w14:paraId="76FFA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2" w:type="pct"/>
            <w:tcBorders>
              <w:tl2br w:val="nil"/>
              <w:tr2bl w:val="nil"/>
            </w:tcBorders>
            <w:vAlign w:val="center"/>
          </w:tcPr>
          <w:p w14:paraId="66E1159A">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级别</w:t>
            </w:r>
          </w:p>
        </w:tc>
        <w:tc>
          <w:tcPr>
            <w:tcW w:w="1642" w:type="pct"/>
            <w:tcBorders>
              <w:tl2br w:val="nil"/>
              <w:tr2bl w:val="nil"/>
            </w:tcBorders>
            <w:vAlign w:val="center"/>
          </w:tcPr>
          <w:p w14:paraId="1D36AB0A">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床面形态（地表形态）</w:t>
            </w:r>
          </w:p>
        </w:tc>
        <w:tc>
          <w:tcPr>
            <w:tcW w:w="935" w:type="pct"/>
            <w:tcBorders>
              <w:tl2br w:val="nil"/>
              <w:tr2bl w:val="nil"/>
            </w:tcBorders>
            <w:vAlign w:val="center"/>
          </w:tcPr>
          <w:p w14:paraId="67577994">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植被覆盖度（%）</w:t>
            </w:r>
          </w:p>
          <w:p w14:paraId="48A2D66F">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（非流沙面积）</w:t>
            </w:r>
          </w:p>
        </w:tc>
        <w:tc>
          <w:tcPr>
            <w:tcW w:w="666" w:type="pct"/>
            <w:tcBorders>
              <w:tl2br w:val="nil"/>
              <w:tr2bl w:val="nil"/>
            </w:tcBorders>
            <w:vAlign w:val="center"/>
          </w:tcPr>
          <w:p w14:paraId="3C119E9A">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风蚀厚度</w:t>
            </w:r>
          </w:p>
          <w:p w14:paraId="3E977298">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（mm/a）</w:t>
            </w:r>
          </w:p>
        </w:tc>
        <w:tc>
          <w:tcPr>
            <w:tcW w:w="1263" w:type="pct"/>
            <w:tcBorders>
              <w:tl2br w:val="nil"/>
              <w:tr2bl w:val="nil"/>
            </w:tcBorders>
            <w:vAlign w:val="center"/>
          </w:tcPr>
          <w:p w14:paraId="18A66B69">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侵蚀模数（t/（km</w:t>
            </w:r>
            <w:r>
              <w:rPr>
                <w:rFonts w:hint="eastAsia" w:ascii="宋体" w:hAnsi="宋体" w:eastAsia="宋体" w:cs="宋体"/>
                <w:b w:val="0"/>
                <w:bCs w:val="0"/>
                <w:color w:val="auto"/>
                <w:sz w:val="21"/>
                <w:szCs w:val="21"/>
                <w:highlight w:val="none"/>
                <w:u w:val="none"/>
                <w:vertAlign w:val="superscript"/>
                <w:lang w:val="en-US" w:eastAsia="zh-CN"/>
              </w:rPr>
              <w:t>2</w:t>
            </w:r>
            <w:r>
              <w:rPr>
                <w:rFonts w:hint="eastAsia" w:ascii="宋体" w:hAnsi="宋体" w:eastAsia="宋体" w:cs="宋体"/>
                <w:b w:val="0"/>
                <w:bCs w:val="0"/>
                <w:color w:val="auto"/>
                <w:sz w:val="21"/>
                <w:szCs w:val="21"/>
                <w:highlight w:val="none"/>
                <w:u w:val="none"/>
              </w:rPr>
              <w:t>·a）</w:t>
            </w:r>
          </w:p>
        </w:tc>
      </w:tr>
      <w:tr w14:paraId="0EC58B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2" w:type="pct"/>
            <w:tcBorders>
              <w:tl2br w:val="nil"/>
              <w:tr2bl w:val="nil"/>
            </w:tcBorders>
            <w:vAlign w:val="center"/>
          </w:tcPr>
          <w:p w14:paraId="5D3E42A1">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微度</w:t>
            </w:r>
          </w:p>
        </w:tc>
        <w:tc>
          <w:tcPr>
            <w:tcW w:w="1642" w:type="pct"/>
            <w:tcBorders>
              <w:tl2br w:val="nil"/>
              <w:tr2bl w:val="nil"/>
            </w:tcBorders>
            <w:vAlign w:val="center"/>
          </w:tcPr>
          <w:p w14:paraId="5AAE4F24">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固定沙丘、沙地和滩地</w:t>
            </w:r>
          </w:p>
        </w:tc>
        <w:tc>
          <w:tcPr>
            <w:tcW w:w="935" w:type="pct"/>
            <w:tcBorders>
              <w:tl2br w:val="nil"/>
              <w:tr2bl w:val="nil"/>
            </w:tcBorders>
            <w:vAlign w:val="center"/>
          </w:tcPr>
          <w:p w14:paraId="2533BAA4">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&gt;70</w:t>
            </w:r>
          </w:p>
        </w:tc>
        <w:tc>
          <w:tcPr>
            <w:tcW w:w="666" w:type="pct"/>
            <w:tcBorders>
              <w:tl2br w:val="nil"/>
              <w:tr2bl w:val="nil"/>
            </w:tcBorders>
            <w:vAlign w:val="center"/>
          </w:tcPr>
          <w:p w14:paraId="680AF51B">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&lt;2</w:t>
            </w:r>
          </w:p>
        </w:tc>
        <w:tc>
          <w:tcPr>
            <w:tcW w:w="1263" w:type="pct"/>
            <w:tcBorders>
              <w:tl2br w:val="nil"/>
              <w:tr2bl w:val="nil"/>
            </w:tcBorders>
            <w:vAlign w:val="center"/>
          </w:tcPr>
          <w:p w14:paraId="753B7D4F">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&lt;200</w:t>
            </w:r>
          </w:p>
        </w:tc>
      </w:tr>
      <w:tr w14:paraId="0BF4BA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2" w:type="pct"/>
            <w:tcBorders>
              <w:tl2br w:val="nil"/>
              <w:tr2bl w:val="nil"/>
            </w:tcBorders>
            <w:vAlign w:val="center"/>
          </w:tcPr>
          <w:p w14:paraId="16857A74">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轻度</w:t>
            </w:r>
          </w:p>
        </w:tc>
        <w:tc>
          <w:tcPr>
            <w:tcW w:w="1642" w:type="pct"/>
            <w:tcBorders>
              <w:tl2br w:val="nil"/>
              <w:tr2bl w:val="nil"/>
            </w:tcBorders>
            <w:vAlign w:val="center"/>
          </w:tcPr>
          <w:p w14:paraId="7FFB1182">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固定沙丘、半固定沙丘、沙地</w:t>
            </w:r>
          </w:p>
        </w:tc>
        <w:tc>
          <w:tcPr>
            <w:tcW w:w="935" w:type="pct"/>
            <w:tcBorders>
              <w:tl2br w:val="nil"/>
              <w:tr2bl w:val="nil"/>
            </w:tcBorders>
            <w:vAlign w:val="center"/>
          </w:tcPr>
          <w:p w14:paraId="578BF7E4">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70～50</w:t>
            </w:r>
          </w:p>
        </w:tc>
        <w:tc>
          <w:tcPr>
            <w:tcW w:w="666" w:type="pct"/>
            <w:tcBorders>
              <w:tl2br w:val="nil"/>
              <w:tr2bl w:val="nil"/>
            </w:tcBorders>
            <w:vAlign w:val="center"/>
          </w:tcPr>
          <w:p w14:paraId="14B6D635">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2～10</w:t>
            </w:r>
          </w:p>
        </w:tc>
        <w:tc>
          <w:tcPr>
            <w:tcW w:w="1263" w:type="pct"/>
            <w:tcBorders>
              <w:tl2br w:val="nil"/>
              <w:tr2bl w:val="nil"/>
            </w:tcBorders>
            <w:vAlign w:val="center"/>
          </w:tcPr>
          <w:p w14:paraId="4719D997">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200～2500</w:t>
            </w:r>
          </w:p>
        </w:tc>
      </w:tr>
      <w:tr w14:paraId="2D74B4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2" w:type="pct"/>
            <w:tcBorders>
              <w:tl2br w:val="nil"/>
              <w:tr2bl w:val="nil"/>
            </w:tcBorders>
            <w:vAlign w:val="center"/>
          </w:tcPr>
          <w:p w14:paraId="34EBD5F2">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中度</w:t>
            </w:r>
          </w:p>
        </w:tc>
        <w:tc>
          <w:tcPr>
            <w:tcW w:w="1642" w:type="pct"/>
            <w:tcBorders>
              <w:tl2br w:val="nil"/>
              <w:tr2bl w:val="nil"/>
            </w:tcBorders>
            <w:vAlign w:val="center"/>
          </w:tcPr>
          <w:p w14:paraId="4069D3BC">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半固定沙丘、沙地</w:t>
            </w:r>
          </w:p>
        </w:tc>
        <w:tc>
          <w:tcPr>
            <w:tcW w:w="935" w:type="pct"/>
            <w:tcBorders>
              <w:tl2br w:val="nil"/>
              <w:tr2bl w:val="nil"/>
            </w:tcBorders>
            <w:vAlign w:val="center"/>
          </w:tcPr>
          <w:p w14:paraId="09765BC2">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50～30</w:t>
            </w:r>
          </w:p>
        </w:tc>
        <w:tc>
          <w:tcPr>
            <w:tcW w:w="666" w:type="pct"/>
            <w:tcBorders>
              <w:tl2br w:val="nil"/>
              <w:tr2bl w:val="nil"/>
            </w:tcBorders>
            <w:vAlign w:val="center"/>
          </w:tcPr>
          <w:p w14:paraId="52AD8B85">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10～25</w:t>
            </w:r>
          </w:p>
        </w:tc>
        <w:tc>
          <w:tcPr>
            <w:tcW w:w="1263" w:type="pct"/>
            <w:tcBorders>
              <w:tl2br w:val="nil"/>
              <w:tr2bl w:val="nil"/>
            </w:tcBorders>
            <w:vAlign w:val="center"/>
          </w:tcPr>
          <w:p w14:paraId="08C0655F">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2500～5000</w:t>
            </w:r>
          </w:p>
        </w:tc>
      </w:tr>
      <w:tr w14:paraId="61C7FB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2" w:type="pct"/>
            <w:tcBorders>
              <w:tl2br w:val="nil"/>
              <w:tr2bl w:val="nil"/>
            </w:tcBorders>
            <w:vAlign w:val="center"/>
          </w:tcPr>
          <w:p w14:paraId="496DDB3E">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强度</w:t>
            </w:r>
          </w:p>
        </w:tc>
        <w:tc>
          <w:tcPr>
            <w:tcW w:w="1642" w:type="pct"/>
            <w:tcBorders>
              <w:tl2br w:val="nil"/>
              <w:tr2bl w:val="nil"/>
            </w:tcBorders>
            <w:vAlign w:val="center"/>
          </w:tcPr>
          <w:p w14:paraId="56E82465">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半固定沙丘、流动沙丘、沙地</w:t>
            </w:r>
          </w:p>
        </w:tc>
        <w:tc>
          <w:tcPr>
            <w:tcW w:w="935" w:type="pct"/>
            <w:tcBorders>
              <w:tl2br w:val="nil"/>
              <w:tr2bl w:val="nil"/>
            </w:tcBorders>
            <w:vAlign w:val="center"/>
          </w:tcPr>
          <w:p w14:paraId="6140BBD3">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30～10</w:t>
            </w:r>
          </w:p>
        </w:tc>
        <w:tc>
          <w:tcPr>
            <w:tcW w:w="666" w:type="pct"/>
            <w:tcBorders>
              <w:tl2br w:val="nil"/>
              <w:tr2bl w:val="nil"/>
            </w:tcBorders>
            <w:vAlign w:val="center"/>
          </w:tcPr>
          <w:p w14:paraId="05165691">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25～50</w:t>
            </w:r>
          </w:p>
        </w:tc>
        <w:tc>
          <w:tcPr>
            <w:tcW w:w="1263" w:type="pct"/>
            <w:tcBorders>
              <w:tl2br w:val="nil"/>
              <w:tr2bl w:val="nil"/>
            </w:tcBorders>
            <w:vAlign w:val="center"/>
          </w:tcPr>
          <w:p w14:paraId="647F3120">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5000～8000</w:t>
            </w:r>
          </w:p>
        </w:tc>
      </w:tr>
      <w:tr w14:paraId="66C945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2" w:type="pct"/>
            <w:tcBorders>
              <w:tl2br w:val="nil"/>
              <w:tr2bl w:val="nil"/>
            </w:tcBorders>
            <w:vAlign w:val="center"/>
          </w:tcPr>
          <w:p w14:paraId="58B04EAD">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极强度</w:t>
            </w:r>
          </w:p>
        </w:tc>
        <w:tc>
          <w:tcPr>
            <w:tcW w:w="1642" w:type="pct"/>
            <w:tcBorders>
              <w:tl2br w:val="nil"/>
              <w:tr2bl w:val="nil"/>
            </w:tcBorders>
            <w:vAlign w:val="center"/>
          </w:tcPr>
          <w:p w14:paraId="5CB8C2D4">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流动沙丘、沙地</w:t>
            </w:r>
          </w:p>
        </w:tc>
        <w:tc>
          <w:tcPr>
            <w:tcW w:w="935" w:type="pct"/>
            <w:tcBorders>
              <w:tl2br w:val="nil"/>
              <w:tr2bl w:val="nil"/>
            </w:tcBorders>
            <w:vAlign w:val="center"/>
          </w:tcPr>
          <w:p w14:paraId="252D6446">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&lt;10</w:t>
            </w:r>
          </w:p>
        </w:tc>
        <w:tc>
          <w:tcPr>
            <w:tcW w:w="666" w:type="pct"/>
            <w:tcBorders>
              <w:tl2br w:val="nil"/>
              <w:tr2bl w:val="nil"/>
            </w:tcBorders>
            <w:vAlign w:val="center"/>
          </w:tcPr>
          <w:p w14:paraId="7444D5A6">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50～100</w:t>
            </w:r>
          </w:p>
        </w:tc>
        <w:tc>
          <w:tcPr>
            <w:tcW w:w="1263" w:type="pct"/>
            <w:tcBorders>
              <w:tl2br w:val="nil"/>
              <w:tr2bl w:val="nil"/>
            </w:tcBorders>
            <w:vAlign w:val="center"/>
          </w:tcPr>
          <w:p w14:paraId="2A700754">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8000～15000</w:t>
            </w:r>
          </w:p>
        </w:tc>
      </w:tr>
      <w:tr w14:paraId="54F8F1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2" w:type="pct"/>
            <w:tcBorders>
              <w:tl2br w:val="nil"/>
              <w:tr2bl w:val="nil"/>
            </w:tcBorders>
            <w:vAlign w:val="center"/>
          </w:tcPr>
          <w:p w14:paraId="197C3B0F">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剧烈</w:t>
            </w:r>
          </w:p>
        </w:tc>
        <w:tc>
          <w:tcPr>
            <w:tcW w:w="1642" w:type="pct"/>
            <w:tcBorders>
              <w:tl2br w:val="nil"/>
              <w:tr2bl w:val="nil"/>
            </w:tcBorders>
            <w:vAlign w:val="center"/>
          </w:tcPr>
          <w:p w14:paraId="6638BF36">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大片流动沙丘</w:t>
            </w:r>
          </w:p>
        </w:tc>
        <w:tc>
          <w:tcPr>
            <w:tcW w:w="935" w:type="pct"/>
            <w:tcBorders>
              <w:tl2br w:val="nil"/>
              <w:tr2bl w:val="nil"/>
            </w:tcBorders>
            <w:vAlign w:val="center"/>
          </w:tcPr>
          <w:p w14:paraId="6123EB63">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&lt;10</w:t>
            </w:r>
          </w:p>
        </w:tc>
        <w:tc>
          <w:tcPr>
            <w:tcW w:w="666" w:type="pct"/>
            <w:tcBorders>
              <w:tl2br w:val="nil"/>
              <w:tr2bl w:val="nil"/>
            </w:tcBorders>
            <w:vAlign w:val="center"/>
          </w:tcPr>
          <w:p w14:paraId="1AD56076">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&gt;100</w:t>
            </w:r>
          </w:p>
        </w:tc>
        <w:tc>
          <w:tcPr>
            <w:tcW w:w="1263" w:type="pct"/>
            <w:tcBorders>
              <w:tl2br w:val="nil"/>
              <w:tr2bl w:val="nil"/>
            </w:tcBorders>
            <w:vAlign w:val="center"/>
          </w:tcPr>
          <w:p w14:paraId="7546D175">
            <w:pPr>
              <w:pStyle w:val="87"/>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&gt;15000</w:t>
            </w:r>
          </w:p>
        </w:tc>
      </w:tr>
    </w:tbl>
    <w:p w14:paraId="6D622763">
      <w:pPr>
        <w:keepNext w:val="0"/>
        <w:keepLines w:val="0"/>
        <w:pageBreakBefore w:val="0"/>
        <w:widowControl/>
        <w:kinsoku/>
        <w:wordWrap/>
        <w:overflowPunct/>
        <w:topLinePunct w:val="0"/>
        <w:autoSpaceDE/>
        <w:autoSpaceDN/>
        <w:bidi w:val="0"/>
        <w:adjustRightInd/>
        <w:snapToGrid/>
        <w:spacing w:before="313" w:beforeLines="100"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（2）项目区水土流失特点</w:t>
      </w:r>
    </w:p>
    <w:p w14:paraId="66F68AC2">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区内气候干燥，植被覆盖度较低，地貌形态多表现为起伏的固定、半固定沙丘、沙地。区内盛行西南风，全年大风日数在6天以上。本项目所在区域水土流失发生时间取决于大风活动状况。通过对风力特征的分析，在春季(3-5月)存在风蚀，风蚀时间较长，植被稀疏、风力强劲的戈壁及沙漠附近地带，风蚀、风埋现象严重。</w:t>
      </w:r>
    </w:p>
    <w:p w14:paraId="3EE4381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4.2.5.2 水土流失的成因</w:t>
      </w:r>
    </w:p>
    <w:p w14:paraId="37E263F2">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（1）自然因素</w:t>
      </w:r>
    </w:p>
    <w:p w14:paraId="78908F0F">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1）土壤干旱</w:t>
      </w:r>
    </w:p>
    <w:p w14:paraId="2F103E23">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土壤水分是土壤形成的重要因素之一。土壤水分含量除影响植物生长外，还影响土壤粘结性和黏着性。土壤水分含量高时，据有关资料表明，河漫滩和河心洲土壤含水率高，植物生长良好，无沙化；盐土则位于相对低洼的地方，土壤含水率高，也无沙化发生，高阶地土壤水分含量降低，植物生长变差，部分地段已有积沙。</w:t>
      </w:r>
    </w:p>
    <w:p w14:paraId="7AB34F76">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2）植被衰败</w:t>
      </w:r>
    </w:p>
    <w:p w14:paraId="19137CC1">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植被防止土壤沙化是通过改变地面粗糙度，消减风力而起作用，植被类型和覆盖度的不同，其地面粗糙程度和防风作用也不同。据新疆林业科学院资料，荒漠光板地（龟裂土）在20cm高度的粗糙度为0.0914cm，柽柳灌丛为9.6819cm。在高2m高处荒漠光斑地上8天平均风速为2.84m/s，在柽柳灌丛林地为1.24m/s，降低56.7%。</w:t>
      </w:r>
    </w:p>
    <w:p w14:paraId="0CEEA80C">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3）土壤组成物质质地轻评价区土壤剖面以流动风沙土为主，质地偏轻，土壤机械组成以0.25～0.1mm沙粒为主，一般可达700g/kg以上。由于风沙土质地偏轻，干燥时粘结性和黏着性极差，易破碎分散，成为风蚀源对象。</w:t>
      </w:r>
    </w:p>
    <w:p w14:paraId="6943457E">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4）大风和频繁的起风沙风是空气流动产生的一种自然动力，可吹蚀地表并对沙物质起运移和堆积作用，</w:t>
      </w:r>
    </w:p>
    <w:p w14:paraId="40D22785">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风对地表的吹蚀作用与风力大小成正相关，风速越大，对地表吹蚀越强。该地区气象资料可看出，年瞬间最大风速22.4m/s。此外，受风力作用，沙暴日数0.3d。由此可见，大风和频繁的起风沙使土壤沙化的动力条件。</w:t>
      </w:r>
    </w:p>
    <w:p w14:paraId="5648A238">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eastAsia"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（2）人为因素</w:t>
      </w:r>
    </w:p>
    <w:p w14:paraId="2DBF3235">
      <w:pPr>
        <w:keepNext w:val="0"/>
        <w:keepLines w:val="0"/>
        <w:pageBreakBefore w:val="0"/>
        <w:widowControl/>
        <w:kinsoku/>
        <w:wordWrap/>
        <w:overflowPunct/>
        <w:autoSpaceDE/>
        <w:autoSpaceDN/>
        <w:bidi w:val="0"/>
        <w:adjustRightInd/>
        <w:snapToGrid/>
        <w:spacing w:line="480" w:lineRule="exact"/>
        <w:ind w:firstLine="540" w:firstLineChars="225"/>
        <w:jc w:val="both"/>
        <w:textAlignment w:val="auto"/>
        <w:rPr>
          <w:rFonts w:hint="default" w:ascii="Times New Roman" w:hAnsi="Times New Roman" w:eastAsia="宋体" w:cs="Times New Roman"/>
          <w:snapToGrid w:val="0"/>
          <w:color w:val="auto"/>
          <w:kern w:val="0"/>
          <w:sz w:val="24"/>
          <w:szCs w:val="24"/>
          <w:highlight w:val="none"/>
          <w:u w:val="none"/>
          <w:lang w:val="en-US" w:eastAsia="zh-CN" w:bidi="ar-SA"/>
        </w:rPr>
      </w:pPr>
      <w:r>
        <w:rPr>
          <w:rFonts w:hint="eastAsia" w:cs="Times New Roman"/>
          <w:snapToGrid w:val="0"/>
          <w:color w:val="auto"/>
          <w:kern w:val="0"/>
          <w:sz w:val="24"/>
          <w:szCs w:val="24"/>
          <w:highlight w:val="none"/>
          <w:u w:val="none"/>
          <w:lang w:val="en-US" w:eastAsia="zh-CN" w:bidi="ar-SA"/>
        </w:rPr>
        <w:t>人口增加，加重了当地压力，从而对环境土壤表面的扰动频率增加。尤其是油田大面积的滚动开发活动所造成的生态环境影响也是不容忽视的。</w:t>
      </w:r>
    </w:p>
    <w:p w14:paraId="2C440CB5">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zh-CN" w:eastAsia="zh-CN"/>
        </w:rPr>
      </w:pPr>
      <w:r>
        <w:rPr>
          <w:rFonts w:hint="default" w:ascii="黑体" w:hAnsi="黑体" w:eastAsia="黑体" w:cs="黑体"/>
          <w:b/>
          <w:color w:val="auto"/>
          <w:kern w:val="0"/>
          <w:sz w:val="24"/>
          <w:szCs w:val="24"/>
          <w:highlight w:val="none"/>
          <w:u w:val="none"/>
          <w:lang w:val="zh-CN" w:eastAsia="zh-CN"/>
        </w:rPr>
        <w:t>4.2.</w:t>
      </w:r>
      <w:r>
        <w:rPr>
          <w:rFonts w:hint="eastAsia" w:ascii="黑体" w:hAnsi="黑体" w:eastAsia="黑体" w:cs="黑体"/>
          <w:b/>
          <w:color w:val="auto"/>
          <w:kern w:val="0"/>
          <w:sz w:val="24"/>
          <w:szCs w:val="24"/>
          <w:highlight w:val="none"/>
          <w:u w:val="none"/>
          <w:lang w:val="en-US" w:eastAsia="zh-CN"/>
        </w:rPr>
        <w:t xml:space="preserve">6 </w:t>
      </w:r>
      <w:r>
        <w:rPr>
          <w:rFonts w:hint="default" w:ascii="黑体" w:hAnsi="黑体" w:eastAsia="黑体" w:cs="黑体"/>
          <w:b/>
          <w:color w:val="auto"/>
          <w:kern w:val="0"/>
          <w:sz w:val="24"/>
          <w:szCs w:val="24"/>
          <w:highlight w:val="none"/>
          <w:u w:val="none"/>
          <w:lang w:val="zh-CN" w:eastAsia="zh-CN"/>
        </w:rPr>
        <w:t>土地沙化现状</w:t>
      </w:r>
    </w:p>
    <w:p w14:paraId="2781C70B">
      <w:pPr>
        <w:keepNext w:val="0"/>
        <w:keepLines w:val="0"/>
        <w:pageBreakBefore w:val="0"/>
        <w:widowControl/>
        <w:kinsoku/>
        <w:wordWrap/>
        <w:overflowPunct/>
        <w:topLinePunct w:val="0"/>
        <w:autoSpaceDE/>
        <w:autoSpaceDN/>
        <w:bidi w:val="0"/>
        <w:adjustRightInd/>
        <w:snapToGrid/>
        <w:spacing w:line="480" w:lineRule="exact"/>
        <w:ind w:firstLine="496" w:firstLineChars="200"/>
        <w:jc w:val="both"/>
        <w:textAlignment w:val="auto"/>
        <w:rPr>
          <w:rFonts w:hint="eastAsia" w:ascii="宋体" w:hAnsi="宋体" w:eastAsia="宋体" w:cs="宋体"/>
          <w:color w:val="auto"/>
          <w:spacing w:val="4"/>
          <w:kern w:val="0"/>
          <w:sz w:val="24"/>
          <w:szCs w:val="24"/>
          <w:highlight w:val="none"/>
          <w:u w:val="none"/>
          <w:lang w:val="en-US" w:eastAsia="zh-CN" w:bidi="ar-SA"/>
        </w:rPr>
      </w:pPr>
      <w:r>
        <w:rPr>
          <w:rFonts w:hint="eastAsia" w:ascii="宋体" w:hAnsi="宋体" w:eastAsia="宋体" w:cs="宋体"/>
          <w:color w:val="auto"/>
          <w:spacing w:val="4"/>
          <w:kern w:val="0"/>
          <w:sz w:val="24"/>
          <w:szCs w:val="24"/>
          <w:highlight w:val="none"/>
          <w:u w:val="none"/>
          <w:lang w:val="en-US" w:eastAsia="zh-CN" w:bidi="ar-SA"/>
        </w:rPr>
        <w:t>新疆沙化土地类型多样，分布地域特征明显。从广阔无垠的沙漠到瀚海戈壁乃至风蚀残丘、风蚀劣地，沙化土地种类齐全，类型各异。沙漠集中分布在高山相夹的两大盆地中，戈壁主要分布在山间盆地的山前洪积倾斜平原；盆地的边缘多为绿洲，众多的小绿洲被沙漠和戈壁包围，面临风沙的直接危害。戈壁是新疆仅次于沙漠的沙化土地类型，主要分布在阿尔泰山南麓、天山南北麓、昆仑山北麓、吐哈盆地和一些山间盆地的山前洪积倾斜平原，戈壁面积30622798.73公顷，占沙化土地面积的40.99%。沉积物以卵砾石为主。新疆分布较广的大戈壁有塔里木盆地边缘戈壁、准噶尔盆地边缘戈壁、噶顺戈壁、十三间房南湖戈壁和老爷庙戈壁等，其中噶顺戈壁是新疆最大的戈壁。</w:t>
      </w:r>
    </w:p>
    <w:p w14:paraId="6D129507">
      <w:pPr>
        <w:keepNext w:val="0"/>
        <w:keepLines w:val="0"/>
        <w:pageBreakBefore w:val="0"/>
        <w:widowControl/>
        <w:kinsoku/>
        <w:wordWrap/>
        <w:overflowPunct/>
        <w:topLinePunct w:val="0"/>
        <w:autoSpaceDE/>
        <w:autoSpaceDN/>
        <w:bidi w:val="0"/>
        <w:adjustRightInd/>
        <w:snapToGrid/>
        <w:spacing w:line="480" w:lineRule="exact"/>
        <w:ind w:firstLine="496" w:firstLineChars="200"/>
        <w:jc w:val="both"/>
        <w:textAlignment w:val="auto"/>
        <w:rPr>
          <w:rFonts w:hint="eastAsia" w:ascii="宋体" w:hAnsi="宋体" w:eastAsia="宋体" w:cs="宋体"/>
          <w:color w:val="auto"/>
          <w:spacing w:val="4"/>
          <w:kern w:val="0"/>
          <w:sz w:val="24"/>
          <w:szCs w:val="24"/>
          <w:highlight w:val="none"/>
          <w:u w:val="none"/>
          <w:lang w:val="en-US" w:eastAsia="zh-CN" w:bidi="ar-SA"/>
        </w:rPr>
      </w:pPr>
      <w:r>
        <w:rPr>
          <w:rFonts w:hint="eastAsia" w:ascii="宋体" w:hAnsi="宋体" w:eastAsia="宋体" w:cs="宋体"/>
          <w:color w:val="auto"/>
          <w:spacing w:val="4"/>
          <w:kern w:val="0"/>
          <w:sz w:val="24"/>
          <w:szCs w:val="24"/>
          <w:highlight w:val="none"/>
          <w:u w:val="none"/>
          <w:lang w:val="en-US" w:eastAsia="zh-CN" w:bidi="ar-SA"/>
        </w:rPr>
        <w:t>项目区位于准噶尔盆地古尔班通古特沙漠腹地，处于玛纳斯河流域下游的东部，属典型的风积沙漠地貌，整个地势由东北向西南倾斜，海拔高程 360～440m。受构造作用及风力等外力作用，形成风积地形，地形复杂。其地貌成因类型为风积平原区，表现为沙漠、土质和沙质平原。沙漠广为分布在开发区域大部分地区，由第四系风积物组成，沙丘高10～30m，宽数十米。</w:t>
      </w:r>
    </w:p>
    <w:p w14:paraId="7A3D56F8">
      <w:pPr>
        <w:keepNext w:val="0"/>
        <w:keepLines w:val="0"/>
        <w:pageBreakBefore w:val="0"/>
        <w:widowControl/>
        <w:kinsoku/>
        <w:wordWrap/>
        <w:overflowPunct/>
        <w:topLinePunct w:val="0"/>
        <w:autoSpaceDE/>
        <w:autoSpaceDN/>
        <w:bidi w:val="0"/>
        <w:adjustRightInd/>
        <w:snapToGrid/>
        <w:spacing w:line="480" w:lineRule="exact"/>
        <w:ind w:firstLine="496" w:firstLineChars="200"/>
        <w:jc w:val="both"/>
        <w:textAlignment w:val="auto"/>
        <w:rPr>
          <w:rFonts w:hint="eastAsia" w:ascii="宋体" w:hAnsi="宋体" w:eastAsia="宋体" w:cs="宋体"/>
          <w:color w:val="auto"/>
          <w:spacing w:val="4"/>
          <w:kern w:val="0"/>
          <w:sz w:val="24"/>
          <w:szCs w:val="24"/>
          <w:highlight w:val="none"/>
          <w:u w:val="none"/>
          <w:lang w:val="en-US" w:eastAsia="zh-CN" w:bidi="ar-SA"/>
        </w:rPr>
      </w:pPr>
      <w:r>
        <w:rPr>
          <w:rFonts w:hint="eastAsia" w:ascii="宋体" w:hAnsi="宋体" w:eastAsia="宋体" w:cs="宋体"/>
          <w:color w:val="auto"/>
          <w:spacing w:val="4"/>
          <w:kern w:val="0"/>
          <w:sz w:val="24"/>
          <w:szCs w:val="24"/>
          <w:highlight w:val="none"/>
          <w:u w:val="none"/>
          <w:lang w:val="en-US" w:eastAsia="zh-CN" w:bidi="ar-SA"/>
        </w:rPr>
        <w:t>根据《新疆第六次沙化监测报告》，本项目占地属于流动沙地。</w:t>
      </w:r>
    </w:p>
    <w:p w14:paraId="3E98D606">
      <w:pPr>
        <w:keepNext w:val="0"/>
        <w:keepLines w:val="0"/>
        <w:pageBreakBefore w:val="0"/>
        <w:widowControl/>
        <w:kinsoku/>
        <w:wordWrap/>
        <w:overflowPunct/>
        <w:topLinePunct w:val="0"/>
        <w:autoSpaceDE/>
        <w:autoSpaceDN/>
        <w:bidi w:val="0"/>
        <w:adjustRightInd/>
        <w:snapToGrid/>
        <w:spacing w:line="480" w:lineRule="exact"/>
        <w:ind w:firstLine="496" w:firstLineChars="200"/>
        <w:jc w:val="both"/>
        <w:textAlignment w:val="auto"/>
        <w:rPr>
          <w:rFonts w:hint="eastAsia" w:ascii="宋体" w:hAnsi="宋体" w:eastAsia="宋体" w:cs="宋体"/>
          <w:color w:val="auto"/>
          <w:spacing w:val="4"/>
          <w:kern w:val="0"/>
          <w:sz w:val="24"/>
          <w:szCs w:val="24"/>
          <w:highlight w:val="none"/>
          <w:u w:val="none"/>
          <w:lang w:val="en-US" w:eastAsia="zh-CN" w:bidi="ar-SA"/>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color w:val="auto"/>
          <w:spacing w:val="4"/>
          <w:kern w:val="0"/>
          <w:sz w:val="24"/>
          <w:szCs w:val="24"/>
          <w:highlight w:val="none"/>
          <w:u w:val="none"/>
          <w:lang w:val="en-US" w:eastAsia="zh-CN" w:bidi="ar-SA"/>
        </w:rPr>
        <w:t>本项目与新疆第六次沙化监测：沙化土地类型分布图位置关系见图4.2-</w:t>
      </w:r>
      <w:r>
        <w:rPr>
          <w:rFonts w:hint="eastAsia" w:ascii="宋体" w:hAnsi="宋体" w:cs="宋体"/>
          <w:color w:val="auto"/>
          <w:spacing w:val="4"/>
          <w:kern w:val="0"/>
          <w:sz w:val="24"/>
          <w:szCs w:val="24"/>
          <w:highlight w:val="none"/>
          <w:u w:val="none"/>
          <w:lang w:val="en-US" w:eastAsia="zh-CN" w:bidi="ar-SA"/>
        </w:rPr>
        <w:t>4</w:t>
      </w:r>
      <w:r>
        <w:rPr>
          <w:rFonts w:hint="eastAsia" w:ascii="宋体" w:hAnsi="宋体" w:eastAsia="宋体" w:cs="宋体"/>
          <w:color w:val="auto"/>
          <w:spacing w:val="4"/>
          <w:kern w:val="0"/>
          <w:sz w:val="24"/>
          <w:szCs w:val="24"/>
          <w:highlight w:val="none"/>
          <w:u w:val="none"/>
          <w:lang w:val="en-US" w:eastAsia="zh-CN" w:bidi="ar-SA"/>
        </w:rPr>
        <w:t>。</w:t>
      </w:r>
    </w:p>
    <w:p w14:paraId="57D99A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olor w:val="auto"/>
          <w:u w:val="none"/>
          <w:lang w:val="en-US" w:eastAsia="zh-CN"/>
        </w:rPr>
        <w:sectPr>
          <w:pgSz w:w="16838" w:h="11906" w:orient="landscape"/>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color w:val="auto"/>
          <w:u w:val="none"/>
          <w:lang w:val="en-US" w:eastAsia="zh-CN"/>
        </w:rPr>
        <w:drawing>
          <wp:anchor distT="0" distB="0" distL="114300" distR="114300" simplePos="0" relativeHeight="251712512" behindDoc="0" locked="0" layoutInCell="1" allowOverlap="1">
            <wp:simplePos x="0" y="0"/>
            <wp:positionH relativeFrom="column">
              <wp:posOffset>511810</wp:posOffset>
            </wp:positionH>
            <wp:positionV relativeFrom="paragraph">
              <wp:posOffset>106045</wp:posOffset>
            </wp:positionV>
            <wp:extent cx="8603615" cy="6083935"/>
            <wp:effectExtent l="0" t="0" r="6985" b="12065"/>
            <wp:wrapTopAndBottom/>
            <wp:docPr id="13" name="图片 13" descr="全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全疆"/>
                    <pic:cNvPicPr>
                      <a:picLocks noChangeAspect="1"/>
                    </pic:cNvPicPr>
                  </pic:nvPicPr>
                  <pic:blipFill>
                    <a:blip r:embed="rId55"/>
                    <a:stretch>
                      <a:fillRect/>
                    </a:stretch>
                  </pic:blipFill>
                  <pic:spPr>
                    <a:xfrm>
                      <a:off x="0" y="0"/>
                      <a:ext cx="8603615" cy="6083935"/>
                    </a:xfrm>
                    <a:prstGeom prst="rect">
                      <a:avLst/>
                    </a:prstGeom>
                  </pic:spPr>
                </pic:pic>
              </a:graphicData>
            </a:graphic>
          </wp:anchor>
        </w:drawing>
      </w:r>
      <w:r>
        <w:rPr>
          <w:rFonts w:hint="default" w:ascii="黑体" w:hAnsi="黑体" w:eastAsia="黑体" w:cs="黑体"/>
          <w:b w:val="0"/>
          <w:bCs/>
          <w:color w:val="auto"/>
          <w:kern w:val="2"/>
          <w:sz w:val="24"/>
          <w:szCs w:val="24"/>
          <w:u w:val="none"/>
          <w:lang w:val="en-US" w:eastAsia="zh-CN" w:bidi="ar-SA"/>
        </w:rPr>
        <w:t>图4.2-</w:t>
      </w:r>
      <w:r>
        <w:rPr>
          <w:rFonts w:hint="eastAsia" w:ascii="黑体" w:hAnsi="黑体" w:eastAsia="黑体" w:cs="黑体"/>
          <w:b w:val="0"/>
          <w:bCs/>
          <w:color w:val="auto"/>
          <w:kern w:val="2"/>
          <w:sz w:val="24"/>
          <w:szCs w:val="24"/>
          <w:u w:val="none"/>
          <w:lang w:val="en-US" w:eastAsia="zh-CN" w:bidi="ar-SA"/>
        </w:rPr>
        <w:t xml:space="preserve">4  </w:t>
      </w:r>
      <w:r>
        <w:rPr>
          <w:rFonts w:hint="default" w:ascii="黑体" w:hAnsi="黑体" w:eastAsia="黑体" w:cs="黑体"/>
          <w:b w:val="0"/>
          <w:bCs/>
          <w:color w:val="auto"/>
          <w:kern w:val="2"/>
          <w:sz w:val="24"/>
          <w:szCs w:val="24"/>
          <w:u w:val="none"/>
          <w:lang w:val="en-US" w:eastAsia="zh-CN" w:bidi="ar-SA"/>
        </w:rPr>
        <w:t>与新疆第六次沙化监测：沙化土地类型分布图位置关系图</w:t>
      </w:r>
    </w:p>
    <w:p w14:paraId="5BEEF24D">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76" w:name="_Toc17820"/>
      <w:bookmarkStart w:id="377" w:name="_Toc4678"/>
      <w:bookmarkStart w:id="378" w:name="_Toc28163"/>
      <w:bookmarkStart w:id="379" w:name="_Toc28405"/>
      <w:r>
        <w:rPr>
          <w:rFonts w:hint="default" w:ascii="黑体" w:hAnsi="黑体" w:eastAsia="黑体" w:cs="黑体"/>
          <w:color w:val="auto"/>
          <w:sz w:val="28"/>
          <w:szCs w:val="28"/>
          <w:u w:val="none"/>
          <w:lang w:val="en-US" w:eastAsia="zh-CN"/>
        </w:rPr>
        <w:t>4.</w:t>
      </w:r>
      <w:r>
        <w:rPr>
          <w:rFonts w:hint="eastAsia" w:ascii="黑体" w:hAnsi="黑体" w:eastAsia="黑体" w:cs="黑体"/>
          <w:color w:val="auto"/>
          <w:sz w:val="28"/>
          <w:szCs w:val="28"/>
          <w:u w:val="none"/>
          <w:lang w:val="en-US" w:eastAsia="zh-CN"/>
        </w:rPr>
        <w:t>3 地下</w:t>
      </w:r>
      <w:r>
        <w:rPr>
          <w:rFonts w:hint="default" w:ascii="黑体" w:hAnsi="黑体" w:eastAsia="黑体" w:cs="黑体"/>
          <w:color w:val="auto"/>
          <w:sz w:val="28"/>
          <w:szCs w:val="28"/>
          <w:u w:val="none"/>
          <w:lang w:val="en-US" w:eastAsia="zh-CN"/>
        </w:rPr>
        <w:t>水环境现状调查与评价</w:t>
      </w:r>
      <w:bookmarkEnd w:id="376"/>
    </w:p>
    <w:p w14:paraId="75E39F69">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地表水环境现状调查</w:t>
      </w:r>
    </w:p>
    <w:p w14:paraId="268DDF19">
      <w:pPr>
        <w:keepNext w:val="0"/>
        <w:pageBreakBefore w:val="0"/>
        <w:kinsoku/>
        <w:wordWrap/>
        <w:overflowPunct/>
        <w:topLinePunct w:val="0"/>
        <w:autoSpaceDE/>
        <w:autoSpaceDN/>
        <w:bidi w:val="0"/>
        <w:spacing w:line="480" w:lineRule="exact"/>
        <w:ind w:firstLine="48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highlight w:val="none"/>
          <w:u w:val="none"/>
        </w:rPr>
        <w:t>项目区位于准噶尔盆地腹部古尔班通古特沙漠腹地，周边5km范围内无地表水体。在油田正常开采及油气集输过程中，</w:t>
      </w:r>
      <w:r>
        <w:rPr>
          <w:rFonts w:hint="eastAsia" w:cs="Times New Roman"/>
          <w:color w:val="auto"/>
          <w:sz w:val="24"/>
          <w:szCs w:val="24"/>
          <w:highlight w:val="none"/>
          <w:u w:val="none"/>
          <w:lang w:val="en-US" w:eastAsia="zh-CN"/>
        </w:rPr>
        <w:t>采出水</w:t>
      </w:r>
      <w:r>
        <w:rPr>
          <w:rFonts w:hint="default" w:ascii="Times New Roman" w:hAnsi="Times New Roman" w:cs="Times New Roman"/>
          <w:color w:val="auto"/>
          <w:sz w:val="24"/>
          <w:szCs w:val="24"/>
          <w:highlight w:val="none"/>
          <w:u w:val="none"/>
        </w:rPr>
        <w:t>、井下作业废水不外排，不与周边地表水体发生水力联系，因此，本次环评不进行地表水环境现状调查与评价，仅对地下水环境现状进行调查评价。</w:t>
      </w:r>
    </w:p>
    <w:p w14:paraId="60B07FAF">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地下水环境现状调查</w:t>
      </w:r>
    </w:p>
    <w:p w14:paraId="10E03F11">
      <w:pPr>
        <w:pStyle w:val="56"/>
        <w:keepNext w:val="0"/>
        <w:keepLines/>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宋体" w:hAnsi="宋体" w:eastAsia="宋体" w:cs="宋体"/>
          <w:b w:val="0"/>
          <w:color w:val="auto"/>
          <w:kern w:val="0"/>
          <w:sz w:val="24"/>
          <w:szCs w:val="24"/>
          <w:u w:val="none"/>
          <w:lang w:val="en-US" w:eastAsia="zh-CN" w:bidi="ar-SA"/>
        </w:rPr>
      </w:pPr>
      <w:r>
        <w:rPr>
          <w:rFonts w:hint="default" w:ascii="宋体" w:hAnsi="宋体" w:eastAsia="宋体" w:cs="宋体"/>
          <w:b w:val="0"/>
          <w:color w:val="auto"/>
          <w:kern w:val="0"/>
          <w:sz w:val="24"/>
          <w:szCs w:val="24"/>
          <w:highlight w:val="none"/>
          <w:u w:val="none"/>
          <w:lang w:val="en-US" w:eastAsia="zh-CN" w:bidi="ar-SA"/>
        </w:rPr>
        <w:t>本项目区位于准噶尔盆地古尔班通古特沙漠腹地，在钻探深度内是以深层基岩裂隙水为主的沙漠平原区，含水层岩性主要为砂岩，地下水资源小于10万m</w:t>
      </w:r>
      <w:r>
        <w:rPr>
          <w:rFonts w:hint="default" w:ascii="宋体" w:hAnsi="宋体" w:eastAsia="宋体" w:cs="宋体"/>
          <w:b w:val="0"/>
          <w:color w:val="auto"/>
          <w:kern w:val="0"/>
          <w:sz w:val="24"/>
          <w:szCs w:val="24"/>
          <w:highlight w:val="none"/>
          <w:u w:val="none"/>
          <w:vertAlign w:val="superscript"/>
          <w:lang w:val="en-US" w:eastAsia="zh-CN" w:bidi="ar-SA"/>
        </w:rPr>
        <w:t>3</w:t>
      </w:r>
      <w:r>
        <w:rPr>
          <w:rFonts w:hint="default" w:ascii="宋体" w:hAnsi="宋体" w:eastAsia="宋体" w:cs="宋体"/>
          <w:b w:val="0"/>
          <w:color w:val="auto"/>
          <w:kern w:val="0"/>
          <w:sz w:val="24"/>
          <w:szCs w:val="24"/>
          <w:highlight w:val="none"/>
          <w:u w:val="none"/>
          <w:lang w:val="en-US" w:eastAsia="zh-CN" w:bidi="ar-SA"/>
        </w:rPr>
        <w:t>/km</w:t>
      </w:r>
      <w:r>
        <w:rPr>
          <w:rFonts w:hint="default" w:ascii="宋体" w:hAnsi="宋体" w:eastAsia="宋体" w:cs="宋体"/>
          <w:b w:val="0"/>
          <w:color w:val="auto"/>
          <w:kern w:val="0"/>
          <w:sz w:val="24"/>
          <w:szCs w:val="24"/>
          <w:highlight w:val="none"/>
          <w:u w:val="none"/>
          <w:vertAlign w:val="superscript"/>
          <w:lang w:val="en-US" w:eastAsia="zh-CN" w:bidi="ar-SA"/>
        </w:rPr>
        <w:t>2</w:t>
      </w:r>
      <w:r>
        <w:rPr>
          <w:rFonts w:hint="default" w:ascii="宋体" w:hAnsi="宋体" w:eastAsia="宋体" w:cs="宋体"/>
          <w:b w:val="0"/>
          <w:color w:val="auto"/>
          <w:kern w:val="0"/>
          <w:sz w:val="24"/>
          <w:szCs w:val="24"/>
          <w:highlight w:val="none"/>
          <w:u w:val="none"/>
          <w:lang w:val="en-US" w:eastAsia="zh-CN" w:bidi="ar-SA"/>
        </w:rPr>
        <w:t>·年，属于地下水资源贫乏地区。结合现场踏勘和调查，由于项目区的地下水评价范围内无人工开采水井，且项目区周边人工开采水井分布数量也很少，因此本次评价从实际出发，利用区域现有的人工开采水井，在项目区上游、周边及下游布设了地下水监测点，进行地下水采样、水质分析。</w:t>
      </w:r>
    </w:p>
    <w:p w14:paraId="0CC65AF4">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4.</w:t>
      </w:r>
      <w:r>
        <w:rPr>
          <w:rFonts w:hint="eastAsia" w:ascii="宋体" w:hAnsi="宋体" w:cs="宋体"/>
          <w:color w:val="auto"/>
          <w:u w:val="none"/>
          <w:lang w:val="en-US" w:eastAsia="zh-CN"/>
        </w:rPr>
        <w:t>3</w:t>
      </w:r>
      <w:r>
        <w:rPr>
          <w:rFonts w:hint="default" w:ascii="宋体" w:hAnsi="宋体" w:eastAsia="宋体" w:cs="宋体"/>
          <w:color w:val="auto"/>
          <w:u w:val="none"/>
          <w:lang w:val="en-US" w:eastAsia="zh-CN"/>
        </w:rPr>
        <w:t>.2.1</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调查方法</w:t>
      </w:r>
    </w:p>
    <w:p w14:paraId="0240D86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本次地下水环境现状调查采用引用数据方式</w:t>
      </w:r>
      <w:r>
        <w:rPr>
          <w:rFonts w:hint="eastAsia" w:cs="Times New Roman"/>
          <w:color w:val="auto"/>
          <w:kern w:val="2"/>
          <w:sz w:val="24"/>
          <w:szCs w:val="24"/>
          <w:u w:val="none"/>
          <w:lang w:val="en-US" w:eastAsia="zh-CN" w:bidi="ar-SA"/>
        </w:rPr>
        <w:t>进行。</w:t>
      </w:r>
    </w:p>
    <w:p w14:paraId="2FE6D0E0">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4.</w:t>
      </w:r>
      <w:r>
        <w:rPr>
          <w:rFonts w:hint="eastAsia" w:ascii="宋体" w:hAnsi="宋体" w:cs="宋体"/>
          <w:color w:val="auto"/>
          <w:u w:val="none"/>
          <w:lang w:val="en-US" w:eastAsia="zh-CN"/>
        </w:rPr>
        <w:t>3</w:t>
      </w:r>
      <w:r>
        <w:rPr>
          <w:rFonts w:hint="default" w:ascii="宋体" w:hAnsi="宋体" w:eastAsia="宋体" w:cs="宋体"/>
          <w:color w:val="auto"/>
          <w:u w:val="none"/>
          <w:lang w:val="en-US" w:eastAsia="zh-CN"/>
        </w:rPr>
        <w:t>.2.2</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监测点位</w:t>
      </w:r>
    </w:p>
    <w:p w14:paraId="10B8A9C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本次共引用6个地下水现状监测点位（其中5个地下水水质监测点和1个地下水水位监测点），监测井数据引用自《莫126井区三工河组油藏开发地面工程环境影响报告书》，检测时间为2023年2月。</w:t>
      </w:r>
    </w:p>
    <w:p w14:paraId="1FE28CD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b/>
          <w:color w:val="auto"/>
          <w:kern w:val="0"/>
          <w:sz w:val="21"/>
          <w:szCs w:val="21"/>
          <w:highlight w:val="none"/>
          <w:u w:val="none"/>
        </w:rPr>
      </w:pPr>
      <w:r>
        <w:rPr>
          <w:rFonts w:hint="eastAsia" w:ascii="宋体" w:hAnsi="宋体" w:cs="宋体"/>
          <w:color w:val="auto"/>
          <w:kern w:val="0"/>
          <w:sz w:val="24"/>
          <w:szCs w:val="24"/>
          <w:highlight w:val="none"/>
          <w:u w:val="none"/>
        </w:rPr>
        <w:t>监测点位</w:t>
      </w:r>
      <w:r>
        <w:rPr>
          <w:rFonts w:hint="eastAsia" w:ascii="宋体" w:hAnsi="宋体" w:cs="宋体"/>
          <w:color w:val="auto"/>
          <w:kern w:val="0"/>
          <w:sz w:val="24"/>
          <w:szCs w:val="24"/>
          <w:highlight w:val="none"/>
          <w:u w:val="none"/>
          <w:lang w:eastAsia="zh-CN"/>
        </w:rPr>
        <w:t>，</w:t>
      </w:r>
      <w:r>
        <w:rPr>
          <w:rFonts w:ascii="宋体" w:hAnsi="宋体" w:cs="宋体"/>
          <w:color w:val="auto"/>
          <w:kern w:val="0"/>
          <w:sz w:val="24"/>
          <w:szCs w:val="24"/>
          <w:highlight w:val="none"/>
          <w:u w:val="none"/>
        </w:rPr>
        <w:t>见图4.</w:t>
      </w:r>
      <w:r>
        <w:rPr>
          <w:rFonts w:hint="eastAsia" w:ascii="宋体" w:hAnsi="宋体" w:cs="宋体"/>
          <w:color w:val="auto"/>
          <w:kern w:val="0"/>
          <w:sz w:val="24"/>
          <w:szCs w:val="24"/>
          <w:highlight w:val="none"/>
          <w:u w:val="none"/>
          <w:lang w:val="en-US" w:eastAsia="zh-CN"/>
        </w:rPr>
        <w:t>3</w:t>
      </w:r>
      <w:r>
        <w:rPr>
          <w:rFonts w:ascii="宋体" w:hAnsi="宋体" w:cs="宋体"/>
          <w:color w:val="auto"/>
          <w:kern w:val="0"/>
          <w:sz w:val="24"/>
          <w:szCs w:val="24"/>
          <w:highlight w:val="none"/>
          <w:u w:val="none"/>
        </w:rPr>
        <w:t>-1。</w:t>
      </w:r>
      <w:r>
        <w:rPr>
          <w:rFonts w:hint="eastAsia" w:ascii="宋体" w:hAnsi="宋体" w:cs="宋体"/>
          <w:color w:val="auto"/>
          <w:kern w:val="0"/>
          <w:sz w:val="24"/>
          <w:szCs w:val="24"/>
          <w:highlight w:val="none"/>
          <w:u w:val="none"/>
        </w:rPr>
        <w:t>地下水监测点设置情况</w:t>
      </w:r>
      <w:r>
        <w:rPr>
          <w:rFonts w:hint="eastAsia" w:ascii="宋体" w:hAnsi="宋体" w:cs="宋体"/>
          <w:color w:val="auto"/>
          <w:kern w:val="0"/>
          <w:sz w:val="24"/>
          <w:szCs w:val="24"/>
          <w:highlight w:val="none"/>
          <w:u w:val="none"/>
          <w:lang w:eastAsia="zh-CN"/>
        </w:rPr>
        <w:t>，</w:t>
      </w:r>
      <w:r>
        <w:rPr>
          <w:rFonts w:ascii="宋体" w:hAnsi="宋体" w:cs="宋体"/>
          <w:color w:val="auto"/>
          <w:kern w:val="0"/>
          <w:sz w:val="24"/>
          <w:szCs w:val="24"/>
          <w:highlight w:val="none"/>
          <w:u w:val="none"/>
        </w:rPr>
        <w:t>见表4.</w:t>
      </w:r>
      <w:r>
        <w:rPr>
          <w:rFonts w:hint="eastAsia" w:ascii="宋体" w:hAnsi="宋体" w:cs="宋体"/>
          <w:color w:val="auto"/>
          <w:kern w:val="0"/>
          <w:sz w:val="24"/>
          <w:szCs w:val="24"/>
          <w:highlight w:val="none"/>
          <w:u w:val="none"/>
          <w:lang w:val="en-US" w:eastAsia="zh-CN"/>
        </w:rPr>
        <w:t>3</w:t>
      </w:r>
      <w:r>
        <w:rPr>
          <w:rFonts w:hint="eastAsia" w:ascii="宋体" w:hAnsi="宋体" w:cs="宋体"/>
          <w:color w:val="auto"/>
          <w:kern w:val="0"/>
          <w:sz w:val="24"/>
          <w:szCs w:val="24"/>
          <w:highlight w:val="none"/>
          <w:u w:val="none"/>
        </w:rPr>
        <w:t>-</w:t>
      </w:r>
      <w:r>
        <w:rPr>
          <w:rFonts w:hint="eastAsia" w:ascii="宋体" w:hAnsi="宋体" w:cs="宋体"/>
          <w:color w:val="auto"/>
          <w:kern w:val="0"/>
          <w:sz w:val="24"/>
          <w:szCs w:val="24"/>
          <w:highlight w:val="none"/>
          <w:u w:val="none"/>
          <w:lang w:val="en-US" w:eastAsia="zh-CN"/>
        </w:rPr>
        <w:t>1</w:t>
      </w:r>
      <w:r>
        <w:rPr>
          <w:rFonts w:ascii="宋体" w:hAnsi="宋体" w:cs="宋体"/>
          <w:color w:val="auto"/>
          <w:kern w:val="0"/>
          <w:sz w:val="24"/>
          <w:szCs w:val="24"/>
          <w:highlight w:val="none"/>
          <w:u w:val="none"/>
        </w:rPr>
        <w:t>。</w:t>
      </w:r>
    </w:p>
    <w:p w14:paraId="589AB8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表4.3-1   地下水监测点设置情况一览表</w:t>
      </w:r>
    </w:p>
    <w:tbl>
      <w:tblPr>
        <w:tblStyle w:val="37"/>
        <w:tblW w:w="511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63"/>
        <w:gridCol w:w="568"/>
        <w:gridCol w:w="2954"/>
        <w:gridCol w:w="1532"/>
        <w:gridCol w:w="1404"/>
        <w:gridCol w:w="1029"/>
      </w:tblGrid>
      <w:tr w14:paraId="75D621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770" w:type="pct"/>
            <w:tcBorders>
              <w:tl2br w:val="nil"/>
              <w:tr2bl w:val="nil"/>
            </w:tcBorders>
            <w:vAlign w:val="center"/>
          </w:tcPr>
          <w:p w14:paraId="267100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监测点名称</w:t>
            </w:r>
          </w:p>
        </w:tc>
        <w:tc>
          <w:tcPr>
            <w:tcW w:w="321" w:type="pct"/>
            <w:tcBorders>
              <w:tl2br w:val="nil"/>
              <w:tr2bl w:val="nil"/>
            </w:tcBorders>
            <w:vAlign w:val="center"/>
          </w:tcPr>
          <w:p w14:paraId="7465D1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监测层位</w:t>
            </w:r>
          </w:p>
        </w:tc>
        <w:tc>
          <w:tcPr>
            <w:tcW w:w="1668" w:type="pct"/>
            <w:tcBorders>
              <w:tl2br w:val="nil"/>
              <w:tr2bl w:val="nil"/>
            </w:tcBorders>
            <w:vAlign w:val="center"/>
          </w:tcPr>
          <w:p w14:paraId="0F53EA4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方位，距离</w:t>
            </w:r>
          </w:p>
        </w:tc>
        <w:tc>
          <w:tcPr>
            <w:tcW w:w="865" w:type="pct"/>
            <w:tcBorders>
              <w:tl2br w:val="nil"/>
              <w:tr2bl w:val="nil"/>
            </w:tcBorders>
            <w:vAlign w:val="center"/>
          </w:tcPr>
          <w:p w14:paraId="18F9A3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东经</w:t>
            </w:r>
          </w:p>
        </w:tc>
        <w:tc>
          <w:tcPr>
            <w:tcW w:w="793" w:type="pct"/>
            <w:tcBorders>
              <w:tl2br w:val="nil"/>
              <w:tr2bl w:val="nil"/>
            </w:tcBorders>
            <w:vAlign w:val="center"/>
          </w:tcPr>
          <w:p w14:paraId="163D09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北纬</w:t>
            </w:r>
          </w:p>
        </w:tc>
        <w:tc>
          <w:tcPr>
            <w:tcW w:w="581" w:type="pct"/>
            <w:tcBorders>
              <w:tl2br w:val="nil"/>
              <w:tr2bl w:val="nil"/>
            </w:tcBorders>
            <w:vAlign w:val="center"/>
          </w:tcPr>
          <w:p w14:paraId="616C1E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备注</w:t>
            </w:r>
          </w:p>
        </w:tc>
      </w:tr>
      <w:tr w14:paraId="1872E8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0" w:type="pct"/>
            <w:tcBorders>
              <w:tl2br w:val="nil"/>
              <w:tr2bl w:val="nil"/>
            </w:tcBorders>
            <w:vAlign w:val="center"/>
          </w:tcPr>
          <w:p w14:paraId="5ABA3C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莫北4#水井</w:t>
            </w:r>
          </w:p>
        </w:tc>
        <w:tc>
          <w:tcPr>
            <w:tcW w:w="321" w:type="pct"/>
            <w:vMerge w:val="restart"/>
            <w:tcBorders>
              <w:tl2br w:val="nil"/>
              <w:tr2bl w:val="nil"/>
            </w:tcBorders>
            <w:vAlign w:val="center"/>
          </w:tcPr>
          <w:p w14:paraId="5BC58D7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潜水层</w:t>
            </w:r>
          </w:p>
        </w:tc>
        <w:tc>
          <w:tcPr>
            <w:tcW w:w="1668" w:type="pct"/>
            <w:tcBorders>
              <w:tl2br w:val="nil"/>
              <w:tr2bl w:val="nil"/>
            </w:tcBorders>
            <w:vAlign w:val="center"/>
          </w:tcPr>
          <w:p w14:paraId="4CA6E92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项目区上游，</w:t>
            </w:r>
          </w:p>
          <w:p w14:paraId="750C14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MBHW6008井</w:t>
            </w:r>
            <w:r>
              <w:rPr>
                <w:rFonts w:hint="eastAsia" w:ascii="宋体" w:hAnsi="宋体" w:eastAsia="宋体" w:cs="宋体"/>
                <w:color w:val="auto"/>
                <w:sz w:val="21"/>
                <w:szCs w:val="21"/>
                <w:highlight w:val="none"/>
                <w:u w:val="none"/>
                <w:lang w:val="en-US" w:eastAsia="zh-CN"/>
              </w:rPr>
              <w:t>东</w:t>
            </w:r>
            <w:r>
              <w:rPr>
                <w:rFonts w:hint="eastAsia" w:ascii="宋体" w:hAnsi="宋体" w:cs="宋体"/>
                <w:color w:val="auto"/>
                <w:sz w:val="21"/>
                <w:szCs w:val="21"/>
                <w:highlight w:val="none"/>
                <w:u w:val="none"/>
                <w:lang w:val="en-US" w:eastAsia="zh-CN"/>
              </w:rPr>
              <w:t>北</w:t>
            </w:r>
            <w:r>
              <w:rPr>
                <w:rFonts w:hint="eastAsia" w:ascii="宋体" w:hAnsi="宋体" w:eastAsia="宋体" w:cs="宋体"/>
                <w:color w:val="auto"/>
                <w:sz w:val="21"/>
                <w:szCs w:val="21"/>
                <w:highlight w:val="none"/>
                <w:u w:val="none"/>
                <w:lang w:val="en-US" w:eastAsia="zh-CN"/>
              </w:rPr>
              <w:t>侧</w:t>
            </w:r>
            <w:r>
              <w:rPr>
                <w:rFonts w:hint="eastAsia" w:ascii="宋体" w:hAnsi="宋体" w:eastAsia="宋体" w:cs="宋体"/>
                <w:color w:val="auto"/>
                <w:sz w:val="21"/>
                <w:szCs w:val="21"/>
                <w:highlight w:val="none"/>
                <w:u w:val="none"/>
              </w:rPr>
              <w:t>约</w:t>
            </w:r>
            <w:r>
              <w:rPr>
                <w:rFonts w:hint="eastAsia" w:ascii="宋体" w:hAnsi="宋体" w:cs="宋体"/>
                <w:color w:val="auto"/>
                <w:sz w:val="21"/>
                <w:szCs w:val="21"/>
                <w:highlight w:val="none"/>
                <w:u w:val="none"/>
                <w:lang w:val="en-US" w:eastAsia="zh-CN"/>
              </w:rPr>
              <w:t>16.3</w:t>
            </w:r>
            <w:r>
              <w:rPr>
                <w:rFonts w:hint="eastAsia" w:ascii="宋体" w:hAnsi="宋体" w:eastAsia="宋体" w:cs="宋体"/>
                <w:color w:val="auto"/>
                <w:sz w:val="21"/>
                <w:szCs w:val="21"/>
                <w:highlight w:val="none"/>
                <w:u w:val="none"/>
              </w:rPr>
              <w:t>km</w:t>
            </w:r>
          </w:p>
        </w:tc>
        <w:tc>
          <w:tcPr>
            <w:tcW w:w="865" w:type="pct"/>
            <w:tcBorders>
              <w:tl2br w:val="nil"/>
              <w:tr2bl w:val="nil"/>
            </w:tcBorders>
            <w:vAlign w:val="center"/>
          </w:tcPr>
          <w:p w14:paraId="3B17BDF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86°46'18.54"</w:t>
            </w:r>
          </w:p>
        </w:tc>
        <w:tc>
          <w:tcPr>
            <w:tcW w:w="793" w:type="pct"/>
            <w:tcBorders>
              <w:tl2br w:val="nil"/>
              <w:tr2bl w:val="nil"/>
            </w:tcBorders>
            <w:vAlign w:val="center"/>
          </w:tcPr>
          <w:p w14:paraId="6927FE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45°14'24.50"</w:t>
            </w:r>
          </w:p>
        </w:tc>
        <w:tc>
          <w:tcPr>
            <w:tcW w:w="581" w:type="pct"/>
            <w:vMerge w:val="restart"/>
            <w:tcBorders>
              <w:tl2br w:val="nil"/>
              <w:tr2bl w:val="nil"/>
            </w:tcBorders>
            <w:vAlign w:val="center"/>
          </w:tcPr>
          <w:p w14:paraId="5CB58F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水质、水位监测点</w:t>
            </w:r>
          </w:p>
        </w:tc>
      </w:tr>
      <w:tr w14:paraId="1D73A2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0" w:type="pct"/>
            <w:tcBorders>
              <w:tl2br w:val="nil"/>
              <w:tr2bl w:val="nil"/>
            </w:tcBorders>
            <w:vAlign w:val="center"/>
          </w:tcPr>
          <w:p w14:paraId="3710563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莫北11#水井</w:t>
            </w:r>
          </w:p>
        </w:tc>
        <w:tc>
          <w:tcPr>
            <w:tcW w:w="321" w:type="pct"/>
            <w:vMerge w:val="continue"/>
            <w:tcBorders>
              <w:tl2br w:val="nil"/>
              <w:tr2bl w:val="nil"/>
            </w:tcBorders>
            <w:vAlign w:val="center"/>
          </w:tcPr>
          <w:p w14:paraId="059CB5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p>
        </w:tc>
        <w:tc>
          <w:tcPr>
            <w:tcW w:w="1668" w:type="pct"/>
            <w:tcBorders>
              <w:tl2br w:val="nil"/>
              <w:tr2bl w:val="nil"/>
            </w:tcBorders>
            <w:vAlign w:val="center"/>
          </w:tcPr>
          <w:p w14:paraId="4C0905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项目区上游，</w:t>
            </w:r>
          </w:p>
          <w:p w14:paraId="158E99F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MBHW6008井</w:t>
            </w:r>
            <w:r>
              <w:rPr>
                <w:rFonts w:hint="eastAsia" w:ascii="宋体" w:hAnsi="宋体" w:eastAsia="宋体" w:cs="宋体"/>
                <w:color w:val="auto"/>
                <w:sz w:val="21"/>
                <w:szCs w:val="21"/>
                <w:highlight w:val="none"/>
                <w:u w:val="none"/>
                <w:lang w:val="en-US" w:eastAsia="zh-CN"/>
              </w:rPr>
              <w:t>东</w:t>
            </w:r>
            <w:r>
              <w:rPr>
                <w:rFonts w:hint="eastAsia" w:ascii="宋体" w:hAnsi="宋体" w:cs="宋体"/>
                <w:color w:val="auto"/>
                <w:sz w:val="21"/>
                <w:szCs w:val="21"/>
                <w:highlight w:val="none"/>
                <w:u w:val="none"/>
                <w:lang w:val="en-US" w:eastAsia="zh-CN"/>
              </w:rPr>
              <w:t>北</w:t>
            </w:r>
            <w:r>
              <w:rPr>
                <w:rFonts w:hint="eastAsia" w:ascii="宋体" w:hAnsi="宋体" w:eastAsia="宋体" w:cs="宋体"/>
                <w:color w:val="auto"/>
                <w:sz w:val="21"/>
                <w:szCs w:val="21"/>
                <w:highlight w:val="none"/>
                <w:u w:val="none"/>
                <w:lang w:val="en-US" w:eastAsia="zh-CN"/>
              </w:rPr>
              <w:t>侧</w:t>
            </w:r>
            <w:r>
              <w:rPr>
                <w:rFonts w:hint="eastAsia" w:ascii="宋体" w:hAnsi="宋体" w:eastAsia="宋体" w:cs="宋体"/>
                <w:color w:val="auto"/>
                <w:sz w:val="21"/>
                <w:szCs w:val="21"/>
                <w:highlight w:val="none"/>
                <w:u w:val="none"/>
              </w:rPr>
              <w:t>约</w:t>
            </w:r>
            <w:r>
              <w:rPr>
                <w:rFonts w:hint="eastAsia" w:ascii="宋体" w:hAnsi="宋体" w:cs="宋体"/>
                <w:color w:val="auto"/>
                <w:sz w:val="21"/>
                <w:szCs w:val="21"/>
                <w:highlight w:val="none"/>
                <w:u w:val="none"/>
                <w:lang w:val="en-US" w:eastAsia="zh-CN"/>
              </w:rPr>
              <w:t>14.0</w:t>
            </w:r>
            <w:r>
              <w:rPr>
                <w:rFonts w:hint="eastAsia" w:ascii="宋体" w:hAnsi="宋体" w:eastAsia="宋体" w:cs="宋体"/>
                <w:color w:val="auto"/>
                <w:sz w:val="21"/>
                <w:szCs w:val="21"/>
                <w:highlight w:val="none"/>
                <w:u w:val="none"/>
              </w:rPr>
              <w:t>km</w:t>
            </w:r>
          </w:p>
        </w:tc>
        <w:tc>
          <w:tcPr>
            <w:tcW w:w="865" w:type="pct"/>
            <w:tcBorders>
              <w:tl2br w:val="nil"/>
              <w:tr2bl w:val="nil"/>
            </w:tcBorders>
            <w:vAlign w:val="center"/>
          </w:tcPr>
          <w:p w14:paraId="31B9732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86°45′54.15″</w:t>
            </w:r>
          </w:p>
        </w:tc>
        <w:tc>
          <w:tcPr>
            <w:tcW w:w="793" w:type="pct"/>
            <w:tcBorders>
              <w:tl2br w:val="nil"/>
              <w:tr2bl w:val="nil"/>
            </w:tcBorders>
            <w:vAlign w:val="center"/>
          </w:tcPr>
          <w:p w14:paraId="688A9C7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45°12′58.99″</w:t>
            </w:r>
          </w:p>
        </w:tc>
        <w:tc>
          <w:tcPr>
            <w:tcW w:w="581" w:type="pct"/>
            <w:vMerge w:val="continue"/>
            <w:tcBorders>
              <w:tl2br w:val="nil"/>
              <w:tr2bl w:val="nil"/>
            </w:tcBorders>
            <w:vAlign w:val="center"/>
          </w:tcPr>
          <w:p w14:paraId="40B9D7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p>
        </w:tc>
      </w:tr>
      <w:tr w14:paraId="482D6F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0" w:type="pct"/>
            <w:tcBorders>
              <w:tl2br w:val="nil"/>
              <w:tr2bl w:val="nil"/>
            </w:tcBorders>
            <w:vAlign w:val="center"/>
          </w:tcPr>
          <w:p w14:paraId="00D7D84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莫北8#水井</w:t>
            </w:r>
          </w:p>
        </w:tc>
        <w:tc>
          <w:tcPr>
            <w:tcW w:w="321" w:type="pct"/>
            <w:vMerge w:val="continue"/>
            <w:tcBorders>
              <w:tl2br w:val="nil"/>
              <w:tr2bl w:val="nil"/>
            </w:tcBorders>
            <w:vAlign w:val="center"/>
          </w:tcPr>
          <w:p w14:paraId="58758F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p>
        </w:tc>
        <w:tc>
          <w:tcPr>
            <w:tcW w:w="1668" w:type="pct"/>
            <w:tcBorders>
              <w:tl2br w:val="nil"/>
              <w:tr2bl w:val="nil"/>
            </w:tcBorders>
            <w:vAlign w:val="center"/>
          </w:tcPr>
          <w:p w14:paraId="548950D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项目区上游，</w:t>
            </w:r>
          </w:p>
          <w:p w14:paraId="001A1F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MBHW6008井</w:t>
            </w:r>
            <w:r>
              <w:rPr>
                <w:rFonts w:hint="eastAsia" w:ascii="宋体" w:hAnsi="宋体" w:eastAsia="宋体" w:cs="宋体"/>
                <w:color w:val="auto"/>
                <w:sz w:val="21"/>
                <w:szCs w:val="21"/>
                <w:highlight w:val="none"/>
                <w:u w:val="none"/>
                <w:lang w:val="en-US" w:eastAsia="zh-CN"/>
              </w:rPr>
              <w:t>东</w:t>
            </w:r>
            <w:r>
              <w:rPr>
                <w:rFonts w:hint="eastAsia" w:ascii="宋体" w:hAnsi="宋体" w:cs="宋体"/>
                <w:color w:val="auto"/>
                <w:sz w:val="21"/>
                <w:szCs w:val="21"/>
                <w:highlight w:val="none"/>
                <w:u w:val="none"/>
                <w:lang w:val="en-US" w:eastAsia="zh-CN"/>
              </w:rPr>
              <w:t>北</w:t>
            </w:r>
            <w:r>
              <w:rPr>
                <w:rFonts w:hint="eastAsia" w:ascii="宋体" w:hAnsi="宋体" w:eastAsia="宋体" w:cs="宋体"/>
                <w:color w:val="auto"/>
                <w:sz w:val="21"/>
                <w:szCs w:val="21"/>
                <w:highlight w:val="none"/>
                <w:u w:val="none"/>
                <w:lang w:val="en-US" w:eastAsia="zh-CN"/>
              </w:rPr>
              <w:t>侧</w:t>
            </w:r>
            <w:r>
              <w:rPr>
                <w:rFonts w:hint="eastAsia" w:ascii="宋体" w:hAnsi="宋体" w:eastAsia="宋体" w:cs="宋体"/>
                <w:color w:val="auto"/>
                <w:sz w:val="21"/>
                <w:szCs w:val="21"/>
                <w:highlight w:val="none"/>
                <w:u w:val="none"/>
              </w:rPr>
              <w:t>约</w:t>
            </w:r>
            <w:r>
              <w:rPr>
                <w:rFonts w:hint="eastAsia" w:ascii="宋体" w:hAnsi="宋体" w:cs="宋体"/>
                <w:color w:val="auto"/>
                <w:sz w:val="21"/>
                <w:szCs w:val="21"/>
                <w:highlight w:val="none"/>
                <w:u w:val="none"/>
                <w:lang w:val="en-US" w:eastAsia="zh-CN"/>
              </w:rPr>
              <w:t>14.4</w:t>
            </w:r>
            <w:r>
              <w:rPr>
                <w:rFonts w:hint="eastAsia" w:ascii="宋体" w:hAnsi="宋体" w:eastAsia="宋体" w:cs="宋体"/>
                <w:color w:val="auto"/>
                <w:sz w:val="21"/>
                <w:szCs w:val="21"/>
                <w:highlight w:val="none"/>
                <w:u w:val="none"/>
              </w:rPr>
              <w:t>km</w:t>
            </w:r>
          </w:p>
        </w:tc>
        <w:tc>
          <w:tcPr>
            <w:tcW w:w="865" w:type="pct"/>
            <w:tcBorders>
              <w:tl2br w:val="nil"/>
              <w:tr2bl w:val="nil"/>
            </w:tcBorders>
            <w:vAlign w:val="center"/>
          </w:tcPr>
          <w:p w14:paraId="6E1596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86°46′6.40″</w:t>
            </w:r>
          </w:p>
        </w:tc>
        <w:tc>
          <w:tcPr>
            <w:tcW w:w="793" w:type="pct"/>
            <w:tcBorders>
              <w:tl2br w:val="nil"/>
              <w:tr2bl w:val="nil"/>
            </w:tcBorders>
            <w:vAlign w:val="center"/>
          </w:tcPr>
          <w:p w14:paraId="157998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45°13′7.33″</w:t>
            </w:r>
          </w:p>
        </w:tc>
        <w:tc>
          <w:tcPr>
            <w:tcW w:w="581" w:type="pct"/>
            <w:vMerge w:val="continue"/>
            <w:tcBorders>
              <w:tl2br w:val="nil"/>
              <w:tr2bl w:val="nil"/>
            </w:tcBorders>
            <w:vAlign w:val="center"/>
          </w:tcPr>
          <w:p w14:paraId="74B27C3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p>
        </w:tc>
      </w:tr>
      <w:tr w14:paraId="281916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0" w:type="pct"/>
            <w:tcBorders>
              <w:tl2br w:val="nil"/>
              <w:tr2bl w:val="nil"/>
            </w:tcBorders>
            <w:vAlign w:val="center"/>
          </w:tcPr>
          <w:p w14:paraId="0C2EA0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莫北12#水井</w:t>
            </w:r>
          </w:p>
        </w:tc>
        <w:tc>
          <w:tcPr>
            <w:tcW w:w="321" w:type="pct"/>
            <w:vMerge w:val="continue"/>
            <w:tcBorders>
              <w:tl2br w:val="nil"/>
              <w:tr2bl w:val="nil"/>
            </w:tcBorders>
            <w:vAlign w:val="center"/>
          </w:tcPr>
          <w:p w14:paraId="08E65A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p>
        </w:tc>
        <w:tc>
          <w:tcPr>
            <w:tcW w:w="1668" w:type="pct"/>
            <w:tcBorders>
              <w:tl2br w:val="nil"/>
              <w:tr2bl w:val="nil"/>
            </w:tcBorders>
            <w:vAlign w:val="center"/>
          </w:tcPr>
          <w:p w14:paraId="5F1D223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项目区上游，</w:t>
            </w:r>
          </w:p>
          <w:p w14:paraId="1DCABB8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MBHW6008井</w:t>
            </w:r>
            <w:r>
              <w:rPr>
                <w:rFonts w:hint="eastAsia" w:ascii="宋体" w:hAnsi="宋体" w:eastAsia="宋体" w:cs="宋体"/>
                <w:color w:val="auto"/>
                <w:sz w:val="21"/>
                <w:szCs w:val="21"/>
                <w:highlight w:val="none"/>
                <w:u w:val="none"/>
                <w:lang w:val="en-US" w:eastAsia="zh-CN"/>
              </w:rPr>
              <w:t>东</w:t>
            </w:r>
            <w:r>
              <w:rPr>
                <w:rFonts w:hint="eastAsia" w:ascii="宋体" w:hAnsi="宋体" w:cs="宋体"/>
                <w:color w:val="auto"/>
                <w:sz w:val="21"/>
                <w:szCs w:val="21"/>
                <w:highlight w:val="none"/>
                <w:u w:val="none"/>
                <w:lang w:val="en-US" w:eastAsia="zh-CN"/>
              </w:rPr>
              <w:t>北</w:t>
            </w:r>
            <w:r>
              <w:rPr>
                <w:rFonts w:hint="eastAsia" w:ascii="宋体" w:hAnsi="宋体" w:eastAsia="宋体" w:cs="宋体"/>
                <w:color w:val="auto"/>
                <w:sz w:val="21"/>
                <w:szCs w:val="21"/>
                <w:highlight w:val="none"/>
                <w:u w:val="none"/>
                <w:lang w:val="en-US" w:eastAsia="zh-CN"/>
              </w:rPr>
              <w:t>侧</w:t>
            </w:r>
            <w:r>
              <w:rPr>
                <w:rFonts w:hint="eastAsia" w:ascii="宋体" w:hAnsi="宋体" w:eastAsia="宋体" w:cs="宋体"/>
                <w:color w:val="auto"/>
                <w:sz w:val="21"/>
                <w:szCs w:val="21"/>
                <w:highlight w:val="none"/>
                <w:u w:val="none"/>
              </w:rPr>
              <w:t>约</w:t>
            </w:r>
            <w:r>
              <w:rPr>
                <w:rFonts w:hint="eastAsia" w:ascii="宋体" w:hAnsi="宋体" w:cs="宋体"/>
                <w:color w:val="auto"/>
                <w:sz w:val="21"/>
                <w:szCs w:val="21"/>
                <w:highlight w:val="none"/>
                <w:u w:val="none"/>
                <w:lang w:val="en-US" w:eastAsia="zh-CN"/>
              </w:rPr>
              <w:t>14.0</w:t>
            </w:r>
            <w:r>
              <w:rPr>
                <w:rFonts w:hint="eastAsia" w:ascii="宋体" w:hAnsi="宋体" w:eastAsia="宋体" w:cs="宋体"/>
                <w:color w:val="auto"/>
                <w:sz w:val="21"/>
                <w:szCs w:val="21"/>
                <w:highlight w:val="none"/>
                <w:u w:val="none"/>
              </w:rPr>
              <w:t>km</w:t>
            </w:r>
          </w:p>
        </w:tc>
        <w:tc>
          <w:tcPr>
            <w:tcW w:w="865" w:type="pct"/>
            <w:tcBorders>
              <w:tl2br w:val="nil"/>
              <w:tr2bl w:val="nil"/>
            </w:tcBorders>
            <w:vAlign w:val="center"/>
          </w:tcPr>
          <w:p w14:paraId="5D404F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86°45′54.15″</w:t>
            </w:r>
          </w:p>
        </w:tc>
        <w:tc>
          <w:tcPr>
            <w:tcW w:w="793" w:type="pct"/>
            <w:tcBorders>
              <w:tl2br w:val="nil"/>
              <w:tr2bl w:val="nil"/>
            </w:tcBorders>
            <w:vAlign w:val="center"/>
          </w:tcPr>
          <w:p w14:paraId="5D166F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45°12′58.99″</w:t>
            </w:r>
          </w:p>
        </w:tc>
        <w:tc>
          <w:tcPr>
            <w:tcW w:w="581" w:type="pct"/>
            <w:vMerge w:val="continue"/>
            <w:tcBorders>
              <w:tl2br w:val="nil"/>
              <w:tr2bl w:val="nil"/>
            </w:tcBorders>
            <w:vAlign w:val="center"/>
          </w:tcPr>
          <w:p w14:paraId="4DD031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p>
        </w:tc>
      </w:tr>
      <w:tr w14:paraId="6D9DCB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0" w:type="pct"/>
            <w:tcBorders>
              <w:tl2br w:val="nil"/>
              <w:tr2bl w:val="nil"/>
            </w:tcBorders>
            <w:vAlign w:val="center"/>
          </w:tcPr>
          <w:p w14:paraId="24CAEB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莫北6#水井</w:t>
            </w:r>
          </w:p>
        </w:tc>
        <w:tc>
          <w:tcPr>
            <w:tcW w:w="321" w:type="pct"/>
            <w:vMerge w:val="continue"/>
            <w:tcBorders>
              <w:tl2br w:val="nil"/>
              <w:tr2bl w:val="nil"/>
            </w:tcBorders>
            <w:vAlign w:val="center"/>
          </w:tcPr>
          <w:p w14:paraId="00A4981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p>
        </w:tc>
        <w:tc>
          <w:tcPr>
            <w:tcW w:w="1668" w:type="pct"/>
            <w:tcBorders>
              <w:tl2br w:val="nil"/>
              <w:tr2bl w:val="nil"/>
            </w:tcBorders>
            <w:vAlign w:val="center"/>
          </w:tcPr>
          <w:p w14:paraId="33CFF9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项目区</w:t>
            </w:r>
            <w:r>
              <w:rPr>
                <w:rFonts w:hint="eastAsia" w:ascii="宋体" w:hAnsi="宋体" w:cs="宋体"/>
                <w:color w:val="auto"/>
                <w:sz w:val="21"/>
                <w:szCs w:val="21"/>
                <w:highlight w:val="none"/>
                <w:u w:val="none"/>
                <w:lang w:val="en-US" w:eastAsia="zh-CN"/>
              </w:rPr>
              <w:t>侧向</w:t>
            </w:r>
            <w:r>
              <w:rPr>
                <w:rFonts w:hint="eastAsia" w:ascii="宋体" w:hAnsi="宋体" w:eastAsia="宋体" w:cs="宋体"/>
                <w:color w:val="auto"/>
                <w:sz w:val="21"/>
                <w:szCs w:val="21"/>
                <w:highlight w:val="none"/>
                <w:u w:val="none"/>
              </w:rPr>
              <w:t>，</w:t>
            </w:r>
          </w:p>
          <w:p w14:paraId="6ECCEF9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MBHW6006井西北</w:t>
            </w:r>
            <w:r>
              <w:rPr>
                <w:rFonts w:hint="eastAsia" w:ascii="宋体" w:hAnsi="宋体" w:eastAsia="宋体" w:cs="宋体"/>
                <w:color w:val="auto"/>
                <w:sz w:val="21"/>
                <w:szCs w:val="21"/>
                <w:highlight w:val="none"/>
                <w:u w:val="none"/>
                <w:lang w:val="en-US" w:eastAsia="zh-CN"/>
              </w:rPr>
              <w:t>侧</w:t>
            </w:r>
            <w:r>
              <w:rPr>
                <w:rFonts w:hint="eastAsia" w:ascii="宋体" w:hAnsi="宋体" w:eastAsia="宋体" w:cs="宋体"/>
                <w:color w:val="auto"/>
                <w:sz w:val="21"/>
                <w:szCs w:val="21"/>
                <w:highlight w:val="none"/>
                <w:u w:val="none"/>
              </w:rPr>
              <w:t>约</w:t>
            </w:r>
            <w:r>
              <w:rPr>
                <w:rFonts w:hint="eastAsia" w:ascii="宋体" w:hAnsi="宋体" w:cs="宋体"/>
                <w:color w:val="auto"/>
                <w:sz w:val="21"/>
                <w:szCs w:val="21"/>
                <w:highlight w:val="none"/>
                <w:u w:val="none"/>
                <w:lang w:val="en-US" w:eastAsia="zh-CN"/>
              </w:rPr>
              <w:t>1.1</w:t>
            </w:r>
            <w:r>
              <w:rPr>
                <w:rFonts w:hint="eastAsia" w:ascii="宋体" w:hAnsi="宋体" w:eastAsia="宋体" w:cs="宋体"/>
                <w:color w:val="auto"/>
                <w:sz w:val="21"/>
                <w:szCs w:val="21"/>
                <w:highlight w:val="none"/>
                <w:u w:val="none"/>
              </w:rPr>
              <w:t>km</w:t>
            </w:r>
          </w:p>
        </w:tc>
        <w:tc>
          <w:tcPr>
            <w:tcW w:w="865" w:type="pct"/>
            <w:tcBorders>
              <w:tl2br w:val="nil"/>
              <w:tr2bl w:val="nil"/>
            </w:tcBorders>
            <w:vAlign w:val="center"/>
          </w:tcPr>
          <w:p w14:paraId="2B5C54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86°36′06.86″</w:t>
            </w:r>
          </w:p>
        </w:tc>
        <w:tc>
          <w:tcPr>
            <w:tcW w:w="793" w:type="pct"/>
            <w:tcBorders>
              <w:tl2br w:val="nil"/>
              <w:tr2bl w:val="nil"/>
            </w:tcBorders>
            <w:vAlign w:val="center"/>
          </w:tcPr>
          <w:p w14:paraId="573845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45°06′35.71″</w:t>
            </w:r>
          </w:p>
        </w:tc>
        <w:tc>
          <w:tcPr>
            <w:tcW w:w="581" w:type="pct"/>
            <w:vMerge w:val="continue"/>
            <w:tcBorders>
              <w:tl2br w:val="nil"/>
              <w:tr2bl w:val="nil"/>
            </w:tcBorders>
            <w:vAlign w:val="center"/>
          </w:tcPr>
          <w:p w14:paraId="7761BC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p>
        </w:tc>
      </w:tr>
      <w:tr w14:paraId="2F1C6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0" w:type="pct"/>
            <w:tcBorders>
              <w:tl2br w:val="nil"/>
              <w:tr2bl w:val="nil"/>
            </w:tcBorders>
            <w:vAlign w:val="center"/>
          </w:tcPr>
          <w:p w14:paraId="1500C6E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莫北5#水井</w:t>
            </w:r>
          </w:p>
        </w:tc>
        <w:tc>
          <w:tcPr>
            <w:tcW w:w="321" w:type="pct"/>
            <w:tcBorders>
              <w:tl2br w:val="nil"/>
              <w:tr2bl w:val="nil"/>
            </w:tcBorders>
            <w:vAlign w:val="center"/>
          </w:tcPr>
          <w:p w14:paraId="6A2D84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w:t>
            </w:r>
          </w:p>
        </w:tc>
        <w:tc>
          <w:tcPr>
            <w:tcW w:w="1668" w:type="pct"/>
            <w:tcBorders>
              <w:tl2br w:val="nil"/>
              <w:tr2bl w:val="nil"/>
            </w:tcBorders>
            <w:vAlign w:val="center"/>
          </w:tcPr>
          <w:p w14:paraId="79D6150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项目区上游，</w:t>
            </w:r>
          </w:p>
          <w:p w14:paraId="11061F9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MBHW6008井</w:t>
            </w:r>
            <w:r>
              <w:rPr>
                <w:rFonts w:hint="eastAsia" w:ascii="宋体" w:hAnsi="宋体" w:eastAsia="宋体" w:cs="宋体"/>
                <w:color w:val="auto"/>
                <w:sz w:val="21"/>
                <w:szCs w:val="21"/>
                <w:highlight w:val="none"/>
                <w:u w:val="none"/>
                <w:lang w:val="en-US" w:eastAsia="zh-CN"/>
              </w:rPr>
              <w:t>东</w:t>
            </w:r>
            <w:r>
              <w:rPr>
                <w:rFonts w:hint="eastAsia" w:ascii="宋体" w:hAnsi="宋体" w:cs="宋体"/>
                <w:color w:val="auto"/>
                <w:sz w:val="21"/>
                <w:szCs w:val="21"/>
                <w:highlight w:val="none"/>
                <w:u w:val="none"/>
                <w:lang w:val="en-US" w:eastAsia="zh-CN"/>
              </w:rPr>
              <w:t>北</w:t>
            </w:r>
            <w:r>
              <w:rPr>
                <w:rFonts w:hint="eastAsia" w:ascii="宋体" w:hAnsi="宋体" w:eastAsia="宋体" w:cs="宋体"/>
                <w:color w:val="auto"/>
                <w:sz w:val="21"/>
                <w:szCs w:val="21"/>
                <w:highlight w:val="none"/>
                <w:u w:val="none"/>
                <w:lang w:val="en-US" w:eastAsia="zh-CN"/>
              </w:rPr>
              <w:t>侧</w:t>
            </w:r>
            <w:r>
              <w:rPr>
                <w:rFonts w:hint="eastAsia" w:ascii="宋体" w:hAnsi="宋体" w:eastAsia="宋体" w:cs="宋体"/>
                <w:color w:val="auto"/>
                <w:sz w:val="21"/>
                <w:szCs w:val="21"/>
                <w:highlight w:val="none"/>
                <w:u w:val="none"/>
              </w:rPr>
              <w:t>约</w:t>
            </w:r>
            <w:r>
              <w:rPr>
                <w:rFonts w:hint="eastAsia" w:ascii="宋体" w:hAnsi="宋体" w:cs="宋体"/>
                <w:color w:val="auto"/>
                <w:sz w:val="21"/>
                <w:szCs w:val="21"/>
                <w:highlight w:val="none"/>
                <w:u w:val="none"/>
                <w:lang w:val="en-US" w:eastAsia="zh-CN"/>
              </w:rPr>
              <w:t>17.1</w:t>
            </w:r>
            <w:r>
              <w:rPr>
                <w:rFonts w:hint="eastAsia" w:ascii="宋体" w:hAnsi="宋体" w:eastAsia="宋体" w:cs="宋体"/>
                <w:color w:val="auto"/>
                <w:sz w:val="21"/>
                <w:szCs w:val="21"/>
                <w:highlight w:val="none"/>
                <w:u w:val="none"/>
              </w:rPr>
              <w:t>km</w:t>
            </w:r>
          </w:p>
        </w:tc>
        <w:tc>
          <w:tcPr>
            <w:tcW w:w="865" w:type="pct"/>
            <w:tcBorders>
              <w:tl2br w:val="nil"/>
              <w:tr2bl w:val="nil"/>
            </w:tcBorders>
            <w:vAlign w:val="center"/>
          </w:tcPr>
          <w:p w14:paraId="56EB96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86°45′57.87″</w:t>
            </w:r>
          </w:p>
        </w:tc>
        <w:tc>
          <w:tcPr>
            <w:tcW w:w="793" w:type="pct"/>
            <w:tcBorders>
              <w:tl2br w:val="nil"/>
              <w:tr2bl w:val="nil"/>
            </w:tcBorders>
            <w:vAlign w:val="center"/>
          </w:tcPr>
          <w:p w14:paraId="374CC4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45°15′08.65″</w:t>
            </w:r>
          </w:p>
        </w:tc>
        <w:tc>
          <w:tcPr>
            <w:tcW w:w="581" w:type="pct"/>
            <w:tcBorders>
              <w:tl2br w:val="nil"/>
              <w:tr2bl w:val="nil"/>
            </w:tcBorders>
            <w:vAlign w:val="center"/>
          </w:tcPr>
          <w:p w14:paraId="0970AB8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水位</w:t>
            </w:r>
          </w:p>
        </w:tc>
      </w:tr>
    </w:tbl>
    <w:p w14:paraId="281A917C">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4.</w:t>
      </w:r>
      <w:r>
        <w:rPr>
          <w:rFonts w:hint="eastAsia" w:ascii="宋体" w:hAnsi="宋体" w:cs="宋体"/>
          <w:color w:val="auto"/>
          <w:u w:val="none"/>
          <w:lang w:val="en-US" w:eastAsia="zh-CN"/>
        </w:rPr>
        <w:t>3</w:t>
      </w:r>
      <w:r>
        <w:rPr>
          <w:rFonts w:hint="default" w:ascii="宋体" w:hAnsi="宋体" w:eastAsia="宋体" w:cs="宋体"/>
          <w:color w:val="auto"/>
          <w:u w:val="none"/>
          <w:lang w:val="en-US" w:eastAsia="zh-CN"/>
        </w:rPr>
        <w:t>.2.</w:t>
      </w:r>
      <w:r>
        <w:rPr>
          <w:rFonts w:hint="eastAsia" w:ascii="宋体" w:hAnsi="宋体" w:eastAsia="宋体" w:cs="宋体"/>
          <w:color w:val="auto"/>
          <w:u w:val="none"/>
          <w:lang w:val="en-US" w:eastAsia="zh-CN"/>
        </w:rPr>
        <w:t xml:space="preserve">3 </w:t>
      </w:r>
      <w:r>
        <w:rPr>
          <w:rFonts w:hint="default" w:ascii="宋体" w:hAnsi="宋体" w:eastAsia="宋体" w:cs="宋体"/>
          <w:color w:val="auto"/>
          <w:u w:val="none"/>
          <w:lang w:val="en-US" w:eastAsia="zh-CN"/>
        </w:rPr>
        <w:t>数据有效性说明</w:t>
      </w:r>
    </w:p>
    <w:p w14:paraId="044FD67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根据区域水文地质勘探资料，本工程所在区域地下水流向为由</w:t>
      </w:r>
      <w:r>
        <w:rPr>
          <w:rFonts w:hint="eastAsia" w:ascii="Times New Roman" w:hAnsi="Times New Roman" w:cs="Times New Roman"/>
          <w:snapToGrid w:val="0"/>
          <w:color w:val="auto"/>
          <w:kern w:val="0"/>
          <w:sz w:val="24"/>
          <w:szCs w:val="24"/>
          <w:highlight w:val="none"/>
          <w:u w:val="none"/>
          <w:lang w:val="en-US" w:eastAsia="zh-CN"/>
        </w:rPr>
        <w:t>东北</w:t>
      </w:r>
      <w:r>
        <w:rPr>
          <w:rFonts w:hint="default" w:ascii="Times New Roman" w:hAnsi="Times New Roman" w:cs="Times New Roman"/>
          <w:snapToGrid w:val="0"/>
          <w:color w:val="auto"/>
          <w:kern w:val="0"/>
          <w:sz w:val="24"/>
          <w:szCs w:val="24"/>
          <w:highlight w:val="none"/>
          <w:u w:val="none"/>
        </w:rPr>
        <w:t>向</w:t>
      </w:r>
      <w:r>
        <w:rPr>
          <w:rFonts w:hint="eastAsia" w:ascii="Times New Roman" w:hAnsi="Times New Roman" w:cs="Times New Roman"/>
          <w:snapToGrid w:val="0"/>
          <w:color w:val="auto"/>
          <w:kern w:val="0"/>
          <w:sz w:val="24"/>
          <w:szCs w:val="24"/>
          <w:highlight w:val="none"/>
          <w:u w:val="none"/>
          <w:lang w:val="en-US" w:eastAsia="zh-CN"/>
        </w:rPr>
        <w:t>西南</w:t>
      </w:r>
      <w:r>
        <w:rPr>
          <w:rFonts w:hint="eastAsia" w:ascii="宋体" w:hAnsi="宋体" w:cs="宋体"/>
          <w:color w:val="auto"/>
          <w:sz w:val="24"/>
          <w:szCs w:val="24"/>
          <w:u w:val="none"/>
          <w:lang w:val="en-US" w:eastAsia="zh-CN"/>
        </w:rPr>
        <w:t>。本项目地下水评价等级为三级，根据《环境影响评价技术导则 地下水环境》（HJ610-2016）：“8.3.3.3现状监测点的布设原则，3）三级评价项目潜水含水层的水质监测点应不少于3个，可能受建设项目影响且具有饮用水开发利用价值的含水层1-2个。原则上建设项目场地上游和两侧的地下水水质监测点均不得少于1个”。</w:t>
      </w:r>
    </w:p>
    <w:p w14:paraId="53140C5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highlight w:val="none"/>
          <w:u w:val="none"/>
          <w:lang w:val="en-US" w:eastAsia="zh-CN"/>
        </w:rPr>
        <w:t>莫116井区</w:t>
      </w:r>
      <w:r>
        <w:rPr>
          <w:rFonts w:hint="eastAsia" w:ascii="宋体" w:hAnsi="宋体" w:eastAsia="宋体" w:cs="宋体"/>
          <w:color w:val="auto"/>
          <w:sz w:val="24"/>
          <w:szCs w:val="24"/>
          <w:highlight w:val="none"/>
          <w:u w:val="none"/>
          <w:lang w:val="en-US" w:eastAsia="zh-CN"/>
        </w:rPr>
        <w:t>属于莫北油田，本次评价选择的地下水水质监测点位均位于莫北油田，其中莫北6#水井临近莫11井区，莫北12#水井、莫北11#水井、莫北8#水井</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莫北4#水井和莫北5#水井临近莫北2井区。由于项目区与附近井区的区域水文地质情况和地下水流向基本一致，且本项目类型和产排污情况与附近井区也基本一致，</w:t>
      </w:r>
      <w:r>
        <w:rPr>
          <w:rFonts w:hint="eastAsia" w:ascii="宋体" w:hAnsi="宋体" w:cs="宋体"/>
          <w:color w:val="auto"/>
          <w:sz w:val="24"/>
          <w:szCs w:val="24"/>
          <w:u w:val="none"/>
          <w:lang w:val="en-US" w:eastAsia="zh-CN"/>
        </w:rPr>
        <w:t>引用数据未超过3年，具有代表性，可以说明项目所在区域的地下水环境质量现状。</w:t>
      </w:r>
    </w:p>
    <w:p w14:paraId="0542BF7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故本工程在场地上游布设4个监测点，侧向影响区布设1个地下水水质监测点，布点满足导则要求，且监测井与本工程所在地属于同一水文地质单元，引用数据未超过3年，具有代表性，可以说明项目所在区域的地下水环境质量现状。</w:t>
      </w:r>
    </w:p>
    <w:p w14:paraId="00EF4405">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4.</w:t>
      </w:r>
      <w:r>
        <w:rPr>
          <w:rFonts w:hint="eastAsia" w:ascii="宋体" w:hAnsi="宋体" w:cs="宋体"/>
          <w:color w:val="auto"/>
          <w:u w:val="none"/>
          <w:lang w:val="en-US" w:eastAsia="zh-CN"/>
        </w:rPr>
        <w:t>3</w:t>
      </w:r>
      <w:r>
        <w:rPr>
          <w:rFonts w:hint="default" w:ascii="宋体" w:hAnsi="宋体" w:eastAsia="宋体" w:cs="宋体"/>
          <w:color w:val="auto"/>
          <w:u w:val="none"/>
          <w:lang w:val="en-US" w:eastAsia="zh-CN"/>
        </w:rPr>
        <w:t>.2.</w:t>
      </w:r>
      <w:r>
        <w:rPr>
          <w:rFonts w:hint="eastAsia" w:ascii="宋体" w:hAnsi="宋体" w:eastAsia="宋体" w:cs="宋体"/>
          <w:color w:val="auto"/>
          <w:u w:val="none"/>
          <w:lang w:val="en-US" w:eastAsia="zh-CN"/>
        </w:rPr>
        <w:t xml:space="preserve">4 </w:t>
      </w:r>
      <w:r>
        <w:rPr>
          <w:rFonts w:hint="default" w:ascii="宋体" w:hAnsi="宋体" w:eastAsia="宋体" w:cs="宋体"/>
          <w:color w:val="auto"/>
          <w:u w:val="none"/>
          <w:lang w:val="en-US" w:eastAsia="zh-CN"/>
        </w:rPr>
        <w:t>监测频率</w:t>
      </w:r>
    </w:p>
    <w:p w14:paraId="5E18ED88">
      <w:pPr>
        <w:keepNext w:val="0"/>
        <w:keepLines w:val="0"/>
        <w:pageBreakBefore w:val="0"/>
        <w:widowControl w:val="0"/>
        <w:kinsoku/>
        <w:wordWrap/>
        <w:overflowPunct/>
        <w:topLinePunct w:val="0"/>
        <w:autoSpaceDE/>
        <w:autoSpaceDN/>
        <w:bidi w:val="0"/>
        <w:adjustRightInd/>
        <w:snapToGrid w:val="0"/>
        <w:spacing w:line="480" w:lineRule="exact"/>
        <w:ind w:firstLine="470" w:firstLineChars="196"/>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采样时间为2023年2月，均监测1天，每个点位采样1次。</w:t>
      </w:r>
    </w:p>
    <w:p w14:paraId="26C67128">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4.</w:t>
      </w:r>
      <w:r>
        <w:rPr>
          <w:rFonts w:hint="eastAsia" w:ascii="宋体" w:hAnsi="宋体" w:cs="宋体"/>
          <w:color w:val="auto"/>
          <w:u w:val="none"/>
          <w:lang w:val="en-US" w:eastAsia="zh-CN"/>
        </w:rPr>
        <w:t>3</w:t>
      </w:r>
      <w:r>
        <w:rPr>
          <w:rFonts w:hint="default" w:ascii="宋体" w:hAnsi="宋体" w:eastAsia="宋体" w:cs="宋体"/>
          <w:color w:val="auto"/>
          <w:u w:val="none"/>
          <w:lang w:val="en-US" w:eastAsia="zh-CN"/>
        </w:rPr>
        <w:t>.2.</w:t>
      </w:r>
      <w:r>
        <w:rPr>
          <w:rFonts w:hint="eastAsia" w:ascii="宋体" w:hAnsi="宋体" w:eastAsia="宋体" w:cs="宋体"/>
          <w:color w:val="auto"/>
          <w:u w:val="none"/>
          <w:lang w:val="en-US" w:eastAsia="zh-CN"/>
        </w:rPr>
        <w:t xml:space="preserve">5 </w:t>
      </w:r>
      <w:r>
        <w:rPr>
          <w:rFonts w:hint="default" w:ascii="宋体" w:hAnsi="宋体" w:eastAsia="宋体" w:cs="宋体"/>
          <w:color w:val="auto"/>
          <w:u w:val="none"/>
          <w:lang w:val="en-US" w:eastAsia="zh-CN"/>
        </w:rPr>
        <w:t>监测项目及分析方法</w:t>
      </w:r>
    </w:p>
    <w:p w14:paraId="761E8D3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highlight w:val="none"/>
          <w:u w:val="none"/>
        </w:rPr>
        <w:t>八大离子（K</w:t>
      </w:r>
      <w:r>
        <w:rPr>
          <w:rFonts w:hint="eastAsia" w:ascii="宋体" w:hAnsi="宋体" w:eastAsia="宋体" w:cs="宋体"/>
          <w:color w:val="auto"/>
          <w:sz w:val="24"/>
          <w:szCs w:val="24"/>
          <w:highlight w:val="none"/>
          <w:u w:val="none"/>
          <w:vertAlign w:val="superscript"/>
        </w:rPr>
        <w:t>+</w:t>
      </w:r>
      <w:r>
        <w:rPr>
          <w:rFonts w:hint="eastAsia" w:ascii="宋体" w:hAnsi="宋体" w:eastAsia="宋体" w:cs="宋体"/>
          <w:color w:val="auto"/>
          <w:sz w:val="24"/>
          <w:szCs w:val="24"/>
          <w:highlight w:val="none"/>
          <w:u w:val="none"/>
        </w:rPr>
        <w:t>、Na</w:t>
      </w:r>
      <w:r>
        <w:rPr>
          <w:rFonts w:hint="eastAsia" w:ascii="宋体" w:hAnsi="宋体" w:eastAsia="宋体" w:cs="宋体"/>
          <w:color w:val="auto"/>
          <w:sz w:val="24"/>
          <w:szCs w:val="24"/>
          <w:highlight w:val="none"/>
          <w:u w:val="none"/>
          <w:vertAlign w:val="superscript"/>
        </w:rPr>
        <w:t>+</w:t>
      </w:r>
      <w:r>
        <w:rPr>
          <w:rFonts w:hint="eastAsia" w:ascii="宋体" w:hAnsi="宋体" w:eastAsia="宋体" w:cs="宋体"/>
          <w:color w:val="auto"/>
          <w:sz w:val="24"/>
          <w:szCs w:val="24"/>
          <w:highlight w:val="none"/>
          <w:u w:val="none"/>
        </w:rPr>
        <w:t>、Ca</w:t>
      </w:r>
      <w:r>
        <w:rPr>
          <w:rFonts w:hint="eastAsia" w:ascii="宋体" w:hAnsi="宋体" w:eastAsia="宋体" w:cs="宋体"/>
          <w:color w:val="auto"/>
          <w:sz w:val="24"/>
          <w:szCs w:val="24"/>
          <w:highlight w:val="none"/>
          <w:u w:val="none"/>
          <w:vertAlign w:val="superscript"/>
        </w:rPr>
        <w:t>2+</w:t>
      </w:r>
      <w:r>
        <w:rPr>
          <w:rFonts w:hint="eastAsia" w:ascii="宋体" w:hAnsi="宋体" w:eastAsia="宋体" w:cs="宋体"/>
          <w:color w:val="auto"/>
          <w:sz w:val="24"/>
          <w:szCs w:val="24"/>
          <w:highlight w:val="none"/>
          <w:u w:val="none"/>
        </w:rPr>
        <w:t>、Mg</w:t>
      </w:r>
      <w:r>
        <w:rPr>
          <w:rFonts w:hint="eastAsia" w:ascii="宋体" w:hAnsi="宋体" w:eastAsia="宋体" w:cs="宋体"/>
          <w:color w:val="auto"/>
          <w:sz w:val="24"/>
          <w:szCs w:val="24"/>
          <w:highlight w:val="none"/>
          <w:u w:val="none"/>
          <w:vertAlign w:val="superscript"/>
        </w:rPr>
        <w:t>2+</w:t>
      </w:r>
      <w:r>
        <w:rPr>
          <w:rFonts w:hint="eastAsia" w:ascii="宋体" w:hAnsi="宋体" w:eastAsia="宋体" w:cs="宋体"/>
          <w:color w:val="auto"/>
          <w:sz w:val="24"/>
          <w:szCs w:val="24"/>
          <w:highlight w:val="none"/>
          <w:u w:val="none"/>
        </w:rPr>
        <w:t>、CO</w:t>
      </w:r>
      <w:r>
        <w:rPr>
          <w:rFonts w:hint="eastAsia" w:ascii="宋体" w:hAnsi="宋体" w:eastAsia="宋体" w:cs="宋体"/>
          <w:color w:val="auto"/>
          <w:sz w:val="24"/>
          <w:szCs w:val="24"/>
          <w:highlight w:val="none"/>
          <w:u w:val="none"/>
          <w:vertAlign w:val="subscript"/>
        </w:rPr>
        <w:t>3</w:t>
      </w:r>
      <w:r>
        <w:rPr>
          <w:rFonts w:hint="eastAsia" w:ascii="宋体" w:hAnsi="宋体" w:cs="宋体"/>
          <w:color w:val="auto"/>
          <w:sz w:val="24"/>
          <w:szCs w:val="24"/>
          <w:highlight w:val="none"/>
          <w:u w:val="none"/>
          <w:vertAlign w:val="superscript"/>
          <w:lang w:val="en-US" w:eastAsia="zh-CN"/>
        </w:rPr>
        <w:t>2-</w:t>
      </w:r>
      <w:r>
        <w:rPr>
          <w:rFonts w:hint="eastAsia" w:ascii="宋体" w:hAnsi="宋体" w:eastAsia="宋体" w:cs="宋体"/>
          <w:color w:val="auto"/>
          <w:sz w:val="24"/>
          <w:szCs w:val="24"/>
          <w:highlight w:val="none"/>
          <w:u w:val="none"/>
        </w:rPr>
        <w:t>、HCO</w:t>
      </w:r>
      <w:r>
        <w:rPr>
          <w:rFonts w:hint="eastAsia" w:ascii="宋体" w:hAnsi="宋体" w:eastAsia="宋体" w:cs="宋体"/>
          <w:color w:val="auto"/>
          <w:sz w:val="24"/>
          <w:szCs w:val="24"/>
          <w:highlight w:val="none"/>
          <w:u w:val="none"/>
          <w:vertAlign w:val="subscript"/>
        </w:rPr>
        <w:t>3</w:t>
      </w:r>
      <w:r>
        <w:rPr>
          <w:rFonts w:hint="eastAsia" w:ascii="宋体" w:hAnsi="宋体" w:cs="宋体"/>
          <w:color w:val="auto"/>
          <w:sz w:val="24"/>
          <w:szCs w:val="24"/>
          <w:highlight w:val="none"/>
          <w:u w:val="none"/>
          <w:vertAlign w:val="superscript"/>
          <w:lang w:val="en-US" w:eastAsia="zh-CN"/>
        </w:rPr>
        <w:t>-</w:t>
      </w:r>
      <w:r>
        <w:rPr>
          <w:rFonts w:hint="eastAsia" w:ascii="宋体" w:hAnsi="宋体" w:eastAsia="宋体" w:cs="宋体"/>
          <w:color w:val="auto"/>
          <w:sz w:val="24"/>
          <w:szCs w:val="24"/>
          <w:highlight w:val="none"/>
          <w:u w:val="none"/>
        </w:rPr>
        <w:t>、Cl</w:t>
      </w:r>
      <w:r>
        <w:rPr>
          <w:rFonts w:hint="eastAsia" w:ascii="宋体" w:hAnsi="宋体" w:cs="宋体"/>
          <w:color w:val="auto"/>
          <w:sz w:val="24"/>
          <w:szCs w:val="24"/>
          <w:highlight w:val="none"/>
          <w:u w:val="none"/>
          <w:vertAlign w:val="superscript"/>
          <w:lang w:val="en-US" w:eastAsia="zh-CN"/>
        </w:rPr>
        <w:t>-</w:t>
      </w:r>
      <w:r>
        <w:rPr>
          <w:rFonts w:hint="eastAsia" w:ascii="宋体" w:hAnsi="宋体" w:eastAsia="宋体" w:cs="宋体"/>
          <w:color w:val="auto"/>
          <w:sz w:val="24"/>
          <w:szCs w:val="24"/>
          <w:highlight w:val="none"/>
          <w:u w:val="none"/>
        </w:rPr>
        <w:t>、SO</w:t>
      </w:r>
      <w:r>
        <w:rPr>
          <w:rFonts w:hint="eastAsia" w:ascii="宋体" w:hAnsi="宋体" w:eastAsia="宋体" w:cs="宋体"/>
          <w:color w:val="auto"/>
          <w:sz w:val="24"/>
          <w:szCs w:val="24"/>
          <w:highlight w:val="none"/>
          <w:u w:val="none"/>
          <w:vertAlign w:val="subscript"/>
        </w:rPr>
        <w:t>4</w:t>
      </w:r>
      <w:r>
        <w:rPr>
          <w:rFonts w:hint="eastAsia" w:ascii="宋体" w:hAnsi="宋体" w:cs="宋体"/>
          <w:color w:val="auto"/>
          <w:sz w:val="24"/>
          <w:szCs w:val="24"/>
          <w:highlight w:val="none"/>
          <w:u w:val="none"/>
          <w:vertAlign w:val="superscript"/>
          <w:lang w:val="en-US" w:eastAsia="zh-CN"/>
        </w:rPr>
        <w:t>2-</w:t>
      </w:r>
      <w:r>
        <w:rPr>
          <w:rFonts w:hint="eastAsia" w:ascii="宋体" w:hAnsi="宋体" w:eastAsia="宋体" w:cs="宋体"/>
          <w:color w:val="auto"/>
          <w:sz w:val="24"/>
          <w:szCs w:val="24"/>
          <w:highlight w:val="none"/>
          <w:u w:val="none"/>
        </w:rPr>
        <w:t>）</w:t>
      </w:r>
      <w:r>
        <w:rPr>
          <w:rFonts w:hint="eastAsia" w:ascii="宋体" w:hAnsi="宋体" w:cs="宋体"/>
          <w:color w:val="auto"/>
          <w:sz w:val="24"/>
          <w:szCs w:val="24"/>
          <w:highlight w:val="none"/>
          <w:u w:val="none"/>
          <w:lang w:val="en-US" w:eastAsia="zh-CN"/>
        </w:rPr>
        <w:t>以及</w:t>
      </w:r>
      <w:r>
        <w:rPr>
          <w:rFonts w:hint="eastAsia" w:ascii="宋体" w:hAnsi="宋体" w:eastAsia="宋体" w:cs="宋体"/>
          <w:color w:val="auto"/>
          <w:sz w:val="24"/>
          <w:szCs w:val="24"/>
          <w:highlight w:val="none"/>
          <w:u w:val="none"/>
        </w:rPr>
        <w:t>pH值、氨氮、硝酸盐氮、亚硝酸盐氮、挥发酚、氰化物、砷、汞、六价铬、总硬度、铅、镉、铁、锰、溶解性总固体、耗氧量、硫酸盐、氟化物、石油类。共27项监测因子。</w:t>
      </w:r>
    </w:p>
    <w:p w14:paraId="5BDC01C7">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3</w:t>
      </w: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地下水环境质量现状评价</w:t>
      </w:r>
    </w:p>
    <w:p w14:paraId="2EEAF2E5">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3</w:t>
      </w:r>
      <w:r>
        <w:rPr>
          <w:rFonts w:hint="eastAsia" w:ascii="宋体" w:hAnsi="宋体" w:eastAsia="宋体" w:cs="宋体"/>
          <w:color w:val="auto"/>
          <w:u w:val="none"/>
          <w:lang w:val="en-US" w:eastAsia="zh-CN"/>
        </w:rPr>
        <w:t>.3.1 评价标准与评价方法</w:t>
      </w:r>
    </w:p>
    <w:p w14:paraId="19436450">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（1）评价标准</w:t>
      </w:r>
    </w:p>
    <w:p w14:paraId="521B5161">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石油类参照执行《地表水环境质量标准》（GB3838-2002）中的 III 类标准；其他因子执行《地下水质量标准》（GB/T14848-2017）</w:t>
      </w:r>
      <w:r>
        <w:rPr>
          <w:rFonts w:hint="eastAsia" w:cs="Times New Roman"/>
          <w:color w:val="auto"/>
          <w:sz w:val="24"/>
          <w:szCs w:val="24"/>
          <w:u w:val="none"/>
          <w:lang w:val="en-US" w:eastAsia="zh-CN"/>
        </w:rPr>
        <w:t>中</w:t>
      </w:r>
      <w:r>
        <w:rPr>
          <w:rFonts w:hint="default" w:ascii="Times New Roman" w:hAnsi="Times New Roman" w:cs="Times New Roman"/>
          <w:color w:val="auto"/>
          <w:sz w:val="24"/>
          <w:szCs w:val="24"/>
          <w:u w:val="none"/>
        </w:rPr>
        <w:t>Ⅲ类标准。</w:t>
      </w:r>
    </w:p>
    <w:p w14:paraId="23D5894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（2）评价方法</w:t>
      </w:r>
    </w:p>
    <w:p w14:paraId="359DB3B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评价方法采用标准指数法。</w:t>
      </w:r>
    </w:p>
    <w:p w14:paraId="19C596E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pacing w:val="5"/>
          <w:sz w:val="24"/>
          <w:szCs w:val="24"/>
          <w:u w:val="none"/>
        </w:rPr>
      </w:pPr>
      <w:r>
        <w:rPr>
          <w:rFonts w:hint="eastAsia" w:ascii="宋体" w:hAnsi="宋体" w:cs="宋体"/>
          <w:color w:val="auto"/>
          <w:sz w:val="24"/>
          <w:szCs w:val="24"/>
          <w:u w:val="none"/>
          <w:lang w:val="en-US" w:eastAsia="zh-CN"/>
        </w:rPr>
        <w:t>1）</w:t>
      </w:r>
      <w:r>
        <w:rPr>
          <w:rFonts w:hint="eastAsia" w:ascii="宋体" w:hAnsi="宋体" w:eastAsia="宋体" w:cs="宋体"/>
          <w:color w:val="auto"/>
          <w:sz w:val="24"/>
          <w:szCs w:val="24"/>
          <w:u w:val="none"/>
        </w:rPr>
        <w:t>对于评价标准为定值的水质因子，其标准指数计算公式：</w:t>
      </w:r>
    </w:p>
    <w:p w14:paraId="43B8BCB9">
      <w:pPr>
        <w:snapToGrid w:val="0"/>
        <w:ind w:right="524" w:firstLine="480"/>
        <w:jc w:val="center"/>
        <w:rPr>
          <w:rFonts w:hint="default" w:ascii="Times New Roman" w:hAnsi="Times New Roman" w:cs="Times New Roman"/>
          <w:color w:val="auto"/>
          <w:spacing w:val="5"/>
          <w:sz w:val="24"/>
          <w:szCs w:val="24"/>
          <w:u w:val="none"/>
        </w:rPr>
      </w:pPr>
      <w:r>
        <w:rPr>
          <w:rFonts w:hint="default" w:ascii="Times New Roman" w:hAnsi="Times New Roman" w:cs="Times New Roman"/>
          <w:color w:val="auto"/>
          <w:sz w:val="24"/>
          <w:szCs w:val="24"/>
          <w:u w:val="none"/>
        </w:rPr>
        <w:drawing>
          <wp:inline distT="0" distB="0" distL="114300" distR="114300">
            <wp:extent cx="656590" cy="465455"/>
            <wp:effectExtent l="0" t="0" r="10160" b="1206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6"/>
                    <a:stretch>
                      <a:fillRect/>
                    </a:stretch>
                  </pic:blipFill>
                  <pic:spPr>
                    <a:xfrm>
                      <a:off x="0" y="0"/>
                      <a:ext cx="656590" cy="465455"/>
                    </a:xfrm>
                    <a:prstGeom prst="rect">
                      <a:avLst/>
                    </a:prstGeom>
                    <a:noFill/>
                    <a:ln>
                      <a:noFill/>
                    </a:ln>
                  </pic:spPr>
                </pic:pic>
              </a:graphicData>
            </a:graphic>
          </wp:inline>
        </w:drawing>
      </w:r>
      <w:r>
        <w:rPr>
          <w:rFonts w:hint="default" w:ascii="Times New Roman" w:hAnsi="Times New Roman" w:cs="Times New Roman"/>
          <w:color w:val="auto"/>
          <w:spacing w:val="5"/>
          <w:sz w:val="24"/>
          <w:szCs w:val="24"/>
          <w:u w:val="none"/>
        </w:rPr>
        <w:t xml:space="preserve"> </w:t>
      </w:r>
    </w:p>
    <w:p w14:paraId="20AC0932">
      <w:pPr>
        <w:keepNext w:val="0"/>
        <w:keepLines w:val="0"/>
        <w:pageBreakBefore w:val="0"/>
        <w:widowControl w:val="0"/>
        <w:kinsoku/>
        <w:wordWrap/>
        <w:overflowPunct/>
        <w:topLinePunct w:val="0"/>
        <w:autoSpaceDE/>
        <w:autoSpaceDN/>
        <w:bidi w:val="0"/>
        <w:adjustRightInd/>
        <w:snapToGrid w:val="0"/>
        <w:spacing w:line="480" w:lineRule="exact"/>
        <w:ind w:firstLine="500" w:firstLineChars="200"/>
        <w:textAlignment w:val="auto"/>
        <w:rPr>
          <w:rFonts w:hint="default" w:ascii="Times New Roman" w:hAnsi="Times New Roman" w:cs="Times New Roman"/>
          <w:color w:val="auto"/>
          <w:spacing w:val="5"/>
          <w:sz w:val="24"/>
          <w:szCs w:val="24"/>
          <w:u w:val="none"/>
        </w:rPr>
      </w:pPr>
      <w:r>
        <w:rPr>
          <w:rFonts w:hint="default" w:ascii="Times New Roman" w:hAnsi="Times New Roman" w:cs="Times New Roman"/>
          <w:color w:val="auto"/>
          <w:spacing w:val="5"/>
          <w:sz w:val="24"/>
          <w:szCs w:val="24"/>
          <w:u w:val="none"/>
        </w:rPr>
        <w:t>式中：</w:t>
      </w:r>
      <w:r>
        <w:rPr>
          <w:rFonts w:hint="default" w:ascii="Times New Roman" w:hAnsi="Times New Roman" w:cs="Times New Roman"/>
          <w:i/>
          <w:iCs/>
          <w:color w:val="auto"/>
          <w:spacing w:val="5"/>
          <w:sz w:val="24"/>
          <w:szCs w:val="24"/>
          <w:u w:val="none"/>
        </w:rPr>
        <w:t>P</w:t>
      </w:r>
      <w:r>
        <w:rPr>
          <w:rFonts w:hint="default" w:ascii="Times New Roman" w:hAnsi="Times New Roman" w:cs="Times New Roman"/>
          <w:i/>
          <w:iCs/>
          <w:color w:val="auto"/>
          <w:spacing w:val="5"/>
          <w:sz w:val="24"/>
          <w:szCs w:val="24"/>
          <w:u w:val="none"/>
          <w:vertAlign w:val="subscript"/>
        </w:rPr>
        <w:t>i</w:t>
      </w:r>
      <w:r>
        <w:rPr>
          <w:rFonts w:hint="default" w:ascii="Times New Roman" w:hAnsi="Times New Roman" w:cs="Times New Roman"/>
          <w:color w:val="auto"/>
          <w:spacing w:val="5"/>
          <w:sz w:val="24"/>
          <w:szCs w:val="24"/>
          <w:u w:val="none"/>
        </w:rPr>
        <w:t>——第</w:t>
      </w:r>
      <w:r>
        <w:rPr>
          <w:rFonts w:hint="default" w:ascii="Times New Roman" w:hAnsi="Times New Roman" w:cs="Times New Roman"/>
          <w:i/>
          <w:iCs/>
          <w:color w:val="auto"/>
          <w:spacing w:val="5"/>
          <w:sz w:val="24"/>
          <w:szCs w:val="24"/>
          <w:u w:val="none"/>
        </w:rPr>
        <w:t>i</w:t>
      </w:r>
      <w:r>
        <w:rPr>
          <w:rFonts w:hint="default" w:ascii="Times New Roman" w:hAnsi="Times New Roman" w:cs="Times New Roman"/>
          <w:color w:val="auto"/>
          <w:spacing w:val="5"/>
          <w:sz w:val="24"/>
          <w:szCs w:val="24"/>
          <w:u w:val="none"/>
        </w:rPr>
        <w:t>个水质因子的标准指数，无量纲；</w:t>
      </w:r>
    </w:p>
    <w:p w14:paraId="10CBF9C7">
      <w:pPr>
        <w:keepNext w:val="0"/>
        <w:keepLines w:val="0"/>
        <w:pageBreakBefore w:val="0"/>
        <w:widowControl w:val="0"/>
        <w:kinsoku/>
        <w:wordWrap/>
        <w:overflowPunct/>
        <w:topLinePunct w:val="0"/>
        <w:autoSpaceDE/>
        <w:autoSpaceDN/>
        <w:bidi w:val="0"/>
        <w:adjustRightInd/>
        <w:snapToGrid w:val="0"/>
        <w:spacing w:line="480" w:lineRule="exact"/>
        <w:ind w:firstLine="1235" w:firstLineChars="494"/>
        <w:textAlignment w:val="auto"/>
        <w:rPr>
          <w:rFonts w:hint="default" w:ascii="Times New Roman" w:hAnsi="Times New Roman" w:cs="Times New Roman"/>
          <w:color w:val="auto"/>
          <w:spacing w:val="5"/>
          <w:sz w:val="24"/>
          <w:szCs w:val="24"/>
          <w:u w:val="none"/>
        </w:rPr>
      </w:pPr>
      <w:r>
        <w:rPr>
          <w:rFonts w:hint="default" w:ascii="Times New Roman" w:hAnsi="Times New Roman" w:cs="Times New Roman"/>
          <w:i/>
          <w:iCs/>
          <w:color w:val="auto"/>
          <w:spacing w:val="5"/>
          <w:sz w:val="24"/>
          <w:szCs w:val="24"/>
          <w:u w:val="none"/>
        </w:rPr>
        <w:t>C</w:t>
      </w:r>
      <w:r>
        <w:rPr>
          <w:rFonts w:hint="default" w:ascii="Times New Roman" w:hAnsi="Times New Roman" w:cs="Times New Roman"/>
          <w:i/>
          <w:iCs/>
          <w:color w:val="auto"/>
          <w:spacing w:val="5"/>
          <w:sz w:val="24"/>
          <w:szCs w:val="24"/>
          <w:u w:val="none"/>
          <w:vertAlign w:val="subscript"/>
        </w:rPr>
        <w:t>i</w:t>
      </w:r>
      <w:r>
        <w:rPr>
          <w:rFonts w:hint="default" w:ascii="Times New Roman" w:hAnsi="Times New Roman" w:cs="Times New Roman"/>
          <w:color w:val="auto"/>
          <w:spacing w:val="5"/>
          <w:sz w:val="24"/>
          <w:szCs w:val="24"/>
          <w:u w:val="none"/>
        </w:rPr>
        <w:t>——第</w:t>
      </w:r>
      <w:r>
        <w:rPr>
          <w:rFonts w:hint="default" w:ascii="Times New Roman" w:hAnsi="Times New Roman" w:cs="Times New Roman"/>
          <w:i/>
          <w:iCs/>
          <w:color w:val="auto"/>
          <w:spacing w:val="5"/>
          <w:sz w:val="24"/>
          <w:szCs w:val="24"/>
          <w:u w:val="none"/>
        </w:rPr>
        <w:t>i</w:t>
      </w:r>
      <w:r>
        <w:rPr>
          <w:rFonts w:hint="default" w:ascii="Times New Roman" w:hAnsi="Times New Roman" w:cs="Times New Roman"/>
          <w:color w:val="auto"/>
          <w:spacing w:val="5"/>
          <w:sz w:val="24"/>
          <w:szCs w:val="24"/>
          <w:u w:val="none"/>
        </w:rPr>
        <w:t>个水质因子的监测浓度，mg/L；</w:t>
      </w:r>
    </w:p>
    <w:p w14:paraId="4A5E2302">
      <w:pPr>
        <w:keepNext w:val="0"/>
        <w:keepLines w:val="0"/>
        <w:pageBreakBefore w:val="0"/>
        <w:widowControl w:val="0"/>
        <w:kinsoku/>
        <w:wordWrap/>
        <w:overflowPunct/>
        <w:topLinePunct w:val="0"/>
        <w:autoSpaceDE/>
        <w:autoSpaceDN/>
        <w:bidi w:val="0"/>
        <w:adjustRightInd/>
        <w:snapToGrid w:val="0"/>
        <w:spacing w:line="480" w:lineRule="exact"/>
        <w:ind w:firstLine="1235" w:firstLineChars="494"/>
        <w:textAlignment w:val="auto"/>
        <w:rPr>
          <w:rFonts w:hint="default" w:ascii="Times New Roman" w:hAnsi="Times New Roman" w:cs="Times New Roman"/>
          <w:color w:val="auto"/>
          <w:spacing w:val="5"/>
          <w:sz w:val="24"/>
          <w:szCs w:val="24"/>
          <w:u w:val="none"/>
        </w:rPr>
      </w:pPr>
      <w:r>
        <w:rPr>
          <w:rFonts w:hint="default" w:ascii="Times New Roman" w:hAnsi="Times New Roman" w:cs="Times New Roman"/>
          <w:i/>
          <w:iCs/>
          <w:color w:val="auto"/>
          <w:spacing w:val="5"/>
          <w:sz w:val="24"/>
          <w:szCs w:val="24"/>
          <w:u w:val="none"/>
        </w:rPr>
        <w:t>C</w:t>
      </w:r>
      <w:r>
        <w:rPr>
          <w:rFonts w:hint="default" w:ascii="Times New Roman" w:hAnsi="Times New Roman" w:cs="Times New Roman"/>
          <w:i/>
          <w:iCs/>
          <w:color w:val="auto"/>
          <w:spacing w:val="5"/>
          <w:sz w:val="24"/>
          <w:szCs w:val="24"/>
          <w:u w:val="none"/>
          <w:vertAlign w:val="subscript"/>
        </w:rPr>
        <w:t>si</w:t>
      </w:r>
      <w:r>
        <w:rPr>
          <w:rFonts w:hint="default" w:ascii="Times New Roman" w:hAnsi="Times New Roman" w:cs="Times New Roman"/>
          <w:color w:val="auto"/>
          <w:spacing w:val="5"/>
          <w:sz w:val="24"/>
          <w:szCs w:val="24"/>
          <w:u w:val="none"/>
        </w:rPr>
        <w:t>——第</w:t>
      </w:r>
      <w:r>
        <w:rPr>
          <w:rFonts w:hint="default" w:ascii="Times New Roman" w:hAnsi="Times New Roman" w:cs="Times New Roman"/>
          <w:i/>
          <w:iCs/>
          <w:color w:val="auto"/>
          <w:spacing w:val="5"/>
          <w:sz w:val="24"/>
          <w:szCs w:val="24"/>
          <w:u w:val="none"/>
        </w:rPr>
        <w:t>i</w:t>
      </w:r>
      <w:r>
        <w:rPr>
          <w:rFonts w:hint="default" w:ascii="Times New Roman" w:hAnsi="Times New Roman" w:cs="Times New Roman"/>
          <w:color w:val="auto"/>
          <w:spacing w:val="5"/>
          <w:sz w:val="24"/>
          <w:szCs w:val="24"/>
          <w:u w:val="none"/>
        </w:rPr>
        <w:t>个水质因子的标准浓度，mg/L。</w:t>
      </w:r>
    </w:p>
    <w:p w14:paraId="788E6A1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color w:val="auto"/>
          <w:spacing w:val="5"/>
          <w:sz w:val="24"/>
          <w:szCs w:val="24"/>
          <w:u w:val="none"/>
        </w:rPr>
      </w:pPr>
      <w:r>
        <w:rPr>
          <w:rFonts w:hint="eastAsia" w:cs="Times New Roman"/>
          <w:color w:val="auto"/>
          <w:spacing w:val="0"/>
          <w:sz w:val="24"/>
          <w:szCs w:val="24"/>
          <w:u w:val="none"/>
          <w:lang w:val="en-US" w:eastAsia="zh-CN"/>
        </w:rPr>
        <w:t>2）</w:t>
      </w:r>
      <w:r>
        <w:rPr>
          <w:rFonts w:hint="default" w:ascii="Times New Roman" w:hAnsi="Times New Roman" w:cs="Times New Roman"/>
          <w:color w:val="auto"/>
          <w:spacing w:val="0"/>
          <w:sz w:val="24"/>
          <w:szCs w:val="24"/>
          <w:u w:val="none"/>
        </w:rPr>
        <w:t>对于评价标准为区间值的水质因子（如</w:t>
      </w:r>
      <w:r>
        <w:rPr>
          <w:rFonts w:hint="default" w:ascii="Times New Roman" w:hAnsi="Times New Roman" w:cs="Times New Roman"/>
          <w:i/>
          <w:iCs/>
          <w:color w:val="auto"/>
          <w:spacing w:val="0"/>
          <w:sz w:val="24"/>
          <w:szCs w:val="24"/>
          <w:u w:val="none"/>
        </w:rPr>
        <w:t>pH</w:t>
      </w:r>
      <w:r>
        <w:rPr>
          <w:rFonts w:hint="default" w:ascii="Times New Roman" w:hAnsi="Times New Roman" w:cs="Times New Roman"/>
          <w:color w:val="auto"/>
          <w:spacing w:val="0"/>
          <w:sz w:val="24"/>
          <w:szCs w:val="24"/>
          <w:u w:val="none"/>
        </w:rPr>
        <w:t>值），其标准指数计算公式：</w:t>
      </w:r>
    </w:p>
    <w:p w14:paraId="084C28BB">
      <w:pPr>
        <w:snapToGrid w:val="0"/>
        <w:ind w:right="522" w:firstLine="482"/>
        <w:jc w:val="center"/>
        <w:rPr>
          <w:rFonts w:hint="default" w:ascii="Times New Roman" w:hAnsi="Times New Roman" w:cs="Times New Roman"/>
          <w:color w:val="auto"/>
          <w:spacing w:val="5"/>
          <w:sz w:val="24"/>
          <w:szCs w:val="24"/>
          <w:u w:val="none"/>
        </w:rPr>
      </w:pPr>
      <w:r>
        <w:rPr>
          <w:rFonts w:hint="default" w:ascii="Times New Roman" w:hAnsi="Times New Roman" w:cs="Times New Roman"/>
          <w:color w:val="auto"/>
          <w:sz w:val="24"/>
          <w:szCs w:val="24"/>
          <w:u w:val="none"/>
        </w:rPr>
        <w:drawing>
          <wp:inline distT="0" distB="0" distL="114300" distR="114300">
            <wp:extent cx="1305560" cy="465455"/>
            <wp:effectExtent l="0" t="0" r="0" b="1206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57"/>
                    <a:stretch>
                      <a:fillRect/>
                    </a:stretch>
                  </pic:blipFill>
                  <pic:spPr>
                    <a:xfrm>
                      <a:off x="0" y="0"/>
                      <a:ext cx="1305560" cy="465455"/>
                    </a:xfrm>
                    <a:prstGeom prst="rect">
                      <a:avLst/>
                    </a:prstGeom>
                    <a:noFill/>
                    <a:ln>
                      <a:noFill/>
                    </a:ln>
                  </pic:spPr>
                </pic:pic>
              </a:graphicData>
            </a:graphic>
          </wp:inline>
        </w:drawing>
      </w:r>
      <w:r>
        <w:rPr>
          <w:rFonts w:hint="default" w:ascii="Times New Roman" w:hAnsi="Times New Roman" w:cs="Times New Roman"/>
          <w:color w:val="auto"/>
          <w:spacing w:val="5"/>
          <w:sz w:val="24"/>
          <w:szCs w:val="24"/>
          <w:u w:val="none"/>
        </w:rPr>
        <w:t>，pH≤7时；</w:t>
      </w:r>
    </w:p>
    <w:p w14:paraId="0A0E8EFD">
      <w:pPr>
        <w:snapToGrid w:val="0"/>
        <w:ind w:right="524" w:firstLine="480"/>
        <w:jc w:val="center"/>
        <w:rPr>
          <w:rFonts w:hint="default" w:ascii="Times New Roman" w:hAnsi="Times New Roman" w:cs="Times New Roman"/>
          <w:color w:val="auto"/>
          <w:spacing w:val="5"/>
          <w:sz w:val="24"/>
          <w:szCs w:val="24"/>
          <w:u w:val="none"/>
        </w:rPr>
      </w:pPr>
      <w:r>
        <w:rPr>
          <w:rFonts w:hint="default" w:ascii="Times New Roman" w:hAnsi="Times New Roman" w:cs="Times New Roman"/>
          <w:color w:val="auto"/>
          <w:sz w:val="24"/>
          <w:szCs w:val="24"/>
          <w:u w:val="none"/>
        </w:rPr>
        <w:drawing>
          <wp:inline distT="0" distB="0" distL="114300" distR="114300">
            <wp:extent cx="1280160" cy="457200"/>
            <wp:effectExtent l="0" t="0" r="15240" b="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58"/>
                    <a:stretch>
                      <a:fillRect/>
                    </a:stretch>
                  </pic:blipFill>
                  <pic:spPr>
                    <a:xfrm>
                      <a:off x="0" y="0"/>
                      <a:ext cx="1280160" cy="457200"/>
                    </a:xfrm>
                    <a:prstGeom prst="rect">
                      <a:avLst/>
                    </a:prstGeom>
                    <a:noFill/>
                    <a:ln>
                      <a:noFill/>
                    </a:ln>
                  </pic:spPr>
                </pic:pic>
              </a:graphicData>
            </a:graphic>
          </wp:inline>
        </w:drawing>
      </w:r>
      <w:r>
        <w:rPr>
          <w:rFonts w:hint="default" w:ascii="Times New Roman" w:hAnsi="Times New Roman" w:cs="Times New Roman"/>
          <w:color w:val="auto"/>
          <w:spacing w:val="5"/>
          <w:sz w:val="24"/>
          <w:szCs w:val="24"/>
          <w:u w:val="none"/>
        </w:rPr>
        <w:t>，pH＞7时；</w:t>
      </w:r>
    </w:p>
    <w:p w14:paraId="3BDDA7A7">
      <w:pPr>
        <w:keepNext w:val="0"/>
        <w:keepLines w:val="0"/>
        <w:pageBreakBefore w:val="0"/>
        <w:widowControl w:val="0"/>
        <w:kinsoku/>
        <w:wordWrap/>
        <w:overflowPunct/>
        <w:topLinePunct w:val="0"/>
        <w:autoSpaceDE/>
        <w:autoSpaceDN/>
        <w:bidi w:val="0"/>
        <w:adjustRightInd/>
        <w:snapToGrid w:val="0"/>
        <w:spacing w:line="480" w:lineRule="exact"/>
        <w:ind w:firstLine="500" w:firstLineChars="200"/>
        <w:textAlignment w:val="auto"/>
        <w:rPr>
          <w:rFonts w:hint="default" w:ascii="Times New Roman" w:hAnsi="Times New Roman" w:cs="Times New Roman"/>
          <w:color w:val="auto"/>
          <w:spacing w:val="5"/>
          <w:sz w:val="24"/>
          <w:szCs w:val="24"/>
          <w:u w:val="none"/>
        </w:rPr>
      </w:pPr>
      <w:r>
        <w:rPr>
          <w:rFonts w:hint="default" w:ascii="Times New Roman" w:hAnsi="Times New Roman" w:cs="Times New Roman"/>
          <w:color w:val="auto"/>
          <w:spacing w:val="5"/>
          <w:sz w:val="24"/>
          <w:szCs w:val="24"/>
          <w:u w:val="none"/>
        </w:rPr>
        <w:t>式中：</w:t>
      </w:r>
      <w:r>
        <w:rPr>
          <w:rFonts w:hint="default" w:ascii="Times New Roman" w:hAnsi="Times New Roman" w:cs="Times New Roman"/>
          <w:i/>
          <w:color w:val="auto"/>
          <w:spacing w:val="5"/>
          <w:sz w:val="24"/>
          <w:szCs w:val="24"/>
          <w:u w:val="none"/>
        </w:rPr>
        <w:t>P</w:t>
      </w:r>
      <w:r>
        <w:rPr>
          <w:rFonts w:hint="default" w:ascii="Times New Roman" w:hAnsi="Times New Roman" w:cs="Times New Roman"/>
          <w:i/>
          <w:color w:val="auto"/>
          <w:spacing w:val="5"/>
          <w:sz w:val="24"/>
          <w:szCs w:val="24"/>
          <w:u w:val="none"/>
          <w:vertAlign w:val="subscript"/>
        </w:rPr>
        <w:t>pH</w:t>
      </w:r>
      <w:r>
        <w:rPr>
          <w:rFonts w:hint="default" w:ascii="Times New Roman" w:hAnsi="Times New Roman" w:cs="Times New Roman"/>
          <w:color w:val="auto"/>
          <w:spacing w:val="5"/>
          <w:sz w:val="24"/>
          <w:szCs w:val="24"/>
          <w:u w:val="none"/>
        </w:rPr>
        <w:t>—pH的标准指数，无量纲；</w:t>
      </w:r>
    </w:p>
    <w:p w14:paraId="0984315D">
      <w:pPr>
        <w:keepNext w:val="0"/>
        <w:keepLines w:val="0"/>
        <w:pageBreakBefore w:val="0"/>
        <w:widowControl w:val="0"/>
        <w:kinsoku/>
        <w:wordWrap/>
        <w:overflowPunct/>
        <w:topLinePunct w:val="0"/>
        <w:autoSpaceDE/>
        <w:autoSpaceDN/>
        <w:bidi w:val="0"/>
        <w:adjustRightInd/>
        <w:snapToGrid w:val="0"/>
        <w:spacing w:line="480" w:lineRule="exact"/>
        <w:ind w:firstLine="1235" w:firstLineChars="494"/>
        <w:textAlignment w:val="auto"/>
        <w:rPr>
          <w:rFonts w:hint="default" w:ascii="Times New Roman" w:hAnsi="Times New Roman" w:cs="Times New Roman"/>
          <w:color w:val="auto"/>
          <w:spacing w:val="5"/>
          <w:sz w:val="24"/>
          <w:szCs w:val="24"/>
          <w:u w:val="none"/>
        </w:rPr>
      </w:pPr>
      <w:r>
        <w:rPr>
          <w:rFonts w:hint="default" w:ascii="Times New Roman" w:hAnsi="Times New Roman" w:cs="Times New Roman"/>
          <w:i/>
          <w:color w:val="auto"/>
          <w:spacing w:val="5"/>
          <w:sz w:val="24"/>
          <w:szCs w:val="24"/>
          <w:u w:val="none"/>
        </w:rPr>
        <w:t>pH</w:t>
      </w:r>
      <w:r>
        <w:rPr>
          <w:rFonts w:hint="default" w:ascii="Times New Roman" w:hAnsi="Times New Roman" w:cs="Times New Roman"/>
          <w:color w:val="auto"/>
          <w:spacing w:val="5"/>
          <w:sz w:val="24"/>
          <w:szCs w:val="24"/>
          <w:u w:val="none"/>
        </w:rPr>
        <w:t>—pH监测值；</w:t>
      </w:r>
    </w:p>
    <w:p w14:paraId="1CB852AE">
      <w:pPr>
        <w:keepNext w:val="0"/>
        <w:keepLines w:val="0"/>
        <w:pageBreakBefore w:val="0"/>
        <w:widowControl w:val="0"/>
        <w:kinsoku/>
        <w:wordWrap/>
        <w:overflowPunct/>
        <w:topLinePunct w:val="0"/>
        <w:autoSpaceDE/>
        <w:autoSpaceDN/>
        <w:bidi w:val="0"/>
        <w:adjustRightInd/>
        <w:snapToGrid w:val="0"/>
        <w:spacing w:line="480" w:lineRule="exact"/>
        <w:ind w:firstLine="1235" w:firstLineChars="494"/>
        <w:textAlignment w:val="auto"/>
        <w:rPr>
          <w:rFonts w:hint="default" w:ascii="Times New Roman" w:hAnsi="Times New Roman" w:cs="Times New Roman"/>
          <w:color w:val="auto"/>
          <w:spacing w:val="5"/>
          <w:sz w:val="24"/>
          <w:szCs w:val="24"/>
          <w:u w:val="none"/>
        </w:rPr>
      </w:pPr>
      <w:r>
        <w:rPr>
          <w:rFonts w:hint="default" w:ascii="Times New Roman" w:hAnsi="Times New Roman" w:cs="Times New Roman"/>
          <w:i/>
          <w:color w:val="auto"/>
          <w:spacing w:val="5"/>
          <w:sz w:val="24"/>
          <w:szCs w:val="24"/>
          <w:u w:val="none"/>
        </w:rPr>
        <w:t>pHsd</w:t>
      </w:r>
      <w:r>
        <w:rPr>
          <w:rFonts w:hint="default" w:ascii="Times New Roman" w:hAnsi="Times New Roman" w:cs="Times New Roman"/>
          <w:color w:val="auto"/>
          <w:spacing w:val="5"/>
          <w:sz w:val="24"/>
          <w:szCs w:val="24"/>
          <w:u w:val="none"/>
        </w:rPr>
        <w:t>—标准中pH的下限值；</w:t>
      </w:r>
    </w:p>
    <w:p w14:paraId="10501F7F">
      <w:pPr>
        <w:keepNext w:val="0"/>
        <w:keepLines w:val="0"/>
        <w:pageBreakBefore w:val="0"/>
        <w:widowControl w:val="0"/>
        <w:kinsoku/>
        <w:wordWrap/>
        <w:overflowPunct/>
        <w:topLinePunct w:val="0"/>
        <w:autoSpaceDE/>
        <w:autoSpaceDN/>
        <w:bidi w:val="0"/>
        <w:adjustRightInd/>
        <w:snapToGrid w:val="0"/>
        <w:spacing w:line="480" w:lineRule="exact"/>
        <w:ind w:firstLine="1250" w:firstLineChars="500"/>
        <w:textAlignment w:val="auto"/>
        <w:rPr>
          <w:rFonts w:hint="default" w:ascii="Times New Roman" w:hAnsi="Times New Roman" w:cs="Times New Roman"/>
          <w:color w:val="auto"/>
          <w:spacing w:val="5"/>
          <w:sz w:val="24"/>
          <w:szCs w:val="24"/>
          <w:u w:val="none"/>
        </w:rPr>
      </w:pPr>
      <w:r>
        <w:rPr>
          <w:rFonts w:hint="default" w:ascii="Times New Roman" w:hAnsi="Times New Roman" w:cs="Times New Roman"/>
          <w:i/>
          <w:color w:val="auto"/>
          <w:spacing w:val="5"/>
          <w:sz w:val="24"/>
          <w:szCs w:val="24"/>
          <w:u w:val="none"/>
        </w:rPr>
        <w:t>pHsu</w:t>
      </w:r>
      <w:r>
        <w:rPr>
          <w:rFonts w:hint="default" w:ascii="Times New Roman" w:hAnsi="Times New Roman" w:cs="Times New Roman"/>
          <w:color w:val="auto"/>
          <w:spacing w:val="5"/>
          <w:sz w:val="24"/>
          <w:szCs w:val="24"/>
          <w:u w:val="none"/>
        </w:rPr>
        <w:t>—标准中pH的上限值。</w:t>
      </w:r>
    </w:p>
    <w:p w14:paraId="6FCE1D15">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4.</w:t>
      </w:r>
      <w:r>
        <w:rPr>
          <w:rFonts w:hint="eastAsia" w:ascii="宋体" w:hAnsi="宋体" w:cs="宋体"/>
          <w:color w:val="auto"/>
          <w:u w:val="none"/>
          <w:lang w:val="en-US" w:eastAsia="zh-CN"/>
        </w:rPr>
        <w:t>3</w:t>
      </w:r>
      <w:r>
        <w:rPr>
          <w:rFonts w:hint="default" w:ascii="宋体" w:hAnsi="宋体" w:eastAsia="宋体" w:cs="宋体"/>
          <w:color w:val="auto"/>
          <w:u w:val="none"/>
          <w:lang w:val="en-US" w:eastAsia="zh-CN"/>
        </w:rPr>
        <w:t>.3.2</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监测及评价结果</w:t>
      </w:r>
    </w:p>
    <w:p w14:paraId="34C5BB27">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由</w:t>
      </w:r>
      <w:r>
        <w:rPr>
          <w:rFonts w:hint="eastAsia" w:cs="Times New Roman"/>
          <w:color w:val="auto"/>
          <w:sz w:val="24"/>
          <w:szCs w:val="24"/>
          <w:highlight w:val="none"/>
          <w:u w:val="none"/>
          <w:lang w:val="en-US" w:eastAsia="zh-CN"/>
        </w:rPr>
        <w:t>监测数据可知</w:t>
      </w:r>
      <w:r>
        <w:rPr>
          <w:rFonts w:hint="default" w:ascii="Times New Roman" w:hAnsi="Times New Roman" w:cs="Times New Roman"/>
          <w:color w:val="auto"/>
          <w:sz w:val="24"/>
          <w:szCs w:val="24"/>
          <w:highlight w:val="none"/>
          <w:u w:val="none"/>
        </w:rPr>
        <w:t>，监测</w:t>
      </w:r>
      <w:r>
        <w:rPr>
          <w:rFonts w:hint="eastAsia" w:cs="Times New Roman"/>
          <w:color w:val="auto"/>
          <w:sz w:val="24"/>
          <w:szCs w:val="24"/>
          <w:highlight w:val="none"/>
          <w:u w:val="none"/>
          <w:lang w:val="en-US" w:eastAsia="zh-CN"/>
        </w:rPr>
        <w:t>期间</w:t>
      </w:r>
      <w:r>
        <w:rPr>
          <w:rFonts w:hint="default" w:ascii="Times New Roman" w:hAnsi="Times New Roman" w:cs="Times New Roman"/>
          <w:color w:val="auto"/>
          <w:sz w:val="24"/>
          <w:szCs w:val="24"/>
          <w:highlight w:val="none"/>
          <w:u w:val="none"/>
        </w:rPr>
        <w:t>项目区地下水水质天然背景值较高，溶解性总固体、氯化物、硫酸盐、氟化物均有不同程度超标，其余监测因子可满足《地下水质量标准》（GB/T14848-2017）</w:t>
      </w:r>
      <w:r>
        <w:rPr>
          <w:rFonts w:hint="eastAsia" w:cs="Times New Roman"/>
          <w:color w:val="auto"/>
          <w:sz w:val="24"/>
          <w:szCs w:val="24"/>
          <w:highlight w:val="none"/>
          <w:u w:val="none"/>
          <w:lang w:val="en-US" w:eastAsia="zh-CN"/>
        </w:rPr>
        <w:t>中</w:t>
      </w:r>
      <w:r>
        <w:rPr>
          <w:rFonts w:hint="default" w:ascii="Times New Roman" w:hAnsi="Times New Roman" w:cs="Times New Roman"/>
          <w:color w:val="auto"/>
          <w:sz w:val="24"/>
          <w:szCs w:val="24"/>
          <w:highlight w:val="none"/>
          <w:u w:val="none"/>
        </w:rPr>
        <w:t>Ⅲ类限值。超标的原因是评价区域位于准噶尔盆地腹部，地势较低，是新疆北部地区地下水的排泄区。地下水在流动过程中将地层中的矿物质元素溶解并携带流动到该区域，使得区域浅层地下水矿化度较高，属天然背景值超标。</w:t>
      </w:r>
    </w:p>
    <w:p w14:paraId="6E73025B">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Times New Roman" w:hAnsi="Times New Roman" w:eastAsia="宋体"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rPr>
        <w:t>地下水水位监测结果</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见表 4.</w:t>
      </w:r>
      <w:r>
        <w:rPr>
          <w:rFonts w:hint="eastAsia" w:cs="Times New Roman"/>
          <w:color w:val="auto"/>
          <w:sz w:val="24"/>
          <w:szCs w:val="24"/>
          <w:highlight w:val="none"/>
          <w:u w:val="none"/>
          <w:lang w:val="en-US" w:eastAsia="zh-CN"/>
        </w:rPr>
        <w:t>3</w:t>
      </w:r>
      <w:r>
        <w:rPr>
          <w:rFonts w:hint="default" w:ascii="Times New Roman" w:hAnsi="Times New Roman" w:cs="Times New Roman"/>
          <w:color w:val="auto"/>
          <w:sz w:val="24"/>
          <w:szCs w:val="24"/>
          <w:highlight w:val="none"/>
          <w:u w:val="none"/>
        </w:rPr>
        <w:t>-2</w:t>
      </w:r>
      <w:r>
        <w:rPr>
          <w:rFonts w:hint="eastAsia" w:cs="Times New Roman"/>
          <w:color w:val="auto"/>
          <w:sz w:val="24"/>
          <w:szCs w:val="24"/>
          <w:highlight w:val="none"/>
          <w:u w:val="none"/>
          <w:lang w:eastAsia="zh-CN"/>
        </w:rPr>
        <w:t>。</w:t>
      </w:r>
    </w:p>
    <w:p w14:paraId="2A045F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 4.</w:t>
      </w:r>
      <w:r>
        <w:rPr>
          <w:rFonts w:hint="eastAsia" w:ascii="黑体" w:hAnsi="黑体" w:eastAsia="黑体" w:cs="黑体"/>
          <w:b w:val="0"/>
          <w:bCs/>
          <w:color w:val="auto"/>
          <w:kern w:val="2"/>
          <w:sz w:val="24"/>
          <w:szCs w:val="24"/>
          <w:u w:val="none"/>
          <w:lang w:val="en-US" w:eastAsia="zh-CN" w:bidi="ar-SA"/>
        </w:rPr>
        <w:t>4</w:t>
      </w:r>
      <w:r>
        <w:rPr>
          <w:rFonts w:hint="default" w:ascii="黑体" w:hAnsi="黑体" w:eastAsia="黑体" w:cs="黑体"/>
          <w:b w:val="0"/>
          <w:bCs/>
          <w:color w:val="auto"/>
          <w:kern w:val="2"/>
          <w:sz w:val="24"/>
          <w:szCs w:val="24"/>
          <w:u w:val="none"/>
          <w:lang w:val="en-US" w:eastAsia="zh-CN" w:bidi="ar-SA"/>
        </w:rPr>
        <w:t>-2</w:t>
      </w:r>
      <w:r>
        <w:rPr>
          <w:rFonts w:hint="default" w:ascii="黑体" w:hAnsi="黑体" w:eastAsia="黑体" w:cs="黑体"/>
          <w:b w:val="0"/>
          <w:bCs/>
          <w:color w:val="auto"/>
          <w:kern w:val="2"/>
          <w:sz w:val="24"/>
          <w:szCs w:val="24"/>
          <w:u w:val="none"/>
          <w:lang w:val="en-US" w:eastAsia="zh-CN" w:bidi="ar-SA"/>
        </w:rPr>
        <w:tab/>
      </w:r>
      <w:r>
        <w:rPr>
          <w:rFonts w:hint="default" w:ascii="黑体" w:hAnsi="黑体" w:eastAsia="黑体" w:cs="黑体"/>
          <w:b w:val="0"/>
          <w:bCs/>
          <w:color w:val="auto"/>
          <w:kern w:val="2"/>
          <w:sz w:val="24"/>
          <w:szCs w:val="24"/>
          <w:u w:val="none"/>
          <w:lang w:val="en-US" w:eastAsia="zh-CN" w:bidi="ar-SA"/>
        </w:rPr>
        <w:t>地下水水位监测结果</w:t>
      </w:r>
    </w:p>
    <w:tbl>
      <w:tblPr>
        <w:tblStyle w:val="37"/>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22"/>
        <w:gridCol w:w="1144"/>
        <w:gridCol w:w="1363"/>
        <w:gridCol w:w="1306"/>
        <w:gridCol w:w="1293"/>
        <w:gridCol w:w="1174"/>
        <w:gridCol w:w="1174"/>
      </w:tblGrid>
      <w:tr w14:paraId="7D2328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4" w:type="pct"/>
            <w:tcBorders>
              <w:tl2br w:val="nil"/>
              <w:tr2bl w:val="nil"/>
            </w:tcBorders>
            <w:vAlign w:val="center"/>
          </w:tcPr>
          <w:p w14:paraId="6FEAB0CF">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b w:val="0"/>
                <w:bCs w:val="0"/>
                <w:color w:val="auto"/>
                <w:spacing w:val="0"/>
                <w:sz w:val="21"/>
                <w:szCs w:val="21"/>
                <w:highlight w:val="none"/>
                <w:u w:val="none"/>
              </w:rPr>
            </w:pPr>
            <w:r>
              <w:rPr>
                <w:rFonts w:hint="eastAsia" w:ascii="宋体" w:hAnsi="宋体" w:eastAsia="宋体" w:cs="宋体"/>
                <w:b w:val="0"/>
                <w:bCs w:val="0"/>
                <w:color w:val="auto"/>
                <w:spacing w:val="0"/>
                <w:sz w:val="21"/>
                <w:szCs w:val="21"/>
                <w:highlight w:val="none"/>
                <w:u w:val="none"/>
              </w:rPr>
              <w:t>项目</w:t>
            </w:r>
          </w:p>
        </w:tc>
        <w:tc>
          <w:tcPr>
            <w:tcW w:w="659" w:type="pct"/>
            <w:tcBorders>
              <w:tl2br w:val="nil"/>
              <w:tr2bl w:val="nil"/>
            </w:tcBorders>
            <w:vAlign w:val="center"/>
          </w:tcPr>
          <w:p w14:paraId="224AC6E2">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b w:val="0"/>
                <w:bCs w:val="0"/>
                <w:color w:val="auto"/>
                <w:spacing w:val="0"/>
                <w:sz w:val="21"/>
                <w:szCs w:val="21"/>
                <w:highlight w:val="none"/>
                <w:u w:val="none"/>
              </w:rPr>
            </w:pPr>
            <w:r>
              <w:rPr>
                <w:rFonts w:hint="eastAsia" w:ascii="宋体" w:hAnsi="宋体" w:eastAsia="宋体" w:cs="宋体"/>
                <w:b w:val="0"/>
                <w:bCs w:val="0"/>
                <w:color w:val="auto"/>
                <w:spacing w:val="0"/>
                <w:sz w:val="21"/>
                <w:szCs w:val="21"/>
                <w:highlight w:val="none"/>
                <w:u w:val="none"/>
              </w:rPr>
              <w:t>莫北 4#井</w:t>
            </w:r>
          </w:p>
        </w:tc>
        <w:tc>
          <w:tcPr>
            <w:tcW w:w="785" w:type="pct"/>
            <w:tcBorders>
              <w:tl2br w:val="nil"/>
              <w:tr2bl w:val="nil"/>
            </w:tcBorders>
            <w:vAlign w:val="center"/>
          </w:tcPr>
          <w:p w14:paraId="4643E002">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b w:val="0"/>
                <w:bCs w:val="0"/>
                <w:color w:val="auto"/>
                <w:spacing w:val="0"/>
                <w:sz w:val="21"/>
                <w:szCs w:val="21"/>
                <w:highlight w:val="none"/>
                <w:u w:val="none"/>
              </w:rPr>
            </w:pPr>
            <w:r>
              <w:rPr>
                <w:rFonts w:hint="eastAsia" w:ascii="宋体" w:hAnsi="宋体" w:eastAsia="宋体" w:cs="宋体"/>
                <w:b w:val="0"/>
                <w:bCs w:val="0"/>
                <w:color w:val="auto"/>
                <w:spacing w:val="0"/>
                <w:sz w:val="21"/>
                <w:szCs w:val="21"/>
                <w:highlight w:val="none"/>
                <w:u w:val="none"/>
              </w:rPr>
              <w:t>莫北 11#井</w:t>
            </w:r>
          </w:p>
        </w:tc>
        <w:tc>
          <w:tcPr>
            <w:tcW w:w="752" w:type="pct"/>
            <w:tcBorders>
              <w:tl2br w:val="nil"/>
              <w:tr2bl w:val="nil"/>
            </w:tcBorders>
            <w:vAlign w:val="center"/>
          </w:tcPr>
          <w:p w14:paraId="596B7543">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b w:val="0"/>
                <w:bCs w:val="0"/>
                <w:color w:val="auto"/>
                <w:spacing w:val="0"/>
                <w:sz w:val="21"/>
                <w:szCs w:val="21"/>
                <w:highlight w:val="none"/>
                <w:u w:val="none"/>
              </w:rPr>
            </w:pPr>
            <w:r>
              <w:rPr>
                <w:rFonts w:hint="eastAsia" w:ascii="宋体" w:hAnsi="宋体" w:eastAsia="宋体" w:cs="宋体"/>
                <w:b w:val="0"/>
                <w:bCs w:val="0"/>
                <w:color w:val="auto"/>
                <w:spacing w:val="0"/>
                <w:sz w:val="21"/>
                <w:szCs w:val="21"/>
                <w:highlight w:val="none"/>
                <w:u w:val="none"/>
              </w:rPr>
              <w:t>莫北 8#井</w:t>
            </w:r>
          </w:p>
        </w:tc>
        <w:tc>
          <w:tcPr>
            <w:tcW w:w="745" w:type="pct"/>
            <w:tcBorders>
              <w:tl2br w:val="nil"/>
              <w:tr2bl w:val="nil"/>
            </w:tcBorders>
            <w:vAlign w:val="center"/>
          </w:tcPr>
          <w:p w14:paraId="187B9A27">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b w:val="0"/>
                <w:bCs w:val="0"/>
                <w:color w:val="auto"/>
                <w:spacing w:val="0"/>
                <w:sz w:val="21"/>
                <w:szCs w:val="21"/>
                <w:highlight w:val="none"/>
                <w:u w:val="none"/>
              </w:rPr>
            </w:pPr>
            <w:r>
              <w:rPr>
                <w:rFonts w:hint="eastAsia" w:ascii="宋体" w:hAnsi="宋体" w:eastAsia="宋体" w:cs="宋体"/>
                <w:b w:val="0"/>
                <w:bCs w:val="0"/>
                <w:color w:val="auto"/>
                <w:spacing w:val="0"/>
                <w:sz w:val="21"/>
                <w:szCs w:val="21"/>
                <w:highlight w:val="none"/>
                <w:u w:val="none"/>
              </w:rPr>
              <w:t>莫北 12#井</w:t>
            </w:r>
          </w:p>
        </w:tc>
        <w:tc>
          <w:tcPr>
            <w:tcW w:w="676" w:type="pct"/>
            <w:tcBorders>
              <w:tl2br w:val="nil"/>
              <w:tr2bl w:val="nil"/>
            </w:tcBorders>
            <w:vAlign w:val="center"/>
          </w:tcPr>
          <w:p w14:paraId="69F2B678">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b w:val="0"/>
                <w:bCs w:val="0"/>
                <w:color w:val="auto"/>
                <w:spacing w:val="0"/>
                <w:sz w:val="21"/>
                <w:szCs w:val="21"/>
                <w:highlight w:val="none"/>
                <w:u w:val="none"/>
              </w:rPr>
            </w:pPr>
            <w:r>
              <w:rPr>
                <w:rFonts w:hint="eastAsia" w:ascii="宋体" w:hAnsi="宋体" w:eastAsia="宋体" w:cs="宋体"/>
                <w:b w:val="0"/>
                <w:bCs w:val="0"/>
                <w:color w:val="auto"/>
                <w:spacing w:val="0"/>
                <w:sz w:val="21"/>
                <w:szCs w:val="21"/>
                <w:highlight w:val="none"/>
                <w:u w:val="none"/>
              </w:rPr>
              <w:t>莫北 6#井</w:t>
            </w:r>
          </w:p>
        </w:tc>
        <w:tc>
          <w:tcPr>
            <w:tcW w:w="676" w:type="pct"/>
            <w:tcBorders>
              <w:tl2br w:val="nil"/>
              <w:tr2bl w:val="nil"/>
            </w:tcBorders>
            <w:vAlign w:val="center"/>
          </w:tcPr>
          <w:p w14:paraId="02B4AF68">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b w:val="0"/>
                <w:bCs w:val="0"/>
                <w:color w:val="auto"/>
                <w:spacing w:val="0"/>
                <w:sz w:val="21"/>
                <w:szCs w:val="21"/>
                <w:highlight w:val="none"/>
                <w:u w:val="none"/>
              </w:rPr>
            </w:pPr>
            <w:r>
              <w:rPr>
                <w:rFonts w:hint="eastAsia" w:ascii="宋体" w:hAnsi="宋体" w:eastAsia="宋体" w:cs="宋体"/>
                <w:b w:val="0"/>
                <w:bCs w:val="0"/>
                <w:color w:val="auto"/>
                <w:spacing w:val="0"/>
                <w:sz w:val="21"/>
                <w:szCs w:val="21"/>
                <w:highlight w:val="none"/>
                <w:u w:val="none"/>
              </w:rPr>
              <w:t>莫北 5#井</w:t>
            </w:r>
          </w:p>
        </w:tc>
      </w:tr>
      <w:tr w14:paraId="00829C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4" w:type="pct"/>
            <w:tcBorders>
              <w:tl2br w:val="nil"/>
              <w:tr2bl w:val="nil"/>
            </w:tcBorders>
            <w:vAlign w:val="center"/>
          </w:tcPr>
          <w:p w14:paraId="486877C0">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水位（m）</w:t>
            </w:r>
          </w:p>
        </w:tc>
        <w:tc>
          <w:tcPr>
            <w:tcW w:w="659" w:type="pct"/>
            <w:tcBorders>
              <w:tl2br w:val="nil"/>
              <w:tr2bl w:val="nil"/>
            </w:tcBorders>
            <w:vAlign w:val="center"/>
          </w:tcPr>
          <w:p w14:paraId="20686C57">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400</w:t>
            </w:r>
          </w:p>
        </w:tc>
        <w:tc>
          <w:tcPr>
            <w:tcW w:w="785" w:type="pct"/>
            <w:tcBorders>
              <w:tl2br w:val="nil"/>
              <w:tr2bl w:val="nil"/>
            </w:tcBorders>
            <w:vAlign w:val="center"/>
          </w:tcPr>
          <w:p w14:paraId="7001A3CC">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390</w:t>
            </w:r>
          </w:p>
        </w:tc>
        <w:tc>
          <w:tcPr>
            <w:tcW w:w="752" w:type="pct"/>
            <w:tcBorders>
              <w:tl2br w:val="nil"/>
              <w:tr2bl w:val="nil"/>
            </w:tcBorders>
            <w:vAlign w:val="center"/>
          </w:tcPr>
          <w:p w14:paraId="3CCD2F48">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420</w:t>
            </w:r>
          </w:p>
        </w:tc>
        <w:tc>
          <w:tcPr>
            <w:tcW w:w="745" w:type="pct"/>
            <w:tcBorders>
              <w:tl2br w:val="nil"/>
              <w:tr2bl w:val="nil"/>
            </w:tcBorders>
            <w:vAlign w:val="center"/>
          </w:tcPr>
          <w:p w14:paraId="67368E9A">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370</w:t>
            </w:r>
          </w:p>
        </w:tc>
        <w:tc>
          <w:tcPr>
            <w:tcW w:w="676" w:type="pct"/>
            <w:tcBorders>
              <w:tl2br w:val="nil"/>
              <w:tr2bl w:val="nil"/>
            </w:tcBorders>
            <w:vAlign w:val="center"/>
          </w:tcPr>
          <w:p w14:paraId="2A3D6198">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350</w:t>
            </w:r>
          </w:p>
        </w:tc>
        <w:tc>
          <w:tcPr>
            <w:tcW w:w="676" w:type="pct"/>
            <w:tcBorders>
              <w:tl2br w:val="nil"/>
              <w:tr2bl w:val="nil"/>
            </w:tcBorders>
            <w:vAlign w:val="center"/>
          </w:tcPr>
          <w:p w14:paraId="782EFFD8">
            <w:pPr>
              <w:pStyle w:val="87"/>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350</w:t>
            </w:r>
          </w:p>
        </w:tc>
      </w:tr>
    </w:tbl>
    <w:p w14:paraId="7BD5499F">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color w:val="auto"/>
          <w:sz w:val="24"/>
          <w:szCs w:val="24"/>
          <w:highlight w:val="none"/>
          <w:u w:val="none"/>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24"/>
          <w:szCs w:val="24"/>
          <w:highlight w:val="none"/>
          <w:u w:val="none"/>
        </w:rPr>
        <w:t>水质监测及评价结果</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见表 4.</w:t>
      </w:r>
      <w:r>
        <w:rPr>
          <w:rFonts w:hint="eastAsia" w:cs="Times New Roman"/>
          <w:color w:val="auto"/>
          <w:sz w:val="24"/>
          <w:szCs w:val="24"/>
          <w:highlight w:val="none"/>
          <w:u w:val="none"/>
          <w:lang w:val="en-US" w:eastAsia="zh-CN"/>
        </w:rPr>
        <w:t>3</w:t>
      </w:r>
      <w:r>
        <w:rPr>
          <w:rFonts w:hint="default" w:ascii="Times New Roman" w:hAnsi="Times New Roman" w:cs="Times New Roman"/>
          <w:color w:val="auto"/>
          <w:sz w:val="24"/>
          <w:szCs w:val="24"/>
          <w:highlight w:val="none"/>
          <w:u w:val="none"/>
        </w:rPr>
        <w:t>-3。</w:t>
      </w:r>
    </w:p>
    <w:p w14:paraId="6919A4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表4.3-3  地下水水质监测及评价结果 单位：mg/L（pH 除外）</w:t>
      </w:r>
    </w:p>
    <w:tbl>
      <w:tblPr>
        <w:tblStyle w:val="37"/>
        <w:tblW w:w="500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52"/>
        <w:gridCol w:w="843"/>
        <w:gridCol w:w="1180"/>
        <w:gridCol w:w="1195"/>
        <w:gridCol w:w="1195"/>
        <w:gridCol w:w="1195"/>
        <w:gridCol w:w="1195"/>
        <w:gridCol w:w="1195"/>
        <w:gridCol w:w="1195"/>
        <w:gridCol w:w="1195"/>
        <w:gridCol w:w="1196"/>
        <w:gridCol w:w="1196"/>
        <w:gridCol w:w="1199"/>
      </w:tblGrid>
      <w:tr w14:paraId="0B81C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vMerge w:val="restart"/>
            <w:tcBorders>
              <w:tl2br w:val="nil"/>
              <w:tr2bl w:val="nil"/>
            </w:tcBorders>
            <w:vAlign w:val="center"/>
          </w:tcPr>
          <w:p w14:paraId="0B1E567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项目</w:t>
            </w:r>
          </w:p>
        </w:tc>
        <w:tc>
          <w:tcPr>
            <w:tcW w:w="273" w:type="pct"/>
            <w:vMerge w:val="restart"/>
            <w:tcBorders>
              <w:tl2br w:val="nil"/>
              <w:tr2bl w:val="nil"/>
            </w:tcBorders>
            <w:vAlign w:val="center"/>
          </w:tcPr>
          <w:p w14:paraId="3A79ED3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单位</w:t>
            </w:r>
          </w:p>
        </w:tc>
        <w:tc>
          <w:tcPr>
            <w:tcW w:w="382" w:type="pct"/>
            <w:vMerge w:val="restart"/>
            <w:tcBorders>
              <w:tl2br w:val="nil"/>
              <w:tr2bl w:val="nil"/>
            </w:tcBorders>
            <w:vAlign w:val="center"/>
          </w:tcPr>
          <w:p w14:paraId="40224B0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标准值</w:t>
            </w:r>
          </w:p>
        </w:tc>
        <w:tc>
          <w:tcPr>
            <w:tcW w:w="774" w:type="pct"/>
            <w:gridSpan w:val="2"/>
            <w:tcBorders>
              <w:tl2br w:val="nil"/>
              <w:tr2bl w:val="nil"/>
            </w:tcBorders>
            <w:vAlign w:val="center"/>
          </w:tcPr>
          <w:p w14:paraId="3E21CF7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莫北</w:t>
            </w:r>
            <w:r>
              <w:rPr>
                <w:rFonts w:hint="eastAsia" w:ascii="宋体" w:hAnsi="宋体" w:eastAsia="宋体" w:cs="宋体"/>
                <w:b w:val="0"/>
                <w:bCs w:val="0"/>
                <w:color w:val="auto"/>
                <w:spacing w:val="-57"/>
                <w:sz w:val="21"/>
                <w:szCs w:val="21"/>
                <w:highlight w:val="none"/>
                <w:u w:val="none"/>
              </w:rPr>
              <w:t xml:space="preserve"> </w:t>
            </w:r>
            <w:r>
              <w:rPr>
                <w:rFonts w:hint="eastAsia" w:ascii="宋体" w:hAnsi="宋体" w:eastAsia="宋体" w:cs="宋体"/>
                <w:b w:val="0"/>
                <w:bCs w:val="0"/>
                <w:color w:val="auto"/>
                <w:sz w:val="21"/>
                <w:szCs w:val="21"/>
                <w:highlight w:val="none"/>
                <w:u w:val="none"/>
              </w:rPr>
              <w:t>4#井</w:t>
            </w:r>
          </w:p>
        </w:tc>
        <w:tc>
          <w:tcPr>
            <w:tcW w:w="774" w:type="pct"/>
            <w:gridSpan w:val="2"/>
            <w:tcBorders>
              <w:tl2br w:val="nil"/>
              <w:tr2bl w:val="nil"/>
            </w:tcBorders>
            <w:vAlign w:val="center"/>
          </w:tcPr>
          <w:p w14:paraId="2B34684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莫北</w:t>
            </w:r>
            <w:r>
              <w:rPr>
                <w:rFonts w:hint="eastAsia" w:ascii="宋体" w:hAnsi="宋体" w:eastAsia="宋体" w:cs="宋体"/>
                <w:b w:val="0"/>
                <w:bCs w:val="0"/>
                <w:color w:val="auto"/>
                <w:spacing w:val="-56"/>
                <w:sz w:val="21"/>
                <w:szCs w:val="21"/>
                <w:highlight w:val="none"/>
                <w:u w:val="none"/>
              </w:rPr>
              <w:t xml:space="preserve"> </w:t>
            </w:r>
            <w:r>
              <w:rPr>
                <w:rFonts w:hint="eastAsia" w:ascii="宋体" w:hAnsi="宋体" w:eastAsia="宋体" w:cs="宋体"/>
                <w:b w:val="0"/>
                <w:bCs w:val="0"/>
                <w:color w:val="auto"/>
                <w:sz w:val="21"/>
                <w:szCs w:val="21"/>
                <w:highlight w:val="none"/>
                <w:u w:val="none"/>
              </w:rPr>
              <w:t>12#井</w:t>
            </w:r>
          </w:p>
        </w:tc>
        <w:tc>
          <w:tcPr>
            <w:tcW w:w="774" w:type="pct"/>
            <w:gridSpan w:val="2"/>
            <w:tcBorders>
              <w:tl2br w:val="nil"/>
              <w:tr2bl w:val="nil"/>
            </w:tcBorders>
            <w:vAlign w:val="center"/>
          </w:tcPr>
          <w:p w14:paraId="56BA542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莫北</w:t>
            </w:r>
            <w:r>
              <w:rPr>
                <w:rFonts w:hint="eastAsia" w:ascii="宋体" w:hAnsi="宋体" w:eastAsia="宋体" w:cs="宋体"/>
                <w:b w:val="0"/>
                <w:bCs w:val="0"/>
                <w:color w:val="auto"/>
                <w:spacing w:val="-57"/>
                <w:sz w:val="21"/>
                <w:szCs w:val="21"/>
                <w:highlight w:val="none"/>
                <w:u w:val="none"/>
              </w:rPr>
              <w:t xml:space="preserve"> </w:t>
            </w:r>
            <w:r>
              <w:rPr>
                <w:rFonts w:hint="eastAsia" w:ascii="宋体" w:hAnsi="宋体" w:eastAsia="宋体" w:cs="宋体"/>
                <w:b w:val="0"/>
                <w:bCs w:val="0"/>
                <w:color w:val="auto"/>
                <w:sz w:val="21"/>
                <w:szCs w:val="21"/>
                <w:highlight w:val="none"/>
                <w:u w:val="none"/>
              </w:rPr>
              <w:t>8#井</w:t>
            </w:r>
          </w:p>
        </w:tc>
        <w:tc>
          <w:tcPr>
            <w:tcW w:w="774" w:type="pct"/>
            <w:gridSpan w:val="2"/>
            <w:tcBorders>
              <w:tl2br w:val="nil"/>
              <w:tr2bl w:val="nil"/>
            </w:tcBorders>
            <w:vAlign w:val="center"/>
          </w:tcPr>
          <w:p w14:paraId="4E4460F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莫北</w:t>
            </w:r>
            <w:r>
              <w:rPr>
                <w:rFonts w:hint="eastAsia" w:ascii="宋体" w:hAnsi="宋体" w:eastAsia="宋体" w:cs="宋体"/>
                <w:b w:val="0"/>
                <w:bCs w:val="0"/>
                <w:color w:val="auto"/>
                <w:spacing w:val="-56"/>
                <w:sz w:val="21"/>
                <w:szCs w:val="21"/>
                <w:highlight w:val="none"/>
                <w:u w:val="none"/>
              </w:rPr>
              <w:t xml:space="preserve"> </w:t>
            </w:r>
            <w:r>
              <w:rPr>
                <w:rFonts w:hint="eastAsia" w:ascii="宋体" w:hAnsi="宋体" w:eastAsia="宋体" w:cs="宋体"/>
                <w:b w:val="0"/>
                <w:bCs w:val="0"/>
                <w:color w:val="auto"/>
                <w:spacing w:val="-3"/>
                <w:sz w:val="21"/>
                <w:szCs w:val="21"/>
                <w:highlight w:val="none"/>
                <w:u w:val="none"/>
              </w:rPr>
              <w:t>11#井</w:t>
            </w:r>
          </w:p>
        </w:tc>
        <w:tc>
          <w:tcPr>
            <w:tcW w:w="775" w:type="pct"/>
            <w:gridSpan w:val="2"/>
            <w:tcBorders>
              <w:tl2br w:val="nil"/>
              <w:tr2bl w:val="nil"/>
            </w:tcBorders>
            <w:vAlign w:val="center"/>
          </w:tcPr>
          <w:p w14:paraId="57C2D29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莫北</w:t>
            </w:r>
            <w:r>
              <w:rPr>
                <w:rFonts w:hint="eastAsia" w:ascii="宋体" w:hAnsi="宋体" w:eastAsia="宋体" w:cs="宋体"/>
                <w:b w:val="0"/>
                <w:bCs w:val="0"/>
                <w:color w:val="auto"/>
                <w:spacing w:val="-57"/>
                <w:sz w:val="21"/>
                <w:szCs w:val="21"/>
                <w:highlight w:val="none"/>
                <w:u w:val="none"/>
              </w:rPr>
              <w:t xml:space="preserve"> </w:t>
            </w:r>
            <w:r>
              <w:rPr>
                <w:rFonts w:hint="eastAsia" w:ascii="宋体" w:hAnsi="宋体" w:eastAsia="宋体" w:cs="宋体"/>
                <w:b w:val="0"/>
                <w:bCs w:val="0"/>
                <w:color w:val="auto"/>
                <w:sz w:val="21"/>
                <w:szCs w:val="21"/>
                <w:highlight w:val="none"/>
                <w:u w:val="none"/>
              </w:rPr>
              <w:t>6#井</w:t>
            </w:r>
          </w:p>
        </w:tc>
      </w:tr>
      <w:tr w14:paraId="1A79B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vMerge w:val="continue"/>
            <w:tcBorders>
              <w:tl2br w:val="nil"/>
              <w:tr2bl w:val="nil"/>
            </w:tcBorders>
            <w:vAlign w:val="center"/>
          </w:tcPr>
          <w:p w14:paraId="12E3E153">
            <w:pPr>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p>
        </w:tc>
        <w:tc>
          <w:tcPr>
            <w:tcW w:w="273" w:type="pct"/>
            <w:vMerge w:val="continue"/>
            <w:tcBorders>
              <w:tl2br w:val="nil"/>
              <w:tr2bl w:val="nil"/>
            </w:tcBorders>
            <w:vAlign w:val="center"/>
          </w:tcPr>
          <w:p w14:paraId="1359F15D">
            <w:pPr>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p>
        </w:tc>
        <w:tc>
          <w:tcPr>
            <w:tcW w:w="382" w:type="pct"/>
            <w:vMerge w:val="continue"/>
            <w:tcBorders>
              <w:tl2br w:val="nil"/>
              <w:tr2bl w:val="nil"/>
            </w:tcBorders>
            <w:vAlign w:val="center"/>
          </w:tcPr>
          <w:p w14:paraId="20B9D30F">
            <w:pPr>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p>
        </w:tc>
        <w:tc>
          <w:tcPr>
            <w:tcW w:w="387" w:type="pct"/>
            <w:tcBorders>
              <w:tl2br w:val="nil"/>
              <w:tr2bl w:val="nil"/>
            </w:tcBorders>
            <w:vAlign w:val="center"/>
          </w:tcPr>
          <w:p w14:paraId="2825F15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监测值</w:t>
            </w:r>
          </w:p>
        </w:tc>
        <w:tc>
          <w:tcPr>
            <w:tcW w:w="387" w:type="pct"/>
            <w:tcBorders>
              <w:tl2br w:val="nil"/>
              <w:tr2bl w:val="nil"/>
            </w:tcBorders>
            <w:vAlign w:val="center"/>
          </w:tcPr>
          <w:p w14:paraId="0A8D76E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污染指数</w:t>
            </w:r>
          </w:p>
        </w:tc>
        <w:tc>
          <w:tcPr>
            <w:tcW w:w="387" w:type="pct"/>
            <w:tcBorders>
              <w:tl2br w:val="nil"/>
              <w:tr2bl w:val="nil"/>
            </w:tcBorders>
            <w:vAlign w:val="center"/>
          </w:tcPr>
          <w:p w14:paraId="5A77823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监测值</w:t>
            </w:r>
          </w:p>
        </w:tc>
        <w:tc>
          <w:tcPr>
            <w:tcW w:w="387" w:type="pct"/>
            <w:tcBorders>
              <w:tl2br w:val="nil"/>
              <w:tr2bl w:val="nil"/>
            </w:tcBorders>
            <w:vAlign w:val="center"/>
          </w:tcPr>
          <w:p w14:paraId="7692493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污染指数</w:t>
            </w:r>
          </w:p>
        </w:tc>
        <w:tc>
          <w:tcPr>
            <w:tcW w:w="387" w:type="pct"/>
            <w:tcBorders>
              <w:tl2br w:val="nil"/>
              <w:tr2bl w:val="nil"/>
            </w:tcBorders>
            <w:vAlign w:val="center"/>
          </w:tcPr>
          <w:p w14:paraId="580F665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监测值</w:t>
            </w:r>
          </w:p>
        </w:tc>
        <w:tc>
          <w:tcPr>
            <w:tcW w:w="387" w:type="pct"/>
            <w:tcBorders>
              <w:tl2br w:val="nil"/>
              <w:tr2bl w:val="nil"/>
            </w:tcBorders>
            <w:vAlign w:val="center"/>
          </w:tcPr>
          <w:p w14:paraId="03CF71F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污染指数</w:t>
            </w:r>
          </w:p>
        </w:tc>
        <w:tc>
          <w:tcPr>
            <w:tcW w:w="387" w:type="pct"/>
            <w:tcBorders>
              <w:tl2br w:val="nil"/>
              <w:tr2bl w:val="nil"/>
            </w:tcBorders>
            <w:vAlign w:val="center"/>
          </w:tcPr>
          <w:p w14:paraId="3D92FC7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监测值</w:t>
            </w:r>
          </w:p>
        </w:tc>
        <w:tc>
          <w:tcPr>
            <w:tcW w:w="387" w:type="pct"/>
            <w:tcBorders>
              <w:tl2br w:val="nil"/>
              <w:tr2bl w:val="nil"/>
            </w:tcBorders>
            <w:vAlign w:val="center"/>
          </w:tcPr>
          <w:p w14:paraId="4319E3C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污染指数</w:t>
            </w:r>
          </w:p>
        </w:tc>
        <w:tc>
          <w:tcPr>
            <w:tcW w:w="387" w:type="pct"/>
            <w:tcBorders>
              <w:tl2br w:val="nil"/>
              <w:tr2bl w:val="nil"/>
            </w:tcBorders>
            <w:vAlign w:val="center"/>
          </w:tcPr>
          <w:p w14:paraId="345C3C2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监测值</w:t>
            </w:r>
          </w:p>
        </w:tc>
        <w:tc>
          <w:tcPr>
            <w:tcW w:w="388" w:type="pct"/>
            <w:tcBorders>
              <w:tl2br w:val="nil"/>
              <w:tr2bl w:val="nil"/>
            </w:tcBorders>
            <w:vAlign w:val="center"/>
          </w:tcPr>
          <w:p w14:paraId="2A20B58D">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污染指数</w:t>
            </w:r>
          </w:p>
        </w:tc>
      </w:tr>
      <w:tr w14:paraId="40048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0B4C877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pH</w:t>
            </w:r>
          </w:p>
        </w:tc>
        <w:tc>
          <w:tcPr>
            <w:tcW w:w="273" w:type="pct"/>
            <w:tcBorders>
              <w:tl2br w:val="nil"/>
              <w:tr2bl w:val="nil"/>
            </w:tcBorders>
            <w:vAlign w:val="center"/>
          </w:tcPr>
          <w:p w14:paraId="637597F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无量纲</w:t>
            </w:r>
          </w:p>
        </w:tc>
        <w:tc>
          <w:tcPr>
            <w:tcW w:w="382" w:type="pct"/>
            <w:tcBorders>
              <w:tl2br w:val="nil"/>
              <w:tr2bl w:val="nil"/>
            </w:tcBorders>
            <w:vAlign w:val="center"/>
          </w:tcPr>
          <w:p w14:paraId="4562CA5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6.5-8.5</w:t>
            </w:r>
          </w:p>
        </w:tc>
        <w:tc>
          <w:tcPr>
            <w:tcW w:w="387" w:type="pct"/>
            <w:tcBorders>
              <w:tl2br w:val="nil"/>
              <w:tr2bl w:val="nil"/>
            </w:tcBorders>
            <w:vAlign w:val="center"/>
          </w:tcPr>
          <w:p w14:paraId="2B91434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6.7</w:t>
            </w:r>
          </w:p>
        </w:tc>
        <w:tc>
          <w:tcPr>
            <w:tcW w:w="387" w:type="pct"/>
            <w:tcBorders>
              <w:tl2br w:val="nil"/>
              <w:tr2bl w:val="nil"/>
            </w:tcBorders>
            <w:vAlign w:val="center"/>
          </w:tcPr>
          <w:p w14:paraId="2E42CE4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0.6</w:t>
            </w:r>
          </w:p>
        </w:tc>
        <w:tc>
          <w:tcPr>
            <w:tcW w:w="387" w:type="pct"/>
            <w:tcBorders>
              <w:tl2br w:val="nil"/>
              <w:tr2bl w:val="nil"/>
            </w:tcBorders>
            <w:vAlign w:val="center"/>
          </w:tcPr>
          <w:p w14:paraId="0BCF3A7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6.9</w:t>
            </w:r>
          </w:p>
        </w:tc>
        <w:tc>
          <w:tcPr>
            <w:tcW w:w="387" w:type="pct"/>
            <w:tcBorders>
              <w:tl2br w:val="nil"/>
              <w:tr2bl w:val="nil"/>
            </w:tcBorders>
            <w:vAlign w:val="center"/>
          </w:tcPr>
          <w:p w14:paraId="7E0DB3A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0.2</w:t>
            </w:r>
          </w:p>
        </w:tc>
        <w:tc>
          <w:tcPr>
            <w:tcW w:w="387" w:type="pct"/>
            <w:tcBorders>
              <w:tl2br w:val="nil"/>
              <w:tr2bl w:val="nil"/>
            </w:tcBorders>
            <w:vAlign w:val="center"/>
          </w:tcPr>
          <w:p w14:paraId="070CD63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6.7</w:t>
            </w:r>
          </w:p>
        </w:tc>
        <w:tc>
          <w:tcPr>
            <w:tcW w:w="387" w:type="pct"/>
            <w:tcBorders>
              <w:tl2br w:val="nil"/>
              <w:tr2bl w:val="nil"/>
            </w:tcBorders>
            <w:vAlign w:val="center"/>
          </w:tcPr>
          <w:p w14:paraId="016D849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0.6</w:t>
            </w:r>
          </w:p>
        </w:tc>
        <w:tc>
          <w:tcPr>
            <w:tcW w:w="387" w:type="pct"/>
            <w:tcBorders>
              <w:tl2br w:val="nil"/>
              <w:tr2bl w:val="nil"/>
            </w:tcBorders>
            <w:vAlign w:val="center"/>
          </w:tcPr>
          <w:p w14:paraId="71154D6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6.8</w:t>
            </w:r>
          </w:p>
        </w:tc>
        <w:tc>
          <w:tcPr>
            <w:tcW w:w="387" w:type="pct"/>
            <w:tcBorders>
              <w:tl2br w:val="nil"/>
              <w:tr2bl w:val="nil"/>
            </w:tcBorders>
            <w:vAlign w:val="center"/>
          </w:tcPr>
          <w:p w14:paraId="7286002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0.4</w:t>
            </w:r>
          </w:p>
        </w:tc>
        <w:tc>
          <w:tcPr>
            <w:tcW w:w="387" w:type="pct"/>
            <w:tcBorders>
              <w:tl2br w:val="nil"/>
              <w:tr2bl w:val="nil"/>
            </w:tcBorders>
            <w:vAlign w:val="center"/>
          </w:tcPr>
          <w:p w14:paraId="49B2A13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6.8</w:t>
            </w:r>
          </w:p>
        </w:tc>
        <w:tc>
          <w:tcPr>
            <w:tcW w:w="388" w:type="pct"/>
            <w:tcBorders>
              <w:tl2br w:val="nil"/>
              <w:tr2bl w:val="nil"/>
            </w:tcBorders>
            <w:vAlign w:val="center"/>
          </w:tcPr>
          <w:p w14:paraId="0FAF210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0.4</w:t>
            </w:r>
          </w:p>
        </w:tc>
      </w:tr>
      <w:tr w14:paraId="13C16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60F458A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耗氧量</w:t>
            </w:r>
          </w:p>
        </w:tc>
        <w:tc>
          <w:tcPr>
            <w:tcW w:w="273" w:type="pct"/>
            <w:tcBorders>
              <w:tl2br w:val="nil"/>
              <w:tr2bl w:val="nil"/>
            </w:tcBorders>
            <w:vAlign w:val="center"/>
          </w:tcPr>
          <w:p w14:paraId="41D8446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27A40C0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≤3.0</w:t>
            </w:r>
          </w:p>
        </w:tc>
        <w:tc>
          <w:tcPr>
            <w:tcW w:w="387" w:type="pct"/>
            <w:tcBorders>
              <w:tl2br w:val="nil"/>
              <w:tr2bl w:val="nil"/>
            </w:tcBorders>
            <w:vAlign w:val="center"/>
          </w:tcPr>
          <w:p w14:paraId="216D205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0.56</w:t>
            </w:r>
          </w:p>
        </w:tc>
        <w:tc>
          <w:tcPr>
            <w:tcW w:w="387" w:type="pct"/>
            <w:tcBorders>
              <w:tl2br w:val="nil"/>
              <w:tr2bl w:val="nil"/>
            </w:tcBorders>
            <w:vAlign w:val="center"/>
          </w:tcPr>
          <w:p w14:paraId="38CAFB0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0.19</w:t>
            </w:r>
          </w:p>
        </w:tc>
        <w:tc>
          <w:tcPr>
            <w:tcW w:w="387" w:type="pct"/>
            <w:tcBorders>
              <w:tl2br w:val="nil"/>
              <w:tr2bl w:val="nil"/>
            </w:tcBorders>
            <w:vAlign w:val="center"/>
          </w:tcPr>
          <w:p w14:paraId="6AB8275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0.52</w:t>
            </w:r>
          </w:p>
        </w:tc>
        <w:tc>
          <w:tcPr>
            <w:tcW w:w="387" w:type="pct"/>
            <w:tcBorders>
              <w:tl2br w:val="nil"/>
              <w:tr2bl w:val="nil"/>
            </w:tcBorders>
            <w:vAlign w:val="center"/>
          </w:tcPr>
          <w:p w14:paraId="06766C1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0.17</w:t>
            </w:r>
          </w:p>
        </w:tc>
        <w:tc>
          <w:tcPr>
            <w:tcW w:w="387" w:type="pct"/>
            <w:tcBorders>
              <w:tl2br w:val="nil"/>
              <w:tr2bl w:val="nil"/>
            </w:tcBorders>
            <w:vAlign w:val="center"/>
          </w:tcPr>
          <w:p w14:paraId="2C0790C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0.60</w:t>
            </w:r>
          </w:p>
        </w:tc>
        <w:tc>
          <w:tcPr>
            <w:tcW w:w="387" w:type="pct"/>
            <w:tcBorders>
              <w:tl2br w:val="nil"/>
              <w:tr2bl w:val="nil"/>
            </w:tcBorders>
            <w:vAlign w:val="center"/>
          </w:tcPr>
          <w:p w14:paraId="1753264D">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0.20</w:t>
            </w:r>
          </w:p>
        </w:tc>
        <w:tc>
          <w:tcPr>
            <w:tcW w:w="387" w:type="pct"/>
            <w:tcBorders>
              <w:tl2br w:val="nil"/>
              <w:tr2bl w:val="nil"/>
            </w:tcBorders>
            <w:vAlign w:val="center"/>
          </w:tcPr>
          <w:p w14:paraId="249D557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0.68</w:t>
            </w:r>
          </w:p>
        </w:tc>
        <w:tc>
          <w:tcPr>
            <w:tcW w:w="387" w:type="pct"/>
            <w:tcBorders>
              <w:tl2br w:val="nil"/>
              <w:tr2bl w:val="nil"/>
            </w:tcBorders>
            <w:vAlign w:val="center"/>
          </w:tcPr>
          <w:p w14:paraId="790D296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0.23</w:t>
            </w:r>
          </w:p>
        </w:tc>
        <w:tc>
          <w:tcPr>
            <w:tcW w:w="387" w:type="pct"/>
            <w:tcBorders>
              <w:tl2br w:val="nil"/>
              <w:tr2bl w:val="nil"/>
            </w:tcBorders>
            <w:vAlign w:val="center"/>
          </w:tcPr>
          <w:p w14:paraId="7938E43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0.58</w:t>
            </w:r>
          </w:p>
        </w:tc>
        <w:tc>
          <w:tcPr>
            <w:tcW w:w="388" w:type="pct"/>
            <w:tcBorders>
              <w:tl2br w:val="nil"/>
              <w:tr2bl w:val="nil"/>
            </w:tcBorders>
            <w:vAlign w:val="center"/>
          </w:tcPr>
          <w:p w14:paraId="1F8DFE9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0.19</w:t>
            </w:r>
          </w:p>
        </w:tc>
      </w:tr>
      <w:tr w14:paraId="6F8C2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3071A2F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总硬度</w:t>
            </w:r>
          </w:p>
        </w:tc>
        <w:tc>
          <w:tcPr>
            <w:tcW w:w="273" w:type="pct"/>
            <w:tcBorders>
              <w:tl2br w:val="nil"/>
              <w:tr2bl w:val="nil"/>
            </w:tcBorders>
            <w:vAlign w:val="center"/>
          </w:tcPr>
          <w:p w14:paraId="5C5F48E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2E1E6AB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≤450</w:t>
            </w:r>
          </w:p>
        </w:tc>
        <w:tc>
          <w:tcPr>
            <w:tcW w:w="387" w:type="pct"/>
            <w:tcBorders>
              <w:tl2br w:val="nil"/>
              <w:tr2bl w:val="nil"/>
            </w:tcBorders>
            <w:vAlign w:val="center"/>
          </w:tcPr>
          <w:p w14:paraId="44EC594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254</w:t>
            </w:r>
          </w:p>
        </w:tc>
        <w:tc>
          <w:tcPr>
            <w:tcW w:w="387" w:type="pct"/>
            <w:tcBorders>
              <w:tl2br w:val="nil"/>
              <w:tr2bl w:val="nil"/>
            </w:tcBorders>
            <w:vAlign w:val="center"/>
          </w:tcPr>
          <w:p w14:paraId="56AF4CB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0.56</w:t>
            </w:r>
          </w:p>
        </w:tc>
        <w:tc>
          <w:tcPr>
            <w:tcW w:w="387" w:type="pct"/>
            <w:tcBorders>
              <w:tl2br w:val="nil"/>
              <w:tr2bl w:val="nil"/>
            </w:tcBorders>
            <w:vAlign w:val="center"/>
          </w:tcPr>
          <w:p w14:paraId="3863BCC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261</w:t>
            </w:r>
          </w:p>
        </w:tc>
        <w:tc>
          <w:tcPr>
            <w:tcW w:w="387" w:type="pct"/>
            <w:tcBorders>
              <w:tl2br w:val="nil"/>
              <w:tr2bl w:val="nil"/>
            </w:tcBorders>
            <w:vAlign w:val="center"/>
          </w:tcPr>
          <w:p w14:paraId="40A75F3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0.58</w:t>
            </w:r>
          </w:p>
        </w:tc>
        <w:tc>
          <w:tcPr>
            <w:tcW w:w="387" w:type="pct"/>
            <w:tcBorders>
              <w:tl2br w:val="nil"/>
              <w:tr2bl w:val="nil"/>
            </w:tcBorders>
            <w:vAlign w:val="center"/>
          </w:tcPr>
          <w:p w14:paraId="225E5D3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205</w:t>
            </w:r>
          </w:p>
        </w:tc>
        <w:tc>
          <w:tcPr>
            <w:tcW w:w="387" w:type="pct"/>
            <w:tcBorders>
              <w:tl2br w:val="nil"/>
              <w:tr2bl w:val="nil"/>
            </w:tcBorders>
            <w:vAlign w:val="center"/>
          </w:tcPr>
          <w:p w14:paraId="4305061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0.46</w:t>
            </w:r>
          </w:p>
        </w:tc>
        <w:tc>
          <w:tcPr>
            <w:tcW w:w="387" w:type="pct"/>
            <w:tcBorders>
              <w:tl2br w:val="nil"/>
              <w:tr2bl w:val="nil"/>
            </w:tcBorders>
            <w:vAlign w:val="center"/>
          </w:tcPr>
          <w:p w14:paraId="0AEF62A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209</w:t>
            </w:r>
          </w:p>
        </w:tc>
        <w:tc>
          <w:tcPr>
            <w:tcW w:w="387" w:type="pct"/>
            <w:tcBorders>
              <w:tl2br w:val="nil"/>
              <w:tr2bl w:val="nil"/>
            </w:tcBorders>
            <w:vAlign w:val="center"/>
          </w:tcPr>
          <w:p w14:paraId="50C9380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0.46</w:t>
            </w:r>
          </w:p>
        </w:tc>
        <w:tc>
          <w:tcPr>
            <w:tcW w:w="387" w:type="pct"/>
            <w:tcBorders>
              <w:tl2br w:val="nil"/>
              <w:tr2bl w:val="nil"/>
            </w:tcBorders>
            <w:vAlign w:val="center"/>
          </w:tcPr>
          <w:p w14:paraId="7A794DB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193</w:t>
            </w:r>
          </w:p>
        </w:tc>
        <w:tc>
          <w:tcPr>
            <w:tcW w:w="388" w:type="pct"/>
            <w:tcBorders>
              <w:tl2br w:val="nil"/>
              <w:tr2bl w:val="nil"/>
            </w:tcBorders>
            <w:vAlign w:val="center"/>
          </w:tcPr>
          <w:p w14:paraId="39C810B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0.43</w:t>
            </w:r>
          </w:p>
        </w:tc>
      </w:tr>
      <w:tr w14:paraId="2EC59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2A4EFF6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bCs/>
                <w:color w:val="auto"/>
                <w:sz w:val="21"/>
                <w:szCs w:val="21"/>
                <w:highlight w:val="none"/>
                <w:u w:val="none"/>
              </w:rPr>
              <w:t>溶解性总固体</w:t>
            </w:r>
          </w:p>
        </w:tc>
        <w:tc>
          <w:tcPr>
            <w:tcW w:w="273" w:type="pct"/>
            <w:tcBorders>
              <w:tl2br w:val="nil"/>
              <w:tr2bl w:val="nil"/>
            </w:tcBorders>
            <w:vAlign w:val="center"/>
          </w:tcPr>
          <w:p w14:paraId="5419D63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7DC2E32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≤1000</w:t>
            </w:r>
          </w:p>
        </w:tc>
        <w:tc>
          <w:tcPr>
            <w:tcW w:w="387" w:type="pct"/>
            <w:tcBorders>
              <w:tl2br w:val="nil"/>
              <w:tr2bl w:val="nil"/>
            </w:tcBorders>
            <w:vAlign w:val="center"/>
          </w:tcPr>
          <w:p w14:paraId="19938719">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1442</w:t>
            </w:r>
          </w:p>
        </w:tc>
        <w:tc>
          <w:tcPr>
            <w:tcW w:w="387" w:type="pct"/>
            <w:tcBorders>
              <w:tl2br w:val="nil"/>
              <w:tr2bl w:val="nil"/>
            </w:tcBorders>
            <w:vAlign w:val="center"/>
          </w:tcPr>
          <w:p w14:paraId="6ADBBA7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bCs/>
                <w:color w:val="auto"/>
                <w:sz w:val="21"/>
                <w:szCs w:val="21"/>
                <w:highlight w:val="none"/>
                <w:u w:val="none"/>
              </w:rPr>
              <w:t>1.44</w:t>
            </w:r>
          </w:p>
        </w:tc>
        <w:tc>
          <w:tcPr>
            <w:tcW w:w="387" w:type="pct"/>
            <w:tcBorders>
              <w:tl2br w:val="nil"/>
              <w:tr2bl w:val="nil"/>
            </w:tcBorders>
            <w:vAlign w:val="center"/>
          </w:tcPr>
          <w:p w14:paraId="5E0CE5E9">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1594</w:t>
            </w:r>
          </w:p>
        </w:tc>
        <w:tc>
          <w:tcPr>
            <w:tcW w:w="387" w:type="pct"/>
            <w:tcBorders>
              <w:tl2br w:val="nil"/>
              <w:tr2bl w:val="nil"/>
            </w:tcBorders>
            <w:vAlign w:val="center"/>
          </w:tcPr>
          <w:p w14:paraId="43AC2D6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1.59</w:t>
            </w:r>
          </w:p>
        </w:tc>
        <w:tc>
          <w:tcPr>
            <w:tcW w:w="387" w:type="pct"/>
            <w:tcBorders>
              <w:tl2br w:val="nil"/>
              <w:tr2bl w:val="nil"/>
            </w:tcBorders>
            <w:vAlign w:val="center"/>
          </w:tcPr>
          <w:p w14:paraId="67E40A0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1401</w:t>
            </w:r>
          </w:p>
        </w:tc>
        <w:tc>
          <w:tcPr>
            <w:tcW w:w="387" w:type="pct"/>
            <w:tcBorders>
              <w:tl2br w:val="nil"/>
              <w:tr2bl w:val="nil"/>
            </w:tcBorders>
            <w:vAlign w:val="center"/>
          </w:tcPr>
          <w:p w14:paraId="164BF09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1.40</w:t>
            </w:r>
          </w:p>
        </w:tc>
        <w:tc>
          <w:tcPr>
            <w:tcW w:w="387" w:type="pct"/>
            <w:tcBorders>
              <w:tl2br w:val="nil"/>
              <w:tr2bl w:val="nil"/>
            </w:tcBorders>
            <w:vAlign w:val="center"/>
          </w:tcPr>
          <w:p w14:paraId="6B3341E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1452</w:t>
            </w:r>
          </w:p>
        </w:tc>
        <w:tc>
          <w:tcPr>
            <w:tcW w:w="387" w:type="pct"/>
            <w:tcBorders>
              <w:tl2br w:val="nil"/>
              <w:tr2bl w:val="nil"/>
            </w:tcBorders>
            <w:vAlign w:val="center"/>
          </w:tcPr>
          <w:p w14:paraId="15A2846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1.45</w:t>
            </w:r>
          </w:p>
        </w:tc>
        <w:tc>
          <w:tcPr>
            <w:tcW w:w="387" w:type="pct"/>
            <w:tcBorders>
              <w:tl2br w:val="nil"/>
              <w:tr2bl w:val="nil"/>
            </w:tcBorders>
            <w:vAlign w:val="center"/>
          </w:tcPr>
          <w:p w14:paraId="08AF3C8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1447</w:t>
            </w:r>
          </w:p>
        </w:tc>
        <w:tc>
          <w:tcPr>
            <w:tcW w:w="388" w:type="pct"/>
            <w:tcBorders>
              <w:tl2br w:val="nil"/>
              <w:tr2bl w:val="nil"/>
            </w:tcBorders>
            <w:vAlign w:val="center"/>
          </w:tcPr>
          <w:p w14:paraId="5A95FA1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1.45</w:t>
            </w:r>
          </w:p>
        </w:tc>
      </w:tr>
      <w:tr w14:paraId="0BC7C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48E6CD5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氨氮</w:t>
            </w:r>
          </w:p>
        </w:tc>
        <w:tc>
          <w:tcPr>
            <w:tcW w:w="273" w:type="pct"/>
            <w:tcBorders>
              <w:tl2br w:val="nil"/>
              <w:tr2bl w:val="nil"/>
            </w:tcBorders>
            <w:vAlign w:val="center"/>
          </w:tcPr>
          <w:p w14:paraId="1D7496E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2B84E49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≤0.5</w:t>
            </w:r>
          </w:p>
        </w:tc>
        <w:tc>
          <w:tcPr>
            <w:tcW w:w="387" w:type="pct"/>
            <w:tcBorders>
              <w:tl2br w:val="nil"/>
              <w:tr2bl w:val="nil"/>
            </w:tcBorders>
            <w:vAlign w:val="center"/>
          </w:tcPr>
          <w:p w14:paraId="0ADD3DE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234D999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54B3089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0F27355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2666889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37E682B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47A5551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0.039</w:t>
            </w:r>
          </w:p>
        </w:tc>
        <w:tc>
          <w:tcPr>
            <w:tcW w:w="387" w:type="pct"/>
            <w:tcBorders>
              <w:tl2br w:val="nil"/>
              <w:tr2bl w:val="nil"/>
            </w:tcBorders>
            <w:vAlign w:val="center"/>
          </w:tcPr>
          <w:p w14:paraId="2019EA2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0.08</w:t>
            </w:r>
          </w:p>
        </w:tc>
        <w:tc>
          <w:tcPr>
            <w:tcW w:w="387" w:type="pct"/>
            <w:tcBorders>
              <w:tl2br w:val="nil"/>
              <w:tr2bl w:val="nil"/>
            </w:tcBorders>
            <w:vAlign w:val="center"/>
          </w:tcPr>
          <w:p w14:paraId="66DA952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0.077</w:t>
            </w:r>
          </w:p>
        </w:tc>
        <w:tc>
          <w:tcPr>
            <w:tcW w:w="388" w:type="pct"/>
            <w:tcBorders>
              <w:tl2br w:val="nil"/>
              <w:tr2bl w:val="nil"/>
            </w:tcBorders>
            <w:vAlign w:val="center"/>
          </w:tcPr>
          <w:p w14:paraId="666F984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0.15</w:t>
            </w:r>
          </w:p>
        </w:tc>
      </w:tr>
      <w:tr w14:paraId="37D70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2C8F9B0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挥发酚</w:t>
            </w:r>
          </w:p>
        </w:tc>
        <w:tc>
          <w:tcPr>
            <w:tcW w:w="273" w:type="pct"/>
            <w:tcBorders>
              <w:tl2br w:val="nil"/>
              <w:tr2bl w:val="nil"/>
            </w:tcBorders>
            <w:vAlign w:val="center"/>
          </w:tcPr>
          <w:p w14:paraId="0A16B09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1CEB0DF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≤0.002</w:t>
            </w:r>
          </w:p>
        </w:tc>
        <w:tc>
          <w:tcPr>
            <w:tcW w:w="387" w:type="pct"/>
            <w:tcBorders>
              <w:tl2br w:val="nil"/>
              <w:tr2bl w:val="nil"/>
            </w:tcBorders>
            <w:vAlign w:val="center"/>
          </w:tcPr>
          <w:p w14:paraId="300E2E1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12BE9E8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29E50C5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3B54EFA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0D9DD14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3696A4F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69B4395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564D587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232F573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8" w:type="pct"/>
            <w:tcBorders>
              <w:tl2br w:val="nil"/>
              <w:tr2bl w:val="nil"/>
            </w:tcBorders>
            <w:vAlign w:val="center"/>
          </w:tcPr>
          <w:p w14:paraId="02BA932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71FB0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7C752D8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氰化物</w:t>
            </w:r>
          </w:p>
        </w:tc>
        <w:tc>
          <w:tcPr>
            <w:tcW w:w="273" w:type="pct"/>
            <w:tcBorders>
              <w:tl2br w:val="nil"/>
              <w:tr2bl w:val="nil"/>
            </w:tcBorders>
            <w:vAlign w:val="center"/>
          </w:tcPr>
          <w:p w14:paraId="37BF2AE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383E215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≤0.05</w:t>
            </w:r>
          </w:p>
        </w:tc>
        <w:tc>
          <w:tcPr>
            <w:tcW w:w="387" w:type="pct"/>
            <w:tcBorders>
              <w:tl2br w:val="nil"/>
              <w:tr2bl w:val="nil"/>
            </w:tcBorders>
            <w:vAlign w:val="center"/>
          </w:tcPr>
          <w:p w14:paraId="2B4EE9D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72AF194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45DBDAA9">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48E286F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1649D24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3853839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0128DA3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50E4150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129EE0A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8" w:type="pct"/>
            <w:tcBorders>
              <w:tl2br w:val="nil"/>
              <w:tr2bl w:val="nil"/>
            </w:tcBorders>
            <w:vAlign w:val="center"/>
          </w:tcPr>
          <w:p w14:paraId="6E8BEAF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5E45E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6BC1BE1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六价铬</w:t>
            </w:r>
          </w:p>
        </w:tc>
        <w:tc>
          <w:tcPr>
            <w:tcW w:w="273" w:type="pct"/>
            <w:tcBorders>
              <w:tl2br w:val="nil"/>
              <w:tr2bl w:val="nil"/>
            </w:tcBorders>
            <w:vAlign w:val="center"/>
          </w:tcPr>
          <w:p w14:paraId="2BAC142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1E8D08B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≤0.05</w:t>
            </w:r>
          </w:p>
        </w:tc>
        <w:tc>
          <w:tcPr>
            <w:tcW w:w="387" w:type="pct"/>
            <w:tcBorders>
              <w:tl2br w:val="nil"/>
              <w:tr2bl w:val="nil"/>
            </w:tcBorders>
            <w:vAlign w:val="center"/>
          </w:tcPr>
          <w:p w14:paraId="3A41006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0.034</w:t>
            </w:r>
          </w:p>
        </w:tc>
        <w:tc>
          <w:tcPr>
            <w:tcW w:w="387" w:type="pct"/>
            <w:tcBorders>
              <w:tl2br w:val="nil"/>
              <w:tr2bl w:val="nil"/>
            </w:tcBorders>
            <w:vAlign w:val="center"/>
          </w:tcPr>
          <w:p w14:paraId="6BD6F03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0.68</w:t>
            </w:r>
          </w:p>
        </w:tc>
        <w:tc>
          <w:tcPr>
            <w:tcW w:w="387" w:type="pct"/>
            <w:tcBorders>
              <w:tl2br w:val="nil"/>
              <w:tr2bl w:val="nil"/>
            </w:tcBorders>
            <w:vAlign w:val="center"/>
          </w:tcPr>
          <w:p w14:paraId="27FDC57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0.032</w:t>
            </w:r>
          </w:p>
        </w:tc>
        <w:tc>
          <w:tcPr>
            <w:tcW w:w="387" w:type="pct"/>
            <w:tcBorders>
              <w:tl2br w:val="nil"/>
              <w:tr2bl w:val="nil"/>
            </w:tcBorders>
            <w:vAlign w:val="center"/>
          </w:tcPr>
          <w:p w14:paraId="7EDEE59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0.64</w:t>
            </w:r>
          </w:p>
        </w:tc>
        <w:tc>
          <w:tcPr>
            <w:tcW w:w="387" w:type="pct"/>
            <w:tcBorders>
              <w:tl2br w:val="nil"/>
              <w:tr2bl w:val="nil"/>
            </w:tcBorders>
            <w:vAlign w:val="center"/>
          </w:tcPr>
          <w:p w14:paraId="2B785F7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0.025</w:t>
            </w:r>
          </w:p>
        </w:tc>
        <w:tc>
          <w:tcPr>
            <w:tcW w:w="387" w:type="pct"/>
            <w:tcBorders>
              <w:tl2br w:val="nil"/>
              <w:tr2bl w:val="nil"/>
            </w:tcBorders>
            <w:vAlign w:val="center"/>
          </w:tcPr>
          <w:p w14:paraId="32E2D2D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0.50</w:t>
            </w:r>
          </w:p>
        </w:tc>
        <w:tc>
          <w:tcPr>
            <w:tcW w:w="387" w:type="pct"/>
            <w:tcBorders>
              <w:tl2br w:val="nil"/>
              <w:tr2bl w:val="nil"/>
            </w:tcBorders>
            <w:vAlign w:val="center"/>
          </w:tcPr>
          <w:p w14:paraId="0EC4B18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0.022</w:t>
            </w:r>
          </w:p>
        </w:tc>
        <w:tc>
          <w:tcPr>
            <w:tcW w:w="387" w:type="pct"/>
            <w:tcBorders>
              <w:tl2br w:val="nil"/>
              <w:tr2bl w:val="nil"/>
            </w:tcBorders>
            <w:vAlign w:val="center"/>
          </w:tcPr>
          <w:p w14:paraId="539FB72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0.44</w:t>
            </w:r>
          </w:p>
        </w:tc>
        <w:tc>
          <w:tcPr>
            <w:tcW w:w="387" w:type="pct"/>
            <w:tcBorders>
              <w:tl2br w:val="nil"/>
              <w:tr2bl w:val="nil"/>
            </w:tcBorders>
            <w:vAlign w:val="center"/>
          </w:tcPr>
          <w:p w14:paraId="39DDD6F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0.017</w:t>
            </w:r>
          </w:p>
        </w:tc>
        <w:tc>
          <w:tcPr>
            <w:tcW w:w="388" w:type="pct"/>
            <w:tcBorders>
              <w:tl2br w:val="nil"/>
              <w:tr2bl w:val="nil"/>
            </w:tcBorders>
            <w:vAlign w:val="center"/>
          </w:tcPr>
          <w:p w14:paraId="520CCA8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0.34</w:t>
            </w:r>
          </w:p>
        </w:tc>
      </w:tr>
      <w:tr w14:paraId="707A7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789AE45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亚硝酸盐氮</w:t>
            </w:r>
          </w:p>
        </w:tc>
        <w:tc>
          <w:tcPr>
            <w:tcW w:w="273" w:type="pct"/>
            <w:tcBorders>
              <w:tl2br w:val="nil"/>
              <w:tr2bl w:val="nil"/>
            </w:tcBorders>
            <w:vAlign w:val="center"/>
          </w:tcPr>
          <w:p w14:paraId="1F465F4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6BF1747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≤1.0</w:t>
            </w:r>
          </w:p>
        </w:tc>
        <w:tc>
          <w:tcPr>
            <w:tcW w:w="387" w:type="pct"/>
            <w:tcBorders>
              <w:tl2br w:val="nil"/>
              <w:tr2bl w:val="nil"/>
            </w:tcBorders>
            <w:vAlign w:val="center"/>
          </w:tcPr>
          <w:p w14:paraId="2B9378A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128BBD6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7345CE1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7F26F6A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44CA3EE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58E4C1A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11ECFDE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5D01988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3A9FDA3D">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8" w:type="pct"/>
            <w:tcBorders>
              <w:tl2br w:val="nil"/>
              <w:tr2bl w:val="nil"/>
            </w:tcBorders>
            <w:vAlign w:val="center"/>
          </w:tcPr>
          <w:p w14:paraId="3924E83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437BD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58FE2E5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氟化物</w:t>
            </w:r>
          </w:p>
        </w:tc>
        <w:tc>
          <w:tcPr>
            <w:tcW w:w="273" w:type="pct"/>
            <w:tcBorders>
              <w:tl2br w:val="nil"/>
              <w:tr2bl w:val="nil"/>
            </w:tcBorders>
            <w:vAlign w:val="center"/>
          </w:tcPr>
          <w:p w14:paraId="007BDE6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182DFEA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≤1.0</w:t>
            </w:r>
          </w:p>
        </w:tc>
        <w:tc>
          <w:tcPr>
            <w:tcW w:w="387" w:type="pct"/>
            <w:tcBorders>
              <w:tl2br w:val="nil"/>
              <w:tr2bl w:val="nil"/>
            </w:tcBorders>
            <w:vAlign w:val="center"/>
          </w:tcPr>
          <w:p w14:paraId="730611D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1.98</w:t>
            </w:r>
          </w:p>
        </w:tc>
        <w:tc>
          <w:tcPr>
            <w:tcW w:w="387" w:type="pct"/>
            <w:tcBorders>
              <w:tl2br w:val="nil"/>
              <w:tr2bl w:val="nil"/>
            </w:tcBorders>
            <w:vAlign w:val="center"/>
          </w:tcPr>
          <w:p w14:paraId="022E238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1.98</w:t>
            </w:r>
          </w:p>
        </w:tc>
        <w:tc>
          <w:tcPr>
            <w:tcW w:w="387" w:type="pct"/>
            <w:tcBorders>
              <w:tl2br w:val="nil"/>
              <w:tr2bl w:val="nil"/>
            </w:tcBorders>
            <w:vAlign w:val="center"/>
          </w:tcPr>
          <w:p w14:paraId="2015D02D">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2.08</w:t>
            </w:r>
          </w:p>
        </w:tc>
        <w:tc>
          <w:tcPr>
            <w:tcW w:w="387" w:type="pct"/>
            <w:tcBorders>
              <w:tl2br w:val="nil"/>
              <w:tr2bl w:val="nil"/>
            </w:tcBorders>
            <w:vAlign w:val="center"/>
          </w:tcPr>
          <w:p w14:paraId="04E4C03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2.08</w:t>
            </w:r>
          </w:p>
        </w:tc>
        <w:tc>
          <w:tcPr>
            <w:tcW w:w="387" w:type="pct"/>
            <w:tcBorders>
              <w:tl2br w:val="nil"/>
              <w:tr2bl w:val="nil"/>
            </w:tcBorders>
            <w:vAlign w:val="center"/>
          </w:tcPr>
          <w:p w14:paraId="7B526C4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2.09</w:t>
            </w:r>
          </w:p>
        </w:tc>
        <w:tc>
          <w:tcPr>
            <w:tcW w:w="387" w:type="pct"/>
            <w:tcBorders>
              <w:tl2br w:val="nil"/>
              <w:tr2bl w:val="nil"/>
            </w:tcBorders>
            <w:vAlign w:val="center"/>
          </w:tcPr>
          <w:p w14:paraId="6CA4210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2.09</w:t>
            </w:r>
          </w:p>
        </w:tc>
        <w:tc>
          <w:tcPr>
            <w:tcW w:w="387" w:type="pct"/>
            <w:tcBorders>
              <w:tl2br w:val="nil"/>
              <w:tr2bl w:val="nil"/>
            </w:tcBorders>
            <w:vAlign w:val="center"/>
          </w:tcPr>
          <w:p w14:paraId="37454C9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2.26</w:t>
            </w:r>
          </w:p>
        </w:tc>
        <w:tc>
          <w:tcPr>
            <w:tcW w:w="387" w:type="pct"/>
            <w:tcBorders>
              <w:tl2br w:val="nil"/>
              <w:tr2bl w:val="nil"/>
            </w:tcBorders>
            <w:vAlign w:val="center"/>
          </w:tcPr>
          <w:p w14:paraId="360FED6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2.26</w:t>
            </w:r>
          </w:p>
        </w:tc>
        <w:tc>
          <w:tcPr>
            <w:tcW w:w="387" w:type="pct"/>
            <w:tcBorders>
              <w:tl2br w:val="nil"/>
              <w:tr2bl w:val="nil"/>
            </w:tcBorders>
            <w:vAlign w:val="center"/>
          </w:tcPr>
          <w:p w14:paraId="3BBFFA4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1.96</w:t>
            </w:r>
          </w:p>
        </w:tc>
        <w:tc>
          <w:tcPr>
            <w:tcW w:w="388" w:type="pct"/>
            <w:tcBorders>
              <w:tl2br w:val="nil"/>
              <w:tr2bl w:val="nil"/>
            </w:tcBorders>
            <w:vAlign w:val="center"/>
          </w:tcPr>
          <w:p w14:paraId="06737FC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1.96</w:t>
            </w:r>
          </w:p>
        </w:tc>
      </w:tr>
      <w:tr w14:paraId="158EB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559372C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氯化物</w:t>
            </w:r>
          </w:p>
        </w:tc>
        <w:tc>
          <w:tcPr>
            <w:tcW w:w="273" w:type="pct"/>
            <w:tcBorders>
              <w:tl2br w:val="nil"/>
              <w:tr2bl w:val="nil"/>
            </w:tcBorders>
            <w:vAlign w:val="center"/>
          </w:tcPr>
          <w:p w14:paraId="2C6A8EB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7A0AA8D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≤250</w:t>
            </w:r>
          </w:p>
        </w:tc>
        <w:tc>
          <w:tcPr>
            <w:tcW w:w="387" w:type="pct"/>
            <w:tcBorders>
              <w:tl2br w:val="nil"/>
              <w:tr2bl w:val="nil"/>
            </w:tcBorders>
            <w:vAlign w:val="center"/>
          </w:tcPr>
          <w:p w14:paraId="22F9A15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487</w:t>
            </w:r>
          </w:p>
        </w:tc>
        <w:tc>
          <w:tcPr>
            <w:tcW w:w="387" w:type="pct"/>
            <w:tcBorders>
              <w:tl2br w:val="nil"/>
              <w:tr2bl w:val="nil"/>
            </w:tcBorders>
            <w:vAlign w:val="center"/>
          </w:tcPr>
          <w:p w14:paraId="02FAE29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1.95</w:t>
            </w:r>
          </w:p>
        </w:tc>
        <w:tc>
          <w:tcPr>
            <w:tcW w:w="387" w:type="pct"/>
            <w:tcBorders>
              <w:tl2br w:val="nil"/>
              <w:tr2bl w:val="nil"/>
            </w:tcBorders>
            <w:vAlign w:val="center"/>
          </w:tcPr>
          <w:p w14:paraId="734332D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529</w:t>
            </w:r>
          </w:p>
        </w:tc>
        <w:tc>
          <w:tcPr>
            <w:tcW w:w="387" w:type="pct"/>
            <w:tcBorders>
              <w:tl2br w:val="nil"/>
              <w:tr2bl w:val="nil"/>
            </w:tcBorders>
            <w:vAlign w:val="center"/>
          </w:tcPr>
          <w:p w14:paraId="088CE76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2.12</w:t>
            </w:r>
          </w:p>
        </w:tc>
        <w:tc>
          <w:tcPr>
            <w:tcW w:w="387" w:type="pct"/>
            <w:tcBorders>
              <w:tl2br w:val="nil"/>
              <w:tr2bl w:val="nil"/>
            </w:tcBorders>
            <w:vAlign w:val="center"/>
          </w:tcPr>
          <w:p w14:paraId="1F82B81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493</w:t>
            </w:r>
          </w:p>
        </w:tc>
        <w:tc>
          <w:tcPr>
            <w:tcW w:w="387" w:type="pct"/>
            <w:tcBorders>
              <w:tl2br w:val="nil"/>
              <w:tr2bl w:val="nil"/>
            </w:tcBorders>
            <w:vAlign w:val="center"/>
          </w:tcPr>
          <w:p w14:paraId="1EF8085D">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1.97</w:t>
            </w:r>
          </w:p>
        </w:tc>
        <w:tc>
          <w:tcPr>
            <w:tcW w:w="387" w:type="pct"/>
            <w:tcBorders>
              <w:tl2br w:val="nil"/>
              <w:tr2bl w:val="nil"/>
            </w:tcBorders>
            <w:vAlign w:val="center"/>
          </w:tcPr>
          <w:p w14:paraId="52283F7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508</w:t>
            </w:r>
          </w:p>
        </w:tc>
        <w:tc>
          <w:tcPr>
            <w:tcW w:w="387" w:type="pct"/>
            <w:tcBorders>
              <w:tl2br w:val="nil"/>
              <w:tr2bl w:val="nil"/>
            </w:tcBorders>
            <w:vAlign w:val="center"/>
          </w:tcPr>
          <w:p w14:paraId="05C9865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2.03</w:t>
            </w:r>
          </w:p>
        </w:tc>
        <w:tc>
          <w:tcPr>
            <w:tcW w:w="387" w:type="pct"/>
            <w:tcBorders>
              <w:tl2br w:val="nil"/>
              <w:tr2bl w:val="nil"/>
            </w:tcBorders>
            <w:vAlign w:val="center"/>
          </w:tcPr>
          <w:p w14:paraId="5A5F4CA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486</w:t>
            </w:r>
          </w:p>
        </w:tc>
        <w:tc>
          <w:tcPr>
            <w:tcW w:w="388" w:type="pct"/>
            <w:tcBorders>
              <w:tl2br w:val="nil"/>
              <w:tr2bl w:val="nil"/>
            </w:tcBorders>
            <w:vAlign w:val="center"/>
          </w:tcPr>
          <w:p w14:paraId="6D61057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1.94</w:t>
            </w:r>
          </w:p>
        </w:tc>
      </w:tr>
      <w:tr w14:paraId="748D1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673E0BD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硝酸盐氮</w:t>
            </w:r>
          </w:p>
        </w:tc>
        <w:tc>
          <w:tcPr>
            <w:tcW w:w="273" w:type="pct"/>
            <w:tcBorders>
              <w:tl2br w:val="nil"/>
              <w:tr2bl w:val="nil"/>
            </w:tcBorders>
            <w:vAlign w:val="center"/>
          </w:tcPr>
          <w:p w14:paraId="08A6EBF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203F3E7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≤20</w:t>
            </w:r>
          </w:p>
        </w:tc>
        <w:tc>
          <w:tcPr>
            <w:tcW w:w="387" w:type="pct"/>
            <w:tcBorders>
              <w:tl2br w:val="nil"/>
              <w:tr2bl w:val="nil"/>
            </w:tcBorders>
            <w:vAlign w:val="center"/>
          </w:tcPr>
          <w:p w14:paraId="7E30D65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2.14</w:t>
            </w:r>
          </w:p>
        </w:tc>
        <w:tc>
          <w:tcPr>
            <w:tcW w:w="387" w:type="pct"/>
            <w:tcBorders>
              <w:tl2br w:val="nil"/>
              <w:tr2bl w:val="nil"/>
            </w:tcBorders>
            <w:vAlign w:val="center"/>
          </w:tcPr>
          <w:p w14:paraId="5FDD10B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0.11</w:t>
            </w:r>
          </w:p>
        </w:tc>
        <w:tc>
          <w:tcPr>
            <w:tcW w:w="387" w:type="pct"/>
            <w:tcBorders>
              <w:tl2br w:val="nil"/>
              <w:tr2bl w:val="nil"/>
            </w:tcBorders>
            <w:vAlign w:val="center"/>
          </w:tcPr>
          <w:p w14:paraId="6BA947E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2.28</w:t>
            </w:r>
          </w:p>
        </w:tc>
        <w:tc>
          <w:tcPr>
            <w:tcW w:w="387" w:type="pct"/>
            <w:tcBorders>
              <w:tl2br w:val="nil"/>
              <w:tr2bl w:val="nil"/>
            </w:tcBorders>
            <w:vAlign w:val="center"/>
          </w:tcPr>
          <w:p w14:paraId="1D38AA7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0.11</w:t>
            </w:r>
          </w:p>
        </w:tc>
        <w:tc>
          <w:tcPr>
            <w:tcW w:w="387" w:type="pct"/>
            <w:tcBorders>
              <w:tl2br w:val="nil"/>
              <w:tr2bl w:val="nil"/>
            </w:tcBorders>
            <w:vAlign w:val="center"/>
          </w:tcPr>
          <w:p w14:paraId="0CB915B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1.98</w:t>
            </w:r>
          </w:p>
        </w:tc>
        <w:tc>
          <w:tcPr>
            <w:tcW w:w="387" w:type="pct"/>
            <w:tcBorders>
              <w:tl2br w:val="nil"/>
              <w:tr2bl w:val="nil"/>
            </w:tcBorders>
            <w:vAlign w:val="center"/>
          </w:tcPr>
          <w:p w14:paraId="7FAF085D">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0.10</w:t>
            </w:r>
          </w:p>
        </w:tc>
        <w:tc>
          <w:tcPr>
            <w:tcW w:w="387" w:type="pct"/>
            <w:tcBorders>
              <w:tl2br w:val="nil"/>
              <w:tr2bl w:val="nil"/>
            </w:tcBorders>
            <w:vAlign w:val="center"/>
          </w:tcPr>
          <w:p w14:paraId="28847A2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2.10</w:t>
            </w:r>
          </w:p>
        </w:tc>
        <w:tc>
          <w:tcPr>
            <w:tcW w:w="387" w:type="pct"/>
            <w:tcBorders>
              <w:tl2br w:val="nil"/>
              <w:tr2bl w:val="nil"/>
            </w:tcBorders>
            <w:vAlign w:val="center"/>
          </w:tcPr>
          <w:p w14:paraId="3A04042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0.11</w:t>
            </w:r>
          </w:p>
        </w:tc>
        <w:tc>
          <w:tcPr>
            <w:tcW w:w="387" w:type="pct"/>
            <w:tcBorders>
              <w:tl2br w:val="nil"/>
              <w:tr2bl w:val="nil"/>
            </w:tcBorders>
            <w:vAlign w:val="center"/>
          </w:tcPr>
          <w:p w14:paraId="22F8D48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1.81</w:t>
            </w:r>
          </w:p>
        </w:tc>
        <w:tc>
          <w:tcPr>
            <w:tcW w:w="388" w:type="pct"/>
            <w:tcBorders>
              <w:tl2br w:val="nil"/>
              <w:tr2bl w:val="nil"/>
            </w:tcBorders>
            <w:vAlign w:val="center"/>
          </w:tcPr>
          <w:p w14:paraId="30E19A5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0.09</w:t>
            </w:r>
          </w:p>
        </w:tc>
      </w:tr>
      <w:tr w14:paraId="6273C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66CCE14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硫酸盐</w:t>
            </w:r>
          </w:p>
        </w:tc>
        <w:tc>
          <w:tcPr>
            <w:tcW w:w="273" w:type="pct"/>
            <w:tcBorders>
              <w:tl2br w:val="nil"/>
              <w:tr2bl w:val="nil"/>
            </w:tcBorders>
            <w:vAlign w:val="center"/>
          </w:tcPr>
          <w:p w14:paraId="758BE6D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1B39A73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≤250</w:t>
            </w:r>
          </w:p>
        </w:tc>
        <w:tc>
          <w:tcPr>
            <w:tcW w:w="387" w:type="pct"/>
            <w:tcBorders>
              <w:tl2br w:val="nil"/>
              <w:tr2bl w:val="nil"/>
            </w:tcBorders>
            <w:vAlign w:val="center"/>
          </w:tcPr>
          <w:p w14:paraId="1AEB0A9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550</w:t>
            </w:r>
          </w:p>
        </w:tc>
        <w:tc>
          <w:tcPr>
            <w:tcW w:w="387" w:type="pct"/>
            <w:tcBorders>
              <w:tl2br w:val="nil"/>
              <w:tr2bl w:val="nil"/>
            </w:tcBorders>
            <w:vAlign w:val="center"/>
          </w:tcPr>
          <w:p w14:paraId="152655E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2.20</w:t>
            </w:r>
          </w:p>
        </w:tc>
        <w:tc>
          <w:tcPr>
            <w:tcW w:w="387" w:type="pct"/>
            <w:tcBorders>
              <w:tl2br w:val="nil"/>
              <w:tr2bl w:val="nil"/>
            </w:tcBorders>
            <w:vAlign w:val="center"/>
          </w:tcPr>
          <w:p w14:paraId="35A2417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595</w:t>
            </w:r>
          </w:p>
        </w:tc>
        <w:tc>
          <w:tcPr>
            <w:tcW w:w="387" w:type="pct"/>
            <w:tcBorders>
              <w:tl2br w:val="nil"/>
              <w:tr2bl w:val="nil"/>
            </w:tcBorders>
            <w:vAlign w:val="center"/>
          </w:tcPr>
          <w:p w14:paraId="29D645B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2.38</w:t>
            </w:r>
          </w:p>
        </w:tc>
        <w:tc>
          <w:tcPr>
            <w:tcW w:w="387" w:type="pct"/>
            <w:tcBorders>
              <w:tl2br w:val="nil"/>
              <w:tr2bl w:val="nil"/>
            </w:tcBorders>
            <w:vAlign w:val="center"/>
          </w:tcPr>
          <w:p w14:paraId="7BCC328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563</w:t>
            </w:r>
          </w:p>
        </w:tc>
        <w:tc>
          <w:tcPr>
            <w:tcW w:w="387" w:type="pct"/>
            <w:tcBorders>
              <w:tl2br w:val="nil"/>
              <w:tr2bl w:val="nil"/>
            </w:tcBorders>
            <w:vAlign w:val="center"/>
          </w:tcPr>
          <w:p w14:paraId="17C33DC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2.25</w:t>
            </w:r>
          </w:p>
        </w:tc>
        <w:tc>
          <w:tcPr>
            <w:tcW w:w="387" w:type="pct"/>
            <w:tcBorders>
              <w:tl2br w:val="nil"/>
              <w:tr2bl w:val="nil"/>
            </w:tcBorders>
            <w:vAlign w:val="center"/>
          </w:tcPr>
          <w:p w14:paraId="6136374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579</w:t>
            </w:r>
          </w:p>
        </w:tc>
        <w:tc>
          <w:tcPr>
            <w:tcW w:w="387" w:type="pct"/>
            <w:tcBorders>
              <w:tl2br w:val="nil"/>
              <w:tr2bl w:val="nil"/>
            </w:tcBorders>
            <w:vAlign w:val="center"/>
          </w:tcPr>
          <w:p w14:paraId="7BBBDF6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2.32</w:t>
            </w:r>
          </w:p>
        </w:tc>
        <w:tc>
          <w:tcPr>
            <w:tcW w:w="387" w:type="pct"/>
            <w:tcBorders>
              <w:tl2br w:val="nil"/>
              <w:tr2bl w:val="nil"/>
            </w:tcBorders>
            <w:vAlign w:val="center"/>
          </w:tcPr>
          <w:p w14:paraId="4D3E9356">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555</w:t>
            </w:r>
          </w:p>
        </w:tc>
        <w:tc>
          <w:tcPr>
            <w:tcW w:w="388" w:type="pct"/>
            <w:tcBorders>
              <w:tl2br w:val="nil"/>
              <w:tr2bl w:val="nil"/>
            </w:tcBorders>
            <w:vAlign w:val="center"/>
          </w:tcPr>
          <w:p w14:paraId="6E57A30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bCs/>
                <w:color w:val="auto"/>
                <w:sz w:val="21"/>
                <w:szCs w:val="21"/>
                <w:highlight w:val="none"/>
                <w:u w:val="none"/>
              </w:rPr>
              <w:t>2.22</w:t>
            </w:r>
          </w:p>
        </w:tc>
      </w:tr>
      <w:tr w14:paraId="4F77E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03E1C0D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石油类</w:t>
            </w:r>
          </w:p>
        </w:tc>
        <w:tc>
          <w:tcPr>
            <w:tcW w:w="273" w:type="pct"/>
            <w:tcBorders>
              <w:tl2br w:val="nil"/>
              <w:tr2bl w:val="nil"/>
            </w:tcBorders>
            <w:vAlign w:val="center"/>
          </w:tcPr>
          <w:p w14:paraId="2774390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31B3ECD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≤0.05</w:t>
            </w:r>
          </w:p>
        </w:tc>
        <w:tc>
          <w:tcPr>
            <w:tcW w:w="387" w:type="pct"/>
            <w:tcBorders>
              <w:tl2br w:val="nil"/>
              <w:tr2bl w:val="nil"/>
            </w:tcBorders>
            <w:vAlign w:val="center"/>
          </w:tcPr>
          <w:p w14:paraId="17E240A9">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0.03</w:t>
            </w:r>
          </w:p>
        </w:tc>
        <w:tc>
          <w:tcPr>
            <w:tcW w:w="387" w:type="pct"/>
            <w:tcBorders>
              <w:tl2br w:val="nil"/>
              <w:tr2bl w:val="nil"/>
            </w:tcBorders>
            <w:vAlign w:val="center"/>
          </w:tcPr>
          <w:p w14:paraId="49CD4EA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0.60</w:t>
            </w:r>
          </w:p>
        </w:tc>
        <w:tc>
          <w:tcPr>
            <w:tcW w:w="387" w:type="pct"/>
            <w:tcBorders>
              <w:tl2br w:val="nil"/>
              <w:tr2bl w:val="nil"/>
            </w:tcBorders>
            <w:vAlign w:val="center"/>
          </w:tcPr>
          <w:p w14:paraId="0A4D167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0.02</w:t>
            </w:r>
          </w:p>
        </w:tc>
        <w:tc>
          <w:tcPr>
            <w:tcW w:w="387" w:type="pct"/>
            <w:tcBorders>
              <w:tl2br w:val="nil"/>
              <w:tr2bl w:val="nil"/>
            </w:tcBorders>
            <w:vAlign w:val="center"/>
          </w:tcPr>
          <w:p w14:paraId="5112027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0.40</w:t>
            </w:r>
          </w:p>
        </w:tc>
        <w:tc>
          <w:tcPr>
            <w:tcW w:w="387" w:type="pct"/>
            <w:tcBorders>
              <w:tl2br w:val="nil"/>
              <w:tr2bl w:val="nil"/>
            </w:tcBorders>
            <w:vAlign w:val="center"/>
          </w:tcPr>
          <w:p w14:paraId="4AE8713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0.02</w:t>
            </w:r>
          </w:p>
        </w:tc>
        <w:tc>
          <w:tcPr>
            <w:tcW w:w="387" w:type="pct"/>
            <w:tcBorders>
              <w:tl2br w:val="nil"/>
              <w:tr2bl w:val="nil"/>
            </w:tcBorders>
            <w:vAlign w:val="center"/>
          </w:tcPr>
          <w:p w14:paraId="7C8FE7CE">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0.40</w:t>
            </w:r>
          </w:p>
        </w:tc>
        <w:tc>
          <w:tcPr>
            <w:tcW w:w="387" w:type="pct"/>
            <w:tcBorders>
              <w:tl2br w:val="nil"/>
              <w:tr2bl w:val="nil"/>
            </w:tcBorders>
            <w:vAlign w:val="center"/>
          </w:tcPr>
          <w:p w14:paraId="4007E7F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0.03</w:t>
            </w:r>
          </w:p>
        </w:tc>
        <w:tc>
          <w:tcPr>
            <w:tcW w:w="387" w:type="pct"/>
            <w:tcBorders>
              <w:tl2br w:val="nil"/>
              <w:tr2bl w:val="nil"/>
            </w:tcBorders>
            <w:vAlign w:val="center"/>
          </w:tcPr>
          <w:p w14:paraId="4D179E6D">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0.60</w:t>
            </w:r>
          </w:p>
        </w:tc>
        <w:tc>
          <w:tcPr>
            <w:tcW w:w="387" w:type="pct"/>
            <w:tcBorders>
              <w:tl2br w:val="nil"/>
              <w:tr2bl w:val="nil"/>
            </w:tcBorders>
            <w:vAlign w:val="center"/>
          </w:tcPr>
          <w:p w14:paraId="2B19D95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0.02</w:t>
            </w:r>
          </w:p>
        </w:tc>
        <w:tc>
          <w:tcPr>
            <w:tcW w:w="388" w:type="pct"/>
            <w:tcBorders>
              <w:tl2br w:val="nil"/>
              <w:tr2bl w:val="nil"/>
            </w:tcBorders>
            <w:vAlign w:val="center"/>
          </w:tcPr>
          <w:p w14:paraId="4FD5460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0.40</w:t>
            </w:r>
          </w:p>
        </w:tc>
      </w:tr>
      <w:tr w14:paraId="5D3A2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17753907">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碳酸根</w:t>
            </w:r>
          </w:p>
        </w:tc>
        <w:tc>
          <w:tcPr>
            <w:tcW w:w="273" w:type="pct"/>
            <w:tcBorders>
              <w:tl2br w:val="nil"/>
              <w:tr2bl w:val="nil"/>
            </w:tcBorders>
            <w:vAlign w:val="center"/>
          </w:tcPr>
          <w:p w14:paraId="5B9141B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01AD97B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cs="宋体"/>
                <w:b w:val="0"/>
                <w:bCs w:val="0"/>
                <w:color w:val="auto"/>
                <w:sz w:val="21"/>
                <w:szCs w:val="21"/>
                <w:highlight w:val="none"/>
                <w:u w:val="none"/>
                <w:lang w:val="en-US" w:eastAsia="zh-CN"/>
              </w:rPr>
              <w:t>-</w:t>
            </w:r>
          </w:p>
        </w:tc>
        <w:tc>
          <w:tcPr>
            <w:tcW w:w="387" w:type="pct"/>
            <w:tcBorders>
              <w:tl2br w:val="nil"/>
              <w:tr2bl w:val="nil"/>
            </w:tcBorders>
            <w:vAlign w:val="center"/>
          </w:tcPr>
          <w:p w14:paraId="5BEC721A">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5.74</w:t>
            </w:r>
          </w:p>
        </w:tc>
        <w:tc>
          <w:tcPr>
            <w:tcW w:w="387" w:type="pct"/>
            <w:tcBorders>
              <w:tl2br w:val="nil"/>
              <w:tr2bl w:val="nil"/>
            </w:tcBorders>
            <w:vAlign w:val="center"/>
          </w:tcPr>
          <w:p w14:paraId="0684028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79886F31">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5.74</w:t>
            </w:r>
          </w:p>
        </w:tc>
        <w:tc>
          <w:tcPr>
            <w:tcW w:w="387" w:type="pct"/>
            <w:tcBorders>
              <w:tl2br w:val="nil"/>
              <w:tr2bl w:val="nil"/>
            </w:tcBorders>
            <w:vAlign w:val="center"/>
          </w:tcPr>
          <w:p w14:paraId="72FBFA09">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2A1ECBC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5.74</w:t>
            </w:r>
          </w:p>
        </w:tc>
        <w:tc>
          <w:tcPr>
            <w:tcW w:w="387" w:type="pct"/>
            <w:tcBorders>
              <w:tl2br w:val="nil"/>
              <w:tr2bl w:val="nil"/>
            </w:tcBorders>
            <w:vAlign w:val="center"/>
          </w:tcPr>
          <w:p w14:paraId="5CF4131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3D0EA0A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5.74</w:t>
            </w:r>
          </w:p>
        </w:tc>
        <w:tc>
          <w:tcPr>
            <w:tcW w:w="387" w:type="pct"/>
            <w:tcBorders>
              <w:tl2br w:val="nil"/>
              <w:tr2bl w:val="nil"/>
            </w:tcBorders>
            <w:vAlign w:val="center"/>
          </w:tcPr>
          <w:p w14:paraId="135C4A5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4E2ACECD">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5.74</w:t>
            </w:r>
          </w:p>
        </w:tc>
        <w:tc>
          <w:tcPr>
            <w:tcW w:w="388" w:type="pct"/>
            <w:tcBorders>
              <w:tl2br w:val="nil"/>
              <w:tr2bl w:val="nil"/>
            </w:tcBorders>
            <w:vAlign w:val="center"/>
          </w:tcPr>
          <w:p w14:paraId="717A18C3">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0B332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0720C7DB">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重碳酸根</w:t>
            </w:r>
          </w:p>
        </w:tc>
        <w:tc>
          <w:tcPr>
            <w:tcW w:w="273" w:type="pct"/>
            <w:tcBorders>
              <w:tl2br w:val="nil"/>
              <w:tr2bl w:val="nil"/>
            </w:tcBorders>
            <w:vAlign w:val="center"/>
          </w:tcPr>
          <w:p w14:paraId="184B97A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4692BA38">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cs="宋体"/>
                <w:b w:val="0"/>
                <w:bCs w:val="0"/>
                <w:color w:val="auto"/>
                <w:sz w:val="21"/>
                <w:szCs w:val="21"/>
                <w:highlight w:val="none"/>
                <w:u w:val="none"/>
                <w:lang w:val="en-US" w:eastAsia="zh-CN"/>
              </w:rPr>
              <w:t>-</w:t>
            </w:r>
          </w:p>
        </w:tc>
        <w:tc>
          <w:tcPr>
            <w:tcW w:w="387" w:type="pct"/>
            <w:tcBorders>
              <w:tl2br w:val="nil"/>
              <w:tr2bl w:val="nil"/>
            </w:tcBorders>
            <w:vAlign w:val="center"/>
          </w:tcPr>
          <w:p w14:paraId="7B02AFC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225</w:t>
            </w:r>
          </w:p>
        </w:tc>
        <w:tc>
          <w:tcPr>
            <w:tcW w:w="387" w:type="pct"/>
            <w:tcBorders>
              <w:tl2br w:val="nil"/>
              <w:tr2bl w:val="nil"/>
            </w:tcBorders>
            <w:vAlign w:val="center"/>
          </w:tcPr>
          <w:p w14:paraId="1C8D3F42">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62078B3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242</w:t>
            </w:r>
          </w:p>
        </w:tc>
        <w:tc>
          <w:tcPr>
            <w:tcW w:w="387" w:type="pct"/>
            <w:tcBorders>
              <w:tl2br w:val="nil"/>
              <w:tr2bl w:val="nil"/>
            </w:tcBorders>
            <w:vAlign w:val="center"/>
          </w:tcPr>
          <w:p w14:paraId="6D91BBEC">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73D8412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245</w:t>
            </w:r>
          </w:p>
        </w:tc>
        <w:tc>
          <w:tcPr>
            <w:tcW w:w="387" w:type="pct"/>
            <w:tcBorders>
              <w:tl2br w:val="nil"/>
              <w:tr2bl w:val="nil"/>
            </w:tcBorders>
            <w:vAlign w:val="center"/>
          </w:tcPr>
          <w:p w14:paraId="552D2E45">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5FF8D26F">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257</w:t>
            </w:r>
          </w:p>
        </w:tc>
        <w:tc>
          <w:tcPr>
            <w:tcW w:w="387" w:type="pct"/>
            <w:tcBorders>
              <w:tl2br w:val="nil"/>
              <w:tr2bl w:val="nil"/>
            </w:tcBorders>
            <w:vAlign w:val="center"/>
          </w:tcPr>
          <w:p w14:paraId="3DA17D14">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70BE08CD">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502</w:t>
            </w:r>
          </w:p>
        </w:tc>
        <w:tc>
          <w:tcPr>
            <w:tcW w:w="388" w:type="pct"/>
            <w:tcBorders>
              <w:tl2br w:val="nil"/>
              <w:tr2bl w:val="nil"/>
            </w:tcBorders>
            <w:vAlign w:val="center"/>
          </w:tcPr>
          <w:p w14:paraId="486FF480">
            <w:pPr>
              <w:pStyle w:val="87"/>
              <w:keepNext w:val="0"/>
              <w:keepLines w:val="0"/>
              <w:pageBreakBefore w:val="0"/>
              <w:widowControl w:val="0"/>
              <w:kinsoku/>
              <w:wordWrap/>
              <w:overflowPunct/>
              <w:topLinePunct w:val="0"/>
              <w:autoSpaceDE/>
              <w:autoSpaceDN/>
              <w:bidi w:val="0"/>
              <w:adjustRightInd/>
              <w:snapToGrid/>
              <w:spacing w:line="316" w:lineRule="exact"/>
              <w:ind w:left="0" w:right="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22A8A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715793F5">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汞</w:t>
            </w:r>
          </w:p>
        </w:tc>
        <w:tc>
          <w:tcPr>
            <w:tcW w:w="273" w:type="pct"/>
            <w:tcBorders>
              <w:tl2br w:val="nil"/>
              <w:tr2bl w:val="nil"/>
            </w:tcBorders>
            <w:vAlign w:val="center"/>
          </w:tcPr>
          <w:p w14:paraId="46A2A713">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12B8B48B">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r>
              <w:rPr>
                <w:rFonts w:hint="eastAsia" w:ascii="宋体" w:hAnsi="宋体" w:cs="宋体"/>
                <w:b w:val="0"/>
                <w:bCs w:val="0"/>
                <w:color w:val="auto"/>
                <w:sz w:val="21"/>
                <w:szCs w:val="21"/>
                <w:highlight w:val="none"/>
                <w:u w:val="none"/>
                <w:lang w:val="en-US" w:eastAsia="zh-CN"/>
              </w:rPr>
              <w:t>0.00</w:t>
            </w:r>
            <w:r>
              <w:rPr>
                <w:rFonts w:hint="eastAsia" w:ascii="宋体" w:hAnsi="宋体" w:eastAsia="宋体" w:cs="宋体"/>
                <w:b w:val="0"/>
                <w:bCs w:val="0"/>
                <w:color w:val="auto"/>
                <w:sz w:val="21"/>
                <w:szCs w:val="21"/>
                <w:highlight w:val="none"/>
                <w:u w:val="none"/>
              </w:rPr>
              <w:t>1</w:t>
            </w:r>
          </w:p>
        </w:tc>
        <w:tc>
          <w:tcPr>
            <w:tcW w:w="387" w:type="pct"/>
            <w:tcBorders>
              <w:tl2br w:val="nil"/>
              <w:tr2bl w:val="nil"/>
            </w:tcBorders>
            <w:vAlign w:val="center"/>
          </w:tcPr>
          <w:p w14:paraId="285D8603">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0.00013</w:t>
            </w:r>
          </w:p>
        </w:tc>
        <w:tc>
          <w:tcPr>
            <w:tcW w:w="387" w:type="pct"/>
            <w:tcBorders>
              <w:tl2br w:val="nil"/>
              <w:tr2bl w:val="nil"/>
            </w:tcBorders>
            <w:vAlign w:val="center"/>
          </w:tcPr>
          <w:p w14:paraId="3297A2C4">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0.0001</w:t>
            </w:r>
          </w:p>
        </w:tc>
        <w:tc>
          <w:tcPr>
            <w:tcW w:w="387" w:type="pct"/>
            <w:tcBorders>
              <w:tl2br w:val="nil"/>
              <w:tr2bl w:val="nil"/>
            </w:tcBorders>
            <w:vAlign w:val="center"/>
          </w:tcPr>
          <w:p w14:paraId="0A05FF4B">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0.00011</w:t>
            </w:r>
          </w:p>
        </w:tc>
        <w:tc>
          <w:tcPr>
            <w:tcW w:w="387" w:type="pct"/>
            <w:tcBorders>
              <w:tl2br w:val="nil"/>
              <w:tr2bl w:val="nil"/>
            </w:tcBorders>
            <w:vAlign w:val="center"/>
          </w:tcPr>
          <w:p w14:paraId="630441E0">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0.0001</w:t>
            </w:r>
          </w:p>
        </w:tc>
        <w:tc>
          <w:tcPr>
            <w:tcW w:w="387" w:type="pct"/>
            <w:tcBorders>
              <w:tl2br w:val="nil"/>
              <w:tr2bl w:val="nil"/>
            </w:tcBorders>
            <w:vAlign w:val="center"/>
          </w:tcPr>
          <w:p w14:paraId="32BB8E09">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0.00013</w:t>
            </w:r>
          </w:p>
        </w:tc>
        <w:tc>
          <w:tcPr>
            <w:tcW w:w="387" w:type="pct"/>
            <w:tcBorders>
              <w:tl2br w:val="nil"/>
              <w:tr2bl w:val="nil"/>
            </w:tcBorders>
            <w:vAlign w:val="center"/>
          </w:tcPr>
          <w:p w14:paraId="0651CF2D">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0.0001</w:t>
            </w:r>
          </w:p>
        </w:tc>
        <w:tc>
          <w:tcPr>
            <w:tcW w:w="387" w:type="pct"/>
            <w:tcBorders>
              <w:tl2br w:val="nil"/>
              <w:tr2bl w:val="nil"/>
            </w:tcBorders>
            <w:vAlign w:val="center"/>
          </w:tcPr>
          <w:p w14:paraId="2C169919">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pacing w:val="-1"/>
                <w:sz w:val="21"/>
                <w:szCs w:val="21"/>
                <w:highlight w:val="none"/>
                <w:u w:val="none"/>
              </w:rPr>
              <w:t>0.00011</w:t>
            </w:r>
          </w:p>
        </w:tc>
        <w:tc>
          <w:tcPr>
            <w:tcW w:w="387" w:type="pct"/>
            <w:tcBorders>
              <w:tl2br w:val="nil"/>
              <w:tr2bl w:val="nil"/>
            </w:tcBorders>
            <w:vAlign w:val="center"/>
          </w:tcPr>
          <w:p w14:paraId="59E8EC48">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0.0001</w:t>
            </w:r>
          </w:p>
        </w:tc>
        <w:tc>
          <w:tcPr>
            <w:tcW w:w="387" w:type="pct"/>
            <w:tcBorders>
              <w:tl2br w:val="nil"/>
              <w:tr2bl w:val="nil"/>
            </w:tcBorders>
            <w:vAlign w:val="center"/>
          </w:tcPr>
          <w:p w14:paraId="5AC296FF">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0.00013</w:t>
            </w:r>
          </w:p>
        </w:tc>
        <w:tc>
          <w:tcPr>
            <w:tcW w:w="388" w:type="pct"/>
            <w:tcBorders>
              <w:tl2br w:val="nil"/>
              <w:tr2bl w:val="nil"/>
            </w:tcBorders>
            <w:vAlign w:val="center"/>
          </w:tcPr>
          <w:p w14:paraId="46F935E9">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0.0001</w:t>
            </w:r>
          </w:p>
        </w:tc>
      </w:tr>
      <w:tr w14:paraId="3AE29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055F1D06">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砷</w:t>
            </w:r>
          </w:p>
        </w:tc>
        <w:tc>
          <w:tcPr>
            <w:tcW w:w="273" w:type="pct"/>
            <w:tcBorders>
              <w:tl2br w:val="nil"/>
              <w:tr2bl w:val="nil"/>
            </w:tcBorders>
            <w:vAlign w:val="center"/>
          </w:tcPr>
          <w:p w14:paraId="5C83F705">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0C5A414B">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rPr>
              <w:t>≤</w:t>
            </w:r>
            <w:r>
              <w:rPr>
                <w:rFonts w:hint="eastAsia" w:ascii="宋体" w:hAnsi="宋体" w:cs="宋体"/>
                <w:b w:val="0"/>
                <w:bCs w:val="0"/>
                <w:color w:val="auto"/>
                <w:sz w:val="21"/>
                <w:szCs w:val="21"/>
                <w:highlight w:val="none"/>
                <w:u w:val="none"/>
                <w:lang w:val="en-US" w:eastAsia="zh-CN"/>
              </w:rPr>
              <w:t>0.01</w:t>
            </w:r>
          </w:p>
        </w:tc>
        <w:tc>
          <w:tcPr>
            <w:tcW w:w="387" w:type="pct"/>
            <w:tcBorders>
              <w:tl2br w:val="nil"/>
              <w:tr2bl w:val="nil"/>
            </w:tcBorders>
            <w:vAlign w:val="center"/>
          </w:tcPr>
          <w:p w14:paraId="711E1D33">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0.0016</w:t>
            </w:r>
          </w:p>
        </w:tc>
        <w:tc>
          <w:tcPr>
            <w:tcW w:w="387" w:type="pct"/>
            <w:tcBorders>
              <w:tl2br w:val="nil"/>
              <w:tr2bl w:val="nil"/>
            </w:tcBorders>
            <w:vAlign w:val="center"/>
          </w:tcPr>
          <w:p w14:paraId="38CD1479">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0.0002</w:t>
            </w:r>
          </w:p>
        </w:tc>
        <w:tc>
          <w:tcPr>
            <w:tcW w:w="387" w:type="pct"/>
            <w:tcBorders>
              <w:tl2br w:val="nil"/>
              <w:tr2bl w:val="nil"/>
            </w:tcBorders>
            <w:vAlign w:val="center"/>
          </w:tcPr>
          <w:p w14:paraId="0D2930B3">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0.0016</w:t>
            </w:r>
          </w:p>
        </w:tc>
        <w:tc>
          <w:tcPr>
            <w:tcW w:w="387" w:type="pct"/>
            <w:tcBorders>
              <w:tl2br w:val="nil"/>
              <w:tr2bl w:val="nil"/>
            </w:tcBorders>
            <w:vAlign w:val="center"/>
          </w:tcPr>
          <w:p w14:paraId="667CB550">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0.0002</w:t>
            </w:r>
          </w:p>
        </w:tc>
        <w:tc>
          <w:tcPr>
            <w:tcW w:w="387" w:type="pct"/>
            <w:tcBorders>
              <w:tl2br w:val="nil"/>
              <w:tr2bl w:val="nil"/>
            </w:tcBorders>
            <w:vAlign w:val="center"/>
          </w:tcPr>
          <w:p w14:paraId="3A734FBB">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0.0023</w:t>
            </w:r>
          </w:p>
        </w:tc>
        <w:tc>
          <w:tcPr>
            <w:tcW w:w="387" w:type="pct"/>
            <w:tcBorders>
              <w:tl2br w:val="nil"/>
              <w:tr2bl w:val="nil"/>
            </w:tcBorders>
            <w:vAlign w:val="center"/>
          </w:tcPr>
          <w:p w14:paraId="59248E06">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0.0002</w:t>
            </w:r>
          </w:p>
        </w:tc>
        <w:tc>
          <w:tcPr>
            <w:tcW w:w="387" w:type="pct"/>
            <w:tcBorders>
              <w:tl2br w:val="nil"/>
              <w:tr2bl w:val="nil"/>
            </w:tcBorders>
            <w:vAlign w:val="center"/>
          </w:tcPr>
          <w:p w14:paraId="7990DD41">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w w:val="95"/>
                <w:sz w:val="21"/>
                <w:szCs w:val="21"/>
                <w:highlight w:val="none"/>
                <w:u w:val="none"/>
              </w:rPr>
              <w:t>0.0018</w:t>
            </w:r>
          </w:p>
        </w:tc>
        <w:tc>
          <w:tcPr>
            <w:tcW w:w="387" w:type="pct"/>
            <w:tcBorders>
              <w:tl2br w:val="nil"/>
              <w:tr2bl w:val="nil"/>
            </w:tcBorders>
            <w:vAlign w:val="center"/>
          </w:tcPr>
          <w:p w14:paraId="72F25085">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0.0002</w:t>
            </w:r>
          </w:p>
        </w:tc>
        <w:tc>
          <w:tcPr>
            <w:tcW w:w="387" w:type="pct"/>
            <w:tcBorders>
              <w:tl2br w:val="nil"/>
              <w:tr2bl w:val="nil"/>
            </w:tcBorders>
            <w:vAlign w:val="center"/>
          </w:tcPr>
          <w:p w14:paraId="25FA961D">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0.0024</w:t>
            </w:r>
          </w:p>
        </w:tc>
        <w:tc>
          <w:tcPr>
            <w:tcW w:w="388" w:type="pct"/>
            <w:tcBorders>
              <w:tl2br w:val="nil"/>
              <w:tr2bl w:val="nil"/>
            </w:tcBorders>
            <w:vAlign w:val="center"/>
          </w:tcPr>
          <w:p w14:paraId="420DD813">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0.0002</w:t>
            </w:r>
          </w:p>
        </w:tc>
      </w:tr>
      <w:tr w14:paraId="1682D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4C3C31E4">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铅</w:t>
            </w:r>
          </w:p>
        </w:tc>
        <w:tc>
          <w:tcPr>
            <w:tcW w:w="273" w:type="pct"/>
            <w:tcBorders>
              <w:tl2br w:val="nil"/>
              <w:tr2bl w:val="nil"/>
            </w:tcBorders>
            <w:vAlign w:val="center"/>
          </w:tcPr>
          <w:p w14:paraId="11E5B221">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47F69430">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rPr>
              <w:t>≤</w:t>
            </w:r>
            <w:r>
              <w:rPr>
                <w:rFonts w:hint="eastAsia" w:ascii="宋体" w:hAnsi="宋体" w:cs="宋体"/>
                <w:b w:val="0"/>
                <w:bCs w:val="0"/>
                <w:color w:val="auto"/>
                <w:sz w:val="21"/>
                <w:szCs w:val="21"/>
                <w:highlight w:val="none"/>
                <w:u w:val="none"/>
                <w:lang w:val="en-US" w:eastAsia="zh-CN"/>
              </w:rPr>
              <w:t>0.01</w:t>
            </w:r>
          </w:p>
        </w:tc>
        <w:tc>
          <w:tcPr>
            <w:tcW w:w="387" w:type="pct"/>
            <w:tcBorders>
              <w:tl2br w:val="nil"/>
              <w:tr2bl w:val="nil"/>
            </w:tcBorders>
            <w:vAlign w:val="center"/>
          </w:tcPr>
          <w:p w14:paraId="57412524">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76F1676C">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6A1588EA">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58FB622E">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15327708">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3FADF917">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600E8B15">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3BE8E86A">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128C744E">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8" w:type="pct"/>
            <w:tcBorders>
              <w:tl2br w:val="nil"/>
              <w:tr2bl w:val="nil"/>
            </w:tcBorders>
            <w:vAlign w:val="center"/>
          </w:tcPr>
          <w:p w14:paraId="51CACF82">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5C3C3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46A18E01">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镉</w:t>
            </w:r>
          </w:p>
        </w:tc>
        <w:tc>
          <w:tcPr>
            <w:tcW w:w="273" w:type="pct"/>
            <w:tcBorders>
              <w:tl2br w:val="nil"/>
              <w:tr2bl w:val="nil"/>
            </w:tcBorders>
            <w:vAlign w:val="center"/>
          </w:tcPr>
          <w:p w14:paraId="0B9EDB6C">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5B63DFED">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rPr>
              <w:t>≤</w:t>
            </w:r>
            <w:r>
              <w:rPr>
                <w:rFonts w:hint="eastAsia" w:ascii="宋体" w:hAnsi="宋体" w:cs="宋体"/>
                <w:b w:val="0"/>
                <w:bCs w:val="0"/>
                <w:color w:val="auto"/>
                <w:sz w:val="21"/>
                <w:szCs w:val="21"/>
                <w:highlight w:val="none"/>
                <w:u w:val="none"/>
                <w:lang w:val="en-US" w:eastAsia="zh-CN"/>
              </w:rPr>
              <w:t>0.005</w:t>
            </w:r>
          </w:p>
        </w:tc>
        <w:tc>
          <w:tcPr>
            <w:tcW w:w="387" w:type="pct"/>
            <w:tcBorders>
              <w:tl2br w:val="nil"/>
              <w:tr2bl w:val="nil"/>
            </w:tcBorders>
            <w:vAlign w:val="center"/>
          </w:tcPr>
          <w:p w14:paraId="2789E013">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663D7F17">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5B988C95">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19154FC2">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4A40DBD3">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4E0F0983">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0C1090F9">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2FFB2DB4">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42D1F1E8">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8" w:type="pct"/>
            <w:tcBorders>
              <w:tl2br w:val="nil"/>
              <w:tr2bl w:val="nil"/>
            </w:tcBorders>
            <w:vAlign w:val="center"/>
          </w:tcPr>
          <w:p w14:paraId="4CAC68B9">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11B95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607B95C2">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铁</w:t>
            </w:r>
          </w:p>
        </w:tc>
        <w:tc>
          <w:tcPr>
            <w:tcW w:w="273" w:type="pct"/>
            <w:tcBorders>
              <w:tl2br w:val="nil"/>
              <w:tr2bl w:val="nil"/>
            </w:tcBorders>
            <w:vAlign w:val="center"/>
          </w:tcPr>
          <w:p w14:paraId="27E2F270">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3926BDB4">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rPr>
              <w:t>≤</w:t>
            </w:r>
            <w:r>
              <w:rPr>
                <w:rFonts w:hint="eastAsia" w:ascii="宋体" w:hAnsi="宋体" w:cs="宋体"/>
                <w:b w:val="0"/>
                <w:bCs w:val="0"/>
                <w:color w:val="auto"/>
                <w:sz w:val="21"/>
                <w:szCs w:val="21"/>
                <w:highlight w:val="none"/>
                <w:u w:val="none"/>
                <w:lang w:val="en-US" w:eastAsia="zh-CN"/>
              </w:rPr>
              <w:t>0.3</w:t>
            </w:r>
          </w:p>
        </w:tc>
        <w:tc>
          <w:tcPr>
            <w:tcW w:w="387" w:type="pct"/>
            <w:tcBorders>
              <w:tl2br w:val="nil"/>
              <w:tr2bl w:val="nil"/>
            </w:tcBorders>
            <w:vAlign w:val="center"/>
          </w:tcPr>
          <w:p w14:paraId="31228DFC">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7CF80B0B">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04F5404B">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32E174A0">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6C97C936">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5C8AC0A9">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3A5EA080">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7" w:type="pct"/>
            <w:tcBorders>
              <w:tl2br w:val="nil"/>
              <w:tr2bl w:val="nil"/>
            </w:tcBorders>
            <w:vAlign w:val="center"/>
          </w:tcPr>
          <w:p w14:paraId="0B9CDFF6">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48C7865D">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ND</w:t>
            </w:r>
          </w:p>
        </w:tc>
        <w:tc>
          <w:tcPr>
            <w:tcW w:w="388" w:type="pct"/>
            <w:tcBorders>
              <w:tl2br w:val="nil"/>
              <w:tr2bl w:val="nil"/>
            </w:tcBorders>
            <w:vAlign w:val="center"/>
          </w:tcPr>
          <w:p w14:paraId="136E7E9F">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55070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78664025">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锰</w:t>
            </w:r>
          </w:p>
        </w:tc>
        <w:tc>
          <w:tcPr>
            <w:tcW w:w="273" w:type="pct"/>
            <w:tcBorders>
              <w:tl2br w:val="nil"/>
              <w:tr2bl w:val="nil"/>
            </w:tcBorders>
            <w:vAlign w:val="center"/>
          </w:tcPr>
          <w:p w14:paraId="6302042C">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5D43BEBE">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rPr>
              <w:t>≤</w:t>
            </w:r>
            <w:r>
              <w:rPr>
                <w:rFonts w:hint="eastAsia" w:ascii="宋体" w:hAnsi="宋体" w:cs="宋体"/>
                <w:b w:val="0"/>
                <w:bCs w:val="0"/>
                <w:color w:val="auto"/>
                <w:sz w:val="21"/>
                <w:szCs w:val="21"/>
                <w:highlight w:val="none"/>
                <w:u w:val="none"/>
                <w:lang w:val="en-US" w:eastAsia="zh-CN"/>
              </w:rPr>
              <w:t>0.10</w:t>
            </w:r>
          </w:p>
        </w:tc>
        <w:tc>
          <w:tcPr>
            <w:tcW w:w="387" w:type="pct"/>
            <w:tcBorders>
              <w:tl2br w:val="nil"/>
              <w:tr2bl w:val="nil"/>
            </w:tcBorders>
            <w:vAlign w:val="center"/>
          </w:tcPr>
          <w:p w14:paraId="7707AC57">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0.03</w:t>
            </w:r>
          </w:p>
        </w:tc>
        <w:tc>
          <w:tcPr>
            <w:tcW w:w="387" w:type="pct"/>
            <w:tcBorders>
              <w:tl2br w:val="nil"/>
              <w:tr2bl w:val="nil"/>
            </w:tcBorders>
            <w:vAlign w:val="center"/>
          </w:tcPr>
          <w:p w14:paraId="1BBD54F1">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0.0003</w:t>
            </w:r>
          </w:p>
        </w:tc>
        <w:tc>
          <w:tcPr>
            <w:tcW w:w="387" w:type="pct"/>
            <w:tcBorders>
              <w:tl2br w:val="nil"/>
              <w:tr2bl w:val="nil"/>
            </w:tcBorders>
            <w:vAlign w:val="center"/>
          </w:tcPr>
          <w:p w14:paraId="5BBE999E">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0.03</w:t>
            </w:r>
          </w:p>
        </w:tc>
        <w:tc>
          <w:tcPr>
            <w:tcW w:w="387" w:type="pct"/>
            <w:tcBorders>
              <w:tl2br w:val="nil"/>
              <w:tr2bl w:val="nil"/>
            </w:tcBorders>
            <w:vAlign w:val="center"/>
          </w:tcPr>
          <w:p w14:paraId="57B65782">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0.0003</w:t>
            </w:r>
          </w:p>
        </w:tc>
        <w:tc>
          <w:tcPr>
            <w:tcW w:w="387" w:type="pct"/>
            <w:tcBorders>
              <w:tl2br w:val="nil"/>
              <w:tr2bl w:val="nil"/>
            </w:tcBorders>
            <w:vAlign w:val="center"/>
          </w:tcPr>
          <w:p w14:paraId="6F74741B">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0.02</w:t>
            </w:r>
          </w:p>
        </w:tc>
        <w:tc>
          <w:tcPr>
            <w:tcW w:w="387" w:type="pct"/>
            <w:tcBorders>
              <w:tl2br w:val="nil"/>
              <w:tr2bl w:val="nil"/>
            </w:tcBorders>
            <w:vAlign w:val="center"/>
          </w:tcPr>
          <w:p w14:paraId="4C7EE3AC">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0.0002</w:t>
            </w:r>
          </w:p>
        </w:tc>
        <w:tc>
          <w:tcPr>
            <w:tcW w:w="387" w:type="pct"/>
            <w:tcBorders>
              <w:tl2br w:val="nil"/>
              <w:tr2bl w:val="nil"/>
            </w:tcBorders>
            <w:vAlign w:val="center"/>
          </w:tcPr>
          <w:p w14:paraId="3F73961A">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0.03</w:t>
            </w:r>
          </w:p>
        </w:tc>
        <w:tc>
          <w:tcPr>
            <w:tcW w:w="387" w:type="pct"/>
            <w:tcBorders>
              <w:tl2br w:val="nil"/>
              <w:tr2bl w:val="nil"/>
            </w:tcBorders>
            <w:vAlign w:val="center"/>
          </w:tcPr>
          <w:p w14:paraId="103543DF">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0.0003</w:t>
            </w:r>
          </w:p>
        </w:tc>
        <w:tc>
          <w:tcPr>
            <w:tcW w:w="387" w:type="pct"/>
            <w:tcBorders>
              <w:tl2br w:val="nil"/>
              <w:tr2bl w:val="nil"/>
            </w:tcBorders>
            <w:vAlign w:val="center"/>
          </w:tcPr>
          <w:p w14:paraId="5CCF3AF8">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0.03</w:t>
            </w:r>
          </w:p>
        </w:tc>
        <w:tc>
          <w:tcPr>
            <w:tcW w:w="388" w:type="pct"/>
            <w:tcBorders>
              <w:tl2br w:val="nil"/>
              <w:tr2bl w:val="nil"/>
            </w:tcBorders>
            <w:vAlign w:val="center"/>
          </w:tcPr>
          <w:p w14:paraId="1BEFE932">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0.0003</w:t>
            </w:r>
          </w:p>
        </w:tc>
      </w:tr>
      <w:tr w14:paraId="4AC62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4A71DB1D">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钾</w:t>
            </w:r>
          </w:p>
        </w:tc>
        <w:tc>
          <w:tcPr>
            <w:tcW w:w="273" w:type="pct"/>
            <w:tcBorders>
              <w:tl2br w:val="nil"/>
              <w:tr2bl w:val="nil"/>
            </w:tcBorders>
            <w:vAlign w:val="center"/>
          </w:tcPr>
          <w:p w14:paraId="00DEA8BE">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7A4E59D0">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cs="宋体"/>
                <w:b w:val="0"/>
                <w:bCs w:val="0"/>
                <w:color w:val="auto"/>
                <w:sz w:val="21"/>
                <w:szCs w:val="21"/>
                <w:highlight w:val="none"/>
                <w:u w:val="none"/>
                <w:lang w:val="en-US" w:eastAsia="zh-CN"/>
              </w:rPr>
              <w:t>-</w:t>
            </w:r>
          </w:p>
        </w:tc>
        <w:tc>
          <w:tcPr>
            <w:tcW w:w="387" w:type="pct"/>
            <w:tcBorders>
              <w:tl2br w:val="nil"/>
              <w:tr2bl w:val="nil"/>
            </w:tcBorders>
            <w:vAlign w:val="center"/>
          </w:tcPr>
          <w:p w14:paraId="198A0DD3">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2.43</w:t>
            </w:r>
          </w:p>
        </w:tc>
        <w:tc>
          <w:tcPr>
            <w:tcW w:w="387" w:type="pct"/>
            <w:tcBorders>
              <w:tl2br w:val="nil"/>
              <w:tr2bl w:val="nil"/>
            </w:tcBorders>
            <w:vAlign w:val="center"/>
          </w:tcPr>
          <w:p w14:paraId="25BE9E56">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7DB17986">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2.46</w:t>
            </w:r>
          </w:p>
        </w:tc>
        <w:tc>
          <w:tcPr>
            <w:tcW w:w="387" w:type="pct"/>
            <w:tcBorders>
              <w:tl2br w:val="nil"/>
              <w:tr2bl w:val="nil"/>
            </w:tcBorders>
            <w:vAlign w:val="center"/>
          </w:tcPr>
          <w:p w14:paraId="63D819E7">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5D24BB9D">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2.45</w:t>
            </w:r>
          </w:p>
        </w:tc>
        <w:tc>
          <w:tcPr>
            <w:tcW w:w="387" w:type="pct"/>
            <w:tcBorders>
              <w:tl2br w:val="nil"/>
              <w:tr2bl w:val="nil"/>
            </w:tcBorders>
            <w:vAlign w:val="center"/>
          </w:tcPr>
          <w:p w14:paraId="78F7A9E1">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3BDFBBD3">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2.43</w:t>
            </w:r>
          </w:p>
        </w:tc>
        <w:tc>
          <w:tcPr>
            <w:tcW w:w="387" w:type="pct"/>
            <w:tcBorders>
              <w:tl2br w:val="nil"/>
              <w:tr2bl w:val="nil"/>
            </w:tcBorders>
            <w:vAlign w:val="center"/>
          </w:tcPr>
          <w:p w14:paraId="7E61D1E6">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71D097FF">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2.08</w:t>
            </w:r>
          </w:p>
        </w:tc>
        <w:tc>
          <w:tcPr>
            <w:tcW w:w="388" w:type="pct"/>
            <w:tcBorders>
              <w:tl2br w:val="nil"/>
              <w:tr2bl w:val="nil"/>
            </w:tcBorders>
            <w:vAlign w:val="center"/>
          </w:tcPr>
          <w:p w14:paraId="290B183E">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70275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6778DAA1">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钙</w:t>
            </w:r>
          </w:p>
        </w:tc>
        <w:tc>
          <w:tcPr>
            <w:tcW w:w="273" w:type="pct"/>
            <w:tcBorders>
              <w:tl2br w:val="nil"/>
              <w:tr2bl w:val="nil"/>
            </w:tcBorders>
            <w:vAlign w:val="center"/>
          </w:tcPr>
          <w:p w14:paraId="6C354D76">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3F182372">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cs="宋体"/>
                <w:b w:val="0"/>
                <w:bCs w:val="0"/>
                <w:color w:val="auto"/>
                <w:sz w:val="21"/>
                <w:szCs w:val="21"/>
                <w:highlight w:val="none"/>
                <w:u w:val="none"/>
                <w:lang w:val="en-US" w:eastAsia="zh-CN"/>
              </w:rPr>
              <w:t>-</w:t>
            </w:r>
          </w:p>
        </w:tc>
        <w:tc>
          <w:tcPr>
            <w:tcW w:w="387" w:type="pct"/>
            <w:tcBorders>
              <w:tl2br w:val="nil"/>
              <w:tr2bl w:val="nil"/>
            </w:tcBorders>
            <w:vAlign w:val="center"/>
          </w:tcPr>
          <w:p w14:paraId="591BF20E">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28.8</w:t>
            </w:r>
          </w:p>
        </w:tc>
        <w:tc>
          <w:tcPr>
            <w:tcW w:w="387" w:type="pct"/>
            <w:tcBorders>
              <w:tl2br w:val="nil"/>
              <w:tr2bl w:val="nil"/>
            </w:tcBorders>
            <w:vAlign w:val="center"/>
          </w:tcPr>
          <w:p w14:paraId="12BA6DAA">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lang w:eastAsia="zh-CN"/>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4E34CEED">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36.9</w:t>
            </w:r>
          </w:p>
        </w:tc>
        <w:tc>
          <w:tcPr>
            <w:tcW w:w="387" w:type="pct"/>
            <w:tcBorders>
              <w:tl2br w:val="nil"/>
              <w:tr2bl w:val="nil"/>
            </w:tcBorders>
            <w:vAlign w:val="center"/>
          </w:tcPr>
          <w:p w14:paraId="1307B11E">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1F059999">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37.9</w:t>
            </w:r>
          </w:p>
        </w:tc>
        <w:tc>
          <w:tcPr>
            <w:tcW w:w="387" w:type="pct"/>
            <w:tcBorders>
              <w:tl2br w:val="nil"/>
              <w:tr2bl w:val="nil"/>
            </w:tcBorders>
            <w:vAlign w:val="center"/>
          </w:tcPr>
          <w:p w14:paraId="1053A8FC">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1EE22DF1">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36.9</w:t>
            </w:r>
          </w:p>
        </w:tc>
        <w:tc>
          <w:tcPr>
            <w:tcW w:w="387" w:type="pct"/>
            <w:tcBorders>
              <w:tl2br w:val="nil"/>
              <w:tr2bl w:val="nil"/>
            </w:tcBorders>
            <w:vAlign w:val="center"/>
          </w:tcPr>
          <w:p w14:paraId="583866B5">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c>
          <w:tcPr>
            <w:tcW w:w="387" w:type="pct"/>
            <w:tcBorders>
              <w:tl2br w:val="nil"/>
              <w:tr2bl w:val="nil"/>
            </w:tcBorders>
            <w:vAlign w:val="center"/>
          </w:tcPr>
          <w:p w14:paraId="64A2BB7B">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37.2</w:t>
            </w:r>
          </w:p>
        </w:tc>
        <w:tc>
          <w:tcPr>
            <w:tcW w:w="388" w:type="pct"/>
            <w:tcBorders>
              <w:tl2br w:val="nil"/>
              <w:tr2bl w:val="nil"/>
            </w:tcBorders>
            <w:vAlign w:val="center"/>
          </w:tcPr>
          <w:p w14:paraId="6CC45DD6">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w:t>
            </w:r>
          </w:p>
        </w:tc>
      </w:tr>
      <w:tr w14:paraId="71D25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6C115C4B">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钠</w:t>
            </w:r>
          </w:p>
        </w:tc>
        <w:tc>
          <w:tcPr>
            <w:tcW w:w="273" w:type="pct"/>
            <w:tcBorders>
              <w:tl2br w:val="nil"/>
              <w:tr2bl w:val="nil"/>
            </w:tcBorders>
            <w:vAlign w:val="center"/>
          </w:tcPr>
          <w:p w14:paraId="0CCC527C">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mg/L</w:t>
            </w:r>
          </w:p>
        </w:tc>
        <w:tc>
          <w:tcPr>
            <w:tcW w:w="382" w:type="pct"/>
            <w:tcBorders>
              <w:tl2br w:val="nil"/>
              <w:tr2bl w:val="nil"/>
            </w:tcBorders>
            <w:vAlign w:val="center"/>
          </w:tcPr>
          <w:p w14:paraId="34A87DEE">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≤200</w:t>
            </w:r>
          </w:p>
        </w:tc>
        <w:tc>
          <w:tcPr>
            <w:tcW w:w="387" w:type="pct"/>
            <w:tcBorders>
              <w:tl2br w:val="nil"/>
              <w:tr2bl w:val="nil"/>
            </w:tcBorders>
            <w:vAlign w:val="center"/>
          </w:tcPr>
          <w:p w14:paraId="6FB450B3">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10.6</w:t>
            </w:r>
          </w:p>
        </w:tc>
        <w:tc>
          <w:tcPr>
            <w:tcW w:w="387" w:type="pct"/>
            <w:tcBorders>
              <w:tl2br w:val="nil"/>
              <w:tr2bl w:val="nil"/>
            </w:tcBorders>
            <w:vAlign w:val="center"/>
          </w:tcPr>
          <w:p w14:paraId="292F889A">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0.053</w:t>
            </w:r>
          </w:p>
        </w:tc>
        <w:tc>
          <w:tcPr>
            <w:tcW w:w="387" w:type="pct"/>
            <w:tcBorders>
              <w:tl2br w:val="nil"/>
              <w:tr2bl w:val="nil"/>
            </w:tcBorders>
            <w:vAlign w:val="center"/>
          </w:tcPr>
          <w:p w14:paraId="5D43C6F1">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10.8</w:t>
            </w:r>
          </w:p>
        </w:tc>
        <w:tc>
          <w:tcPr>
            <w:tcW w:w="387" w:type="pct"/>
            <w:tcBorders>
              <w:tl2br w:val="nil"/>
              <w:tr2bl w:val="nil"/>
            </w:tcBorders>
            <w:vAlign w:val="center"/>
          </w:tcPr>
          <w:p w14:paraId="195921C8">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0.054</w:t>
            </w:r>
          </w:p>
        </w:tc>
        <w:tc>
          <w:tcPr>
            <w:tcW w:w="387" w:type="pct"/>
            <w:tcBorders>
              <w:tl2br w:val="nil"/>
              <w:tr2bl w:val="nil"/>
            </w:tcBorders>
            <w:vAlign w:val="center"/>
          </w:tcPr>
          <w:p w14:paraId="0CDFBAEA">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10.7</w:t>
            </w:r>
          </w:p>
        </w:tc>
        <w:tc>
          <w:tcPr>
            <w:tcW w:w="387" w:type="pct"/>
            <w:tcBorders>
              <w:tl2br w:val="nil"/>
              <w:tr2bl w:val="nil"/>
            </w:tcBorders>
            <w:vAlign w:val="center"/>
          </w:tcPr>
          <w:p w14:paraId="37D82290">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0.054</w:t>
            </w:r>
          </w:p>
        </w:tc>
        <w:tc>
          <w:tcPr>
            <w:tcW w:w="387" w:type="pct"/>
            <w:tcBorders>
              <w:tl2br w:val="nil"/>
              <w:tr2bl w:val="nil"/>
            </w:tcBorders>
            <w:vAlign w:val="center"/>
          </w:tcPr>
          <w:p w14:paraId="7516AAB1">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10.2</w:t>
            </w:r>
          </w:p>
        </w:tc>
        <w:tc>
          <w:tcPr>
            <w:tcW w:w="387" w:type="pct"/>
            <w:tcBorders>
              <w:tl2br w:val="nil"/>
              <w:tr2bl w:val="nil"/>
            </w:tcBorders>
            <w:vAlign w:val="center"/>
          </w:tcPr>
          <w:p w14:paraId="7B1FCC48">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cs="宋体"/>
                <w:b w:val="0"/>
                <w:bCs w:val="0"/>
                <w:color w:val="auto"/>
                <w:sz w:val="21"/>
                <w:szCs w:val="21"/>
                <w:highlight w:val="none"/>
                <w:u w:val="none"/>
                <w:lang w:val="en-US" w:eastAsia="zh-CN"/>
              </w:rPr>
              <w:t>0.051</w:t>
            </w:r>
          </w:p>
        </w:tc>
        <w:tc>
          <w:tcPr>
            <w:tcW w:w="387" w:type="pct"/>
            <w:tcBorders>
              <w:tl2br w:val="nil"/>
              <w:tr2bl w:val="nil"/>
            </w:tcBorders>
            <w:vAlign w:val="center"/>
          </w:tcPr>
          <w:p w14:paraId="61EFC15F">
            <w:pPr>
              <w:pStyle w:val="87"/>
              <w:keepNext w:val="0"/>
              <w:keepLines w:val="0"/>
              <w:pageBreakBefore w:val="0"/>
              <w:widowControl w:val="0"/>
              <w:kinsoku/>
              <w:wordWrap/>
              <w:overflowPunct/>
              <w:topLinePunct w:val="0"/>
              <w:autoSpaceDE/>
              <w:autoSpaceDN/>
              <w:bidi w:val="0"/>
              <w:adjustRightInd/>
              <w:snapToGrid/>
              <w:spacing w:line="316" w:lineRule="exact"/>
              <w:ind w:left="0" w:leftChars="0" w:right="0" w:rightChars="0"/>
              <w:jc w:val="center"/>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10.3</w:t>
            </w:r>
          </w:p>
        </w:tc>
        <w:tc>
          <w:tcPr>
            <w:tcW w:w="388" w:type="pct"/>
            <w:tcBorders>
              <w:tl2br w:val="nil"/>
              <w:tr2bl w:val="nil"/>
            </w:tcBorders>
            <w:vAlign w:val="center"/>
          </w:tcPr>
          <w:p w14:paraId="04A2265B">
            <w:pPr>
              <w:pStyle w:val="87"/>
              <w:keepNext w:val="0"/>
              <w:keepLines w:val="0"/>
              <w:pageBreakBefore w:val="0"/>
              <w:widowControl w:val="0"/>
              <w:kinsoku/>
              <w:wordWrap/>
              <w:overflowPunct/>
              <w:topLinePunct w:val="0"/>
              <w:autoSpaceDE/>
              <w:autoSpaceDN/>
              <w:bidi w:val="0"/>
              <w:adjustRightInd/>
              <w:snapToGrid/>
              <w:spacing w:line="316" w:lineRule="exact"/>
              <w:ind w:left="0" w:right="0" w:rightChars="0"/>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0.052</w:t>
            </w:r>
          </w:p>
        </w:tc>
      </w:tr>
    </w:tbl>
    <w:p w14:paraId="12074DED">
      <w:pPr>
        <w:pStyle w:val="6"/>
        <w:rPr>
          <w:rFonts w:hint="default"/>
          <w:color w:val="auto"/>
          <w:u w:val="none"/>
        </w:rPr>
        <w:sectPr>
          <w:pgSz w:w="16838" w:h="11906" w:orient="landscape"/>
          <w:pgMar w:top="720" w:right="720" w:bottom="720" w:left="720"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3F54A491">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80" w:name="_Toc13841"/>
      <w:r>
        <w:rPr>
          <w:rFonts w:hint="default" w:ascii="黑体" w:hAnsi="黑体" w:eastAsia="黑体" w:cs="黑体"/>
          <w:color w:val="auto"/>
          <w:sz w:val="28"/>
          <w:szCs w:val="28"/>
          <w:u w:val="none"/>
          <w:lang w:val="en-US" w:eastAsia="zh-CN"/>
        </w:rPr>
        <w:t>4.</w:t>
      </w:r>
      <w:r>
        <w:rPr>
          <w:rFonts w:hint="eastAsia" w:ascii="黑体" w:hAnsi="黑体" w:eastAsia="黑体" w:cs="黑体"/>
          <w:color w:val="auto"/>
          <w:sz w:val="28"/>
          <w:szCs w:val="28"/>
          <w:u w:val="none"/>
          <w:lang w:val="en-US" w:eastAsia="zh-CN"/>
        </w:rPr>
        <w:t>4 地表</w:t>
      </w:r>
      <w:r>
        <w:rPr>
          <w:rFonts w:hint="default" w:ascii="黑体" w:hAnsi="黑体" w:eastAsia="黑体" w:cs="黑体"/>
          <w:color w:val="auto"/>
          <w:sz w:val="28"/>
          <w:szCs w:val="28"/>
          <w:u w:val="none"/>
          <w:lang w:val="en-US" w:eastAsia="zh-CN"/>
        </w:rPr>
        <w:t>水环境现状调查与评价</w:t>
      </w:r>
      <w:bookmarkEnd w:id="380"/>
    </w:p>
    <w:p w14:paraId="640B28CB">
      <w:pPr>
        <w:keepNext w:val="0"/>
        <w:keepLines w:val="0"/>
        <w:pageBreakBefore w:val="0"/>
        <w:kinsoku/>
        <w:wordWrap/>
        <w:overflowPunct/>
        <w:topLinePunct w:val="0"/>
        <w:autoSpaceDE/>
        <w:autoSpaceDN/>
        <w:bidi w:val="0"/>
        <w:adjustRightInd/>
        <w:snapToGrid/>
        <w:spacing w:line="480" w:lineRule="exact"/>
        <w:ind w:firstLine="578"/>
        <w:textAlignment w:val="auto"/>
        <w:rPr>
          <w:rFonts w:hint="default" w:ascii="Times New Roman" w:hAnsi="Times New Roman" w:eastAsia="宋体" w:cs="Times New Roman"/>
          <w:bCs/>
          <w:color w:val="auto"/>
          <w:spacing w:val="-6"/>
          <w:sz w:val="24"/>
          <w:szCs w:val="24"/>
          <w:highlight w:val="none"/>
          <w:u w:val="none"/>
          <w:lang w:val="en-US" w:eastAsia="zh-CN" w:bidi="ar"/>
        </w:rPr>
      </w:pPr>
      <w:r>
        <w:rPr>
          <w:rFonts w:hint="default" w:ascii="Times New Roman" w:hAnsi="Times New Roman" w:eastAsia="宋体" w:cs="Times New Roman"/>
          <w:bCs/>
          <w:color w:val="auto"/>
          <w:spacing w:val="-6"/>
          <w:sz w:val="24"/>
          <w:szCs w:val="24"/>
          <w:highlight w:val="none"/>
          <w:u w:val="none"/>
          <w:lang w:val="en-US" w:eastAsia="zh-CN" w:bidi="ar"/>
        </w:rPr>
        <w:t>项目区位于准噶尔盆地腹部古尔班通古特沙漠腹地，周边5km范围内无地表水体。在油田正常开采及油气集输过程中，</w:t>
      </w:r>
      <w:r>
        <w:rPr>
          <w:rFonts w:hint="eastAsia" w:ascii="Times New Roman" w:hAnsi="Times New Roman" w:eastAsia="宋体" w:cs="Times New Roman"/>
          <w:bCs/>
          <w:color w:val="auto"/>
          <w:spacing w:val="-6"/>
          <w:sz w:val="24"/>
          <w:szCs w:val="24"/>
          <w:highlight w:val="none"/>
          <w:u w:val="none"/>
          <w:lang w:val="en-US" w:eastAsia="zh-CN" w:bidi="ar"/>
        </w:rPr>
        <w:t>采出水</w:t>
      </w:r>
      <w:r>
        <w:rPr>
          <w:rFonts w:hint="default" w:ascii="Times New Roman" w:hAnsi="Times New Roman" w:eastAsia="宋体" w:cs="Times New Roman"/>
          <w:bCs/>
          <w:color w:val="auto"/>
          <w:spacing w:val="-6"/>
          <w:sz w:val="24"/>
          <w:szCs w:val="24"/>
          <w:highlight w:val="none"/>
          <w:u w:val="none"/>
          <w:lang w:val="en-US" w:eastAsia="zh-CN" w:bidi="ar"/>
        </w:rPr>
        <w:t>、井下作业废水不外排，不与周边地表水体发生水力联系，因此，本次环评不进行地表水环境现状调查与评价。</w:t>
      </w:r>
    </w:p>
    <w:p w14:paraId="316D27A7">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81" w:name="_Toc30033"/>
      <w:r>
        <w:rPr>
          <w:rFonts w:hint="default" w:ascii="黑体" w:hAnsi="黑体" w:eastAsia="黑体" w:cs="黑体"/>
          <w:color w:val="auto"/>
          <w:sz w:val="28"/>
          <w:szCs w:val="28"/>
          <w:u w:val="none"/>
          <w:lang w:val="en-US" w:eastAsia="zh-CN"/>
        </w:rPr>
        <w:t>4.</w:t>
      </w:r>
      <w:r>
        <w:rPr>
          <w:rFonts w:hint="eastAsia" w:ascii="黑体" w:hAnsi="黑体" w:eastAsia="黑体" w:cs="黑体"/>
          <w:color w:val="auto"/>
          <w:sz w:val="28"/>
          <w:szCs w:val="28"/>
          <w:u w:val="none"/>
          <w:lang w:val="en-US" w:eastAsia="zh-CN"/>
        </w:rPr>
        <w:t xml:space="preserve">5 </w:t>
      </w:r>
      <w:r>
        <w:rPr>
          <w:rFonts w:hint="default" w:ascii="黑体" w:hAnsi="黑体" w:eastAsia="黑体" w:cs="黑体"/>
          <w:color w:val="auto"/>
          <w:sz w:val="28"/>
          <w:szCs w:val="28"/>
          <w:u w:val="none"/>
          <w:lang w:val="en-US" w:eastAsia="zh-CN"/>
        </w:rPr>
        <w:t>土壤环境现状调查与评价</w:t>
      </w:r>
      <w:bookmarkEnd w:id="381"/>
    </w:p>
    <w:p w14:paraId="7172F379">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土壤类型及分布调查</w:t>
      </w:r>
    </w:p>
    <w:p w14:paraId="3BEE076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项目区气候极端干旱，植被极为稀疏，土壤发育较差，类型较为简单，广大地区为风沙土所覆盖。这种土壤是在风成沙性母质上发育起来的，质地较粗，物理性粘粒很少。因风蚀风积作用的交替进行，使土壤发育处于不断的复幼状况下，加之植被稀疏生物作用微弱，有机物质积累很少，成土过程十分微弱，剖面层次分化不明显，因此风沙土在很大程度上只具有风积沙沉积物岩性特征而缺乏其它的诊断层和诊断特征。风沙土可分为流动风沙土、半固定风沙土和固定风沙土三个亚类。而本区域土壤类型以流动风沙土为主。</w:t>
      </w:r>
    </w:p>
    <w:p w14:paraId="3BAFF61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流动风沙土：地表光裸</w:t>
      </w:r>
      <w:r>
        <w:rPr>
          <w:rFonts w:hint="eastAsia" w:ascii="宋体" w:hAnsi="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植被</w:t>
      </w:r>
      <w:r>
        <w:rPr>
          <w:rFonts w:hint="eastAsia" w:ascii="宋体" w:hAnsi="宋体" w:cs="宋体"/>
          <w:color w:val="auto"/>
          <w:sz w:val="24"/>
          <w:szCs w:val="24"/>
          <w:highlight w:val="none"/>
          <w:u w:val="none"/>
          <w:lang w:val="en-US" w:eastAsia="zh-CN"/>
        </w:rPr>
        <w:t>覆盖度较低</w:t>
      </w:r>
      <w:r>
        <w:rPr>
          <w:rFonts w:hint="eastAsia" w:ascii="宋体" w:hAnsi="宋体" w:eastAsia="宋体" w:cs="宋体"/>
          <w:color w:val="auto"/>
          <w:sz w:val="24"/>
          <w:szCs w:val="24"/>
          <w:highlight w:val="none"/>
          <w:u w:val="none"/>
        </w:rPr>
        <w:t>，土壤剖面无发育层次，只有干沙层和湿沙层之分。干沙层表面为沙波纹，疏松，无结构，灰黄色。湿沙层为淡黄色，湿润，疏松。流动风沙土养分含量极低，有机质含量小于1g/kg。颗粒组成以0.25～01mm的细砂粒极为主，干沙层自然含水量0.6～1.1g/kg，湿沙层14～15g/kg。</w:t>
      </w:r>
    </w:p>
    <w:p w14:paraId="3412243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sectPr>
          <w:headerReference r:id="rId12" w:type="even"/>
          <w:pgSz w:w="11906" w:h="16838"/>
          <w:pgMar w:top="1474" w:right="1474" w:bottom="1474" w:left="1814" w:header="851" w:footer="1134"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ascii="宋体" w:hAnsi="宋体" w:eastAsia="宋体" w:cs="宋体"/>
          <w:color w:val="auto"/>
          <w:sz w:val="24"/>
          <w:szCs w:val="24"/>
          <w:highlight w:val="none"/>
          <w:u w:val="none"/>
        </w:rPr>
        <w:t>评价区域土壤类型</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rPr>
        <w:t>见图4.</w:t>
      </w:r>
      <w:r>
        <w:rPr>
          <w:rFonts w:hint="eastAsia" w:ascii="宋体" w:hAnsi="宋体" w:cs="宋体"/>
          <w:color w:val="auto"/>
          <w:sz w:val="24"/>
          <w:szCs w:val="24"/>
          <w:highlight w:val="none"/>
          <w:u w:val="none"/>
          <w:lang w:val="en-US" w:eastAsia="zh-CN"/>
        </w:rPr>
        <w:t>5</w:t>
      </w:r>
      <w:r>
        <w:rPr>
          <w:rFonts w:hint="eastAsia" w:ascii="宋体" w:hAnsi="宋体" w:eastAsia="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rPr>
        <w:t>。</w:t>
      </w:r>
    </w:p>
    <w:p w14:paraId="46B906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auto"/>
          <w:u w:val="none"/>
          <w:lang w:eastAsia="zh-CN"/>
        </w:rPr>
        <w:sectPr>
          <w:pgSz w:w="16838" w:h="11906" w:orient="landscape"/>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 w:linePitch="326" w:charSpace="0"/>
        </w:sectPr>
      </w:pPr>
      <w:r>
        <w:rPr>
          <w:rFonts w:hint="eastAsia" w:ascii="黑体" w:hAnsi="黑体" w:eastAsia="黑体" w:cs="黑体"/>
          <w:b w:val="0"/>
          <w:bCs/>
          <w:color w:val="auto"/>
          <w:kern w:val="2"/>
          <w:sz w:val="24"/>
          <w:szCs w:val="24"/>
          <w:u w:val="none"/>
          <w:lang w:val="en-US" w:eastAsia="zh-CN" w:bidi="ar-SA"/>
        </w:rPr>
        <w:drawing>
          <wp:anchor distT="0" distB="0" distL="114300" distR="114300" simplePos="0" relativeHeight="251709440" behindDoc="0" locked="0" layoutInCell="1" allowOverlap="1">
            <wp:simplePos x="0" y="0"/>
            <wp:positionH relativeFrom="column">
              <wp:posOffset>419100</wp:posOffset>
            </wp:positionH>
            <wp:positionV relativeFrom="paragraph">
              <wp:posOffset>13335</wp:posOffset>
            </wp:positionV>
            <wp:extent cx="8857615" cy="6261100"/>
            <wp:effectExtent l="0" t="0" r="635" b="6350"/>
            <wp:wrapTopAndBottom/>
            <wp:docPr id="62" name="图片 62" descr="土壤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土壤类型图"/>
                    <pic:cNvPicPr>
                      <a:picLocks noChangeAspect="1"/>
                    </pic:cNvPicPr>
                  </pic:nvPicPr>
                  <pic:blipFill>
                    <a:blip r:embed="rId59"/>
                    <a:stretch>
                      <a:fillRect/>
                    </a:stretch>
                  </pic:blipFill>
                  <pic:spPr>
                    <a:xfrm>
                      <a:off x="0" y="0"/>
                      <a:ext cx="8857615" cy="6261100"/>
                    </a:xfrm>
                    <a:prstGeom prst="rect">
                      <a:avLst/>
                    </a:prstGeom>
                  </pic:spPr>
                </pic:pic>
              </a:graphicData>
            </a:graphic>
          </wp:anchor>
        </w:drawing>
      </w:r>
      <w:r>
        <w:rPr>
          <w:rFonts w:hint="eastAsia" w:ascii="黑体" w:hAnsi="黑体" w:eastAsia="黑体" w:cs="黑体"/>
          <w:b w:val="0"/>
          <w:bCs/>
          <w:color w:val="auto"/>
          <w:kern w:val="2"/>
          <w:sz w:val="24"/>
          <w:szCs w:val="24"/>
          <w:u w:val="none"/>
          <w:lang w:val="en-US" w:eastAsia="zh-CN" w:bidi="ar-SA"/>
        </w:rPr>
        <w:t>图4.5-1  评价区域土壤类型图</w:t>
      </w:r>
    </w:p>
    <w:p w14:paraId="5DEEE81D">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4.5.2 土壤理化特性调查</w:t>
      </w:r>
    </w:p>
    <w:p w14:paraId="7C96355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5</w:t>
      </w:r>
      <w:r>
        <w:rPr>
          <w:rFonts w:hint="eastAsia" w:ascii="宋体" w:hAnsi="宋体" w:eastAsia="宋体" w:cs="宋体"/>
          <w:color w:val="auto"/>
          <w:u w:val="none"/>
          <w:lang w:val="en-US" w:eastAsia="zh-CN"/>
        </w:rPr>
        <w:t>.2.1 土壤理化特性</w:t>
      </w:r>
    </w:p>
    <w:p w14:paraId="0BF83CF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针对工程占地的土壤理化性质进行分析，主要包括土体结构、土壤结构、土壤质地、阳离子交换量、氧化还原点位、饱和导水率、土壤容重、孔隙度等。取样点位为</w:t>
      </w:r>
      <w:r>
        <w:rPr>
          <w:rFonts w:hint="default" w:ascii="Times New Roman" w:hAnsi="Times New Roman" w:eastAsia="宋体" w:cs="Times New Roman"/>
          <w:color w:val="auto"/>
          <w:kern w:val="0"/>
          <w:sz w:val="24"/>
          <w:szCs w:val="24"/>
          <w:highlight w:val="none"/>
          <w:u w:val="none"/>
          <w:lang w:val="en-US" w:eastAsia="zh-CN"/>
        </w:rPr>
        <w:t>MBHW6009井场中心</w:t>
      </w:r>
      <w:r>
        <w:rPr>
          <w:rFonts w:hint="default" w:ascii="Times New Roman" w:hAnsi="Times New Roman" w:eastAsia="宋体" w:cs="Times New Roman"/>
          <w:color w:val="auto"/>
          <w:kern w:val="0"/>
          <w:sz w:val="24"/>
          <w:szCs w:val="24"/>
          <w:highlight w:val="none"/>
          <w:u w:val="none"/>
        </w:rPr>
        <w:t>表层样</w:t>
      </w:r>
      <w:r>
        <w:rPr>
          <w:rFonts w:hint="eastAsia" w:ascii="Times New Roman" w:hAnsi="Times New Roman" w:eastAsia="宋体" w:cs="Times New Roman"/>
          <w:color w:val="auto"/>
          <w:kern w:val="0"/>
          <w:sz w:val="24"/>
          <w:szCs w:val="24"/>
          <w:highlight w:val="none"/>
          <w:u w:val="none"/>
          <w:lang w:eastAsia="zh-CN"/>
        </w:rPr>
        <w:t>。监测工作由新疆正天华能环境工程技术有限公司完成。</w:t>
      </w:r>
      <w:r>
        <w:rPr>
          <w:rFonts w:hint="default" w:ascii="Times New Roman" w:hAnsi="Times New Roman" w:eastAsia="宋体" w:cs="Times New Roman"/>
          <w:color w:val="auto"/>
          <w:kern w:val="0"/>
          <w:sz w:val="24"/>
          <w:szCs w:val="24"/>
          <w:highlight w:val="none"/>
          <w:u w:val="none"/>
        </w:rPr>
        <w:t>分析结果</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见</w:t>
      </w:r>
      <w:r>
        <w:rPr>
          <w:rFonts w:hint="default" w:ascii="Times New Roman" w:hAnsi="Times New Roman" w:eastAsia="宋体" w:cs="Times New Roman"/>
          <w:color w:val="auto"/>
          <w:kern w:val="0"/>
          <w:sz w:val="24"/>
          <w:szCs w:val="24"/>
          <w:highlight w:val="none"/>
          <w:u w:val="none"/>
        </w:rPr>
        <w:t>表4.</w:t>
      </w:r>
      <w:r>
        <w:rPr>
          <w:rFonts w:hint="eastAsia" w:cs="Times New Roman"/>
          <w:color w:val="auto"/>
          <w:kern w:val="0"/>
          <w:sz w:val="24"/>
          <w:szCs w:val="24"/>
          <w:highlight w:val="none"/>
          <w:u w:val="none"/>
          <w:lang w:val="en-US" w:eastAsia="zh-CN"/>
        </w:rPr>
        <w:t>5</w:t>
      </w:r>
      <w:r>
        <w:rPr>
          <w:rFonts w:hint="default" w:ascii="Times New Roman" w:hAnsi="Times New Roman" w:eastAsia="宋体" w:cs="Times New Roman"/>
          <w:color w:val="auto"/>
          <w:kern w:val="0"/>
          <w:sz w:val="24"/>
          <w:szCs w:val="24"/>
          <w:highlight w:val="none"/>
          <w:u w:val="none"/>
        </w:rPr>
        <w:t>-1。</w:t>
      </w:r>
    </w:p>
    <w:p w14:paraId="0939BB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表4.5-1  土壤理化特性调查表</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9"/>
        <w:gridCol w:w="3560"/>
        <w:gridCol w:w="4283"/>
      </w:tblGrid>
      <w:tr w14:paraId="14D80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75" w:type="pct"/>
            <w:gridSpan w:val="2"/>
            <w:tcBorders>
              <w:tl2br w:val="nil"/>
              <w:tr2bl w:val="nil"/>
            </w:tcBorders>
            <w:noWrap w:val="0"/>
            <w:vAlign w:val="center"/>
          </w:tcPr>
          <w:p w14:paraId="056DF71E">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采样点位</w:t>
            </w:r>
          </w:p>
        </w:tc>
        <w:tc>
          <w:tcPr>
            <w:tcW w:w="2424" w:type="pct"/>
            <w:tcBorders>
              <w:tl2br w:val="nil"/>
              <w:tr2bl w:val="nil"/>
            </w:tcBorders>
            <w:noWrap w:val="0"/>
            <w:vAlign w:val="center"/>
          </w:tcPr>
          <w:p w14:paraId="285F449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MBHW6009井场中心</w:t>
            </w:r>
          </w:p>
        </w:tc>
      </w:tr>
      <w:tr w14:paraId="399F6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75" w:type="pct"/>
            <w:gridSpan w:val="2"/>
            <w:tcBorders>
              <w:tl2br w:val="nil"/>
              <w:tr2bl w:val="nil"/>
            </w:tcBorders>
            <w:noWrap w:val="0"/>
            <w:vAlign w:val="center"/>
          </w:tcPr>
          <w:p w14:paraId="2E938D0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采样深度/层次</w:t>
            </w:r>
          </w:p>
        </w:tc>
        <w:tc>
          <w:tcPr>
            <w:tcW w:w="2424" w:type="pct"/>
            <w:tcBorders>
              <w:tl2br w:val="nil"/>
              <w:tr2bl w:val="nil"/>
            </w:tcBorders>
            <w:noWrap w:val="0"/>
            <w:vAlign w:val="center"/>
          </w:tcPr>
          <w:p w14:paraId="6D08AE7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（0-20cm）</w:t>
            </w:r>
          </w:p>
        </w:tc>
      </w:tr>
      <w:tr w14:paraId="60B45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restart"/>
            <w:tcBorders>
              <w:tl2br w:val="nil"/>
              <w:tr2bl w:val="nil"/>
            </w:tcBorders>
            <w:noWrap w:val="0"/>
            <w:vAlign w:val="center"/>
          </w:tcPr>
          <w:p w14:paraId="64A8DC2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现场</w:t>
            </w:r>
          </w:p>
          <w:p w14:paraId="317DDFF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记录</w:t>
            </w:r>
          </w:p>
        </w:tc>
        <w:tc>
          <w:tcPr>
            <w:tcW w:w="2015" w:type="pct"/>
            <w:tcBorders>
              <w:tl2br w:val="nil"/>
              <w:tr2bl w:val="nil"/>
            </w:tcBorders>
            <w:noWrap w:val="0"/>
            <w:vAlign w:val="center"/>
          </w:tcPr>
          <w:p w14:paraId="3D52003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颜色</w:t>
            </w:r>
          </w:p>
        </w:tc>
        <w:tc>
          <w:tcPr>
            <w:tcW w:w="2424" w:type="pct"/>
            <w:tcBorders>
              <w:tl2br w:val="nil"/>
              <w:tr2bl w:val="nil"/>
            </w:tcBorders>
            <w:noWrap w:val="0"/>
            <w:vAlign w:val="center"/>
          </w:tcPr>
          <w:p w14:paraId="682E8FFD">
            <w:pPr>
              <w:keepNext w:val="0"/>
              <w:keepLines w:val="0"/>
              <w:pageBreakBefore w:val="0"/>
              <w:widowControl/>
              <w:kinsoku/>
              <w:wordWrap/>
              <w:overflowPunct/>
              <w:topLinePunct w:val="0"/>
              <w:autoSpaceDE/>
              <w:autoSpaceDN/>
              <w:bidi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rPr>
              <w:t>黄棕色</w:t>
            </w:r>
          </w:p>
        </w:tc>
      </w:tr>
      <w:tr w14:paraId="3F439D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continue"/>
            <w:tcBorders>
              <w:tl2br w:val="nil"/>
              <w:tr2bl w:val="nil"/>
            </w:tcBorders>
            <w:noWrap w:val="0"/>
            <w:vAlign w:val="center"/>
          </w:tcPr>
          <w:p w14:paraId="2CD7553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c>
          <w:tcPr>
            <w:tcW w:w="2015" w:type="pct"/>
            <w:tcBorders>
              <w:tl2br w:val="nil"/>
              <w:tr2bl w:val="nil"/>
            </w:tcBorders>
            <w:noWrap w:val="0"/>
            <w:vAlign w:val="center"/>
          </w:tcPr>
          <w:p w14:paraId="4DAFA9B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土壤结构</w:t>
            </w:r>
          </w:p>
        </w:tc>
        <w:tc>
          <w:tcPr>
            <w:tcW w:w="2424" w:type="pct"/>
            <w:tcBorders>
              <w:tl2br w:val="nil"/>
              <w:tr2bl w:val="nil"/>
            </w:tcBorders>
            <w:noWrap w:val="0"/>
            <w:vAlign w:val="center"/>
          </w:tcPr>
          <w:p w14:paraId="7C0B672C">
            <w:pPr>
              <w:keepNext w:val="0"/>
              <w:keepLines w:val="0"/>
              <w:pageBreakBefore w:val="0"/>
              <w:widowControl/>
              <w:kinsoku/>
              <w:wordWrap/>
              <w:overflowPunct/>
              <w:topLinePunct w:val="0"/>
              <w:autoSpaceDE/>
              <w:autoSpaceDN/>
              <w:bidi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rPr>
              <w:t>粒状</w:t>
            </w:r>
          </w:p>
        </w:tc>
      </w:tr>
      <w:tr w14:paraId="70278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continue"/>
            <w:tcBorders>
              <w:tl2br w:val="nil"/>
              <w:tr2bl w:val="nil"/>
            </w:tcBorders>
            <w:noWrap w:val="0"/>
            <w:vAlign w:val="center"/>
          </w:tcPr>
          <w:p w14:paraId="4FC9837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c>
          <w:tcPr>
            <w:tcW w:w="2015" w:type="pct"/>
            <w:tcBorders>
              <w:tl2br w:val="nil"/>
              <w:tr2bl w:val="nil"/>
            </w:tcBorders>
            <w:noWrap w:val="0"/>
            <w:vAlign w:val="center"/>
          </w:tcPr>
          <w:p w14:paraId="3DF230A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土壤质地</w:t>
            </w:r>
          </w:p>
        </w:tc>
        <w:tc>
          <w:tcPr>
            <w:tcW w:w="2424" w:type="pct"/>
            <w:tcBorders>
              <w:tl2br w:val="nil"/>
              <w:tr2bl w:val="nil"/>
            </w:tcBorders>
            <w:noWrap w:val="0"/>
            <w:vAlign w:val="center"/>
          </w:tcPr>
          <w:p w14:paraId="1FDD2304">
            <w:pPr>
              <w:keepNext w:val="0"/>
              <w:keepLines w:val="0"/>
              <w:pageBreakBefore w:val="0"/>
              <w:widowControl/>
              <w:kinsoku/>
              <w:wordWrap/>
              <w:overflowPunct/>
              <w:topLinePunct w:val="0"/>
              <w:autoSpaceDE/>
              <w:autoSpaceDN/>
              <w:bidi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砂土</w:t>
            </w:r>
          </w:p>
        </w:tc>
      </w:tr>
      <w:tr w14:paraId="0872C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continue"/>
            <w:tcBorders>
              <w:tl2br w:val="nil"/>
              <w:tr2bl w:val="nil"/>
            </w:tcBorders>
            <w:noWrap w:val="0"/>
            <w:vAlign w:val="center"/>
          </w:tcPr>
          <w:p w14:paraId="621F623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c>
          <w:tcPr>
            <w:tcW w:w="2015" w:type="pct"/>
            <w:tcBorders>
              <w:tl2br w:val="nil"/>
              <w:tr2bl w:val="nil"/>
            </w:tcBorders>
            <w:noWrap w:val="0"/>
            <w:vAlign w:val="center"/>
          </w:tcPr>
          <w:p w14:paraId="1E8CE8B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砂砾含量%</w:t>
            </w:r>
          </w:p>
        </w:tc>
        <w:tc>
          <w:tcPr>
            <w:tcW w:w="2424" w:type="pct"/>
            <w:tcBorders>
              <w:tl2br w:val="nil"/>
              <w:tr2bl w:val="nil"/>
            </w:tcBorders>
            <w:noWrap w:val="0"/>
            <w:vAlign w:val="center"/>
          </w:tcPr>
          <w:p w14:paraId="46EDB2C5">
            <w:pPr>
              <w:keepNext w:val="0"/>
              <w:keepLines w:val="0"/>
              <w:pageBreakBefore w:val="0"/>
              <w:widowControl/>
              <w:kinsoku/>
              <w:wordWrap/>
              <w:overflowPunct/>
              <w:topLinePunct w:val="0"/>
              <w:autoSpaceDE/>
              <w:autoSpaceDN/>
              <w:bidi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kern w:val="0"/>
                <w:sz w:val="21"/>
                <w:szCs w:val="21"/>
                <w:highlight w:val="none"/>
                <w:u w:val="none"/>
                <w:lang w:val="en-US" w:eastAsia="zh-CN"/>
              </w:rPr>
              <w:t>少量</w:t>
            </w:r>
          </w:p>
        </w:tc>
      </w:tr>
      <w:tr w14:paraId="4D4DE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continue"/>
            <w:tcBorders>
              <w:tl2br w:val="nil"/>
              <w:tr2bl w:val="nil"/>
            </w:tcBorders>
            <w:noWrap w:val="0"/>
            <w:vAlign w:val="center"/>
          </w:tcPr>
          <w:p w14:paraId="3784B3F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c>
          <w:tcPr>
            <w:tcW w:w="2015" w:type="pct"/>
            <w:tcBorders>
              <w:tl2br w:val="nil"/>
              <w:tr2bl w:val="nil"/>
            </w:tcBorders>
            <w:noWrap w:val="0"/>
            <w:vAlign w:val="center"/>
          </w:tcPr>
          <w:p w14:paraId="6E05374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其他异物</w:t>
            </w:r>
          </w:p>
        </w:tc>
        <w:tc>
          <w:tcPr>
            <w:tcW w:w="2424" w:type="pct"/>
            <w:tcBorders>
              <w:tl2br w:val="nil"/>
              <w:tr2bl w:val="nil"/>
            </w:tcBorders>
            <w:noWrap w:val="0"/>
            <w:vAlign w:val="center"/>
          </w:tcPr>
          <w:p w14:paraId="0AE97BF9">
            <w:pPr>
              <w:keepNext w:val="0"/>
              <w:keepLines w:val="0"/>
              <w:pageBreakBefore w:val="0"/>
              <w:widowControl/>
              <w:kinsoku/>
              <w:wordWrap/>
              <w:overflowPunct/>
              <w:topLinePunct w:val="0"/>
              <w:autoSpaceDE/>
              <w:autoSpaceDN/>
              <w:bidi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 w:val="21"/>
                <w:szCs w:val="21"/>
                <w:highlight w:val="none"/>
                <w:u w:val="none"/>
              </w:rPr>
              <w:t>无</w:t>
            </w:r>
          </w:p>
        </w:tc>
      </w:tr>
      <w:tr w14:paraId="23B466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restart"/>
            <w:tcBorders>
              <w:tl2br w:val="nil"/>
              <w:tr2bl w:val="nil"/>
            </w:tcBorders>
            <w:noWrap w:val="0"/>
            <w:vAlign w:val="center"/>
          </w:tcPr>
          <w:p w14:paraId="2D2389E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实验室测定</w:t>
            </w:r>
          </w:p>
        </w:tc>
        <w:tc>
          <w:tcPr>
            <w:tcW w:w="2015" w:type="pct"/>
            <w:tcBorders>
              <w:tl2br w:val="nil"/>
              <w:tr2bl w:val="nil"/>
            </w:tcBorders>
            <w:noWrap w:val="0"/>
            <w:vAlign w:val="center"/>
          </w:tcPr>
          <w:p w14:paraId="0FEF98F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pH值（无量纲）</w:t>
            </w:r>
          </w:p>
        </w:tc>
        <w:tc>
          <w:tcPr>
            <w:tcW w:w="2424" w:type="pct"/>
            <w:tcBorders>
              <w:tl2br w:val="nil"/>
              <w:tr2bl w:val="nil"/>
            </w:tcBorders>
            <w:noWrap w:val="0"/>
            <w:vAlign w:val="center"/>
          </w:tcPr>
          <w:p w14:paraId="27B04F51">
            <w:pPr>
              <w:keepNext w:val="0"/>
              <w:keepLines w:val="0"/>
              <w:pageBreakBefore w:val="0"/>
              <w:widowControl/>
              <w:kinsoku/>
              <w:wordWrap/>
              <w:overflowPunct/>
              <w:topLinePunct w:val="0"/>
              <w:autoSpaceDE/>
              <w:autoSpaceDN/>
              <w:bidi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9.06</w:t>
            </w:r>
          </w:p>
        </w:tc>
      </w:tr>
      <w:tr w14:paraId="4D4A41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continue"/>
            <w:tcBorders>
              <w:tl2br w:val="nil"/>
              <w:tr2bl w:val="nil"/>
            </w:tcBorders>
            <w:noWrap w:val="0"/>
            <w:vAlign w:val="center"/>
          </w:tcPr>
          <w:p w14:paraId="2FEF1D6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c>
          <w:tcPr>
            <w:tcW w:w="2015" w:type="pct"/>
            <w:tcBorders>
              <w:tl2br w:val="nil"/>
              <w:tr2bl w:val="nil"/>
            </w:tcBorders>
            <w:noWrap w:val="0"/>
            <w:vAlign w:val="center"/>
          </w:tcPr>
          <w:p w14:paraId="30ECDF9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阳离子交换量cmol</w:t>
            </w:r>
            <w:r>
              <w:rPr>
                <w:rFonts w:hint="eastAsia" w:ascii="宋体" w:hAnsi="宋体" w:eastAsia="宋体" w:cs="宋体"/>
                <w:color w:val="auto"/>
                <w:kern w:val="2"/>
                <w:sz w:val="21"/>
                <w:szCs w:val="21"/>
                <w:highlight w:val="none"/>
                <w:u w:val="none"/>
                <w:vertAlign w:val="superscript"/>
                <w:lang w:val="en-US" w:eastAsia="zh-CN" w:bidi="ar-SA"/>
              </w:rPr>
              <w:t>+</w:t>
            </w:r>
            <w:r>
              <w:rPr>
                <w:rFonts w:hint="eastAsia" w:ascii="宋体" w:hAnsi="宋体" w:eastAsia="宋体" w:cs="宋体"/>
                <w:color w:val="auto"/>
                <w:kern w:val="2"/>
                <w:sz w:val="21"/>
                <w:szCs w:val="21"/>
                <w:highlight w:val="none"/>
                <w:u w:val="none"/>
                <w:lang w:val="en-US" w:eastAsia="zh-CN" w:bidi="ar-SA"/>
              </w:rPr>
              <w:t>/kg</w:t>
            </w:r>
          </w:p>
        </w:tc>
        <w:tc>
          <w:tcPr>
            <w:tcW w:w="2424" w:type="pct"/>
            <w:tcBorders>
              <w:tl2br w:val="nil"/>
              <w:tr2bl w:val="nil"/>
            </w:tcBorders>
            <w:noWrap w:val="0"/>
            <w:vAlign w:val="center"/>
          </w:tcPr>
          <w:p w14:paraId="4F302C22">
            <w:pPr>
              <w:keepNext w:val="0"/>
              <w:keepLines w:val="0"/>
              <w:pageBreakBefore w:val="0"/>
              <w:widowControl/>
              <w:kinsoku/>
              <w:wordWrap/>
              <w:overflowPunct/>
              <w:topLinePunct w:val="0"/>
              <w:autoSpaceDE/>
              <w:autoSpaceDN/>
              <w:bidi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8.0</w:t>
            </w:r>
          </w:p>
        </w:tc>
      </w:tr>
      <w:tr w14:paraId="18BE1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continue"/>
            <w:tcBorders>
              <w:tl2br w:val="nil"/>
              <w:tr2bl w:val="nil"/>
            </w:tcBorders>
            <w:noWrap w:val="0"/>
            <w:vAlign w:val="center"/>
          </w:tcPr>
          <w:p w14:paraId="2411030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c>
          <w:tcPr>
            <w:tcW w:w="2015" w:type="pct"/>
            <w:tcBorders>
              <w:tl2br w:val="nil"/>
              <w:tr2bl w:val="nil"/>
            </w:tcBorders>
            <w:noWrap w:val="0"/>
            <w:vAlign w:val="center"/>
          </w:tcPr>
          <w:p w14:paraId="59F82EC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氧化还原电位（MV）</w:t>
            </w:r>
          </w:p>
        </w:tc>
        <w:tc>
          <w:tcPr>
            <w:tcW w:w="2424" w:type="pct"/>
            <w:tcBorders>
              <w:tl2br w:val="nil"/>
              <w:tr2bl w:val="nil"/>
            </w:tcBorders>
            <w:noWrap w:val="0"/>
            <w:vAlign w:val="center"/>
          </w:tcPr>
          <w:p w14:paraId="563366A3">
            <w:pPr>
              <w:keepNext w:val="0"/>
              <w:keepLines w:val="0"/>
              <w:pageBreakBefore w:val="0"/>
              <w:widowControl/>
              <w:kinsoku/>
              <w:wordWrap/>
              <w:overflowPunct/>
              <w:topLinePunct w:val="0"/>
              <w:autoSpaceDE/>
              <w:autoSpaceDN/>
              <w:bidi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630</w:t>
            </w:r>
          </w:p>
        </w:tc>
      </w:tr>
      <w:tr w14:paraId="56556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continue"/>
            <w:tcBorders>
              <w:tl2br w:val="nil"/>
              <w:tr2bl w:val="nil"/>
            </w:tcBorders>
            <w:noWrap w:val="0"/>
            <w:vAlign w:val="center"/>
          </w:tcPr>
          <w:p w14:paraId="16E216C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c>
          <w:tcPr>
            <w:tcW w:w="2015" w:type="pct"/>
            <w:tcBorders>
              <w:tl2br w:val="nil"/>
              <w:tr2bl w:val="nil"/>
            </w:tcBorders>
            <w:noWrap w:val="0"/>
            <w:vAlign w:val="center"/>
          </w:tcPr>
          <w:p w14:paraId="70898C6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饱和导水率mm/min</w:t>
            </w:r>
          </w:p>
        </w:tc>
        <w:tc>
          <w:tcPr>
            <w:tcW w:w="2424" w:type="pct"/>
            <w:tcBorders>
              <w:tl2br w:val="nil"/>
              <w:tr2bl w:val="nil"/>
            </w:tcBorders>
            <w:noWrap w:val="0"/>
            <w:vAlign w:val="center"/>
          </w:tcPr>
          <w:p w14:paraId="34A696B9">
            <w:pPr>
              <w:keepNext w:val="0"/>
              <w:keepLines w:val="0"/>
              <w:pageBreakBefore w:val="0"/>
              <w:widowControl/>
              <w:kinsoku/>
              <w:wordWrap/>
              <w:overflowPunct/>
              <w:topLinePunct w:val="0"/>
              <w:autoSpaceDE/>
              <w:autoSpaceDN/>
              <w:bidi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0.0648</w:t>
            </w:r>
          </w:p>
        </w:tc>
      </w:tr>
      <w:tr w14:paraId="733F7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continue"/>
            <w:tcBorders>
              <w:tl2br w:val="nil"/>
              <w:tr2bl w:val="nil"/>
            </w:tcBorders>
            <w:noWrap w:val="0"/>
            <w:vAlign w:val="center"/>
          </w:tcPr>
          <w:p w14:paraId="6C9A48F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c>
          <w:tcPr>
            <w:tcW w:w="2015" w:type="pct"/>
            <w:tcBorders>
              <w:tl2br w:val="nil"/>
              <w:tr2bl w:val="nil"/>
            </w:tcBorders>
            <w:noWrap w:val="0"/>
            <w:vAlign w:val="center"/>
          </w:tcPr>
          <w:p w14:paraId="40A5413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土壤容重g/cm</w:t>
            </w:r>
            <w:r>
              <w:rPr>
                <w:rFonts w:hint="eastAsia" w:ascii="宋体" w:hAnsi="宋体" w:eastAsia="宋体" w:cs="宋体"/>
                <w:color w:val="auto"/>
                <w:kern w:val="2"/>
                <w:sz w:val="21"/>
                <w:szCs w:val="21"/>
                <w:highlight w:val="none"/>
                <w:u w:val="none"/>
                <w:vertAlign w:val="superscript"/>
                <w:lang w:val="en-US" w:eastAsia="zh-CN" w:bidi="ar-SA"/>
              </w:rPr>
              <w:t>3</w:t>
            </w:r>
          </w:p>
        </w:tc>
        <w:tc>
          <w:tcPr>
            <w:tcW w:w="2424" w:type="pct"/>
            <w:tcBorders>
              <w:tl2br w:val="nil"/>
              <w:tr2bl w:val="nil"/>
            </w:tcBorders>
            <w:noWrap w:val="0"/>
            <w:vAlign w:val="center"/>
          </w:tcPr>
          <w:p w14:paraId="4B14C5A1">
            <w:pPr>
              <w:keepNext w:val="0"/>
              <w:keepLines w:val="0"/>
              <w:pageBreakBefore w:val="0"/>
              <w:widowControl/>
              <w:kinsoku/>
              <w:wordWrap/>
              <w:overflowPunct/>
              <w:topLinePunct w:val="0"/>
              <w:autoSpaceDE/>
              <w:autoSpaceDN/>
              <w:bidi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1.46</w:t>
            </w:r>
          </w:p>
        </w:tc>
      </w:tr>
      <w:tr w14:paraId="360EF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0" w:type="pct"/>
            <w:vMerge w:val="continue"/>
            <w:tcBorders>
              <w:tl2br w:val="nil"/>
              <w:tr2bl w:val="nil"/>
            </w:tcBorders>
            <w:noWrap w:val="0"/>
            <w:vAlign w:val="center"/>
          </w:tcPr>
          <w:p w14:paraId="3E499F7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p>
        </w:tc>
        <w:tc>
          <w:tcPr>
            <w:tcW w:w="2015" w:type="pct"/>
            <w:tcBorders>
              <w:tl2br w:val="nil"/>
              <w:tr2bl w:val="nil"/>
            </w:tcBorders>
            <w:noWrap w:val="0"/>
            <w:vAlign w:val="center"/>
          </w:tcPr>
          <w:p w14:paraId="7588E31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孔隙度%</w:t>
            </w:r>
          </w:p>
        </w:tc>
        <w:tc>
          <w:tcPr>
            <w:tcW w:w="2424" w:type="pct"/>
            <w:tcBorders>
              <w:tl2br w:val="nil"/>
              <w:tr2bl w:val="nil"/>
            </w:tcBorders>
            <w:noWrap w:val="0"/>
            <w:vAlign w:val="center"/>
          </w:tcPr>
          <w:p w14:paraId="21AA8EFF">
            <w:pPr>
              <w:keepNext w:val="0"/>
              <w:keepLines w:val="0"/>
              <w:pageBreakBefore w:val="0"/>
              <w:widowControl/>
              <w:kinsoku/>
              <w:wordWrap/>
              <w:overflowPunct/>
              <w:topLinePunct w:val="0"/>
              <w:autoSpaceDE/>
              <w:autoSpaceDN/>
              <w:bidi w:val="0"/>
              <w:snapToGrid/>
              <w:spacing w:line="400" w:lineRule="exact"/>
              <w:jc w:val="center"/>
              <w:textAlignment w:val="auto"/>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65.5</w:t>
            </w:r>
          </w:p>
        </w:tc>
      </w:tr>
    </w:tbl>
    <w:p w14:paraId="64FD8C96">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5</w:t>
      </w:r>
      <w:r>
        <w:rPr>
          <w:rFonts w:hint="eastAsia" w:ascii="宋体" w:hAnsi="宋体" w:eastAsia="宋体" w:cs="宋体"/>
          <w:color w:val="auto"/>
          <w:u w:val="none"/>
          <w:lang w:val="en-US" w:eastAsia="zh-CN"/>
        </w:rPr>
        <w:t>.2.2 土壤酸化、碱化判定</w:t>
      </w:r>
    </w:p>
    <w:p w14:paraId="1467509F">
      <w:pPr>
        <w:widowControl/>
        <w:adjustRightInd w:val="0"/>
        <w:snapToGrid w:val="0"/>
        <w:spacing w:line="360" w:lineRule="auto"/>
        <w:ind w:firstLine="480" w:firstLineChars="200"/>
        <w:jc w:val="left"/>
        <w:rPr>
          <w:rFonts w:hint="eastAsia" w:ascii="Times New Roman" w:hAnsi="Times New Roman" w:eastAsia="宋体" w:cs="Times New Roman"/>
          <w:color w:val="auto"/>
          <w:kern w:val="10"/>
          <w:sz w:val="24"/>
          <w:szCs w:val="24"/>
          <w:highlight w:val="none"/>
          <w:u w:val="none"/>
          <w:lang w:val="en-US" w:eastAsia="zh-CN"/>
        </w:rPr>
      </w:pPr>
      <w:r>
        <w:rPr>
          <w:rFonts w:hint="eastAsia" w:ascii="Times New Roman" w:hAnsi="Times New Roman" w:eastAsia="宋体" w:cs="Times New Roman"/>
          <w:color w:val="auto"/>
          <w:kern w:val="10"/>
          <w:sz w:val="24"/>
          <w:szCs w:val="24"/>
          <w:highlight w:val="none"/>
          <w:u w:val="none"/>
          <w:lang w:val="en-US" w:eastAsia="zh-CN"/>
        </w:rPr>
        <w:t>根据《环境影响评价技术导则 土壤环境》附录D中表D2判定工程建设地土壤酸化、碱化强度。土壤酸化、碱化分级标准</w:t>
      </w:r>
      <w:r>
        <w:rPr>
          <w:rFonts w:hint="eastAsia" w:cs="Times New Roman"/>
          <w:color w:val="auto"/>
          <w:kern w:val="10"/>
          <w:sz w:val="24"/>
          <w:szCs w:val="24"/>
          <w:highlight w:val="none"/>
          <w:u w:val="none"/>
          <w:lang w:val="en-US" w:eastAsia="zh-CN"/>
        </w:rPr>
        <w:t>，</w:t>
      </w:r>
      <w:r>
        <w:rPr>
          <w:rFonts w:hint="eastAsia" w:ascii="Times New Roman" w:hAnsi="Times New Roman" w:eastAsia="宋体" w:cs="Times New Roman"/>
          <w:color w:val="auto"/>
          <w:kern w:val="10"/>
          <w:sz w:val="24"/>
          <w:szCs w:val="24"/>
          <w:highlight w:val="none"/>
          <w:u w:val="none"/>
          <w:lang w:val="en-US" w:eastAsia="zh-CN"/>
        </w:rPr>
        <w:t>见表4.</w:t>
      </w:r>
      <w:r>
        <w:rPr>
          <w:rFonts w:hint="eastAsia" w:cs="Times New Roman"/>
          <w:color w:val="auto"/>
          <w:kern w:val="10"/>
          <w:sz w:val="24"/>
          <w:szCs w:val="24"/>
          <w:highlight w:val="none"/>
          <w:u w:val="none"/>
          <w:lang w:val="en-US" w:eastAsia="zh-CN"/>
        </w:rPr>
        <w:t>5</w:t>
      </w:r>
      <w:r>
        <w:rPr>
          <w:rFonts w:hint="eastAsia" w:ascii="Times New Roman" w:hAnsi="Times New Roman" w:eastAsia="宋体" w:cs="Times New Roman"/>
          <w:color w:val="auto"/>
          <w:kern w:val="10"/>
          <w:sz w:val="24"/>
          <w:szCs w:val="24"/>
          <w:highlight w:val="none"/>
          <w:u w:val="none"/>
          <w:lang w:val="en-US" w:eastAsia="zh-CN"/>
        </w:rPr>
        <w:t>-</w:t>
      </w:r>
      <w:r>
        <w:rPr>
          <w:rFonts w:hint="eastAsia" w:cs="Times New Roman"/>
          <w:color w:val="auto"/>
          <w:kern w:val="10"/>
          <w:sz w:val="24"/>
          <w:szCs w:val="24"/>
          <w:highlight w:val="none"/>
          <w:u w:val="none"/>
          <w:lang w:val="en-US" w:eastAsia="zh-CN"/>
        </w:rPr>
        <w:t>2</w:t>
      </w:r>
      <w:r>
        <w:rPr>
          <w:rFonts w:hint="eastAsia" w:ascii="Times New Roman" w:hAnsi="Times New Roman" w:eastAsia="宋体" w:cs="Times New Roman"/>
          <w:color w:val="auto"/>
          <w:kern w:val="10"/>
          <w:sz w:val="24"/>
          <w:szCs w:val="24"/>
          <w:highlight w:val="none"/>
          <w:u w:val="none"/>
          <w:lang w:val="en-US" w:eastAsia="zh-CN"/>
        </w:rPr>
        <w:t>。</w:t>
      </w:r>
    </w:p>
    <w:p w14:paraId="41836E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表4.5-2   土壤酸化、碱化分级标准</w:t>
      </w:r>
    </w:p>
    <w:tbl>
      <w:tblPr>
        <w:tblStyle w:val="3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65"/>
        <w:gridCol w:w="4369"/>
      </w:tblGrid>
      <w:tr w14:paraId="0974D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122C0FF4">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t>土壤pH值</w:t>
            </w:r>
          </w:p>
        </w:tc>
        <w:tc>
          <w:tcPr>
            <w:tcW w:w="2472" w:type="pct"/>
            <w:tcBorders>
              <w:tl2br w:val="nil"/>
              <w:tr2bl w:val="nil"/>
            </w:tcBorders>
            <w:noWrap w:val="0"/>
            <w:vAlign w:val="center"/>
          </w:tcPr>
          <w:p w14:paraId="55238171">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t>土壤酸化、碱化强度</w:t>
            </w:r>
          </w:p>
        </w:tc>
      </w:tr>
      <w:tr w14:paraId="71E45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59A03805">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pH</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u w:val="none"/>
                <w:vertAlign w:val="baseline"/>
                <w:lang w:val="en-US" w:eastAsia="zh-CN" w:bidi="ar-SA"/>
              </w:rPr>
              <w:t>3.5</w:t>
            </w:r>
          </w:p>
        </w:tc>
        <w:tc>
          <w:tcPr>
            <w:tcW w:w="2472" w:type="pct"/>
            <w:tcBorders>
              <w:tl2br w:val="nil"/>
              <w:tr2bl w:val="nil"/>
            </w:tcBorders>
            <w:noWrap w:val="0"/>
            <w:vAlign w:val="center"/>
          </w:tcPr>
          <w:p w14:paraId="791B1496">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极重度酸化</w:t>
            </w:r>
          </w:p>
        </w:tc>
      </w:tr>
      <w:tr w14:paraId="3CF8E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295B8A19">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u w:val="none"/>
                <w:vertAlign w:val="baseline"/>
                <w:lang w:val="en-US" w:eastAsia="zh-CN" w:bidi="ar-SA"/>
              </w:rPr>
              <w:t>3.5</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highlight w:val="none"/>
                <w:u w:val="none"/>
                <w:vertAlign w:val="baseline"/>
                <w:lang w:val="en-US" w:eastAsia="zh-CN" w:bidi="ar-SA"/>
              </w:rPr>
              <w:t>pH</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u w:val="none"/>
                <w:vertAlign w:val="baseline"/>
                <w:lang w:val="en-US" w:eastAsia="zh-CN" w:bidi="ar-SA"/>
              </w:rPr>
              <w:t>4.0</w:t>
            </w:r>
          </w:p>
        </w:tc>
        <w:tc>
          <w:tcPr>
            <w:tcW w:w="2472" w:type="pct"/>
            <w:tcBorders>
              <w:tl2br w:val="nil"/>
              <w:tr2bl w:val="nil"/>
            </w:tcBorders>
            <w:noWrap w:val="0"/>
            <w:vAlign w:val="center"/>
          </w:tcPr>
          <w:p w14:paraId="664960A5">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重度酸化</w:t>
            </w:r>
          </w:p>
        </w:tc>
      </w:tr>
      <w:tr w14:paraId="746A42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5FAD2184">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u w:val="none"/>
                <w:vertAlign w:val="baseline"/>
                <w:lang w:val="en-US" w:eastAsia="zh-CN" w:bidi="ar-SA"/>
              </w:rPr>
              <w:t>4.0</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highlight w:val="none"/>
                <w:u w:val="none"/>
                <w:vertAlign w:val="baseline"/>
                <w:lang w:val="en-US" w:eastAsia="zh-CN" w:bidi="ar-SA"/>
              </w:rPr>
              <w:t>pH</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u w:val="none"/>
                <w:vertAlign w:val="baseline"/>
                <w:lang w:val="en-US" w:eastAsia="zh-CN" w:bidi="ar-SA"/>
              </w:rPr>
              <w:t>4.5</w:t>
            </w:r>
          </w:p>
        </w:tc>
        <w:tc>
          <w:tcPr>
            <w:tcW w:w="2472" w:type="pct"/>
            <w:tcBorders>
              <w:tl2br w:val="nil"/>
              <w:tr2bl w:val="nil"/>
            </w:tcBorders>
            <w:noWrap w:val="0"/>
            <w:vAlign w:val="center"/>
          </w:tcPr>
          <w:p w14:paraId="4189F717">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中度酸化</w:t>
            </w:r>
          </w:p>
        </w:tc>
      </w:tr>
      <w:tr w14:paraId="0EC93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351C6C86">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u w:val="none"/>
                <w:vertAlign w:val="baseline"/>
                <w:lang w:val="en-US" w:eastAsia="zh-CN" w:bidi="ar-SA"/>
              </w:rPr>
              <w:t>4.5</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highlight w:val="none"/>
                <w:u w:val="none"/>
                <w:vertAlign w:val="baseline"/>
                <w:lang w:val="en-US" w:eastAsia="zh-CN" w:bidi="ar-SA"/>
              </w:rPr>
              <w:t>pH</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u w:val="none"/>
                <w:vertAlign w:val="baseline"/>
                <w:lang w:val="en-US" w:eastAsia="zh-CN" w:bidi="ar-SA"/>
              </w:rPr>
              <w:t>5.5</w:t>
            </w:r>
          </w:p>
        </w:tc>
        <w:tc>
          <w:tcPr>
            <w:tcW w:w="2472" w:type="pct"/>
            <w:tcBorders>
              <w:tl2br w:val="nil"/>
              <w:tr2bl w:val="nil"/>
            </w:tcBorders>
            <w:noWrap w:val="0"/>
            <w:vAlign w:val="center"/>
          </w:tcPr>
          <w:p w14:paraId="7644BDA2">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轻度酸化</w:t>
            </w:r>
          </w:p>
        </w:tc>
      </w:tr>
      <w:tr w14:paraId="680FE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500D4BC0">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u w:val="none"/>
                <w:vertAlign w:val="baseline"/>
                <w:lang w:val="en-US" w:eastAsia="zh-CN" w:bidi="ar-SA"/>
              </w:rPr>
              <w:t>5.5</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highlight w:val="none"/>
                <w:u w:val="none"/>
                <w:vertAlign w:val="baseline"/>
                <w:lang w:val="en-US" w:eastAsia="zh-CN" w:bidi="ar-SA"/>
              </w:rPr>
              <w:t>pH</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u w:val="none"/>
                <w:vertAlign w:val="baseline"/>
                <w:lang w:val="en-US" w:eastAsia="zh-CN" w:bidi="ar-SA"/>
              </w:rPr>
              <w:t>8.5</w:t>
            </w:r>
          </w:p>
        </w:tc>
        <w:tc>
          <w:tcPr>
            <w:tcW w:w="2472" w:type="pct"/>
            <w:tcBorders>
              <w:tl2br w:val="nil"/>
              <w:tr2bl w:val="nil"/>
            </w:tcBorders>
            <w:noWrap w:val="0"/>
            <w:vAlign w:val="center"/>
          </w:tcPr>
          <w:p w14:paraId="11C5A1C3">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无酸化或碱化</w:t>
            </w:r>
          </w:p>
        </w:tc>
      </w:tr>
      <w:tr w14:paraId="3EA31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3C8D97D5">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u w:val="none"/>
                <w:vertAlign w:val="baseline"/>
                <w:lang w:val="en-US" w:eastAsia="zh-CN" w:bidi="ar-SA"/>
              </w:rPr>
              <w:t>8.5</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highlight w:val="none"/>
                <w:u w:val="none"/>
                <w:vertAlign w:val="baseline"/>
                <w:lang w:val="en-US" w:eastAsia="zh-CN" w:bidi="ar-SA"/>
              </w:rPr>
              <w:t>pH</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u w:val="none"/>
                <w:vertAlign w:val="baseline"/>
                <w:lang w:val="en-US" w:eastAsia="zh-CN" w:bidi="ar-SA"/>
              </w:rPr>
              <w:t>9.0</w:t>
            </w:r>
          </w:p>
        </w:tc>
        <w:tc>
          <w:tcPr>
            <w:tcW w:w="2472" w:type="pct"/>
            <w:tcBorders>
              <w:tl2br w:val="nil"/>
              <w:tr2bl w:val="nil"/>
            </w:tcBorders>
            <w:noWrap w:val="0"/>
            <w:vAlign w:val="center"/>
          </w:tcPr>
          <w:p w14:paraId="44BDBACE">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轻度碱化</w:t>
            </w:r>
          </w:p>
        </w:tc>
      </w:tr>
      <w:tr w14:paraId="5B49E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5A08D64F">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u w:val="none"/>
                <w:vertAlign w:val="baseline"/>
                <w:lang w:val="en-US" w:eastAsia="zh-CN" w:bidi="ar-SA"/>
              </w:rPr>
              <w:t>9.0</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highlight w:val="none"/>
                <w:u w:val="none"/>
                <w:vertAlign w:val="baseline"/>
                <w:lang w:val="en-US" w:eastAsia="zh-CN" w:bidi="ar-SA"/>
              </w:rPr>
              <w:t>pH</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u w:val="none"/>
                <w:vertAlign w:val="baseline"/>
                <w:lang w:val="en-US" w:eastAsia="zh-CN" w:bidi="ar-SA"/>
              </w:rPr>
              <w:t>9.5</w:t>
            </w:r>
          </w:p>
        </w:tc>
        <w:tc>
          <w:tcPr>
            <w:tcW w:w="2472" w:type="pct"/>
            <w:tcBorders>
              <w:tl2br w:val="nil"/>
              <w:tr2bl w:val="nil"/>
            </w:tcBorders>
            <w:noWrap w:val="0"/>
            <w:vAlign w:val="center"/>
          </w:tcPr>
          <w:p w14:paraId="57940062">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中度碱化</w:t>
            </w:r>
          </w:p>
        </w:tc>
      </w:tr>
      <w:tr w14:paraId="09708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172BBCF1">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u w:val="none"/>
                <w:vertAlign w:val="baseline"/>
                <w:lang w:val="en-US" w:eastAsia="zh-CN" w:bidi="ar-SA"/>
              </w:rPr>
              <w:t>9.5</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highlight w:val="none"/>
                <w:u w:val="none"/>
                <w:vertAlign w:val="baseline"/>
                <w:lang w:val="en-US" w:eastAsia="zh-CN" w:bidi="ar-SA"/>
              </w:rPr>
              <w:t>pH</w:t>
            </w:r>
            <w:r>
              <w:rPr>
                <w:rFonts w:hint="default" w:ascii="Times New Roman" w:hAnsi="Times New Roman" w:eastAsia="宋体" w:cs="Times New Roman"/>
                <w:color w:val="auto"/>
                <w:kern w:val="2"/>
                <w:sz w:val="21"/>
                <w:szCs w:val="21"/>
                <w:u w:val="none"/>
                <w:vertAlign w:val="baseline"/>
                <w:lang w:val="en-US" w:eastAsia="zh-CN" w:bidi="ar-SA"/>
              </w:rPr>
              <w:t>＜</w:t>
            </w:r>
            <w:r>
              <w:rPr>
                <w:rFonts w:hint="eastAsia" w:ascii="Times New Roman" w:hAnsi="Times New Roman" w:eastAsia="宋体" w:cs="Times New Roman"/>
                <w:color w:val="auto"/>
                <w:kern w:val="2"/>
                <w:sz w:val="21"/>
                <w:szCs w:val="21"/>
                <w:u w:val="none"/>
                <w:vertAlign w:val="baseline"/>
                <w:lang w:val="en-US" w:eastAsia="zh-CN" w:bidi="ar-SA"/>
              </w:rPr>
              <w:t>10.0</w:t>
            </w:r>
          </w:p>
        </w:tc>
        <w:tc>
          <w:tcPr>
            <w:tcW w:w="2472" w:type="pct"/>
            <w:tcBorders>
              <w:tl2br w:val="nil"/>
              <w:tr2bl w:val="nil"/>
            </w:tcBorders>
            <w:noWrap w:val="0"/>
            <w:vAlign w:val="center"/>
          </w:tcPr>
          <w:p w14:paraId="6BEC50A4">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重度碱化</w:t>
            </w:r>
          </w:p>
        </w:tc>
      </w:tr>
      <w:tr w14:paraId="7A734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27" w:type="pct"/>
            <w:tcBorders>
              <w:tl2br w:val="nil"/>
              <w:tr2bl w:val="nil"/>
            </w:tcBorders>
            <w:noWrap w:val="0"/>
            <w:vAlign w:val="center"/>
          </w:tcPr>
          <w:p w14:paraId="7E2BAE40">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pH</w:t>
            </w:r>
            <w:r>
              <w:rPr>
                <w:rFonts w:hint="default" w:ascii="Times New Roman" w:hAnsi="Times New Roman" w:eastAsia="宋体" w:cs="Times New Roman"/>
                <w:color w:val="auto"/>
                <w:kern w:val="2"/>
                <w:sz w:val="21"/>
                <w:szCs w:val="21"/>
                <w:highlight w:val="none"/>
                <w:u w:val="none"/>
                <w:lang w:val="en-US" w:eastAsia="zh-CN" w:bidi="ar-SA"/>
              </w:rPr>
              <w:t>≥10</w:t>
            </w:r>
          </w:p>
        </w:tc>
        <w:tc>
          <w:tcPr>
            <w:tcW w:w="2472" w:type="pct"/>
            <w:tcBorders>
              <w:tl2br w:val="nil"/>
              <w:tr2bl w:val="nil"/>
            </w:tcBorders>
            <w:noWrap w:val="0"/>
            <w:vAlign w:val="center"/>
          </w:tcPr>
          <w:p w14:paraId="0EF0D316">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极重度碱化</w:t>
            </w:r>
          </w:p>
        </w:tc>
      </w:tr>
      <w:tr w14:paraId="1CB37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5000" w:type="pct"/>
            <w:gridSpan w:val="2"/>
            <w:tcBorders>
              <w:tl2br w:val="nil"/>
              <w:tr2bl w:val="nil"/>
            </w:tcBorders>
            <w:noWrap w:val="0"/>
            <w:vAlign w:val="center"/>
          </w:tcPr>
          <w:p w14:paraId="28B846EC">
            <w:pPr>
              <w:keepNext w:val="0"/>
              <w:keepLines w:val="0"/>
              <w:pageBreakBefore w:val="0"/>
              <w:widowControl w:val="0"/>
              <w:kinsoku/>
              <w:wordWrap/>
              <w:overflowPunct/>
              <w:topLinePunct w:val="0"/>
              <w:autoSpaceDE/>
              <w:autoSpaceDN/>
              <w:bidi w:val="0"/>
              <w:adjustRightInd w:val="0"/>
              <w:snapToGrid w:val="0"/>
              <w:spacing w:after="0" w:afterLines="0" w:afterAutospacing="0" w:line="400" w:lineRule="exact"/>
              <w:ind w:left="0" w:leftChars="0"/>
              <w:jc w:val="left"/>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ascii="Times New Roman" w:hAnsi="Times New Roman" w:eastAsia="宋体" w:cs="Times New Roman"/>
                <w:color w:val="auto"/>
                <w:kern w:val="2"/>
                <w:sz w:val="21"/>
                <w:szCs w:val="21"/>
                <w:highlight w:val="none"/>
                <w:u w:val="none"/>
                <w:vertAlign w:val="baseline"/>
                <w:lang w:val="en-US" w:eastAsia="zh-CN" w:bidi="ar-SA"/>
              </w:rPr>
              <w:t>注：土壤酸化、碱化强度指受人为影响后呈现的pH值，可根据区域自然背景状况适度调整</w:t>
            </w:r>
          </w:p>
        </w:tc>
      </w:tr>
    </w:tbl>
    <w:p w14:paraId="5F596AA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本工程</w:t>
      </w:r>
      <w:r>
        <w:rPr>
          <w:rFonts w:hint="eastAsia" w:cs="Times New Roman"/>
          <w:color w:val="auto"/>
          <w:kern w:val="0"/>
          <w:sz w:val="24"/>
          <w:szCs w:val="24"/>
          <w:highlight w:val="none"/>
          <w:u w:val="none"/>
          <w:lang w:val="en-US" w:eastAsia="zh-CN"/>
        </w:rPr>
        <w:t>占地范围内各监测点</w:t>
      </w:r>
      <w:r>
        <w:rPr>
          <w:rFonts w:hint="eastAsia" w:ascii="Times New Roman" w:hAnsi="Times New Roman" w:eastAsia="宋体" w:cs="Times New Roman"/>
          <w:color w:val="auto"/>
          <w:kern w:val="0"/>
          <w:sz w:val="24"/>
          <w:szCs w:val="24"/>
          <w:highlight w:val="none"/>
          <w:u w:val="none"/>
          <w:lang w:val="en-US" w:eastAsia="zh-CN"/>
        </w:rPr>
        <w:t>pH值均大于9.0，</w:t>
      </w:r>
      <w:r>
        <w:rPr>
          <w:rFonts w:hint="eastAsia" w:ascii="Times New Roman" w:hAnsi="Times New Roman" w:eastAsia="宋体" w:cs="Times New Roman"/>
          <w:color w:val="auto"/>
          <w:kern w:val="10"/>
          <w:sz w:val="24"/>
          <w:szCs w:val="24"/>
          <w:highlight w:val="none"/>
          <w:u w:val="none"/>
          <w:lang w:val="en-US" w:eastAsia="zh-CN"/>
        </w:rPr>
        <w:t>故本工程所在地土壤</w:t>
      </w:r>
      <w:r>
        <w:rPr>
          <w:rFonts w:hint="eastAsia" w:cs="Times New Roman"/>
          <w:color w:val="auto"/>
          <w:kern w:val="10"/>
          <w:sz w:val="24"/>
          <w:szCs w:val="24"/>
          <w:highlight w:val="none"/>
          <w:u w:val="none"/>
          <w:lang w:val="en-US" w:eastAsia="zh-CN"/>
        </w:rPr>
        <w:t>为重度碱化</w:t>
      </w:r>
      <w:r>
        <w:rPr>
          <w:rFonts w:hint="eastAsia" w:ascii="Times New Roman" w:hAnsi="Times New Roman" w:eastAsia="宋体" w:cs="Times New Roman"/>
          <w:color w:val="auto"/>
          <w:kern w:val="0"/>
          <w:sz w:val="24"/>
          <w:szCs w:val="24"/>
          <w:highlight w:val="none"/>
          <w:u w:val="none"/>
          <w:lang w:val="en-US" w:eastAsia="zh-CN"/>
        </w:rPr>
        <w:t>。</w:t>
      </w:r>
    </w:p>
    <w:p w14:paraId="43FAD4DC">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5</w:t>
      </w:r>
      <w:r>
        <w:rPr>
          <w:rFonts w:hint="eastAsia" w:ascii="宋体" w:hAnsi="宋体" w:eastAsia="宋体" w:cs="宋体"/>
          <w:color w:val="auto"/>
          <w:u w:val="none"/>
          <w:lang w:val="en-US" w:eastAsia="zh-CN"/>
        </w:rPr>
        <w:t>.2.3 土壤盐化判定</w:t>
      </w:r>
    </w:p>
    <w:p w14:paraId="1873609A">
      <w:pPr>
        <w:keepNext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10"/>
          <w:sz w:val="24"/>
          <w:szCs w:val="24"/>
          <w:highlight w:val="none"/>
          <w:u w:val="none"/>
          <w:lang w:val="en-US" w:eastAsia="zh-CN"/>
        </w:rPr>
      </w:pPr>
      <w:r>
        <w:rPr>
          <w:rFonts w:hint="eastAsia" w:ascii="Times New Roman" w:hAnsi="Times New Roman" w:eastAsia="宋体" w:cs="Times New Roman"/>
          <w:color w:val="auto"/>
          <w:kern w:val="10"/>
          <w:sz w:val="24"/>
          <w:szCs w:val="24"/>
          <w:highlight w:val="none"/>
          <w:u w:val="none"/>
          <w:lang w:val="en-US" w:eastAsia="zh-CN"/>
        </w:rPr>
        <w:t>（1）土壤盐化分级</w:t>
      </w:r>
    </w:p>
    <w:p w14:paraId="040CE24D">
      <w:pPr>
        <w:keepNext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10"/>
          <w:sz w:val="24"/>
          <w:szCs w:val="24"/>
          <w:highlight w:val="none"/>
          <w:u w:val="none"/>
          <w:lang w:val="en-US" w:eastAsia="zh-CN"/>
        </w:rPr>
      </w:pPr>
      <w:r>
        <w:rPr>
          <w:rFonts w:hint="eastAsia" w:ascii="Times New Roman" w:hAnsi="Times New Roman" w:eastAsia="宋体" w:cs="Times New Roman"/>
          <w:color w:val="auto"/>
          <w:kern w:val="10"/>
          <w:sz w:val="24"/>
          <w:szCs w:val="24"/>
          <w:highlight w:val="none"/>
          <w:u w:val="none"/>
          <w:lang w:val="en-US" w:eastAsia="zh-CN"/>
        </w:rPr>
        <w:t>根据《环境影响评价技术导则 土壤环境》附录D中表D1判定工程建设地土壤盐化强度。土壤盐化分级标准</w:t>
      </w:r>
      <w:r>
        <w:rPr>
          <w:rFonts w:hint="eastAsia" w:cs="Times New Roman"/>
          <w:color w:val="auto"/>
          <w:kern w:val="10"/>
          <w:sz w:val="24"/>
          <w:szCs w:val="24"/>
          <w:highlight w:val="none"/>
          <w:u w:val="none"/>
          <w:lang w:val="en-US" w:eastAsia="zh-CN"/>
        </w:rPr>
        <w:t>，</w:t>
      </w:r>
      <w:r>
        <w:rPr>
          <w:rFonts w:hint="eastAsia" w:ascii="Times New Roman" w:hAnsi="Times New Roman" w:eastAsia="宋体" w:cs="Times New Roman"/>
          <w:color w:val="auto"/>
          <w:kern w:val="10"/>
          <w:sz w:val="24"/>
          <w:szCs w:val="24"/>
          <w:highlight w:val="none"/>
          <w:u w:val="none"/>
          <w:lang w:val="en-US" w:eastAsia="zh-CN"/>
        </w:rPr>
        <w:t>见表4.</w:t>
      </w:r>
      <w:r>
        <w:rPr>
          <w:rFonts w:hint="eastAsia" w:cs="Times New Roman"/>
          <w:color w:val="auto"/>
          <w:kern w:val="10"/>
          <w:sz w:val="24"/>
          <w:szCs w:val="24"/>
          <w:highlight w:val="none"/>
          <w:u w:val="none"/>
          <w:lang w:val="en-US" w:eastAsia="zh-CN"/>
        </w:rPr>
        <w:t>5</w:t>
      </w:r>
      <w:r>
        <w:rPr>
          <w:rFonts w:hint="eastAsia" w:ascii="Times New Roman" w:hAnsi="Times New Roman" w:eastAsia="宋体" w:cs="Times New Roman"/>
          <w:color w:val="auto"/>
          <w:kern w:val="10"/>
          <w:sz w:val="24"/>
          <w:szCs w:val="24"/>
          <w:highlight w:val="none"/>
          <w:u w:val="none"/>
          <w:lang w:val="en-US" w:eastAsia="zh-CN"/>
        </w:rPr>
        <w:t>-</w:t>
      </w:r>
      <w:r>
        <w:rPr>
          <w:rFonts w:hint="eastAsia" w:cs="Times New Roman"/>
          <w:color w:val="auto"/>
          <w:kern w:val="10"/>
          <w:sz w:val="24"/>
          <w:szCs w:val="24"/>
          <w:highlight w:val="none"/>
          <w:u w:val="none"/>
          <w:lang w:val="en-US" w:eastAsia="zh-CN"/>
        </w:rPr>
        <w:t>3</w:t>
      </w:r>
      <w:r>
        <w:rPr>
          <w:rFonts w:hint="eastAsia" w:ascii="Times New Roman" w:hAnsi="Times New Roman" w:eastAsia="宋体" w:cs="Times New Roman"/>
          <w:color w:val="auto"/>
          <w:kern w:val="10"/>
          <w:sz w:val="24"/>
          <w:szCs w:val="24"/>
          <w:highlight w:val="none"/>
          <w:u w:val="none"/>
          <w:lang w:val="en-US" w:eastAsia="zh-CN"/>
        </w:rPr>
        <w:t>。</w:t>
      </w:r>
    </w:p>
    <w:p w14:paraId="6836EC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表4.5-3  土壤盐化分级标准</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82"/>
        <w:gridCol w:w="3306"/>
        <w:gridCol w:w="3246"/>
      </w:tblGrid>
      <w:tr w14:paraId="22FE40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292" w:type="pct"/>
            <w:vMerge w:val="restart"/>
            <w:tcBorders>
              <w:tl2br w:val="nil"/>
              <w:tr2bl w:val="nil"/>
            </w:tcBorders>
            <w:noWrap w:val="0"/>
            <w:vAlign w:val="center"/>
          </w:tcPr>
          <w:p w14:paraId="2F404A18">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t>分级</w:t>
            </w:r>
          </w:p>
        </w:tc>
        <w:tc>
          <w:tcPr>
            <w:tcW w:w="3707" w:type="pct"/>
            <w:gridSpan w:val="2"/>
            <w:tcBorders>
              <w:tl2br w:val="nil"/>
              <w:tr2bl w:val="nil"/>
            </w:tcBorders>
            <w:noWrap w:val="0"/>
            <w:vAlign w:val="center"/>
          </w:tcPr>
          <w:p w14:paraId="2AFD02FF">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t>土壤含盐量（SSC）/（g/kg）</w:t>
            </w:r>
          </w:p>
        </w:tc>
      </w:tr>
      <w:tr w14:paraId="2F7A1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292" w:type="pct"/>
            <w:vMerge w:val="continue"/>
            <w:tcBorders>
              <w:tl2br w:val="nil"/>
              <w:tr2bl w:val="nil"/>
            </w:tcBorders>
            <w:noWrap w:val="0"/>
            <w:vAlign w:val="center"/>
          </w:tcPr>
          <w:p w14:paraId="4A9C29FE">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p>
        </w:tc>
        <w:tc>
          <w:tcPr>
            <w:tcW w:w="1871" w:type="pct"/>
            <w:tcBorders>
              <w:tl2br w:val="nil"/>
              <w:tr2bl w:val="nil"/>
            </w:tcBorders>
            <w:noWrap w:val="0"/>
            <w:vAlign w:val="center"/>
          </w:tcPr>
          <w:p w14:paraId="378E97A0">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t>滨海、半湿润和半干旱地区</w:t>
            </w:r>
          </w:p>
        </w:tc>
        <w:tc>
          <w:tcPr>
            <w:tcW w:w="1835" w:type="pct"/>
            <w:tcBorders>
              <w:tl2br w:val="nil"/>
              <w:tr2bl w:val="nil"/>
            </w:tcBorders>
            <w:noWrap w:val="0"/>
            <w:vAlign w:val="center"/>
          </w:tcPr>
          <w:p w14:paraId="2C209B8A">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t>干旱、半荒漠和荒漠地区</w:t>
            </w:r>
          </w:p>
        </w:tc>
      </w:tr>
      <w:tr w14:paraId="505CA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292" w:type="pct"/>
            <w:tcBorders>
              <w:tl2br w:val="nil"/>
              <w:tr2bl w:val="nil"/>
            </w:tcBorders>
            <w:noWrap w:val="0"/>
            <w:vAlign w:val="center"/>
          </w:tcPr>
          <w:p w14:paraId="5C303A7A">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未盐化</w:t>
            </w:r>
          </w:p>
        </w:tc>
        <w:tc>
          <w:tcPr>
            <w:tcW w:w="1871" w:type="pct"/>
            <w:tcBorders>
              <w:tl2br w:val="nil"/>
              <w:tr2bl w:val="nil"/>
            </w:tcBorders>
            <w:noWrap w:val="0"/>
            <w:vAlign w:val="center"/>
          </w:tcPr>
          <w:p w14:paraId="3CB6E2A4">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SSC＜1</w:t>
            </w:r>
          </w:p>
        </w:tc>
        <w:tc>
          <w:tcPr>
            <w:tcW w:w="1835" w:type="pct"/>
            <w:tcBorders>
              <w:tl2br w:val="nil"/>
              <w:tr2bl w:val="nil"/>
            </w:tcBorders>
            <w:noWrap w:val="0"/>
            <w:vAlign w:val="center"/>
          </w:tcPr>
          <w:p w14:paraId="57330F74">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SSC＜2</w:t>
            </w:r>
          </w:p>
        </w:tc>
      </w:tr>
      <w:tr w14:paraId="40998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292" w:type="pct"/>
            <w:tcBorders>
              <w:tl2br w:val="nil"/>
              <w:tr2bl w:val="nil"/>
            </w:tcBorders>
            <w:noWrap w:val="0"/>
            <w:vAlign w:val="center"/>
          </w:tcPr>
          <w:p w14:paraId="730F3831">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轻度盐化</w:t>
            </w:r>
          </w:p>
        </w:tc>
        <w:tc>
          <w:tcPr>
            <w:tcW w:w="1871" w:type="pct"/>
            <w:tcBorders>
              <w:tl2br w:val="nil"/>
              <w:tr2bl w:val="nil"/>
            </w:tcBorders>
            <w:noWrap w:val="0"/>
            <w:vAlign w:val="center"/>
          </w:tcPr>
          <w:p w14:paraId="5EB9BE30">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1≤SSC＜2</w:t>
            </w:r>
          </w:p>
        </w:tc>
        <w:tc>
          <w:tcPr>
            <w:tcW w:w="1835" w:type="pct"/>
            <w:tcBorders>
              <w:tl2br w:val="nil"/>
              <w:tr2bl w:val="nil"/>
            </w:tcBorders>
            <w:noWrap w:val="0"/>
            <w:vAlign w:val="center"/>
          </w:tcPr>
          <w:p w14:paraId="42BBFDBD">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2≤SSC＜3</w:t>
            </w:r>
          </w:p>
        </w:tc>
      </w:tr>
      <w:tr w14:paraId="2F4A3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292" w:type="pct"/>
            <w:tcBorders>
              <w:tl2br w:val="nil"/>
              <w:tr2bl w:val="nil"/>
            </w:tcBorders>
            <w:noWrap w:val="0"/>
            <w:vAlign w:val="center"/>
          </w:tcPr>
          <w:p w14:paraId="56EF2C04">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中度盐化</w:t>
            </w:r>
          </w:p>
        </w:tc>
        <w:tc>
          <w:tcPr>
            <w:tcW w:w="1871" w:type="pct"/>
            <w:tcBorders>
              <w:tl2br w:val="nil"/>
              <w:tr2bl w:val="nil"/>
            </w:tcBorders>
            <w:noWrap w:val="0"/>
            <w:vAlign w:val="center"/>
          </w:tcPr>
          <w:p w14:paraId="2B0ACF84">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2≤SSC＜4</w:t>
            </w:r>
          </w:p>
        </w:tc>
        <w:tc>
          <w:tcPr>
            <w:tcW w:w="1835" w:type="pct"/>
            <w:tcBorders>
              <w:tl2br w:val="nil"/>
              <w:tr2bl w:val="nil"/>
            </w:tcBorders>
            <w:noWrap w:val="0"/>
            <w:vAlign w:val="center"/>
          </w:tcPr>
          <w:p w14:paraId="128DB294">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3≤SSC＜5</w:t>
            </w:r>
          </w:p>
        </w:tc>
      </w:tr>
      <w:tr w14:paraId="1FA8C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292" w:type="pct"/>
            <w:tcBorders>
              <w:tl2br w:val="nil"/>
              <w:tr2bl w:val="nil"/>
            </w:tcBorders>
            <w:noWrap w:val="0"/>
            <w:vAlign w:val="center"/>
          </w:tcPr>
          <w:p w14:paraId="1561B691">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重度盐化</w:t>
            </w:r>
          </w:p>
        </w:tc>
        <w:tc>
          <w:tcPr>
            <w:tcW w:w="1871" w:type="pct"/>
            <w:tcBorders>
              <w:tl2br w:val="nil"/>
              <w:tr2bl w:val="nil"/>
            </w:tcBorders>
            <w:noWrap w:val="0"/>
            <w:vAlign w:val="center"/>
          </w:tcPr>
          <w:p w14:paraId="69E66830">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4≤SSC＜6</w:t>
            </w:r>
          </w:p>
        </w:tc>
        <w:tc>
          <w:tcPr>
            <w:tcW w:w="1835" w:type="pct"/>
            <w:tcBorders>
              <w:tl2br w:val="nil"/>
              <w:tr2bl w:val="nil"/>
            </w:tcBorders>
            <w:noWrap w:val="0"/>
            <w:vAlign w:val="center"/>
          </w:tcPr>
          <w:p w14:paraId="52554503">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5≤SSC＜10</w:t>
            </w:r>
          </w:p>
        </w:tc>
      </w:tr>
      <w:tr w14:paraId="7E3753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exact"/>
          <w:jc w:val="center"/>
        </w:trPr>
        <w:tc>
          <w:tcPr>
            <w:tcW w:w="1292" w:type="pct"/>
            <w:tcBorders>
              <w:tl2br w:val="nil"/>
              <w:tr2bl w:val="nil"/>
            </w:tcBorders>
            <w:noWrap w:val="0"/>
            <w:vAlign w:val="center"/>
          </w:tcPr>
          <w:p w14:paraId="60BBB17C">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极重度盐化</w:t>
            </w:r>
          </w:p>
        </w:tc>
        <w:tc>
          <w:tcPr>
            <w:tcW w:w="1871" w:type="pct"/>
            <w:tcBorders>
              <w:tl2br w:val="nil"/>
              <w:tr2bl w:val="nil"/>
            </w:tcBorders>
            <w:noWrap w:val="0"/>
            <w:vAlign w:val="center"/>
          </w:tcPr>
          <w:p w14:paraId="412CBB64">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SSC≥6</w:t>
            </w:r>
          </w:p>
        </w:tc>
        <w:tc>
          <w:tcPr>
            <w:tcW w:w="1835" w:type="pct"/>
            <w:tcBorders>
              <w:tl2br w:val="nil"/>
              <w:tr2bl w:val="nil"/>
            </w:tcBorders>
            <w:noWrap w:val="0"/>
            <w:vAlign w:val="center"/>
          </w:tcPr>
          <w:p w14:paraId="22566894">
            <w:pPr>
              <w:keepNext w:val="0"/>
              <w:keepLines w:val="0"/>
              <w:pageBreakBefore w:val="0"/>
              <w:widowControl w:val="0"/>
              <w:kinsoku/>
              <w:wordWrap/>
              <w:overflowPunct/>
              <w:topLinePunct w:val="0"/>
              <w:autoSpaceDE/>
              <w:autoSpaceDN/>
              <w:bidi w:val="0"/>
              <w:adjustRightInd/>
              <w:snapToGrid/>
              <w:spacing w:after="120" w:afterLines="0" w:afterAutospacing="0" w:line="400" w:lineRule="exact"/>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SSC≥10</w:t>
            </w:r>
          </w:p>
        </w:tc>
      </w:tr>
      <w:tr w14:paraId="6DFCB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5000" w:type="pct"/>
            <w:gridSpan w:val="3"/>
            <w:tcBorders>
              <w:tl2br w:val="nil"/>
              <w:tr2bl w:val="nil"/>
            </w:tcBorders>
            <w:noWrap w:val="0"/>
            <w:vAlign w:val="center"/>
          </w:tcPr>
          <w:p w14:paraId="3D01ED40">
            <w:pPr>
              <w:keepNext w:val="0"/>
              <w:keepLines w:val="0"/>
              <w:pageBreakBefore w:val="0"/>
              <w:widowControl w:val="0"/>
              <w:kinsoku/>
              <w:wordWrap/>
              <w:overflowPunct/>
              <w:topLinePunct w:val="0"/>
              <w:autoSpaceDE/>
              <w:autoSpaceDN/>
              <w:bidi w:val="0"/>
              <w:adjustRightInd/>
              <w:snapToGrid/>
              <w:spacing w:after="120" w:afterLines="0" w:afterAutospacing="0" w:line="400" w:lineRule="exact"/>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kern w:val="2"/>
                <w:sz w:val="21"/>
                <w:szCs w:val="21"/>
                <w:highlight w:val="none"/>
                <w:u w:val="none"/>
                <w:vertAlign w:val="baseline"/>
                <w:lang w:val="en-US" w:eastAsia="zh-CN" w:bidi="ar-SA"/>
              </w:rPr>
              <w:t>注：根据区域自然背景状况适当调整</w:t>
            </w:r>
          </w:p>
        </w:tc>
      </w:tr>
    </w:tbl>
    <w:p w14:paraId="3F68319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kern w:val="10"/>
          <w:sz w:val="24"/>
          <w:szCs w:val="24"/>
          <w:highlight w:val="none"/>
          <w:u w:val="none"/>
          <w:lang w:val="en-US" w:eastAsia="zh-CN"/>
        </w:rPr>
      </w:pPr>
      <w:r>
        <w:rPr>
          <w:rFonts w:hint="eastAsia" w:ascii="Times New Roman" w:hAnsi="Times New Roman" w:eastAsia="宋体" w:cs="Times New Roman"/>
          <w:color w:val="auto"/>
          <w:kern w:val="10"/>
          <w:sz w:val="24"/>
          <w:szCs w:val="24"/>
          <w:highlight w:val="none"/>
          <w:u w:val="none"/>
          <w:lang w:val="en-US" w:eastAsia="zh-CN"/>
        </w:rPr>
        <w:t>本工程建设地属于荒漠地区，土壤含盐量</w:t>
      </w:r>
      <w:r>
        <w:rPr>
          <w:rFonts w:hint="eastAsia" w:cs="Times New Roman"/>
          <w:color w:val="auto"/>
          <w:kern w:val="10"/>
          <w:sz w:val="24"/>
          <w:szCs w:val="24"/>
          <w:highlight w:val="none"/>
          <w:u w:val="none"/>
          <w:lang w:val="en-US" w:eastAsia="zh-CN"/>
        </w:rPr>
        <w:t>均小于2</w:t>
      </w:r>
      <w:r>
        <w:rPr>
          <w:rFonts w:hint="eastAsia" w:ascii="Times New Roman" w:hAnsi="Times New Roman" w:eastAsia="宋体" w:cs="Times New Roman"/>
          <w:color w:val="auto"/>
          <w:kern w:val="10"/>
          <w:sz w:val="24"/>
          <w:szCs w:val="24"/>
          <w:highlight w:val="none"/>
          <w:u w:val="none"/>
          <w:lang w:val="en-US" w:eastAsia="zh-CN"/>
        </w:rPr>
        <w:t>g/kg，初步判定本工程所在地土壤为</w:t>
      </w:r>
      <w:r>
        <w:rPr>
          <w:rFonts w:hint="eastAsia" w:cs="Times New Roman"/>
          <w:color w:val="auto"/>
          <w:kern w:val="10"/>
          <w:sz w:val="24"/>
          <w:szCs w:val="24"/>
          <w:highlight w:val="none"/>
          <w:u w:val="none"/>
          <w:lang w:val="en-US" w:eastAsia="zh-CN"/>
        </w:rPr>
        <w:t>“未盐化”</w:t>
      </w:r>
      <w:r>
        <w:rPr>
          <w:rFonts w:hint="eastAsia" w:ascii="Times New Roman" w:hAnsi="Times New Roman" w:eastAsia="宋体" w:cs="Times New Roman"/>
          <w:color w:val="auto"/>
          <w:kern w:val="10"/>
          <w:sz w:val="24"/>
          <w:szCs w:val="24"/>
          <w:highlight w:val="none"/>
          <w:u w:val="none"/>
          <w:lang w:val="en-US" w:eastAsia="zh-CN"/>
        </w:rPr>
        <w:t>。</w:t>
      </w:r>
    </w:p>
    <w:p w14:paraId="1A367968">
      <w:pPr>
        <w:keepNext w:val="0"/>
        <w:keepLines w:val="0"/>
        <w:pageBreakBefore w:val="0"/>
        <w:widowControl/>
        <w:numPr>
          <w:ilvl w:val="0"/>
          <w:numId w:val="3"/>
        </w:numPr>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kern w:val="10"/>
          <w:sz w:val="24"/>
          <w:szCs w:val="24"/>
          <w:highlight w:val="none"/>
          <w:u w:val="none"/>
          <w:lang w:val="en-US" w:eastAsia="zh-CN"/>
        </w:rPr>
      </w:pPr>
      <w:r>
        <w:rPr>
          <w:rFonts w:hint="eastAsia" w:ascii="Times New Roman" w:hAnsi="Times New Roman" w:eastAsia="宋体" w:cs="Times New Roman"/>
          <w:color w:val="auto"/>
          <w:kern w:val="10"/>
          <w:sz w:val="24"/>
          <w:szCs w:val="24"/>
          <w:highlight w:val="none"/>
          <w:u w:val="none"/>
          <w:lang w:val="en-US" w:eastAsia="zh-CN"/>
        </w:rPr>
        <w:t>土壤盐化综合判定</w:t>
      </w:r>
    </w:p>
    <w:p w14:paraId="57CAE9C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kern w:val="10"/>
          <w:sz w:val="24"/>
          <w:szCs w:val="24"/>
          <w:highlight w:val="none"/>
          <w:u w:val="none"/>
          <w:lang w:val="en-US" w:eastAsia="zh-CN"/>
        </w:rPr>
      </w:pPr>
      <w:r>
        <w:rPr>
          <w:rFonts w:hint="eastAsia" w:ascii="Times New Roman" w:hAnsi="Times New Roman" w:eastAsia="宋体" w:cs="Times New Roman"/>
          <w:color w:val="auto"/>
          <w:kern w:val="10"/>
          <w:sz w:val="24"/>
          <w:szCs w:val="24"/>
          <w:highlight w:val="none"/>
          <w:u w:val="none"/>
          <w:lang w:val="en-US" w:eastAsia="zh-CN"/>
        </w:rPr>
        <w:t>采用《环境影响评价技术导则 土壤环境》附录F“土壤盐化综合评分预测方法”进一步判定工程所在地土壤盐化强度。</w:t>
      </w:r>
    </w:p>
    <w:p w14:paraId="49C7E38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kern w:val="10"/>
          <w:sz w:val="24"/>
          <w:szCs w:val="24"/>
          <w:highlight w:val="none"/>
          <w:u w:val="none"/>
          <w:lang w:val="en-US" w:eastAsia="zh-CN"/>
        </w:rPr>
      </w:pPr>
      <w:r>
        <w:rPr>
          <w:rFonts w:hint="eastAsia" w:ascii="Times New Roman" w:hAnsi="Times New Roman" w:eastAsia="宋体" w:cs="Times New Roman"/>
          <w:color w:val="auto"/>
          <w:kern w:val="10"/>
          <w:sz w:val="24"/>
          <w:szCs w:val="24"/>
          <w:highlight w:val="none"/>
          <w:u w:val="none"/>
          <w:lang w:val="en-US" w:eastAsia="zh-CN"/>
        </w:rPr>
        <w:t>土壤盐化综合评分法：根据“土壤盐化影响因素赋值表”选取各项影响因素的分值与权重，采用</w:t>
      </w:r>
      <w:r>
        <w:rPr>
          <w:rFonts w:hint="eastAsia" w:cs="Times New Roman"/>
          <w:color w:val="auto"/>
          <w:kern w:val="10"/>
          <w:sz w:val="24"/>
          <w:szCs w:val="24"/>
          <w:highlight w:val="none"/>
          <w:u w:val="none"/>
          <w:lang w:val="en-US" w:eastAsia="zh-CN"/>
        </w:rPr>
        <w:t>公式</w:t>
      </w:r>
      <w:r>
        <w:rPr>
          <w:rFonts w:hint="eastAsia" w:ascii="Times New Roman" w:hAnsi="Times New Roman" w:eastAsia="宋体" w:cs="Times New Roman"/>
          <w:color w:val="auto"/>
          <w:kern w:val="10"/>
          <w:sz w:val="24"/>
          <w:szCs w:val="24"/>
          <w:highlight w:val="none"/>
          <w:u w:val="none"/>
          <w:lang w:val="en-US" w:eastAsia="zh-CN"/>
        </w:rPr>
        <w:t>计算土壤盐化综合评分值（Sa），对照“土壤盐化预测表”得出土壤盐化综合评分预测结果。</w:t>
      </w:r>
    </w:p>
    <w:p w14:paraId="10825BA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kern w:val="10"/>
          <w:sz w:val="24"/>
          <w:szCs w:val="24"/>
          <w:highlight w:val="none"/>
          <w:u w:val="none"/>
          <w:lang w:val="en-US" w:eastAsia="zh-CN"/>
        </w:rPr>
      </w:pPr>
      <w:r>
        <w:rPr>
          <w:rFonts w:hint="eastAsia" w:cs="Times New Roman"/>
          <w:color w:val="auto"/>
          <w:kern w:val="10"/>
          <w:sz w:val="24"/>
          <w:szCs w:val="24"/>
          <w:highlight w:val="none"/>
          <w:u w:val="none"/>
          <w:lang w:val="en-US" w:eastAsia="zh-CN"/>
        </w:rPr>
        <w:t>1）</w:t>
      </w:r>
      <w:r>
        <w:rPr>
          <w:rFonts w:hint="eastAsia" w:ascii="Times New Roman" w:hAnsi="Times New Roman" w:eastAsia="宋体" w:cs="Times New Roman"/>
          <w:color w:val="auto"/>
          <w:kern w:val="10"/>
          <w:sz w:val="24"/>
          <w:szCs w:val="24"/>
          <w:highlight w:val="none"/>
          <w:u w:val="none"/>
          <w:lang w:val="en-US" w:eastAsia="zh-CN"/>
        </w:rPr>
        <w:t>公式</w:t>
      </w:r>
    </w:p>
    <w:p w14:paraId="16A6FC2D">
      <w:pPr>
        <w:keepNext w:val="0"/>
        <w:keepLines w:val="0"/>
        <w:pageBreakBefore w:val="0"/>
        <w:widowControl/>
        <w:kinsoku/>
        <w:wordWrap/>
        <w:overflowPunct/>
        <w:topLinePunct w:val="0"/>
        <w:autoSpaceDE/>
        <w:autoSpaceDN/>
        <w:bidi w:val="0"/>
        <w:adjustRightInd/>
        <w:snapToGrid/>
        <w:spacing w:after="120" w:afterLines="0" w:afterAutospacing="0" w:line="360" w:lineRule="auto"/>
        <w:ind w:left="0" w:leftChars="0" w:firstLine="0" w:firstLineChars="0"/>
        <w:jc w:val="center"/>
        <w:textAlignment w:val="auto"/>
        <w:rPr>
          <w:rFonts w:hint="default" w:ascii="Times New Roman" w:hAnsi="Times New Roman" w:eastAsia="宋体" w:cs="Times New Roman"/>
          <w:b/>
          <w:color w:val="auto"/>
          <w:kern w:val="44"/>
          <w:sz w:val="44"/>
          <w:szCs w:val="20"/>
          <w:highlight w:val="none"/>
          <w:u w:val="none"/>
          <w:lang w:val="en-US" w:eastAsia="zh-CN" w:bidi="ar-SA"/>
        </w:rPr>
      </w:pPr>
      <w:r>
        <w:rPr>
          <w:rFonts w:ascii="Times New Roman" w:hAnsi="Times New Roman" w:eastAsia="宋体" w:cs="Times New Roman"/>
          <w:b/>
          <w:color w:val="auto"/>
          <w:kern w:val="44"/>
          <w:sz w:val="44"/>
          <w:szCs w:val="20"/>
          <w:highlight w:val="none"/>
          <w:u w:val="none"/>
          <w:lang w:val="en-US" w:eastAsia="zh-CN" w:bidi="ar-SA"/>
        </w:rPr>
        <w:drawing>
          <wp:inline distT="0" distB="0" distL="114300" distR="114300">
            <wp:extent cx="2118360" cy="934085"/>
            <wp:effectExtent l="0" t="0" r="15240" b="1841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60"/>
                    <a:stretch>
                      <a:fillRect/>
                    </a:stretch>
                  </pic:blipFill>
                  <pic:spPr>
                    <a:xfrm>
                      <a:off x="0" y="0"/>
                      <a:ext cx="2118360" cy="934085"/>
                    </a:xfrm>
                    <a:prstGeom prst="rect">
                      <a:avLst/>
                    </a:prstGeom>
                    <a:noFill/>
                    <a:ln>
                      <a:noFill/>
                    </a:ln>
                  </pic:spPr>
                </pic:pic>
              </a:graphicData>
            </a:graphic>
          </wp:inline>
        </w:drawing>
      </w:r>
    </w:p>
    <w:p w14:paraId="69B9693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kern w:val="10"/>
          <w:sz w:val="24"/>
          <w:szCs w:val="24"/>
          <w:highlight w:val="none"/>
          <w:u w:val="none"/>
          <w:lang w:val="en-US" w:eastAsia="zh-CN"/>
        </w:rPr>
      </w:pPr>
      <w:r>
        <w:rPr>
          <w:rFonts w:hint="eastAsia" w:cs="Times New Roman"/>
          <w:color w:val="auto"/>
          <w:kern w:val="10"/>
          <w:sz w:val="24"/>
          <w:szCs w:val="24"/>
          <w:highlight w:val="none"/>
          <w:u w:val="none"/>
          <w:lang w:val="en-US" w:eastAsia="zh-CN"/>
        </w:rPr>
        <w:t>2）</w:t>
      </w:r>
      <w:r>
        <w:rPr>
          <w:rFonts w:hint="eastAsia" w:ascii="Times New Roman" w:hAnsi="Times New Roman" w:eastAsia="宋体" w:cs="Times New Roman"/>
          <w:color w:val="auto"/>
          <w:kern w:val="10"/>
          <w:sz w:val="24"/>
          <w:szCs w:val="24"/>
          <w:highlight w:val="none"/>
          <w:u w:val="none"/>
          <w:lang w:val="en-US" w:eastAsia="zh-CN"/>
        </w:rPr>
        <w:t>土壤盐化影响因素赋值表</w:t>
      </w:r>
    </w:p>
    <w:p w14:paraId="6E5F496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10"/>
          <w:sz w:val="24"/>
          <w:szCs w:val="24"/>
          <w:highlight w:val="none"/>
          <w:u w:val="none"/>
          <w:lang w:val="en-US" w:eastAsia="zh-CN"/>
        </w:rPr>
      </w:pPr>
      <w:r>
        <w:rPr>
          <w:rFonts w:hint="eastAsia" w:ascii="Times New Roman" w:hAnsi="Times New Roman" w:eastAsia="宋体" w:cs="Times New Roman"/>
          <w:color w:val="auto"/>
          <w:kern w:val="10"/>
          <w:sz w:val="24"/>
          <w:szCs w:val="24"/>
          <w:highlight w:val="none"/>
          <w:u w:val="none"/>
          <w:lang w:val="en-US" w:eastAsia="zh-CN"/>
        </w:rPr>
        <w:t>土壤盐化影响因素及分级标准</w:t>
      </w:r>
      <w:r>
        <w:rPr>
          <w:rFonts w:hint="eastAsia" w:cs="Times New Roman"/>
          <w:color w:val="auto"/>
          <w:kern w:val="10"/>
          <w:sz w:val="24"/>
          <w:szCs w:val="24"/>
          <w:highlight w:val="none"/>
          <w:u w:val="none"/>
          <w:lang w:val="en-US" w:eastAsia="zh-CN"/>
        </w:rPr>
        <w:t>，</w:t>
      </w:r>
      <w:r>
        <w:rPr>
          <w:rFonts w:hint="eastAsia" w:ascii="Times New Roman" w:hAnsi="Times New Roman" w:eastAsia="宋体" w:cs="Times New Roman"/>
          <w:color w:val="auto"/>
          <w:kern w:val="10"/>
          <w:sz w:val="24"/>
          <w:szCs w:val="24"/>
          <w:highlight w:val="none"/>
          <w:u w:val="none"/>
          <w:lang w:val="en-US" w:eastAsia="zh-CN"/>
        </w:rPr>
        <w:t>见表4.</w:t>
      </w:r>
      <w:r>
        <w:rPr>
          <w:rFonts w:hint="eastAsia" w:cs="Times New Roman"/>
          <w:color w:val="auto"/>
          <w:kern w:val="10"/>
          <w:sz w:val="24"/>
          <w:szCs w:val="24"/>
          <w:highlight w:val="none"/>
          <w:u w:val="none"/>
          <w:lang w:val="en-US" w:eastAsia="zh-CN"/>
        </w:rPr>
        <w:t>5</w:t>
      </w:r>
      <w:r>
        <w:rPr>
          <w:rFonts w:hint="eastAsia" w:ascii="Times New Roman" w:hAnsi="Times New Roman" w:eastAsia="宋体" w:cs="Times New Roman"/>
          <w:color w:val="auto"/>
          <w:kern w:val="10"/>
          <w:sz w:val="24"/>
          <w:szCs w:val="24"/>
          <w:highlight w:val="none"/>
          <w:u w:val="none"/>
          <w:lang w:val="en-US" w:eastAsia="zh-CN"/>
        </w:rPr>
        <w:t>-</w:t>
      </w:r>
      <w:r>
        <w:rPr>
          <w:rFonts w:hint="eastAsia" w:cs="Times New Roman"/>
          <w:color w:val="auto"/>
          <w:kern w:val="10"/>
          <w:sz w:val="24"/>
          <w:szCs w:val="24"/>
          <w:highlight w:val="none"/>
          <w:u w:val="none"/>
          <w:lang w:val="en-US" w:eastAsia="zh-CN"/>
        </w:rPr>
        <w:t>4</w:t>
      </w:r>
      <w:r>
        <w:rPr>
          <w:rFonts w:hint="eastAsia" w:ascii="Times New Roman" w:hAnsi="Times New Roman" w:eastAsia="宋体" w:cs="Times New Roman"/>
          <w:color w:val="auto"/>
          <w:kern w:val="10"/>
          <w:sz w:val="24"/>
          <w:szCs w:val="24"/>
          <w:highlight w:val="none"/>
          <w:u w:val="none"/>
          <w:lang w:val="en-US" w:eastAsia="zh-CN"/>
        </w:rPr>
        <w:t>。</w:t>
      </w:r>
    </w:p>
    <w:p w14:paraId="62FA86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表4.5-4  土壤盐化分级标准</w:t>
      </w:r>
    </w:p>
    <w:tbl>
      <w:tblPr>
        <w:tblStyle w:val="38"/>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68"/>
        <w:gridCol w:w="1179"/>
        <w:gridCol w:w="1536"/>
        <w:gridCol w:w="1526"/>
        <w:gridCol w:w="1238"/>
        <w:gridCol w:w="585"/>
      </w:tblGrid>
      <w:tr w14:paraId="3ADBC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567" w:type="pct"/>
            <w:vMerge w:val="restart"/>
            <w:tcBorders>
              <w:tl2br w:val="nil"/>
              <w:tr2bl w:val="nil"/>
            </w:tcBorders>
            <w:noWrap w:val="0"/>
            <w:vAlign w:val="center"/>
          </w:tcPr>
          <w:p w14:paraId="150A7D64">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影响因素</w:t>
            </w:r>
          </w:p>
        </w:tc>
        <w:tc>
          <w:tcPr>
            <w:tcW w:w="3103" w:type="pct"/>
            <w:gridSpan w:val="4"/>
            <w:tcBorders>
              <w:tl2br w:val="nil"/>
              <w:tr2bl w:val="nil"/>
            </w:tcBorders>
            <w:noWrap w:val="0"/>
            <w:vAlign w:val="center"/>
          </w:tcPr>
          <w:p w14:paraId="5F595E9B">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分值</w:t>
            </w:r>
          </w:p>
        </w:tc>
        <w:tc>
          <w:tcPr>
            <w:tcW w:w="329" w:type="pct"/>
            <w:vMerge w:val="restart"/>
            <w:tcBorders>
              <w:tl2br w:val="nil"/>
              <w:tr2bl w:val="nil"/>
            </w:tcBorders>
            <w:noWrap w:val="0"/>
            <w:vAlign w:val="center"/>
          </w:tcPr>
          <w:p w14:paraId="58C56DC0">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权重</w:t>
            </w:r>
          </w:p>
        </w:tc>
      </w:tr>
      <w:tr w14:paraId="519078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567" w:type="pct"/>
            <w:vMerge w:val="continue"/>
            <w:tcBorders>
              <w:tl2br w:val="nil"/>
              <w:tr2bl w:val="nil"/>
            </w:tcBorders>
            <w:noWrap w:val="0"/>
            <w:vAlign w:val="center"/>
          </w:tcPr>
          <w:p w14:paraId="733F3045">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p>
        </w:tc>
        <w:tc>
          <w:tcPr>
            <w:tcW w:w="668" w:type="pct"/>
            <w:tcBorders>
              <w:tl2br w:val="nil"/>
              <w:tr2bl w:val="nil"/>
            </w:tcBorders>
            <w:noWrap w:val="0"/>
            <w:vAlign w:val="center"/>
          </w:tcPr>
          <w:p w14:paraId="13DB616D">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0分</w:t>
            </w:r>
          </w:p>
        </w:tc>
        <w:tc>
          <w:tcPr>
            <w:tcW w:w="870" w:type="pct"/>
            <w:tcBorders>
              <w:tl2br w:val="nil"/>
              <w:tr2bl w:val="nil"/>
            </w:tcBorders>
            <w:noWrap w:val="0"/>
            <w:vAlign w:val="center"/>
          </w:tcPr>
          <w:p w14:paraId="70139B1B">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2分</w:t>
            </w:r>
          </w:p>
        </w:tc>
        <w:tc>
          <w:tcPr>
            <w:tcW w:w="864" w:type="pct"/>
            <w:tcBorders>
              <w:tl2br w:val="nil"/>
              <w:tr2bl w:val="nil"/>
            </w:tcBorders>
            <w:noWrap w:val="0"/>
            <w:vAlign w:val="center"/>
          </w:tcPr>
          <w:p w14:paraId="189F24EE">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4分</w:t>
            </w:r>
          </w:p>
        </w:tc>
        <w:tc>
          <w:tcPr>
            <w:tcW w:w="698" w:type="pct"/>
            <w:tcBorders>
              <w:tl2br w:val="nil"/>
              <w:tr2bl w:val="nil"/>
            </w:tcBorders>
            <w:noWrap w:val="0"/>
            <w:vAlign w:val="center"/>
          </w:tcPr>
          <w:p w14:paraId="10184A91">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6分</w:t>
            </w:r>
          </w:p>
        </w:tc>
        <w:tc>
          <w:tcPr>
            <w:tcW w:w="329" w:type="pct"/>
            <w:vMerge w:val="continue"/>
            <w:tcBorders>
              <w:tl2br w:val="nil"/>
              <w:tr2bl w:val="nil"/>
            </w:tcBorders>
            <w:noWrap w:val="0"/>
            <w:vAlign w:val="center"/>
          </w:tcPr>
          <w:p w14:paraId="3486556D">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p>
        </w:tc>
      </w:tr>
      <w:tr w14:paraId="4FC34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567" w:type="pct"/>
            <w:tcBorders>
              <w:tl2br w:val="nil"/>
              <w:tr2bl w:val="nil"/>
            </w:tcBorders>
            <w:noWrap w:val="0"/>
            <w:vAlign w:val="center"/>
          </w:tcPr>
          <w:p w14:paraId="6A018DBC">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地下水位埋深（GWD）/m</w:t>
            </w:r>
          </w:p>
        </w:tc>
        <w:tc>
          <w:tcPr>
            <w:tcW w:w="668" w:type="pct"/>
            <w:tcBorders>
              <w:tl2br w:val="nil"/>
              <w:tr2bl w:val="nil"/>
            </w:tcBorders>
            <w:noWrap w:val="0"/>
            <w:vAlign w:val="center"/>
          </w:tcPr>
          <w:p w14:paraId="16948325">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GWD</w:t>
            </w:r>
            <w:r>
              <w:rPr>
                <w:rFonts w:hint="default" w:ascii="Times New Roman" w:hAnsi="Times New Roman" w:eastAsia="宋体" w:cs="Times New Roman"/>
                <w:b w:val="0"/>
                <w:bCs/>
                <w:color w:val="auto"/>
                <w:kern w:val="44"/>
                <w:sz w:val="21"/>
                <w:szCs w:val="21"/>
                <w:highlight w:val="none"/>
                <w:u w:val="none"/>
                <w:lang w:val="en-US" w:eastAsia="zh-CN" w:bidi="ar-SA"/>
              </w:rPr>
              <w:t>≥2.5</w:t>
            </w:r>
          </w:p>
        </w:tc>
        <w:tc>
          <w:tcPr>
            <w:tcW w:w="870" w:type="pct"/>
            <w:tcBorders>
              <w:tl2br w:val="nil"/>
              <w:tr2bl w:val="nil"/>
            </w:tcBorders>
            <w:noWrap w:val="0"/>
            <w:vAlign w:val="center"/>
          </w:tcPr>
          <w:p w14:paraId="44FB435F">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1.5≤GWD＜2.5</w:t>
            </w:r>
          </w:p>
        </w:tc>
        <w:tc>
          <w:tcPr>
            <w:tcW w:w="864" w:type="pct"/>
            <w:tcBorders>
              <w:tl2br w:val="nil"/>
              <w:tr2bl w:val="nil"/>
            </w:tcBorders>
            <w:noWrap w:val="0"/>
            <w:vAlign w:val="center"/>
          </w:tcPr>
          <w:p w14:paraId="1C27FB5F">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1.0≤GWD＜1.5</w:t>
            </w:r>
          </w:p>
        </w:tc>
        <w:tc>
          <w:tcPr>
            <w:tcW w:w="698" w:type="pct"/>
            <w:tcBorders>
              <w:tl2br w:val="nil"/>
              <w:tr2bl w:val="nil"/>
            </w:tcBorders>
            <w:noWrap w:val="0"/>
            <w:vAlign w:val="center"/>
          </w:tcPr>
          <w:p w14:paraId="22AA44C9">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GWD＜1.0</w:t>
            </w:r>
          </w:p>
        </w:tc>
        <w:tc>
          <w:tcPr>
            <w:tcW w:w="329" w:type="pct"/>
            <w:tcBorders>
              <w:tl2br w:val="nil"/>
              <w:tr2bl w:val="nil"/>
            </w:tcBorders>
            <w:noWrap w:val="0"/>
            <w:vAlign w:val="center"/>
          </w:tcPr>
          <w:p w14:paraId="20D4BDEF">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0.35</w:t>
            </w:r>
          </w:p>
        </w:tc>
      </w:tr>
      <w:tr w14:paraId="35BD88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1567" w:type="pct"/>
            <w:tcBorders>
              <w:tl2br w:val="nil"/>
              <w:tr2bl w:val="nil"/>
            </w:tcBorders>
            <w:noWrap w:val="0"/>
            <w:vAlign w:val="center"/>
          </w:tcPr>
          <w:p w14:paraId="16C35B7F">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干燥度（蒸降比值）（EPR）</w:t>
            </w:r>
          </w:p>
        </w:tc>
        <w:tc>
          <w:tcPr>
            <w:tcW w:w="668" w:type="pct"/>
            <w:tcBorders>
              <w:tl2br w:val="nil"/>
              <w:tr2bl w:val="nil"/>
            </w:tcBorders>
            <w:noWrap w:val="0"/>
            <w:vAlign w:val="center"/>
          </w:tcPr>
          <w:p w14:paraId="222FCA42">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EPR＜1.2</w:t>
            </w:r>
          </w:p>
        </w:tc>
        <w:tc>
          <w:tcPr>
            <w:tcW w:w="870" w:type="pct"/>
            <w:tcBorders>
              <w:tl2br w:val="nil"/>
              <w:tr2bl w:val="nil"/>
            </w:tcBorders>
            <w:noWrap w:val="0"/>
            <w:vAlign w:val="center"/>
          </w:tcPr>
          <w:p w14:paraId="1B0FD613">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1.2≤EPR＜2.5</w:t>
            </w:r>
          </w:p>
        </w:tc>
        <w:tc>
          <w:tcPr>
            <w:tcW w:w="864" w:type="pct"/>
            <w:tcBorders>
              <w:tl2br w:val="nil"/>
              <w:tr2bl w:val="nil"/>
            </w:tcBorders>
            <w:noWrap w:val="0"/>
            <w:vAlign w:val="center"/>
          </w:tcPr>
          <w:p w14:paraId="49F87A21">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2.5≤EPR＜6</w:t>
            </w:r>
          </w:p>
        </w:tc>
        <w:tc>
          <w:tcPr>
            <w:tcW w:w="698" w:type="pct"/>
            <w:tcBorders>
              <w:tl2br w:val="nil"/>
              <w:tr2bl w:val="nil"/>
            </w:tcBorders>
            <w:noWrap w:val="0"/>
            <w:vAlign w:val="center"/>
          </w:tcPr>
          <w:p w14:paraId="51CF0026">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EPR</w:t>
            </w:r>
            <w:r>
              <w:rPr>
                <w:rFonts w:hint="default" w:ascii="Times New Roman" w:hAnsi="Times New Roman" w:eastAsia="宋体" w:cs="Times New Roman"/>
                <w:b w:val="0"/>
                <w:bCs/>
                <w:color w:val="auto"/>
                <w:kern w:val="44"/>
                <w:sz w:val="21"/>
                <w:szCs w:val="21"/>
                <w:highlight w:val="none"/>
                <w:u w:val="none"/>
                <w:lang w:val="en-US" w:eastAsia="zh-CN" w:bidi="ar-SA"/>
              </w:rPr>
              <w:t>≥6</w:t>
            </w:r>
          </w:p>
        </w:tc>
        <w:tc>
          <w:tcPr>
            <w:tcW w:w="329" w:type="pct"/>
            <w:tcBorders>
              <w:tl2br w:val="nil"/>
              <w:tr2bl w:val="nil"/>
            </w:tcBorders>
            <w:noWrap w:val="0"/>
            <w:vAlign w:val="center"/>
          </w:tcPr>
          <w:p w14:paraId="440CB5C8">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0.25</w:t>
            </w:r>
          </w:p>
        </w:tc>
      </w:tr>
      <w:tr w14:paraId="5FAC4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1567" w:type="pct"/>
            <w:tcBorders>
              <w:tl2br w:val="nil"/>
              <w:tr2bl w:val="nil"/>
            </w:tcBorders>
            <w:noWrap w:val="0"/>
            <w:vAlign w:val="center"/>
          </w:tcPr>
          <w:p w14:paraId="77808AFC">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土壤本底含盐量（SSC）/（g/kg）</w:t>
            </w:r>
          </w:p>
        </w:tc>
        <w:tc>
          <w:tcPr>
            <w:tcW w:w="668" w:type="pct"/>
            <w:tcBorders>
              <w:tl2br w:val="nil"/>
              <w:tr2bl w:val="nil"/>
            </w:tcBorders>
            <w:noWrap w:val="0"/>
            <w:vAlign w:val="center"/>
          </w:tcPr>
          <w:p w14:paraId="17942019">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SSC＜1</w:t>
            </w:r>
          </w:p>
        </w:tc>
        <w:tc>
          <w:tcPr>
            <w:tcW w:w="870" w:type="pct"/>
            <w:tcBorders>
              <w:tl2br w:val="nil"/>
              <w:tr2bl w:val="nil"/>
            </w:tcBorders>
            <w:noWrap w:val="0"/>
            <w:vAlign w:val="center"/>
          </w:tcPr>
          <w:p w14:paraId="4F440D01">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1≤SSC＜2</w:t>
            </w:r>
          </w:p>
        </w:tc>
        <w:tc>
          <w:tcPr>
            <w:tcW w:w="864" w:type="pct"/>
            <w:tcBorders>
              <w:tl2br w:val="nil"/>
              <w:tr2bl w:val="nil"/>
            </w:tcBorders>
            <w:noWrap w:val="0"/>
            <w:vAlign w:val="center"/>
          </w:tcPr>
          <w:p w14:paraId="1A47D95B">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2≤SSC＜4</w:t>
            </w:r>
          </w:p>
        </w:tc>
        <w:tc>
          <w:tcPr>
            <w:tcW w:w="698" w:type="pct"/>
            <w:tcBorders>
              <w:tl2br w:val="nil"/>
              <w:tr2bl w:val="nil"/>
            </w:tcBorders>
            <w:noWrap w:val="0"/>
            <w:vAlign w:val="center"/>
          </w:tcPr>
          <w:p w14:paraId="6477BF78">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SSC</w:t>
            </w:r>
            <w:r>
              <w:rPr>
                <w:rFonts w:hint="default" w:ascii="Times New Roman" w:hAnsi="Times New Roman" w:eastAsia="宋体" w:cs="Times New Roman"/>
                <w:b w:val="0"/>
                <w:bCs/>
                <w:color w:val="auto"/>
                <w:kern w:val="44"/>
                <w:sz w:val="21"/>
                <w:szCs w:val="21"/>
                <w:highlight w:val="none"/>
                <w:u w:val="none"/>
                <w:lang w:val="en-US" w:eastAsia="zh-CN" w:bidi="ar-SA"/>
              </w:rPr>
              <w:t>≥4</w:t>
            </w:r>
          </w:p>
        </w:tc>
        <w:tc>
          <w:tcPr>
            <w:tcW w:w="329" w:type="pct"/>
            <w:tcBorders>
              <w:tl2br w:val="nil"/>
              <w:tr2bl w:val="nil"/>
            </w:tcBorders>
            <w:noWrap w:val="0"/>
            <w:vAlign w:val="center"/>
          </w:tcPr>
          <w:p w14:paraId="4CA3C99F">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0.15</w:t>
            </w:r>
          </w:p>
        </w:tc>
      </w:tr>
      <w:tr w14:paraId="116450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567" w:type="pct"/>
            <w:tcBorders>
              <w:tl2br w:val="nil"/>
              <w:tr2bl w:val="nil"/>
            </w:tcBorders>
            <w:noWrap w:val="0"/>
            <w:vAlign w:val="center"/>
          </w:tcPr>
          <w:p w14:paraId="3F00301C">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地下水溶解性总（TDS）/（g/L）</w:t>
            </w:r>
          </w:p>
        </w:tc>
        <w:tc>
          <w:tcPr>
            <w:tcW w:w="668" w:type="pct"/>
            <w:tcBorders>
              <w:tl2br w:val="nil"/>
              <w:tr2bl w:val="nil"/>
            </w:tcBorders>
            <w:noWrap w:val="0"/>
            <w:vAlign w:val="center"/>
          </w:tcPr>
          <w:p w14:paraId="3BE9D083">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TDS＜1</w:t>
            </w:r>
          </w:p>
        </w:tc>
        <w:tc>
          <w:tcPr>
            <w:tcW w:w="870" w:type="pct"/>
            <w:tcBorders>
              <w:tl2br w:val="nil"/>
              <w:tr2bl w:val="nil"/>
            </w:tcBorders>
            <w:noWrap w:val="0"/>
            <w:vAlign w:val="center"/>
          </w:tcPr>
          <w:p w14:paraId="5D638D95">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1≤TDS＜2</w:t>
            </w:r>
          </w:p>
        </w:tc>
        <w:tc>
          <w:tcPr>
            <w:tcW w:w="864" w:type="pct"/>
            <w:tcBorders>
              <w:tl2br w:val="nil"/>
              <w:tr2bl w:val="nil"/>
            </w:tcBorders>
            <w:noWrap w:val="0"/>
            <w:vAlign w:val="center"/>
          </w:tcPr>
          <w:p w14:paraId="3BF81358">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2≤TDS＜5</w:t>
            </w:r>
          </w:p>
        </w:tc>
        <w:tc>
          <w:tcPr>
            <w:tcW w:w="698" w:type="pct"/>
            <w:tcBorders>
              <w:tl2br w:val="nil"/>
              <w:tr2bl w:val="nil"/>
            </w:tcBorders>
            <w:noWrap w:val="0"/>
            <w:vAlign w:val="center"/>
          </w:tcPr>
          <w:p w14:paraId="170B96E3">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TDS</w:t>
            </w:r>
            <w:r>
              <w:rPr>
                <w:rFonts w:hint="default" w:ascii="Times New Roman" w:hAnsi="Times New Roman" w:eastAsia="宋体" w:cs="Times New Roman"/>
                <w:b w:val="0"/>
                <w:bCs/>
                <w:color w:val="auto"/>
                <w:kern w:val="44"/>
                <w:sz w:val="21"/>
                <w:szCs w:val="21"/>
                <w:highlight w:val="none"/>
                <w:u w:val="none"/>
                <w:lang w:val="en-US" w:eastAsia="zh-CN" w:bidi="ar-SA"/>
              </w:rPr>
              <w:t>≥5</w:t>
            </w:r>
          </w:p>
        </w:tc>
        <w:tc>
          <w:tcPr>
            <w:tcW w:w="329" w:type="pct"/>
            <w:tcBorders>
              <w:tl2br w:val="nil"/>
              <w:tr2bl w:val="nil"/>
            </w:tcBorders>
            <w:noWrap w:val="0"/>
            <w:vAlign w:val="center"/>
          </w:tcPr>
          <w:p w14:paraId="0AF2AF79">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0.15</w:t>
            </w:r>
          </w:p>
        </w:tc>
      </w:tr>
      <w:tr w14:paraId="2A6A5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67" w:type="pct"/>
            <w:tcBorders>
              <w:tl2br w:val="nil"/>
              <w:tr2bl w:val="nil"/>
            </w:tcBorders>
            <w:noWrap w:val="0"/>
            <w:vAlign w:val="center"/>
          </w:tcPr>
          <w:p w14:paraId="26A855C9">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土壤质地</w:t>
            </w:r>
          </w:p>
        </w:tc>
        <w:tc>
          <w:tcPr>
            <w:tcW w:w="668" w:type="pct"/>
            <w:tcBorders>
              <w:tl2br w:val="nil"/>
              <w:tr2bl w:val="nil"/>
            </w:tcBorders>
            <w:noWrap w:val="0"/>
            <w:vAlign w:val="center"/>
          </w:tcPr>
          <w:p w14:paraId="5E5D6A99">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黏土</w:t>
            </w:r>
          </w:p>
        </w:tc>
        <w:tc>
          <w:tcPr>
            <w:tcW w:w="870" w:type="pct"/>
            <w:tcBorders>
              <w:tl2br w:val="nil"/>
              <w:tr2bl w:val="nil"/>
            </w:tcBorders>
            <w:noWrap w:val="0"/>
            <w:vAlign w:val="center"/>
          </w:tcPr>
          <w:p w14:paraId="0254758B">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砂土</w:t>
            </w:r>
          </w:p>
        </w:tc>
        <w:tc>
          <w:tcPr>
            <w:tcW w:w="864" w:type="pct"/>
            <w:tcBorders>
              <w:tl2br w:val="nil"/>
              <w:tr2bl w:val="nil"/>
            </w:tcBorders>
            <w:noWrap w:val="0"/>
            <w:vAlign w:val="center"/>
          </w:tcPr>
          <w:p w14:paraId="15769E25">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壤土</w:t>
            </w:r>
          </w:p>
        </w:tc>
        <w:tc>
          <w:tcPr>
            <w:tcW w:w="698" w:type="pct"/>
            <w:tcBorders>
              <w:tl2br w:val="nil"/>
              <w:tr2bl w:val="nil"/>
            </w:tcBorders>
            <w:noWrap w:val="0"/>
            <w:vAlign w:val="center"/>
          </w:tcPr>
          <w:p w14:paraId="6F4E8FD2">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壤土、粉土、砂粉土</w:t>
            </w:r>
          </w:p>
        </w:tc>
        <w:tc>
          <w:tcPr>
            <w:tcW w:w="329" w:type="pct"/>
            <w:tcBorders>
              <w:tl2br w:val="nil"/>
              <w:tr2bl w:val="nil"/>
            </w:tcBorders>
            <w:noWrap w:val="0"/>
            <w:vAlign w:val="center"/>
          </w:tcPr>
          <w:p w14:paraId="361A7A7F">
            <w:pPr>
              <w:keepNext w:val="0"/>
              <w:keepLines w:val="0"/>
              <w:pageBreakBefore w:val="0"/>
              <w:widowControl w:val="0"/>
              <w:kinsoku/>
              <w:wordWrap/>
              <w:overflowPunct/>
              <w:topLinePunct w:val="0"/>
              <w:autoSpaceDE/>
              <w:autoSpaceDN/>
              <w:bidi w:val="0"/>
              <w:adjustRightInd/>
              <w:snapToGrid/>
              <w:spacing w:after="0" w:afterLines="0" w:afterAutospacing="0" w:line="34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0.10</w:t>
            </w:r>
          </w:p>
        </w:tc>
      </w:tr>
    </w:tbl>
    <w:p w14:paraId="3DADA97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10"/>
          <w:sz w:val="24"/>
          <w:szCs w:val="24"/>
          <w:highlight w:val="none"/>
          <w:u w:val="none"/>
          <w:lang w:val="en-US" w:eastAsia="zh-CN"/>
        </w:rPr>
      </w:pPr>
      <w:r>
        <w:rPr>
          <w:rFonts w:hint="eastAsia" w:cs="Times New Roman"/>
          <w:color w:val="auto"/>
          <w:kern w:val="10"/>
          <w:sz w:val="24"/>
          <w:szCs w:val="24"/>
          <w:highlight w:val="none"/>
          <w:u w:val="none"/>
          <w:lang w:val="en-US" w:eastAsia="zh-CN"/>
        </w:rPr>
        <w:t>3）</w:t>
      </w:r>
      <w:r>
        <w:rPr>
          <w:rFonts w:hint="default" w:ascii="Times New Roman" w:hAnsi="Times New Roman" w:eastAsia="宋体" w:cs="Times New Roman"/>
          <w:color w:val="auto"/>
          <w:kern w:val="10"/>
          <w:sz w:val="24"/>
          <w:szCs w:val="24"/>
          <w:highlight w:val="none"/>
          <w:u w:val="none"/>
          <w:lang w:val="en-US" w:eastAsia="zh-CN"/>
        </w:rPr>
        <w:t>土壤盐渍化预测表</w:t>
      </w:r>
    </w:p>
    <w:p w14:paraId="089BCB2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10"/>
          <w:sz w:val="24"/>
          <w:szCs w:val="24"/>
          <w:highlight w:val="none"/>
          <w:u w:val="none"/>
          <w:lang w:val="en-US" w:eastAsia="zh-CN"/>
        </w:rPr>
      </w:pPr>
      <w:r>
        <w:rPr>
          <w:rFonts w:hint="default" w:ascii="Times New Roman" w:hAnsi="Times New Roman" w:eastAsia="宋体" w:cs="Times New Roman"/>
          <w:color w:val="auto"/>
          <w:kern w:val="10"/>
          <w:sz w:val="24"/>
          <w:szCs w:val="24"/>
          <w:highlight w:val="none"/>
          <w:u w:val="none"/>
          <w:lang w:val="en-US" w:eastAsia="zh-CN"/>
        </w:rPr>
        <w:t>土壤盐化预测表</w:t>
      </w:r>
      <w:r>
        <w:rPr>
          <w:rFonts w:hint="eastAsia" w:cs="Times New Roman"/>
          <w:color w:val="auto"/>
          <w:kern w:val="10"/>
          <w:sz w:val="24"/>
          <w:szCs w:val="24"/>
          <w:highlight w:val="none"/>
          <w:u w:val="none"/>
          <w:lang w:val="en-US" w:eastAsia="zh-CN"/>
        </w:rPr>
        <w:t>，</w:t>
      </w:r>
      <w:r>
        <w:rPr>
          <w:rFonts w:hint="default" w:ascii="Times New Roman" w:hAnsi="Times New Roman" w:eastAsia="宋体" w:cs="Times New Roman"/>
          <w:color w:val="auto"/>
          <w:kern w:val="10"/>
          <w:sz w:val="24"/>
          <w:szCs w:val="24"/>
          <w:highlight w:val="none"/>
          <w:u w:val="none"/>
          <w:lang w:val="en-US" w:eastAsia="zh-CN"/>
        </w:rPr>
        <w:t>见表4.</w:t>
      </w:r>
      <w:r>
        <w:rPr>
          <w:rFonts w:hint="eastAsia" w:cs="Times New Roman"/>
          <w:color w:val="auto"/>
          <w:kern w:val="10"/>
          <w:sz w:val="24"/>
          <w:szCs w:val="24"/>
          <w:highlight w:val="none"/>
          <w:u w:val="none"/>
          <w:lang w:val="en-US" w:eastAsia="zh-CN"/>
        </w:rPr>
        <w:t>5</w:t>
      </w:r>
      <w:r>
        <w:rPr>
          <w:rFonts w:hint="default" w:ascii="Times New Roman" w:hAnsi="Times New Roman" w:eastAsia="宋体" w:cs="Times New Roman"/>
          <w:color w:val="auto"/>
          <w:kern w:val="10"/>
          <w:sz w:val="24"/>
          <w:szCs w:val="24"/>
          <w:highlight w:val="none"/>
          <w:u w:val="none"/>
          <w:lang w:val="en-US" w:eastAsia="zh-CN"/>
        </w:rPr>
        <w:t>-</w:t>
      </w:r>
      <w:r>
        <w:rPr>
          <w:rFonts w:hint="eastAsia" w:cs="Times New Roman"/>
          <w:color w:val="auto"/>
          <w:kern w:val="10"/>
          <w:sz w:val="24"/>
          <w:szCs w:val="24"/>
          <w:highlight w:val="none"/>
          <w:u w:val="none"/>
          <w:lang w:val="en-US" w:eastAsia="zh-CN"/>
        </w:rPr>
        <w:t>5</w:t>
      </w:r>
      <w:r>
        <w:rPr>
          <w:rFonts w:hint="default" w:ascii="Times New Roman" w:hAnsi="Times New Roman" w:eastAsia="宋体" w:cs="Times New Roman"/>
          <w:color w:val="auto"/>
          <w:kern w:val="10"/>
          <w:sz w:val="24"/>
          <w:szCs w:val="24"/>
          <w:highlight w:val="none"/>
          <w:u w:val="none"/>
          <w:lang w:val="en-US" w:eastAsia="zh-CN"/>
        </w:rPr>
        <w:t>。</w:t>
      </w:r>
    </w:p>
    <w:p w14:paraId="636665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表4.5-5  土壤盐化预测表</w:t>
      </w:r>
    </w:p>
    <w:tbl>
      <w:tblPr>
        <w:tblStyle w:val="38"/>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01"/>
        <w:gridCol w:w="898"/>
        <w:gridCol w:w="1122"/>
        <w:gridCol w:w="1191"/>
        <w:gridCol w:w="1405"/>
        <w:gridCol w:w="1313"/>
      </w:tblGrid>
      <w:tr w14:paraId="75E9E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trPr>
        <w:tc>
          <w:tcPr>
            <w:tcW w:w="1642" w:type="pct"/>
            <w:tcBorders>
              <w:tl2br w:val="nil"/>
              <w:tr2bl w:val="nil"/>
            </w:tcBorders>
            <w:noWrap w:val="0"/>
            <w:vAlign w:val="center"/>
          </w:tcPr>
          <w:p w14:paraId="0AEABD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土壤盐化综合评分值（Sa）</w:t>
            </w:r>
          </w:p>
        </w:tc>
        <w:tc>
          <w:tcPr>
            <w:tcW w:w="508" w:type="pct"/>
            <w:tcBorders>
              <w:tl2br w:val="nil"/>
              <w:tr2bl w:val="nil"/>
            </w:tcBorders>
            <w:noWrap w:val="0"/>
            <w:vAlign w:val="center"/>
          </w:tcPr>
          <w:p w14:paraId="439662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Sa＜1</w:t>
            </w:r>
          </w:p>
        </w:tc>
        <w:tc>
          <w:tcPr>
            <w:tcW w:w="635" w:type="pct"/>
            <w:tcBorders>
              <w:tl2br w:val="nil"/>
              <w:tr2bl w:val="nil"/>
            </w:tcBorders>
            <w:noWrap w:val="0"/>
            <w:vAlign w:val="center"/>
          </w:tcPr>
          <w:p w14:paraId="1AED25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1≤Sa＜2</w:t>
            </w:r>
          </w:p>
        </w:tc>
        <w:tc>
          <w:tcPr>
            <w:tcW w:w="674" w:type="pct"/>
            <w:tcBorders>
              <w:tl2br w:val="nil"/>
              <w:tr2bl w:val="nil"/>
            </w:tcBorders>
            <w:noWrap w:val="0"/>
            <w:vAlign w:val="center"/>
          </w:tcPr>
          <w:p w14:paraId="56B812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2≤Sa＜3</w:t>
            </w:r>
          </w:p>
        </w:tc>
        <w:tc>
          <w:tcPr>
            <w:tcW w:w="795" w:type="pct"/>
            <w:tcBorders>
              <w:tl2br w:val="nil"/>
              <w:tr2bl w:val="nil"/>
            </w:tcBorders>
            <w:noWrap w:val="0"/>
            <w:vAlign w:val="center"/>
          </w:tcPr>
          <w:p w14:paraId="12FA34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3≤Sa＜4.5</w:t>
            </w:r>
          </w:p>
        </w:tc>
        <w:tc>
          <w:tcPr>
            <w:tcW w:w="743" w:type="pct"/>
            <w:tcBorders>
              <w:tl2br w:val="nil"/>
              <w:tr2bl w:val="nil"/>
            </w:tcBorders>
            <w:noWrap w:val="0"/>
            <w:vAlign w:val="center"/>
          </w:tcPr>
          <w:p w14:paraId="06E452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Sa≥4.5</w:t>
            </w:r>
          </w:p>
        </w:tc>
      </w:tr>
      <w:tr w14:paraId="4B7EC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42" w:type="pct"/>
            <w:tcBorders>
              <w:tl2br w:val="nil"/>
              <w:tr2bl w:val="nil"/>
            </w:tcBorders>
            <w:noWrap w:val="0"/>
            <w:vAlign w:val="center"/>
          </w:tcPr>
          <w:p w14:paraId="038A1D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土壤盐化综合评分预测结果</w:t>
            </w:r>
          </w:p>
        </w:tc>
        <w:tc>
          <w:tcPr>
            <w:tcW w:w="508" w:type="pct"/>
            <w:tcBorders>
              <w:tl2br w:val="nil"/>
              <w:tr2bl w:val="nil"/>
            </w:tcBorders>
            <w:noWrap w:val="0"/>
            <w:vAlign w:val="center"/>
          </w:tcPr>
          <w:p w14:paraId="140BB5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未盐化</w:t>
            </w:r>
          </w:p>
        </w:tc>
        <w:tc>
          <w:tcPr>
            <w:tcW w:w="635" w:type="pct"/>
            <w:tcBorders>
              <w:tl2br w:val="nil"/>
              <w:tr2bl w:val="nil"/>
            </w:tcBorders>
            <w:noWrap w:val="0"/>
            <w:vAlign w:val="center"/>
          </w:tcPr>
          <w:p w14:paraId="51A409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轻度盐化</w:t>
            </w:r>
          </w:p>
        </w:tc>
        <w:tc>
          <w:tcPr>
            <w:tcW w:w="674" w:type="pct"/>
            <w:tcBorders>
              <w:tl2br w:val="nil"/>
              <w:tr2bl w:val="nil"/>
            </w:tcBorders>
            <w:noWrap w:val="0"/>
            <w:vAlign w:val="center"/>
          </w:tcPr>
          <w:p w14:paraId="14780F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中度盐化</w:t>
            </w:r>
          </w:p>
        </w:tc>
        <w:tc>
          <w:tcPr>
            <w:tcW w:w="795" w:type="pct"/>
            <w:tcBorders>
              <w:tl2br w:val="nil"/>
              <w:tr2bl w:val="nil"/>
            </w:tcBorders>
            <w:noWrap w:val="0"/>
            <w:vAlign w:val="center"/>
          </w:tcPr>
          <w:p w14:paraId="4E8B52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重度盐化</w:t>
            </w:r>
          </w:p>
        </w:tc>
        <w:tc>
          <w:tcPr>
            <w:tcW w:w="743" w:type="pct"/>
            <w:tcBorders>
              <w:tl2br w:val="nil"/>
              <w:tr2bl w:val="nil"/>
            </w:tcBorders>
            <w:noWrap w:val="0"/>
            <w:vAlign w:val="center"/>
          </w:tcPr>
          <w:p w14:paraId="725592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极重度盐化</w:t>
            </w:r>
          </w:p>
        </w:tc>
      </w:tr>
    </w:tbl>
    <w:p w14:paraId="0A1388E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10"/>
          <w:sz w:val="24"/>
          <w:szCs w:val="24"/>
          <w:highlight w:val="none"/>
          <w:u w:val="none"/>
          <w:lang w:val="en-US" w:eastAsia="zh-CN"/>
        </w:rPr>
      </w:pPr>
      <w:r>
        <w:rPr>
          <w:rFonts w:hint="eastAsia" w:cs="Times New Roman"/>
          <w:color w:val="auto"/>
          <w:kern w:val="10"/>
          <w:sz w:val="24"/>
          <w:szCs w:val="24"/>
          <w:highlight w:val="none"/>
          <w:u w:val="none"/>
          <w:lang w:val="en-US" w:eastAsia="zh-CN"/>
        </w:rPr>
        <w:t>4）</w:t>
      </w:r>
      <w:r>
        <w:rPr>
          <w:rFonts w:hint="default" w:ascii="Times New Roman" w:hAnsi="Times New Roman" w:eastAsia="宋体" w:cs="Times New Roman"/>
          <w:color w:val="auto"/>
          <w:kern w:val="10"/>
          <w:sz w:val="24"/>
          <w:szCs w:val="24"/>
          <w:highlight w:val="none"/>
          <w:u w:val="none"/>
          <w:lang w:val="en-US" w:eastAsia="zh-CN"/>
        </w:rPr>
        <w:t>预测结果</w:t>
      </w:r>
    </w:p>
    <w:p w14:paraId="21AAE524">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10"/>
          <w:sz w:val="24"/>
          <w:szCs w:val="24"/>
          <w:highlight w:val="none"/>
          <w:u w:val="none"/>
          <w:lang w:val="en-US" w:eastAsia="zh-CN"/>
        </w:rPr>
      </w:pPr>
      <w:r>
        <w:rPr>
          <w:rFonts w:hint="default" w:ascii="Times New Roman" w:hAnsi="Times New Roman" w:eastAsia="宋体" w:cs="Times New Roman"/>
          <w:color w:val="auto"/>
          <w:kern w:val="10"/>
          <w:sz w:val="24"/>
          <w:szCs w:val="24"/>
          <w:highlight w:val="none"/>
          <w:u w:val="none"/>
          <w:lang w:val="en-US" w:eastAsia="zh-CN"/>
        </w:rPr>
        <w:t>预测</w:t>
      </w:r>
      <w:r>
        <w:rPr>
          <w:rFonts w:hint="eastAsia" w:cs="Times New Roman"/>
          <w:color w:val="auto"/>
          <w:kern w:val="10"/>
          <w:sz w:val="24"/>
          <w:szCs w:val="24"/>
          <w:highlight w:val="none"/>
          <w:u w:val="none"/>
          <w:lang w:val="en-US" w:eastAsia="zh-CN"/>
        </w:rPr>
        <w:t>结果，</w:t>
      </w:r>
      <w:r>
        <w:rPr>
          <w:rFonts w:hint="default" w:ascii="Times New Roman" w:hAnsi="Times New Roman" w:eastAsia="宋体" w:cs="Times New Roman"/>
          <w:color w:val="auto"/>
          <w:kern w:val="10"/>
          <w:sz w:val="24"/>
          <w:szCs w:val="24"/>
          <w:highlight w:val="none"/>
          <w:u w:val="none"/>
          <w:lang w:val="en-US" w:eastAsia="zh-CN"/>
        </w:rPr>
        <w:t>见表4.</w:t>
      </w:r>
      <w:r>
        <w:rPr>
          <w:rFonts w:hint="eastAsia" w:cs="Times New Roman"/>
          <w:color w:val="auto"/>
          <w:kern w:val="10"/>
          <w:sz w:val="24"/>
          <w:szCs w:val="24"/>
          <w:highlight w:val="none"/>
          <w:u w:val="none"/>
          <w:lang w:val="en-US" w:eastAsia="zh-CN"/>
        </w:rPr>
        <w:t>5</w:t>
      </w:r>
      <w:r>
        <w:rPr>
          <w:rFonts w:hint="default" w:ascii="Times New Roman" w:hAnsi="Times New Roman" w:eastAsia="宋体" w:cs="Times New Roman"/>
          <w:color w:val="auto"/>
          <w:kern w:val="10"/>
          <w:sz w:val="24"/>
          <w:szCs w:val="24"/>
          <w:highlight w:val="none"/>
          <w:u w:val="none"/>
          <w:lang w:val="en-US" w:eastAsia="zh-CN"/>
        </w:rPr>
        <w:t>-</w:t>
      </w:r>
      <w:r>
        <w:rPr>
          <w:rFonts w:hint="eastAsia" w:cs="Times New Roman"/>
          <w:color w:val="auto"/>
          <w:kern w:val="10"/>
          <w:sz w:val="24"/>
          <w:szCs w:val="24"/>
          <w:highlight w:val="none"/>
          <w:u w:val="none"/>
          <w:lang w:val="en-US" w:eastAsia="zh-CN"/>
        </w:rPr>
        <w:t>6</w:t>
      </w:r>
      <w:r>
        <w:rPr>
          <w:rFonts w:hint="default" w:ascii="Times New Roman" w:hAnsi="Times New Roman" w:eastAsia="宋体" w:cs="Times New Roman"/>
          <w:color w:val="auto"/>
          <w:kern w:val="10"/>
          <w:sz w:val="24"/>
          <w:szCs w:val="24"/>
          <w:highlight w:val="none"/>
          <w:u w:val="none"/>
          <w:lang w:val="en-US" w:eastAsia="zh-CN"/>
        </w:rPr>
        <w:t>。</w:t>
      </w:r>
    </w:p>
    <w:p w14:paraId="0493DD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表4.5-6  预测结果一览表</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660"/>
        <w:gridCol w:w="2068"/>
        <w:gridCol w:w="1600"/>
        <w:gridCol w:w="1502"/>
      </w:tblGrid>
      <w:tr w14:paraId="47070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072" w:type="pct"/>
            <w:tcBorders>
              <w:tl2br w:val="nil"/>
              <w:tr2bl w:val="nil"/>
            </w:tcBorders>
            <w:noWrap w:val="0"/>
            <w:vAlign w:val="center"/>
          </w:tcPr>
          <w:p w14:paraId="0E6A3C54">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影响因素</w:t>
            </w:r>
          </w:p>
        </w:tc>
        <w:tc>
          <w:tcPr>
            <w:tcW w:w="1171" w:type="pct"/>
            <w:tcBorders>
              <w:tl2br w:val="nil"/>
              <w:tr2bl w:val="nil"/>
            </w:tcBorders>
            <w:noWrap w:val="0"/>
            <w:vAlign w:val="center"/>
          </w:tcPr>
          <w:p w14:paraId="15C1D256">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本工程</w:t>
            </w:r>
          </w:p>
        </w:tc>
        <w:tc>
          <w:tcPr>
            <w:tcW w:w="906" w:type="pct"/>
            <w:tcBorders>
              <w:tl2br w:val="nil"/>
              <w:tr2bl w:val="nil"/>
            </w:tcBorders>
            <w:noWrap w:val="0"/>
            <w:vAlign w:val="center"/>
          </w:tcPr>
          <w:p w14:paraId="030D2189">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分值</w:t>
            </w:r>
          </w:p>
        </w:tc>
        <w:tc>
          <w:tcPr>
            <w:tcW w:w="850" w:type="pct"/>
            <w:tcBorders>
              <w:tl2br w:val="nil"/>
              <w:tr2bl w:val="nil"/>
            </w:tcBorders>
            <w:noWrap w:val="0"/>
            <w:vAlign w:val="center"/>
          </w:tcPr>
          <w:p w14:paraId="62081094">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权重</w:t>
            </w:r>
          </w:p>
        </w:tc>
      </w:tr>
      <w:tr w14:paraId="79A0F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072" w:type="pct"/>
            <w:tcBorders>
              <w:tl2br w:val="nil"/>
              <w:tr2bl w:val="nil"/>
            </w:tcBorders>
            <w:noWrap w:val="0"/>
            <w:vAlign w:val="center"/>
          </w:tcPr>
          <w:p w14:paraId="18B3BA48">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地下水位埋深（GWD）/m</w:t>
            </w:r>
          </w:p>
        </w:tc>
        <w:tc>
          <w:tcPr>
            <w:tcW w:w="1171" w:type="pct"/>
            <w:tcBorders>
              <w:tl2br w:val="nil"/>
              <w:tr2bl w:val="nil"/>
            </w:tcBorders>
            <w:noWrap w:val="0"/>
            <w:vAlign w:val="center"/>
          </w:tcPr>
          <w:p w14:paraId="00BED1E7">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eastAsia" w:cs="Times New Roman"/>
                <w:b w:val="0"/>
                <w:bCs/>
                <w:color w:val="auto"/>
                <w:kern w:val="44"/>
                <w:sz w:val="21"/>
                <w:szCs w:val="21"/>
                <w:highlight w:val="none"/>
                <w:u w:val="none"/>
                <w:vertAlign w:val="baseline"/>
                <w:lang w:val="en-US" w:eastAsia="zh-CN" w:bidi="ar-SA"/>
              </w:rPr>
              <w:t>＞2.5</w:t>
            </w:r>
          </w:p>
        </w:tc>
        <w:tc>
          <w:tcPr>
            <w:tcW w:w="906" w:type="pct"/>
            <w:tcBorders>
              <w:tl2br w:val="nil"/>
              <w:tr2bl w:val="nil"/>
            </w:tcBorders>
            <w:noWrap w:val="0"/>
            <w:vAlign w:val="center"/>
          </w:tcPr>
          <w:p w14:paraId="6CF08BA1">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eastAsia" w:cs="Times New Roman"/>
                <w:b w:val="0"/>
                <w:bCs/>
                <w:color w:val="auto"/>
                <w:kern w:val="44"/>
                <w:sz w:val="21"/>
                <w:szCs w:val="21"/>
                <w:highlight w:val="none"/>
                <w:u w:val="none"/>
                <w:vertAlign w:val="baseline"/>
                <w:lang w:val="en-US" w:eastAsia="zh-CN" w:bidi="ar-SA"/>
              </w:rPr>
              <w:t>0</w:t>
            </w: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分</w:t>
            </w:r>
          </w:p>
        </w:tc>
        <w:tc>
          <w:tcPr>
            <w:tcW w:w="850" w:type="pct"/>
            <w:tcBorders>
              <w:tl2br w:val="nil"/>
              <w:tr2bl w:val="nil"/>
            </w:tcBorders>
            <w:noWrap w:val="0"/>
            <w:vAlign w:val="center"/>
          </w:tcPr>
          <w:p w14:paraId="10FAE150">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0.35</w:t>
            </w:r>
          </w:p>
        </w:tc>
      </w:tr>
      <w:tr w14:paraId="09E1E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072" w:type="pct"/>
            <w:tcBorders>
              <w:tl2br w:val="nil"/>
              <w:tr2bl w:val="nil"/>
            </w:tcBorders>
            <w:noWrap w:val="0"/>
            <w:vAlign w:val="center"/>
          </w:tcPr>
          <w:p w14:paraId="6A15D52B">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干燥度（蒸降比值）（EPR）</w:t>
            </w:r>
          </w:p>
        </w:tc>
        <w:tc>
          <w:tcPr>
            <w:tcW w:w="1171" w:type="pct"/>
            <w:tcBorders>
              <w:tl2br w:val="nil"/>
              <w:tr2bl w:val="nil"/>
            </w:tcBorders>
            <w:noWrap w:val="0"/>
            <w:vAlign w:val="center"/>
          </w:tcPr>
          <w:p w14:paraId="27C2D98E">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eastAsia" w:cs="Times New Roman"/>
                <w:b w:val="0"/>
                <w:bCs/>
                <w:color w:val="auto"/>
                <w:kern w:val="44"/>
                <w:sz w:val="21"/>
                <w:szCs w:val="21"/>
                <w:highlight w:val="none"/>
                <w:u w:val="none"/>
                <w:vertAlign w:val="baseline"/>
                <w:lang w:val="en-US" w:eastAsia="zh-CN" w:bidi="ar-SA"/>
              </w:rPr>
              <w:t>24.56</w:t>
            </w:r>
          </w:p>
        </w:tc>
        <w:tc>
          <w:tcPr>
            <w:tcW w:w="906" w:type="pct"/>
            <w:tcBorders>
              <w:tl2br w:val="nil"/>
              <w:tr2bl w:val="nil"/>
            </w:tcBorders>
            <w:noWrap w:val="0"/>
            <w:vAlign w:val="center"/>
          </w:tcPr>
          <w:p w14:paraId="64FDDE7F">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6分</w:t>
            </w:r>
          </w:p>
        </w:tc>
        <w:tc>
          <w:tcPr>
            <w:tcW w:w="850" w:type="pct"/>
            <w:tcBorders>
              <w:tl2br w:val="nil"/>
              <w:tr2bl w:val="nil"/>
            </w:tcBorders>
            <w:noWrap w:val="0"/>
            <w:vAlign w:val="center"/>
          </w:tcPr>
          <w:p w14:paraId="1C5041C0">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0.25</w:t>
            </w:r>
          </w:p>
        </w:tc>
      </w:tr>
      <w:tr w14:paraId="59CED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072" w:type="pct"/>
            <w:tcBorders>
              <w:tl2br w:val="nil"/>
              <w:tr2bl w:val="nil"/>
            </w:tcBorders>
            <w:noWrap w:val="0"/>
            <w:vAlign w:val="center"/>
          </w:tcPr>
          <w:p w14:paraId="7AF19112">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土壤本底含盐量（SSC）/（g/kg）</w:t>
            </w:r>
          </w:p>
        </w:tc>
        <w:tc>
          <w:tcPr>
            <w:tcW w:w="1171" w:type="pct"/>
            <w:tcBorders>
              <w:tl2br w:val="nil"/>
              <w:tr2bl w:val="nil"/>
            </w:tcBorders>
            <w:noWrap w:val="0"/>
            <w:vAlign w:val="center"/>
          </w:tcPr>
          <w:p w14:paraId="6364156F">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eastAsia" w:cs="Times New Roman"/>
                <w:b w:val="0"/>
                <w:bCs/>
                <w:color w:val="auto"/>
                <w:kern w:val="44"/>
                <w:sz w:val="21"/>
                <w:szCs w:val="21"/>
                <w:highlight w:val="none"/>
                <w:u w:val="none"/>
                <w:vertAlign w:val="baseline"/>
                <w:lang w:val="en-US" w:eastAsia="zh-CN" w:bidi="ar-SA"/>
              </w:rPr>
              <w:t>1.50</w:t>
            </w:r>
          </w:p>
        </w:tc>
        <w:tc>
          <w:tcPr>
            <w:tcW w:w="906" w:type="pct"/>
            <w:tcBorders>
              <w:tl2br w:val="nil"/>
              <w:tr2bl w:val="nil"/>
            </w:tcBorders>
            <w:noWrap w:val="0"/>
            <w:vAlign w:val="center"/>
          </w:tcPr>
          <w:p w14:paraId="0550768C">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eastAsia" w:cs="Times New Roman"/>
                <w:b w:val="0"/>
                <w:bCs/>
                <w:color w:val="auto"/>
                <w:kern w:val="44"/>
                <w:sz w:val="21"/>
                <w:szCs w:val="21"/>
                <w:highlight w:val="none"/>
                <w:u w:val="none"/>
                <w:vertAlign w:val="baseline"/>
                <w:lang w:val="en-US" w:eastAsia="zh-CN" w:bidi="ar-SA"/>
              </w:rPr>
              <w:t>2</w:t>
            </w: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分</w:t>
            </w:r>
          </w:p>
        </w:tc>
        <w:tc>
          <w:tcPr>
            <w:tcW w:w="850" w:type="pct"/>
            <w:tcBorders>
              <w:tl2br w:val="nil"/>
              <w:tr2bl w:val="nil"/>
            </w:tcBorders>
            <w:noWrap w:val="0"/>
            <w:vAlign w:val="center"/>
          </w:tcPr>
          <w:p w14:paraId="0B33D793">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0.15</w:t>
            </w:r>
          </w:p>
        </w:tc>
      </w:tr>
      <w:tr w14:paraId="41AB10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072" w:type="pct"/>
            <w:tcBorders>
              <w:tl2br w:val="nil"/>
              <w:tr2bl w:val="nil"/>
            </w:tcBorders>
            <w:noWrap w:val="0"/>
            <w:vAlign w:val="center"/>
          </w:tcPr>
          <w:p w14:paraId="37570106">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地下水溶解性总</w:t>
            </w:r>
            <w:r>
              <w:rPr>
                <w:rFonts w:hint="eastAsia" w:ascii="Times New Roman" w:hAnsi="Times New Roman" w:eastAsia="宋体" w:cs="Times New Roman"/>
                <w:b w:val="0"/>
                <w:bCs/>
                <w:color w:val="auto"/>
                <w:kern w:val="44"/>
                <w:sz w:val="21"/>
                <w:szCs w:val="21"/>
                <w:highlight w:val="none"/>
                <w:u w:val="none"/>
                <w:vertAlign w:val="baseline"/>
                <w:lang w:val="en-US" w:eastAsia="zh-CN" w:bidi="ar-SA"/>
              </w:rPr>
              <w:t>固体</w:t>
            </w:r>
            <w:r>
              <w:rPr>
                <w:rFonts w:hint="default" w:ascii="Times New Roman" w:hAnsi="Times New Roman" w:eastAsia="宋体" w:cs="Times New Roman"/>
                <w:b w:val="0"/>
                <w:bCs/>
                <w:color w:val="auto"/>
                <w:kern w:val="44"/>
                <w:sz w:val="21"/>
                <w:szCs w:val="21"/>
                <w:highlight w:val="none"/>
                <w:u w:val="none"/>
                <w:vertAlign w:val="baseline"/>
                <w:lang w:val="en-US" w:eastAsia="zh-CN" w:bidi="ar-SA"/>
              </w:rPr>
              <w:t>（TDS）/（g/L）</w:t>
            </w:r>
          </w:p>
        </w:tc>
        <w:tc>
          <w:tcPr>
            <w:tcW w:w="1171" w:type="pct"/>
            <w:tcBorders>
              <w:tl2br w:val="nil"/>
              <w:tr2bl w:val="nil"/>
            </w:tcBorders>
            <w:noWrap w:val="0"/>
            <w:vAlign w:val="center"/>
          </w:tcPr>
          <w:p w14:paraId="2A91EB82">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eastAsia" w:cs="Times New Roman"/>
                <w:b w:val="0"/>
                <w:bCs/>
                <w:color w:val="auto"/>
                <w:kern w:val="44"/>
                <w:sz w:val="21"/>
                <w:szCs w:val="21"/>
                <w:highlight w:val="none"/>
                <w:u w:val="none"/>
                <w:vertAlign w:val="baseline"/>
                <w:lang w:val="en-US" w:eastAsia="zh-CN" w:bidi="ar-SA"/>
              </w:rPr>
              <w:t>1467.2</w:t>
            </w:r>
          </w:p>
        </w:tc>
        <w:tc>
          <w:tcPr>
            <w:tcW w:w="906" w:type="pct"/>
            <w:tcBorders>
              <w:tl2br w:val="nil"/>
              <w:tr2bl w:val="nil"/>
            </w:tcBorders>
            <w:noWrap w:val="0"/>
            <w:vAlign w:val="center"/>
          </w:tcPr>
          <w:p w14:paraId="2E115565">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eastAsia" w:ascii="Times New Roman" w:hAnsi="Times New Roman" w:eastAsia="宋体" w:cs="Times New Roman"/>
                <w:b w:val="0"/>
                <w:bCs/>
                <w:color w:val="auto"/>
                <w:kern w:val="44"/>
                <w:sz w:val="21"/>
                <w:szCs w:val="21"/>
                <w:highlight w:val="none"/>
                <w:u w:val="none"/>
                <w:vertAlign w:val="baseline"/>
                <w:lang w:val="en-US" w:eastAsia="zh-CN" w:bidi="ar-SA"/>
              </w:rPr>
              <w:t>6</w:t>
            </w: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分</w:t>
            </w:r>
          </w:p>
        </w:tc>
        <w:tc>
          <w:tcPr>
            <w:tcW w:w="850" w:type="pct"/>
            <w:tcBorders>
              <w:tl2br w:val="nil"/>
              <w:tr2bl w:val="nil"/>
            </w:tcBorders>
            <w:noWrap w:val="0"/>
            <w:vAlign w:val="center"/>
          </w:tcPr>
          <w:p w14:paraId="5E014224">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0.15</w:t>
            </w:r>
          </w:p>
        </w:tc>
      </w:tr>
      <w:tr w14:paraId="5128D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072" w:type="pct"/>
            <w:tcBorders>
              <w:tl2br w:val="nil"/>
              <w:tr2bl w:val="nil"/>
            </w:tcBorders>
            <w:noWrap w:val="0"/>
            <w:vAlign w:val="center"/>
          </w:tcPr>
          <w:p w14:paraId="5C6F4311">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土壤质地</w:t>
            </w:r>
          </w:p>
        </w:tc>
        <w:tc>
          <w:tcPr>
            <w:tcW w:w="1171" w:type="pct"/>
            <w:tcBorders>
              <w:tl2br w:val="nil"/>
              <w:tr2bl w:val="nil"/>
            </w:tcBorders>
            <w:noWrap w:val="0"/>
            <w:vAlign w:val="center"/>
          </w:tcPr>
          <w:p w14:paraId="031D373B">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eastAsia" w:cs="Times New Roman"/>
                <w:b w:val="0"/>
                <w:bCs/>
                <w:color w:val="auto"/>
                <w:kern w:val="44"/>
                <w:sz w:val="21"/>
                <w:szCs w:val="21"/>
                <w:highlight w:val="none"/>
                <w:u w:val="none"/>
                <w:vertAlign w:val="baseline"/>
                <w:lang w:val="en-US" w:eastAsia="zh-CN" w:bidi="ar-SA"/>
              </w:rPr>
              <w:t>砂土</w:t>
            </w:r>
          </w:p>
        </w:tc>
        <w:tc>
          <w:tcPr>
            <w:tcW w:w="906" w:type="pct"/>
            <w:tcBorders>
              <w:tl2br w:val="nil"/>
              <w:tr2bl w:val="nil"/>
            </w:tcBorders>
            <w:noWrap w:val="0"/>
            <w:vAlign w:val="center"/>
          </w:tcPr>
          <w:p w14:paraId="03E6D900">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2分</w:t>
            </w:r>
          </w:p>
        </w:tc>
        <w:tc>
          <w:tcPr>
            <w:tcW w:w="850" w:type="pct"/>
            <w:tcBorders>
              <w:tl2br w:val="nil"/>
              <w:tr2bl w:val="nil"/>
            </w:tcBorders>
            <w:noWrap w:val="0"/>
            <w:vAlign w:val="center"/>
          </w:tcPr>
          <w:p w14:paraId="4FCC5094">
            <w:pPr>
              <w:keepNext w:val="0"/>
              <w:keepLines w:val="0"/>
              <w:pageBreakBefore w:val="0"/>
              <w:widowControl w:val="0"/>
              <w:kinsoku/>
              <w:wordWrap/>
              <w:overflowPunct/>
              <w:topLinePunct w:val="0"/>
              <w:autoSpaceDE/>
              <w:autoSpaceDN/>
              <w:bidi w:val="0"/>
              <w:adjustRightInd/>
              <w:snapToGrid/>
              <w:spacing w:after="0" w:afterLines="0" w:afterAutospacing="0" w:line="380" w:lineRule="exact"/>
              <w:ind w:left="0" w:leftChars="0" w:firstLine="0" w:firstLineChars="0"/>
              <w:jc w:val="center"/>
              <w:textAlignment w:val="auto"/>
              <w:rPr>
                <w:rFonts w:hint="default" w:ascii="Times New Roman" w:hAnsi="Times New Roman" w:eastAsia="宋体" w:cs="Times New Roman"/>
                <w:b w:val="0"/>
                <w:bCs/>
                <w:color w:val="auto"/>
                <w:kern w:val="44"/>
                <w:sz w:val="21"/>
                <w:szCs w:val="21"/>
                <w:highlight w:val="none"/>
                <w:u w:val="none"/>
                <w:vertAlign w:val="baseline"/>
                <w:lang w:val="en-US" w:eastAsia="zh-CN" w:bidi="ar-SA"/>
              </w:rPr>
            </w:pPr>
            <w:r>
              <w:rPr>
                <w:rFonts w:hint="default" w:ascii="Times New Roman" w:hAnsi="Times New Roman" w:eastAsia="宋体" w:cs="Times New Roman"/>
                <w:b w:val="0"/>
                <w:bCs/>
                <w:color w:val="auto"/>
                <w:kern w:val="44"/>
                <w:sz w:val="21"/>
                <w:szCs w:val="21"/>
                <w:highlight w:val="none"/>
                <w:u w:val="none"/>
                <w:vertAlign w:val="baseline"/>
                <w:lang w:val="en-US" w:eastAsia="zh-CN" w:bidi="ar-SA"/>
              </w:rPr>
              <w:t>0.10</w:t>
            </w:r>
          </w:p>
        </w:tc>
      </w:tr>
    </w:tbl>
    <w:p w14:paraId="777087B2">
      <w:pPr>
        <w:pStyle w:val="140"/>
        <w:keepNext/>
        <w:keepLines/>
        <w:pageBreakBefore w:val="0"/>
        <w:widowControl w:val="0"/>
        <w:numPr>
          <w:ilvl w:val="2"/>
          <w:numId w:val="0"/>
        </w:numPr>
        <w:kinsoku/>
        <w:wordWrap/>
        <w:overflowPunct/>
        <w:topLinePunct w:val="0"/>
        <w:autoSpaceDE/>
        <w:autoSpaceDN/>
        <w:bidi w:val="0"/>
        <w:adjustRightInd/>
        <w:snapToGrid/>
        <w:spacing w:line="480" w:lineRule="exact"/>
        <w:ind w:firstLine="480" w:firstLineChars="200"/>
        <w:textAlignment w:val="auto"/>
        <w:outlineLvl w:val="9"/>
        <w:rPr>
          <w:rStyle w:val="97"/>
          <w:rFonts w:hint="eastAsia" w:ascii="宋体" w:hAnsi="宋体" w:eastAsia="宋体" w:cs="宋体"/>
          <w:b w:val="0"/>
          <w:bCs w:val="0"/>
          <w:color w:val="auto"/>
          <w:kern w:val="2"/>
          <w:szCs w:val="20"/>
          <w:u w:val="none"/>
          <w:lang w:val="en-US" w:eastAsia="zh-CN" w:bidi="ar-SA"/>
        </w:rPr>
      </w:pPr>
      <w:r>
        <w:rPr>
          <w:rFonts w:hint="eastAsia" w:ascii="宋体" w:hAnsi="宋体" w:eastAsia="宋体" w:cs="宋体"/>
          <w:b w:val="0"/>
          <w:bCs w:val="0"/>
          <w:color w:val="auto"/>
          <w:sz w:val="24"/>
          <w:szCs w:val="24"/>
          <w:u w:val="none"/>
          <w:lang w:val="en-US" w:eastAsia="zh-CN"/>
        </w:rPr>
        <w:t>将各影响因素分值和权重代入公式计算，可得Sa＝</w:t>
      </w:r>
      <w:r>
        <w:rPr>
          <w:rFonts w:hint="eastAsia" w:ascii="宋体" w:hAnsi="宋体" w:cs="宋体"/>
          <w:b w:val="0"/>
          <w:bCs w:val="0"/>
          <w:color w:val="auto"/>
          <w:sz w:val="24"/>
          <w:szCs w:val="24"/>
          <w:u w:val="none"/>
          <w:lang w:val="en-US" w:eastAsia="zh-CN"/>
        </w:rPr>
        <w:t>2.9</w:t>
      </w:r>
      <w:r>
        <w:rPr>
          <w:rFonts w:hint="eastAsia" w:ascii="宋体" w:hAnsi="宋体" w:eastAsia="宋体" w:cs="宋体"/>
          <w:b w:val="0"/>
          <w:bCs w:val="0"/>
          <w:color w:val="auto"/>
          <w:sz w:val="24"/>
          <w:szCs w:val="24"/>
          <w:u w:val="none"/>
          <w:lang w:val="en-US" w:eastAsia="zh-CN"/>
        </w:rPr>
        <w:t>，对照表4.6-5，可知本工程所在地土壤盐化程度为</w:t>
      </w:r>
      <w:r>
        <w:rPr>
          <w:rFonts w:hint="eastAsia" w:ascii="宋体" w:hAnsi="宋体" w:cs="宋体"/>
          <w:b w:val="0"/>
          <w:bCs w:val="0"/>
          <w:color w:val="auto"/>
          <w:sz w:val="24"/>
          <w:szCs w:val="24"/>
          <w:u w:val="none"/>
          <w:lang w:val="en-US" w:eastAsia="zh-CN"/>
        </w:rPr>
        <w:t>:“中度</w:t>
      </w:r>
      <w:r>
        <w:rPr>
          <w:rFonts w:hint="eastAsia" w:ascii="宋体" w:hAnsi="宋体" w:eastAsia="宋体" w:cs="宋体"/>
          <w:b w:val="0"/>
          <w:bCs w:val="0"/>
          <w:color w:val="auto"/>
          <w:sz w:val="24"/>
          <w:szCs w:val="24"/>
          <w:u w:val="none"/>
          <w:lang w:val="en-US" w:eastAsia="zh-CN"/>
        </w:rPr>
        <w:t>盐化</w:t>
      </w:r>
      <w:r>
        <w:rPr>
          <w:rFonts w:hint="eastAsia" w:ascii="宋体" w:hAnsi="宋体" w:cs="宋体"/>
          <w:b w:val="0"/>
          <w:bCs w:val="0"/>
          <w:color w:val="auto"/>
          <w:sz w:val="24"/>
          <w:szCs w:val="24"/>
          <w:u w:val="none"/>
          <w:lang w:val="en-US" w:eastAsia="zh-CN"/>
        </w:rPr>
        <w:t>”</w:t>
      </w:r>
      <w:r>
        <w:rPr>
          <w:rFonts w:hint="eastAsia" w:ascii="宋体" w:hAnsi="宋体" w:eastAsia="宋体" w:cs="宋体"/>
          <w:b w:val="0"/>
          <w:bCs w:val="0"/>
          <w:color w:val="auto"/>
          <w:sz w:val="24"/>
          <w:szCs w:val="24"/>
          <w:u w:val="none"/>
          <w:lang w:val="en-US" w:eastAsia="zh-CN"/>
        </w:rPr>
        <w:t>，与地形、气候、地质条件、水动力与水文地质条件等特殊的自然因素有关。</w:t>
      </w:r>
    </w:p>
    <w:p w14:paraId="647312A5">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3 </w:t>
      </w:r>
      <w:r>
        <w:rPr>
          <w:rFonts w:hint="default" w:ascii="黑体" w:hAnsi="黑体" w:eastAsia="黑体" w:cs="黑体"/>
          <w:b/>
          <w:color w:val="auto"/>
          <w:kern w:val="0"/>
          <w:sz w:val="24"/>
          <w:szCs w:val="24"/>
          <w:highlight w:val="none"/>
          <w:u w:val="none"/>
          <w:lang w:val="en-US" w:eastAsia="zh-CN"/>
        </w:rPr>
        <w:t>土壤环境质量现状监测</w:t>
      </w:r>
    </w:p>
    <w:p w14:paraId="268C0F19">
      <w:pPr>
        <w:pStyle w:val="54"/>
        <w:pageBreakBefore w:val="0"/>
        <w:kinsoku/>
        <w:wordWrap/>
        <w:overflowPunct/>
        <w:topLinePunct w:val="0"/>
        <w:autoSpaceDE/>
        <w:autoSpaceDN/>
        <w:bidi w:val="0"/>
        <w:snapToGrid/>
        <w:spacing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根据《环境影响评价技术导则 陆地石油天然气开发建设项目》（HJ 349-2023），土壤盐化、酸化和碱化地区，建设项目应按照土壤污染影响型和生态影响型，按相应等级分别开展评价工作。</w:t>
      </w:r>
      <w:r>
        <w:rPr>
          <w:rStyle w:val="97"/>
          <w:rFonts w:hint="eastAsia" w:cs="Times New Roman"/>
          <w:color w:val="auto"/>
          <w:u w:val="none"/>
          <w:lang w:val="en-US" w:eastAsia="zh-CN"/>
        </w:rPr>
        <w:t>据前文“</w:t>
      </w:r>
      <w:r>
        <w:rPr>
          <w:rStyle w:val="97"/>
          <w:rFonts w:hint="default" w:ascii="Times New Roman" w:hAnsi="Times New Roman" w:cs="Times New Roman"/>
          <w:color w:val="auto"/>
          <w:u w:val="none"/>
        </w:rPr>
        <w:t>2.</w:t>
      </w:r>
      <w:r>
        <w:rPr>
          <w:rStyle w:val="97"/>
          <w:rFonts w:hint="eastAsia" w:cs="Times New Roman"/>
          <w:color w:val="auto"/>
          <w:u w:val="none"/>
          <w:lang w:val="en-US" w:eastAsia="zh-CN"/>
        </w:rPr>
        <w:t>5.</w:t>
      </w:r>
      <w:r>
        <w:rPr>
          <w:rStyle w:val="97"/>
          <w:rFonts w:hint="default" w:ascii="Times New Roman" w:hAnsi="Times New Roman" w:cs="Times New Roman"/>
          <w:color w:val="auto"/>
          <w:u w:val="none"/>
        </w:rPr>
        <w:t>7土壤环境</w:t>
      </w:r>
      <w:r>
        <w:rPr>
          <w:rStyle w:val="97"/>
          <w:rFonts w:hint="eastAsia" w:cs="Times New Roman"/>
          <w:color w:val="auto"/>
          <w:u w:val="none"/>
          <w:lang w:val="en-US" w:eastAsia="zh-CN"/>
        </w:rPr>
        <w:t>”等级判定结果：</w:t>
      </w:r>
      <w:r>
        <w:rPr>
          <w:rStyle w:val="97"/>
          <w:rFonts w:hint="default" w:ascii="Times New Roman" w:hAnsi="Times New Roman" w:cs="Times New Roman"/>
          <w:color w:val="auto"/>
          <w:u w:val="none"/>
        </w:rPr>
        <w:t>本工程生态影响型评价工作等级</w:t>
      </w:r>
      <w:r>
        <w:rPr>
          <w:rStyle w:val="97"/>
          <w:rFonts w:hint="eastAsia" w:cs="Times New Roman"/>
          <w:color w:val="auto"/>
          <w:u w:val="none"/>
          <w:lang w:val="en-US" w:eastAsia="zh-CN"/>
        </w:rPr>
        <w:t>为二级</w:t>
      </w:r>
      <w:r>
        <w:rPr>
          <w:rStyle w:val="97"/>
          <w:rFonts w:hint="eastAsia" w:cs="Times New Roman"/>
          <w:color w:val="auto"/>
          <w:u w:val="none"/>
          <w:lang w:eastAsia="zh-CN"/>
        </w:rPr>
        <w:t>、</w:t>
      </w:r>
      <w:r>
        <w:rPr>
          <w:rStyle w:val="97"/>
          <w:rFonts w:hint="default" w:ascii="Times New Roman" w:hAnsi="Times New Roman" w:cs="Times New Roman"/>
          <w:color w:val="auto"/>
          <w:u w:val="none"/>
        </w:rPr>
        <w:t>污染影响型评价工作等级</w:t>
      </w:r>
      <w:r>
        <w:rPr>
          <w:rStyle w:val="97"/>
          <w:rFonts w:hint="eastAsia" w:cs="Times New Roman"/>
          <w:color w:val="auto"/>
          <w:u w:val="none"/>
          <w:lang w:val="en-US" w:eastAsia="zh-CN"/>
        </w:rPr>
        <w:t>为三</w:t>
      </w:r>
      <w:r>
        <w:rPr>
          <w:rStyle w:val="97"/>
          <w:rFonts w:hint="default" w:ascii="Times New Roman" w:hAnsi="Times New Roman" w:cs="Times New Roman"/>
          <w:color w:val="auto"/>
          <w:u w:val="none"/>
        </w:rPr>
        <w:t>级。</w:t>
      </w:r>
    </w:p>
    <w:p w14:paraId="0A97DDBC">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5</w:t>
      </w:r>
      <w:r>
        <w:rPr>
          <w:rFonts w:hint="eastAsia" w:ascii="宋体" w:hAnsi="宋体" w:eastAsia="宋体" w:cs="宋体"/>
          <w:color w:val="auto"/>
          <w:u w:val="none"/>
          <w:lang w:val="en-US" w:eastAsia="zh-CN"/>
        </w:rPr>
        <w:t>.3.1 监测点位</w:t>
      </w:r>
    </w:p>
    <w:p w14:paraId="26477BF7">
      <w:pPr>
        <w:pageBreakBefore w:val="0"/>
        <w:widowControl/>
        <w:kinsoku/>
        <w:wordWrap/>
        <w:overflowPunct/>
        <w:topLinePunct w:val="0"/>
        <w:autoSpaceDE/>
        <w:autoSpaceDN/>
        <w:bidi w:val="0"/>
        <w:snapToGrid/>
        <w:spacing w:line="480" w:lineRule="exact"/>
        <w:ind w:firstLine="480" w:firstLineChars="200"/>
        <w:jc w:val="both"/>
        <w:textAlignment w:val="auto"/>
        <w:rPr>
          <w:rFonts w:hint="default"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val="en-US" w:eastAsia="zh-CN"/>
        </w:rPr>
        <w:t>本次</w:t>
      </w:r>
      <w:r>
        <w:rPr>
          <w:rFonts w:hint="default" w:ascii="Times New Roman" w:hAnsi="Times New Roman" w:cs="Times New Roman"/>
          <w:color w:val="auto"/>
          <w:kern w:val="0"/>
          <w:sz w:val="24"/>
          <w:szCs w:val="24"/>
          <w:highlight w:val="none"/>
          <w:u w:val="none"/>
        </w:rPr>
        <w:t>在项目占地范围内布设3个柱状样点（</w:t>
      </w:r>
      <w:r>
        <w:rPr>
          <w:rFonts w:hint="eastAsia" w:ascii="Times New Roman" w:hAnsi="Times New Roman" w:cs="Times New Roman"/>
          <w:color w:val="auto"/>
          <w:kern w:val="0"/>
          <w:sz w:val="24"/>
          <w:szCs w:val="24"/>
          <w:highlight w:val="none"/>
          <w:u w:val="none"/>
          <w:lang w:val="en-US" w:eastAsia="zh-CN"/>
        </w:rPr>
        <w:t>MBHW6006井场内</w:t>
      </w:r>
      <w:r>
        <w:rPr>
          <w:rFonts w:hint="eastAsia" w:cs="Times New Roman"/>
          <w:color w:val="auto"/>
          <w:kern w:val="0"/>
          <w:sz w:val="24"/>
          <w:szCs w:val="24"/>
          <w:highlight w:val="none"/>
          <w:u w:val="none"/>
          <w:lang w:val="en-US" w:eastAsia="zh-CN"/>
        </w:rPr>
        <w:t>、</w:t>
      </w:r>
      <w:r>
        <w:rPr>
          <w:rFonts w:hint="eastAsia" w:ascii="Times New Roman" w:hAnsi="Times New Roman" w:cs="Times New Roman"/>
          <w:color w:val="auto"/>
          <w:kern w:val="0"/>
          <w:sz w:val="24"/>
          <w:szCs w:val="24"/>
          <w:highlight w:val="none"/>
          <w:u w:val="none"/>
          <w:lang w:val="en-US" w:eastAsia="zh-CN"/>
        </w:rPr>
        <w:t>MBHW6008井场内</w:t>
      </w:r>
      <w:r>
        <w:rPr>
          <w:rFonts w:hint="eastAsia" w:cs="Times New Roman"/>
          <w:color w:val="auto"/>
          <w:kern w:val="0"/>
          <w:sz w:val="24"/>
          <w:szCs w:val="24"/>
          <w:highlight w:val="none"/>
          <w:u w:val="none"/>
          <w:lang w:val="en-US" w:eastAsia="zh-CN"/>
        </w:rPr>
        <w:t>、</w:t>
      </w:r>
      <w:r>
        <w:rPr>
          <w:rFonts w:hint="eastAsia" w:ascii="Times New Roman" w:hAnsi="Times New Roman" w:cs="Times New Roman"/>
          <w:color w:val="auto"/>
          <w:kern w:val="0"/>
          <w:sz w:val="24"/>
          <w:szCs w:val="24"/>
          <w:highlight w:val="none"/>
          <w:u w:val="none"/>
          <w:lang w:val="en-US" w:eastAsia="zh-CN"/>
        </w:rPr>
        <w:t>莫109转油站站内</w:t>
      </w:r>
      <w:r>
        <w:rPr>
          <w:rFonts w:hint="default" w:ascii="Times New Roman" w:hAnsi="Times New Roman" w:cs="Times New Roman"/>
          <w:color w:val="auto"/>
          <w:kern w:val="0"/>
          <w:sz w:val="24"/>
          <w:szCs w:val="24"/>
          <w:highlight w:val="none"/>
          <w:u w:val="none"/>
        </w:rPr>
        <w:t>）</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1个表层样点（MBHW6009井场）</w:t>
      </w:r>
      <w:r>
        <w:rPr>
          <w:rFonts w:hint="eastAsia"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在占地范围外，布设</w:t>
      </w:r>
      <w:r>
        <w:rPr>
          <w:rFonts w:hint="eastAsia" w:cs="Times New Roman"/>
          <w:color w:val="auto"/>
          <w:kern w:val="0"/>
          <w:sz w:val="24"/>
          <w:szCs w:val="24"/>
          <w:highlight w:val="none"/>
          <w:u w:val="none"/>
          <w:lang w:val="en-US" w:eastAsia="zh-CN"/>
        </w:rPr>
        <w:t>4</w:t>
      </w:r>
      <w:r>
        <w:rPr>
          <w:rFonts w:hint="default" w:ascii="Times New Roman" w:hAnsi="Times New Roman" w:cs="Times New Roman"/>
          <w:color w:val="auto"/>
          <w:kern w:val="0"/>
          <w:sz w:val="24"/>
          <w:szCs w:val="24"/>
          <w:highlight w:val="none"/>
          <w:u w:val="none"/>
        </w:rPr>
        <w:t>个表层样点（</w:t>
      </w:r>
      <w:r>
        <w:rPr>
          <w:rFonts w:hint="eastAsia" w:ascii="Times New Roman" w:hAnsi="Times New Roman" w:cs="Times New Roman"/>
          <w:color w:val="auto"/>
          <w:kern w:val="0"/>
          <w:sz w:val="24"/>
          <w:szCs w:val="24"/>
          <w:highlight w:val="none"/>
          <w:u w:val="none"/>
          <w:lang w:val="en-US" w:eastAsia="zh-CN"/>
        </w:rPr>
        <w:t>MBHW6008井场东侧200m</w:t>
      </w:r>
      <w:r>
        <w:rPr>
          <w:rFonts w:hint="eastAsia" w:cs="Times New Roman"/>
          <w:color w:val="auto"/>
          <w:kern w:val="0"/>
          <w:sz w:val="24"/>
          <w:szCs w:val="24"/>
          <w:highlight w:val="none"/>
          <w:u w:val="none"/>
          <w:lang w:val="en-US" w:eastAsia="zh-CN"/>
        </w:rPr>
        <w:t>、</w:t>
      </w:r>
      <w:r>
        <w:rPr>
          <w:rFonts w:hint="eastAsia" w:ascii="Times New Roman" w:hAnsi="Times New Roman" w:cs="Times New Roman"/>
          <w:color w:val="auto"/>
          <w:kern w:val="0"/>
          <w:sz w:val="24"/>
          <w:szCs w:val="24"/>
          <w:highlight w:val="none"/>
          <w:u w:val="none"/>
          <w:lang w:val="en-US" w:eastAsia="zh-CN"/>
        </w:rPr>
        <w:t>MBHW6006井场南侧2.0km</w:t>
      </w:r>
      <w:r>
        <w:rPr>
          <w:rFonts w:hint="eastAsia" w:cs="Times New Roman"/>
          <w:color w:val="auto"/>
          <w:kern w:val="0"/>
          <w:sz w:val="24"/>
          <w:szCs w:val="24"/>
          <w:highlight w:val="none"/>
          <w:u w:val="none"/>
          <w:lang w:val="en-US" w:eastAsia="zh-CN"/>
        </w:rPr>
        <w:t>、</w:t>
      </w:r>
      <w:r>
        <w:rPr>
          <w:rFonts w:hint="eastAsia" w:ascii="Times New Roman" w:hAnsi="Times New Roman" w:cs="Times New Roman"/>
          <w:color w:val="auto"/>
          <w:kern w:val="0"/>
          <w:sz w:val="24"/>
          <w:szCs w:val="24"/>
          <w:highlight w:val="none"/>
          <w:u w:val="none"/>
          <w:lang w:val="en-US" w:eastAsia="zh-CN"/>
        </w:rPr>
        <w:t>MBHW6008井场北侧200m</w:t>
      </w:r>
      <w:r>
        <w:rPr>
          <w:rFonts w:hint="eastAsia" w:cs="Times New Roman"/>
          <w:color w:val="auto"/>
          <w:kern w:val="0"/>
          <w:sz w:val="24"/>
          <w:szCs w:val="24"/>
          <w:highlight w:val="none"/>
          <w:u w:val="none"/>
          <w:lang w:val="en-US" w:eastAsia="zh-CN"/>
        </w:rPr>
        <w:t>、</w:t>
      </w:r>
      <w:r>
        <w:rPr>
          <w:rFonts w:hint="eastAsia" w:ascii="Times New Roman" w:hAnsi="Times New Roman" w:cs="Times New Roman"/>
          <w:color w:val="auto"/>
          <w:kern w:val="0"/>
          <w:sz w:val="24"/>
          <w:szCs w:val="24"/>
          <w:highlight w:val="none"/>
          <w:u w:val="none"/>
          <w:lang w:val="en-US" w:eastAsia="zh-CN"/>
        </w:rPr>
        <w:t>莫109转油站西侧2.0km</w:t>
      </w:r>
      <w:r>
        <w:rPr>
          <w:rFonts w:hint="default" w:ascii="Times New Roman" w:hAnsi="Times New Roman" w:cs="Times New Roman"/>
          <w:color w:val="auto"/>
          <w:kern w:val="0"/>
          <w:sz w:val="24"/>
          <w:szCs w:val="24"/>
          <w:highlight w:val="none"/>
          <w:u w:val="none"/>
        </w:rPr>
        <w:t>）。</w:t>
      </w:r>
    </w:p>
    <w:p w14:paraId="20E2FF6A">
      <w:pPr>
        <w:pageBreakBefore w:val="0"/>
        <w:widowControl/>
        <w:kinsoku/>
        <w:wordWrap/>
        <w:overflowPunct/>
        <w:topLinePunct w:val="0"/>
        <w:autoSpaceDE/>
        <w:autoSpaceDN/>
        <w:bidi w:val="0"/>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rPr>
      </w:pPr>
      <w:r>
        <w:rPr>
          <w:rFonts w:hint="eastAsia" w:ascii="Times New Roman" w:hAnsi="Times New Roman" w:cs="Times New Roman"/>
          <w:color w:val="auto"/>
          <w:kern w:val="0"/>
          <w:sz w:val="24"/>
          <w:szCs w:val="24"/>
          <w:highlight w:val="none"/>
          <w:u w:val="none"/>
          <w:lang w:val="en-US" w:eastAsia="zh-CN"/>
        </w:rPr>
        <w:t>监测点位</w:t>
      </w:r>
      <w:r>
        <w:rPr>
          <w:rFonts w:hint="eastAsia" w:cs="Times New Roman"/>
          <w:color w:val="auto"/>
          <w:kern w:val="0"/>
          <w:sz w:val="24"/>
          <w:szCs w:val="24"/>
          <w:highlight w:val="none"/>
          <w:u w:val="none"/>
          <w:lang w:val="en-US" w:eastAsia="zh-CN"/>
        </w:rPr>
        <w:t>，</w:t>
      </w:r>
      <w:r>
        <w:rPr>
          <w:rFonts w:hint="eastAsia" w:ascii="Times New Roman" w:hAnsi="Times New Roman" w:cs="Times New Roman"/>
          <w:color w:val="auto"/>
          <w:kern w:val="0"/>
          <w:sz w:val="24"/>
          <w:szCs w:val="24"/>
          <w:highlight w:val="none"/>
          <w:u w:val="none"/>
          <w:lang w:val="en-US" w:eastAsia="zh-CN"/>
        </w:rPr>
        <w:t>见图4.3-1。</w:t>
      </w:r>
    </w:p>
    <w:p w14:paraId="63A03AC6">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5</w:t>
      </w:r>
      <w:r>
        <w:rPr>
          <w:rFonts w:hint="eastAsia" w:ascii="宋体" w:hAnsi="宋体" w:eastAsia="宋体" w:cs="宋体"/>
          <w:color w:val="auto"/>
          <w:u w:val="none"/>
          <w:lang w:val="en-US" w:eastAsia="zh-CN"/>
        </w:rPr>
        <w:t>.3.2 监测时间</w:t>
      </w:r>
    </w:p>
    <w:p w14:paraId="2193FC2A">
      <w:pPr>
        <w:pStyle w:val="54"/>
        <w:rPr>
          <w:rStyle w:val="97"/>
          <w:rFonts w:hint="default" w:ascii="Times New Roman" w:hAnsi="Times New Roman" w:cs="Times New Roman"/>
          <w:color w:val="auto"/>
          <w:u w:val="none"/>
        </w:rPr>
      </w:pPr>
      <w:r>
        <w:rPr>
          <w:rFonts w:hint="default" w:ascii="Times New Roman" w:hAnsi="Times New Roman" w:cs="Times New Roman"/>
          <w:color w:val="auto"/>
          <w:kern w:val="0"/>
          <w:sz w:val="24"/>
          <w:szCs w:val="24"/>
          <w:highlight w:val="none"/>
          <w:u w:val="none"/>
        </w:rPr>
        <w:t>土壤监测采样日期为</w:t>
      </w:r>
      <w:r>
        <w:rPr>
          <w:rFonts w:hint="default" w:ascii="Times New Roman" w:hAnsi="Times New Roman" w:cs="Times New Roman"/>
          <w:color w:val="auto"/>
          <w:kern w:val="0"/>
          <w:sz w:val="24"/>
          <w:szCs w:val="24"/>
          <w:highlight w:val="none"/>
          <w:u w:val="none"/>
          <w:lang w:val="en-US" w:eastAsia="zh-CN"/>
        </w:rPr>
        <w:t>2</w:t>
      </w:r>
      <w:r>
        <w:rPr>
          <w:rFonts w:hint="eastAsia" w:cs="Times New Roman"/>
          <w:color w:val="auto"/>
          <w:kern w:val="0"/>
          <w:sz w:val="24"/>
          <w:szCs w:val="24"/>
          <w:highlight w:val="none"/>
          <w:u w:val="none"/>
          <w:lang w:val="en-US" w:eastAsia="zh-CN"/>
        </w:rPr>
        <w:t>025</w:t>
      </w:r>
      <w:r>
        <w:rPr>
          <w:rFonts w:hint="default" w:ascii="Times New Roman" w:hAnsi="Times New Roman" w:cs="Times New Roman"/>
          <w:color w:val="auto"/>
          <w:kern w:val="0"/>
          <w:sz w:val="24"/>
          <w:szCs w:val="24"/>
          <w:highlight w:val="none"/>
          <w:u w:val="none"/>
        </w:rPr>
        <w:t>年</w:t>
      </w:r>
      <w:r>
        <w:rPr>
          <w:rFonts w:hint="eastAsia" w:cs="Times New Roman"/>
          <w:color w:val="auto"/>
          <w:kern w:val="0"/>
          <w:sz w:val="24"/>
          <w:szCs w:val="24"/>
          <w:highlight w:val="none"/>
          <w:u w:val="none"/>
          <w:lang w:val="en-US" w:eastAsia="zh-CN"/>
        </w:rPr>
        <w:t>8月1日</w:t>
      </w:r>
      <w:r>
        <w:rPr>
          <w:rFonts w:hint="default" w:ascii="Times New Roman" w:hAnsi="Times New Roman" w:cs="Times New Roman"/>
          <w:color w:val="auto"/>
          <w:kern w:val="0"/>
          <w:sz w:val="24"/>
          <w:szCs w:val="24"/>
          <w:highlight w:val="none"/>
          <w:u w:val="none"/>
        </w:rPr>
        <w:t>，</w:t>
      </w:r>
      <w:r>
        <w:rPr>
          <w:rFonts w:hint="eastAsia" w:ascii="宋体" w:hAnsi="宋体" w:cs="宋体"/>
          <w:color w:val="auto"/>
          <w:kern w:val="0"/>
          <w:sz w:val="24"/>
          <w:szCs w:val="24"/>
          <w:highlight w:val="none"/>
          <w:u w:val="none"/>
        </w:rPr>
        <w:t>监测单位为</w:t>
      </w:r>
      <w:r>
        <w:rPr>
          <w:rFonts w:hint="eastAsia" w:ascii="宋体" w:hAnsi="宋体" w:cs="宋体"/>
          <w:color w:val="auto"/>
          <w:spacing w:val="4"/>
          <w:kern w:val="24"/>
          <w:sz w:val="24"/>
          <w:szCs w:val="24"/>
          <w:highlight w:val="none"/>
          <w:u w:val="none"/>
          <w:lang w:eastAsia="zh-CN"/>
        </w:rPr>
        <w:t>新疆正天华能环境工程技术有限公司</w:t>
      </w:r>
      <w:r>
        <w:rPr>
          <w:rFonts w:hint="eastAsia" w:ascii="宋体" w:hAnsi="宋体" w:cs="宋体"/>
          <w:color w:val="auto"/>
          <w:kern w:val="0"/>
          <w:sz w:val="24"/>
          <w:szCs w:val="24"/>
          <w:highlight w:val="none"/>
          <w:u w:val="none"/>
        </w:rPr>
        <w:t>。</w:t>
      </w:r>
    </w:p>
    <w:p w14:paraId="4DC150C8">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5</w:t>
      </w:r>
      <w:r>
        <w:rPr>
          <w:rFonts w:hint="eastAsia" w:ascii="宋体" w:hAnsi="宋体" w:eastAsia="宋体" w:cs="宋体"/>
          <w:color w:val="auto"/>
          <w:u w:val="none"/>
          <w:lang w:val="en-US" w:eastAsia="zh-CN"/>
        </w:rPr>
        <w:t>.3.3 监测因子</w:t>
      </w:r>
    </w:p>
    <w:p w14:paraId="61774684">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auto"/>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土壤监测因子如下：</w:t>
      </w:r>
    </w:p>
    <w:p w14:paraId="3A7FD181">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auto"/>
        <w:rPr>
          <w:rFonts w:hint="default"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1）基本因子：《土壤环境质量建设用地土壤污染风险管控标准（试行）》（GB36600-2018）第二类用地的45项基本因子：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eastAsia" w:ascii="宋体" w:hAnsi="宋体" w:cs="宋体"/>
          <w:color w:val="auto"/>
          <w:kern w:val="2"/>
          <w:sz w:val="24"/>
          <w:szCs w:val="24"/>
          <w:highlight w:val="none"/>
          <w:u w:val="none"/>
          <w:lang w:val="en-US" w:eastAsia="zh-CN" w:bidi="en-US"/>
        </w:rPr>
        <w:t>、pH值及土壤盐分含量。</w:t>
      </w:r>
    </w:p>
    <w:p w14:paraId="014E2037">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auto"/>
        <w:rPr>
          <w:rFonts w:hint="eastAsia" w:ascii="宋体" w:hAnsi="宋体" w:eastAsia="宋体" w:cs="宋体"/>
          <w:b/>
          <w:bCs/>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（2）特征因子：石油烃。</w:t>
      </w:r>
    </w:p>
    <w:p w14:paraId="6D520E1A">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5</w:t>
      </w:r>
      <w:r>
        <w:rPr>
          <w:rFonts w:hint="eastAsia" w:ascii="宋体" w:hAnsi="宋体" w:eastAsia="宋体" w:cs="宋体"/>
          <w:color w:val="auto"/>
          <w:u w:val="none"/>
          <w:lang w:val="en-US" w:eastAsia="zh-CN"/>
        </w:rPr>
        <w:t>.3.4 监测及分析方法</w:t>
      </w:r>
    </w:p>
    <w:p w14:paraId="3C709E23">
      <w:pPr>
        <w:pageBreakBefore w:val="0"/>
        <w:widowControl/>
        <w:kinsoku/>
        <w:wordWrap/>
        <w:overflowPunct/>
        <w:topLinePunct w:val="0"/>
        <w:autoSpaceDE/>
        <w:autoSpaceDN/>
        <w:bidi w:val="0"/>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hint="eastAsia" w:ascii="Times New Roman" w:hAnsi="Times New Roman" w:cs="Times New Roman"/>
          <w:color w:val="auto"/>
          <w:kern w:val="0"/>
          <w:sz w:val="24"/>
          <w:szCs w:val="24"/>
          <w:highlight w:val="none"/>
          <w:u w:val="none"/>
        </w:rPr>
        <w:t>土壤监测方法参照《土壤环境监测技术规范》(HJ/T166-2004)、《建设用地土壤污染状况调查技术导则》(HJ25.1-2019)、《建设用地土壤污染风险管控和修复监测技术导则》</w:t>
      </w:r>
      <w:r>
        <w:rPr>
          <w:rFonts w:hint="eastAsia" w:ascii="Times New Roman" w:hAnsi="Times New Roman"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HJ25.2-2019</w:t>
      </w:r>
      <w:r>
        <w:rPr>
          <w:rFonts w:hint="eastAsia" w:ascii="Times New Roman" w:hAnsi="Times New Roman"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要求进行。分析方法参照《土壤环境质量 建设用地土壤污染风险管控标准</w:t>
      </w:r>
      <w:r>
        <w:rPr>
          <w:rFonts w:hint="eastAsia" w:ascii="Times New Roman" w:hAnsi="Times New Roman"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试行</w:t>
      </w:r>
      <w:r>
        <w:rPr>
          <w:rFonts w:hint="eastAsia" w:ascii="Times New Roman" w:hAnsi="Times New Roman"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w:t>
      </w:r>
      <w:r>
        <w:rPr>
          <w:rFonts w:hint="eastAsia" w:ascii="Times New Roman" w:hAnsi="Times New Roman"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GB36600-2018</w:t>
      </w:r>
      <w:r>
        <w:rPr>
          <w:rFonts w:hint="eastAsia" w:ascii="Times New Roman" w:hAnsi="Times New Roman"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中有关要求进行</w:t>
      </w:r>
      <w:r>
        <w:rPr>
          <w:rFonts w:ascii="Times New Roman" w:hAnsi="Times New Roman" w:cs="Times New Roman"/>
          <w:color w:val="auto"/>
          <w:kern w:val="0"/>
          <w:sz w:val="24"/>
          <w:szCs w:val="24"/>
          <w:highlight w:val="none"/>
          <w:u w:val="none"/>
        </w:rPr>
        <w:t>。</w:t>
      </w:r>
    </w:p>
    <w:p w14:paraId="400695F1">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5</w:t>
      </w:r>
      <w:r>
        <w:rPr>
          <w:rFonts w:hint="eastAsia" w:ascii="宋体" w:hAnsi="宋体" w:eastAsia="宋体" w:cs="宋体"/>
          <w:color w:val="auto"/>
          <w:u w:val="none"/>
          <w:lang w:val="en-US" w:eastAsia="zh-CN"/>
        </w:rPr>
        <w:t>.3.5 评价标准</w:t>
      </w:r>
    </w:p>
    <w:p w14:paraId="75CDBF74">
      <w:pPr>
        <w:keepNext w:val="0"/>
        <w:pageBreakBefore w:val="0"/>
        <w:widowControl/>
        <w:kinsoku/>
        <w:wordWrap/>
        <w:overflowPunct/>
        <w:topLinePunct w:val="0"/>
        <w:autoSpaceDE/>
        <w:autoSpaceDN/>
        <w:bidi w:val="0"/>
        <w:snapToGrid/>
        <w:spacing w:line="480" w:lineRule="exact"/>
        <w:ind w:firstLine="480" w:firstLineChars="200"/>
        <w:jc w:val="both"/>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执行《土壤环境质量 建设用地土壤污染风险管控标准</w:t>
      </w:r>
      <w:r>
        <w:rPr>
          <w:rFonts w:hint="eastAsia"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试行</w:t>
      </w:r>
      <w:r>
        <w:rPr>
          <w:rFonts w:hint="eastAsia"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》（GB36600-2018）第二类用地筛选值。</w:t>
      </w:r>
    </w:p>
    <w:p w14:paraId="52F10160">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4.</w:t>
      </w:r>
      <w:r>
        <w:rPr>
          <w:rFonts w:hint="eastAsia" w:ascii="宋体" w:hAnsi="宋体" w:cs="宋体"/>
          <w:color w:val="auto"/>
          <w:u w:val="none"/>
          <w:lang w:val="en-US" w:eastAsia="zh-CN"/>
        </w:rPr>
        <w:t>5</w:t>
      </w:r>
      <w:r>
        <w:rPr>
          <w:rFonts w:hint="eastAsia" w:ascii="宋体" w:hAnsi="宋体" w:eastAsia="宋体" w:cs="宋体"/>
          <w:color w:val="auto"/>
          <w:u w:val="none"/>
          <w:lang w:val="en-US" w:eastAsia="zh-CN"/>
        </w:rPr>
        <w:t>.</w:t>
      </w:r>
      <w:r>
        <w:rPr>
          <w:rFonts w:hint="eastAsia" w:ascii="宋体" w:hAnsi="宋体" w:cs="宋体"/>
          <w:color w:val="auto"/>
          <w:u w:val="none"/>
          <w:lang w:val="en-US" w:eastAsia="zh-CN"/>
        </w:rPr>
        <w:t>3</w:t>
      </w:r>
      <w:r>
        <w:rPr>
          <w:rFonts w:hint="eastAsia" w:ascii="宋体" w:hAnsi="宋体" w:eastAsia="宋体" w:cs="宋体"/>
          <w:color w:val="auto"/>
          <w:u w:val="none"/>
          <w:lang w:val="en-US" w:eastAsia="zh-CN"/>
        </w:rPr>
        <w:t>.6 评价方法</w:t>
      </w:r>
    </w:p>
    <w:p w14:paraId="7B6CEAB5">
      <w:pPr>
        <w:keepNext w:val="0"/>
        <w:pageBreakBefore w:val="0"/>
        <w:widowControl/>
        <w:kinsoku/>
        <w:wordWrap/>
        <w:overflowPunct/>
        <w:topLinePunct w:val="0"/>
        <w:autoSpaceDE/>
        <w:autoSpaceDN/>
        <w:bidi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pict>
          <v:shape id="Object 569" o:spid="_x0000_s2065" o:spt="75" type="#_x0000_t75" style="position:absolute;left:0pt;margin-left:153pt;margin-top:6.6pt;height:38.85pt;width:81pt;z-index:251698176;mso-width-relative:page;mso-height-relative:page;" o:ole="t" filled="f" o:preferrelative="t" stroked="f" coordsize="21600,21600">
            <v:path/>
            <v:fill on="f" focussize="0,0"/>
            <v:stroke on="f"/>
            <v:imagedata r:id="rId62" o:title=""/>
            <o:lock v:ext="edit" aspectratio="t"/>
          </v:shape>
          <o:OLEObject Type="Embed" ProgID="" ShapeID="Object 569" DrawAspect="Content" ObjectID="_1468075725" r:id="rId61">
            <o:LockedField>false</o:LockedField>
          </o:OLEObject>
        </w:pict>
      </w:r>
      <w:r>
        <w:rPr>
          <w:rFonts w:hint="default" w:ascii="Times New Roman" w:hAnsi="Times New Roman" w:cs="Times New Roman"/>
          <w:color w:val="auto"/>
          <w:kern w:val="0"/>
          <w:sz w:val="24"/>
          <w:szCs w:val="24"/>
          <w:highlight w:val="none"/>
          <w:u w:val="none"/>
        </w:rPr>
        <w:t>采用标准指数法：</w:t>
      </w:r>
    </w:p>
    <w:p w14:paraId="5956BA5E">
      <w:pPr>
        <w:keepNext w:val="0"/>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kern w:val="0"/>
          <w:sz w:val="24"/>
          <w:szCs w:val="24"/>
          <w:highlight w:val="none"/>
          <w:u w:val="none"/>
        </w:rPr>
      </w:pPr>
    </w:p>
    <w:p w14:paraId="7DD2572B">
      <w:pPr>
        <w:keepNext w:val="0"/>
        <w:pageBreakBefore w:val="0"/>
        <w:widowControl/>
        <w:kinsoku/>
        <w:wordWrap/>
        <w:overflowPunct/>
        <w:topLinePunct w:val="0"/>
        <w:autoSpaceDE/>
        <w:autoSpaceDN/>
        <w:bidi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式中：Ci——i污染物的监测值；</w:t>
      </w:r>
    </w:p>
    <w:p w14:paraId="5B070164">
      <w:pPr>
        <w:keepNext w:val="0"/>
        <w:pageBreakBefore w:val="0"/>
        <w:widowControl/>
        <w:kinsoku/>
        <w:wordWrap/>
        <w:overflowPunct/>
        <w:topLinePunct w:val="0"/>
        <w:autoSpaceDE/>
        <w:autoSpaceDN/>
        <w:bidi w:val="0"/>
        <w:snapToGrid/>
        <w:spacing w:line="480" w:lineRule="exact"/>
        <w:ind w:firstLine="1200" w:firstLineChars="5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Si——i污染物的评价标准值；</w:t>
      </w:r>
    </w:p>
    <w:p w14:paraId="29964A76">
      <w:pPr>
        <w:pageBreakBefore w:val="0"/>
        <w:kinsoku/>
        <w:wordWrap/>
        <w:overflowPunct/>
        <w:topLinePunct w:val="0"/>
        <w:autoSpaceDE/>
        <w:autoSpaceDN/>
        <w:bidi w:val="0"/>
        <w:snapToGrid/>
        <w:spacing w:line="480" w:lineRule="exact"/>
        <w:ind w:firstLine="1200" w:firstLineChars="500"/>
        <w:textAlignment w:val="auto"/>
        <w:rPr>
          <w:rFonts w:hint="default"/>
          <w:color w:val="auto"/>
          <w:u w:val="none"/>
        </w:rPr>
      </w:pPr>
      <w:r>
        <w:rPr>
          <w:rFonts w:hint="default" w:ascii="Times New Roman" w:hAnsi="Times New Roman" w:cs="Times New Roman"/>
          <w:color w:val="auto"/>
          <w:kern w:val="0"/>
          <w:sz w:val="24"/>
          <w:szCs w:val="24"/>
          <w:highlight w:val="none"/>
          <w:u w:val="none"/>
        </w:rPr>
        <w:t>Pi——i污染物的污染指数</w:t>
      </w:r>
    </w:p>
    <w:p w14:paraId="746D8C67">
      <w:pPr>
        <w:pStyle w:val="54"/>
        <w:keepNext w:val="0"/>
        <w:keepLines w:val="0"/>
        <w:pageBreakBefore w:val="0"/>
        <w:widowControl w:val="0"/>
        <w:kinsoku/>
        <w:wordWrap/>
        <w:overflowPunct/>
        <w:topLinePunct w:val="0"/>
        <w:autoSpaceDE/>
        <w:autoSpaceDN/>
        <w:bidi w:val="0"/>
        <w:adjustRightInd/>
        <w:snapToGrid/>
        <w:spacing w:before="0" w:beforeLines="100"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（6）监测及评价结果</w:t>
      </w:r>
    </w:p>
    <w:p w14:paraId="1A995303">
      <w:pPr>
        <w:pStyle w:val="54"/>
        <w:pageBreakBefore w:val="0"/>
        <w:kinsoku/>
        <w:wordWrap/>
        <w:overflowPunct/>
        <w:topLinePunct w:val="0"/>
        <w:autoSpaceDE/>
        <w:autoSpaceDN/>
        <w:bidi w:val="0"/>
        <w:snapToGrid/>
        <w:spacing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具体监测及评价结果</w:t>
      </w:r>
      <w:r>
        <w:rPr>
          <w:rStyle w:val="97"/>
          <w:rFonts w:hint="eastAsia" w:cs="Times New Roman"/>
          <w:color w:val="auto"/>
          <w:u w:val="none"/>
          <w:lang w:eastAsia="zh-CN"/>
        </w:rPr>
        <w:t>，</w:t>
      </w:r>
      <w:r>
        <w:rPr>
          <w:rStyle w:val="97"/>
          <w:rFonts w:hint="default" w:ascii="Times New Roman" w:hAnsi="Times New Roman" w:cs="Times New Roman"/>
          <w:color w:val="auto"/>
          <w:u w:val="none"/>
        </w:rPr>
        <w:t>见表4.</w:t>
      </w:r>
      <w:r>
        <w:rPr>
          <w:rStyle w:val="97"/>
          <w:rFonts w:hint="eastAsia" w:cs="Times New Roman"/>
          <w:color w:val="auto"/>
          <w:u w:val="none"/>
          <w:lang w:val="en-US" w:eastAsia="zh-CN"/>
        </w:rPr>
        <w:t>5</w:t>
      </w:r>
      <w:r>
        <w:rPr>
          <w:rStyle w:val="97"/>
          <w:rFonts w:hint="default" w:ascii="Times New Roman" w:hAnsi="Times New Roman" w:cs="Times New Roman"/>
          <w:color w:val="auto"/>
          <w:u w:val="none"/>
        </w:rPr>
        <w:t>-</w:t>
      </w:r>
      <w:r>
        <w:rPr>
          <w:rStyle w:val="97"/>
          <w:rFonts w:hint="eastAsia" w:cs="Times New Roman"/>
          <w:color w:val="auto"/>
          <w:u w:val="none"/>
          <w:lang w:val="en-US" w:eastAsia="zh-CN"/>
        </w:rPr>
        <w:t>7</w:t>
      </w:r>
      <w:r>
        <w:rPr>
          <w:rStyle w:val="97"/>
          <w:rFonts w:hint="default" w:ascii="Times New Roman" w:hAnsi="Times New Roman" w:cs="Times New Roman"/>
          <w:color w:val="auto"/>
          <w:u w:val="none"/>
        </w:rPr>
        <w:t>~</w:t>
      </w:r>
      <w:r>
        <w:rPr>
          <w:rStyle w:val="97"/>
          <w:rFonts w:hint="eastAsia" w:cs="Times New Roman"/>
          <w:color w:val="auto"/>
          <w:u w:val="none"/>
          <w:lang w:val="en-US" w:eastAsia="zh-CN"/>
        </w:rPr>
        <w:t>表</w:t>
      </w:r>
      <w:r>
        <w:rPr>
          <w:rStyle w:val="97"/>
          <w:rFonts w:hint="default" w:ascii="Times New Roman" w:hAnsi="Times New Roman" w:cs="Times New Roman"/>
          <w:color w:val="auto"/>
          <w:u w:val="none"/>
        </w:rPr>
        <w:t>4.</w:t>
      </w:r>
      <w:r>
        <w:rPr>
          <w:rStyle w:val="97"/>
          <w:rFonts w:hint="eastAsia" w:cs="Times New Roman"/>
          <w:color w:val="auto"/>
          <w:u w:val="none"/>
          <w:lang w:val="en-US" w:eastAsia="zh-CN"/>
        </w:rPr>
        <w:t>5</w:t>
      </w:r>
      <w:r>
        <w:rPr>
          <w:rStyle w:val="97"/>
          <w:rFonts w:hint="default" w:ascii="Times New Roman" w:hAnsi="Times New Roman" w:cs="Times New Roman"/>
          <w:color w:val="auto"/>
          <w:u w:val="none"/>
        </w:rPr>
        <w:t>-</w:t>
      </w:r>
      <w:r>
        <w:rPr>
          <w:rStyle w:val="97"/>
          <w:rFonts w:hint="eastAsia" w:cs="Times New Roman"/>
          <w:color w:val="auto"/>
          <w:u w:val="none"/>
          <w:lang w:val="en-US" w:eastAsia="zh-CN"/>
        </w:rPr>
        <w:t>9</w:t>
      </w:r>
      <w:r>
        <w:rPr>
          <w:rStyle w:val="97"/>
          <w:rFonts w:hint="default" w:ascii="Times New Roman" w:hAnsi="Times New Roman" w:cs="Times New Roman"/>
          <w:color w:val="auto"/>
          <w:u w:val="none"/>
        </w:rPr>
        <w:t>。</w:t>
      </w:r>
    </w:p>
    <w:p w14:paraId="5ED994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表4.5-7  土壤监测结果一览表（占地范围内柱状样）    单位：mg/kg</w:t>
      </w:r>
    </w:p>
    <w:tbl>
      <w:tblPr>
        <w:tblStyle w:val="38"/>
        <w:tblW w:w="4997"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69"/>
        <w:gridCol w:w="1200"/>
        <w:gridCol w:w="660"/>
        <w:gridCol w:w="675"/>
        <w:gridCol w:w="645"/>
        <w:gridCol w:w="795"/>
        <w:gridCol w:w="675"/>
        <w:gridCol w:w="562"/>
        <w:gridCol w:w="743"/>
        <w:gridCol w:w="540"/>
        <w:gridCol w:w="570"/>
        <w:gridCol w:w="695"/>
      </w:tblGrid>
      <w:tr w14:paraId="4F46A5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jc w:val="center"/>
        </w:trPr>
        <w:tc>
          <w:tcPr>
            <w:tcW w:w="1284" w:type="pct"/>
            <w:gridSpan w:val="2"/>
            <w:vMerge w:val="restart"/>
            <w:tcBorders>
              <w:tl2br w:val="nil"/>
              <w:tr2bl w:val="nil"/>
            </w:tcBorders>
            <w:noWrap w:val="0"/>
            <w:vAlign w:val="center"/>
          </w:tcPr>
          <w:p w14:paraId="3B8BFBB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lang w:val="en-US" w:eastAsia="zh-CN"/>
              </w:rPr>
              <w:t>监测项目</w:t>
            </w:r>
          </w:p>
          <w:p w14:paraId="368E3C0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p w14:paraId="53152BC7">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监测点位</w:t>
            </w:r>
          </w:p>
        </w:tc>
        <w:tc>
          <w:tcPr>
            <w:tcW w:w="373" w:type="pct"/>
            <w:tcBorders>
              <w:tl2br w:val="nil"/>
              <w:tr2bl w:val="nil"/>
            </w:tcBorders>
            <w:noWrap w:val="0"/>
            <w:vAlign w:val="center"/>
          </w:tcPr>
          <w:p w14:paraId="5CCAEFB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cs="宋体"/>
                <w:color w:val="auto"/>
                <w:sz w:val="21"/>
                <w:szCs w:val="21"/>
                <w:u w:val="none"/>
                <w:lang w:val="en-US" w:eastAsia="zh-CN"/>
              </w:rPr>
            </w:pPr>
          </w:p>
        </w:tc>
        <w:tc>
          <w:tcPr>
            <w:tcW w:w="2947" w:type="pct"/>
            <w:gridSpan w:val="8"/>
            <w:tcBorders>
              <w:tl2br w:val="nil"/>
              <w:tr2bl w:val="nil"/>
            </w:tcBorders>
            <w:noWrap w:val="0"/>
            <w:vAlign w:val="center"/>
          </w:tcPr>
          <w:p w14:paraId="3E5074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cs="宋体"/>
                <w:color w:val="auto"/>
                <w:sz w:val="21"/>
                <w:szCs w:val="21"/>
                <w:u w:val="none"/>
                <w:lang w:val="en-US" w:eastAsia="zh-CN"/>
              </w:rPr>
              <w:t>监测结果</w:t>
            </w:r>
          </w:p>
        </w:tc>
        <w:tc>
          <w:tcPr>
            <w:tcW w:w="393" w:type="pct"/>
            <w:tcBorders>
              <w:tl2br w:val="nil"/>
              <w:tr2bl w:val="nil"/>
            </w:tcBorders>
            <w:noWrap w:val="0"/>
            <w:vAlign w:val="center"/>
          </w:tcPr>
          <w:p w14:paraId="06B07FC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cs="宋体"/>
                <w:color w:val="auto"/>
                <w:sz w:val="21"/>
                <w:szCs w:val="21"/>
                <w:u w:val="none"/>
                <w:lang w:val="en-US" w:eastAsia="zh-CN"/>
              </w:rPr>
            </w:pPr>
          </w:p>
        </w:tc>
      </w:tr>
      <w:tr w14:paraId="0DB715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284" w:type="pct"/>
            <w:gridSpan w:val="2"/>
            <w:vMerge w:val="continue"/>
            <w:tcBorders>
              <w:tl2br w:val="nil"/>
              <w:tr2bl w:val="nil"/>
            </w:tcBorders>
            <w:noWrap w:val="0"/>
            <w:vAlign w:val="center"/>
          </w:tcPr>
          <w:p w14:paraId="73D536E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373" w:type="pct"/>
            <w:tcBorders>
              <w:tl2br w:val="nil"/>
              <w:tr2bl w:val="nil"/>
            </w:tcBorders>
            <w:noWrap w:val="0"/>
            <w:vAlign w:val="center"/>
          </w:tcPr>
          <w:p w14:paraId="1AC67BB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pH值</w:t>
            </w:r>
          </w:p>
        </w:tc>
        <w:tc>
          <w:tcPr>
            <w:tcW w:w="382" w:type="pct"/>
            <w:tcBorders>
              <w:tl2br w:val="nil"/>
              <w:tr2bl w:val="nil"/>
            </w:tcBorders>
            <w:noWrap w:val="0"/>
            <w:vAlign w:val="center"/>
          </w:tcPr>
          <w:p w14:paraId="1678A9E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砷</w:t>
            </w:r>
          </w:p>
        </w:tc>
        <w:tc>
          <w:tcPr>
            <w:tcW w:w="365" w:type="pct"/>
            <w:tcBorders>
              <w:tl2br w:val="nil"/>
              <w:tr2bl w:val="nil"/>
            </w:tcBorders>
            <w:noWrap w:val="0"/>
            <w:vAlign w:val="center"/>
          </w:tcPr>
          <w:p w14:paraId="5037C80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镉</w:t>
            </w:r>
          </w:p>
        </w:tc>
        <w:tc>
          <w:tcPr>
            <w:tcW w:w="450" w:type="pct"/>
            <w:tcBorders>
              <w:tl2br w:val="nil"/>
              <w:tr2bl w:val="nil"/>
            </w:tcBorders>
            <w:noWrap w:val="0"/>
            <w:vAlign w:val="center"/>
          </w:tcPr>
          <w:p w14:paraId="58D7B7E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铬（六价）</w:t>
            </w:r>
          </w:p>
        </w:tc>
        <w:tc>
          <w:tcPr>
            <w:tcW w:w="382" w:type="pct"/>
            <w:tcBorders>
              <w:tl2br w:val="nil"/>
              <w:tr2bl w:val="nil"/>
            </w:tcBorders>
            <w:noWrap w:val="0"/>
            <w:vAlign w:val="center"/>
          </w:tcPr>
          <w:p w14:paraId="267B69B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铜</w:t>
            </w:r>
          </w:p>
        </w:tc>
        <w:tc>
          <w:tcPr>
            <w:tcW w:w="318" w:type="pct"/>
            <w:tcBorders>
              <w:tl2br w:val="nil"/>
              <w:tr2bl w:val="nil"/>
            </w:tcBorders>
            <w:noWrap w:val="0"/>
            <w:vAlign w:val="center"/>
          </w:tcPr>
          <w:p w14:paraId="400CAB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铅</w:t>
            </w:r>
          </w:p>
        </w:tc>
        <w:tc>
          <w:tcPr>
            <w:tcW w:w="420" w:type="pct"/>
            <w:tcBorders>
              <w:tl2br w:val="nil"/>
              <w:tr2bl w:val="nil"/>
            </w:tcBorders>
            <w:noWrap w:val="0"/>
            <w:vAlign w:val="center"/>
          </w:tcPr>
          <w:p w14:paraId="41D2BC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汞</w:t>
            </w:r>
          </w:p>
        </w:tc>
        <w:tc>
          <w:tcPr>
            <w:tcW w:w="305" w:type="pct"/>
            <w:tcBorders>
              <w:tl2br w:val="nil"/>
              <w:tr2bl w:val="nil"/>
            </w:tcBorders>
            <w:noWrap w:val="0"/>
            <w:vAlign w:val="center"/>
          </w:tcPr>
          <w:p w14:paraId="04051D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镍</w:t>
            </w:r>
          </w:p>
        </w:tc>
        <w:tc>
          <w:tcPr>
            <w:tcW w:w="322" w:type="pct"/>
            <w:tcBorders>
              <w:tl2br w:val="nil"/>
              <w:tr2bl w:val="nil"/>
            </w:tcBorders>
            <w:noWrap w:val="0"/>
            <w:vAlign w:val="center"/>
          </w:tcPr>
          <w:p w14:paraId="56EC3C8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石油烃</w:t>
            </w:r>
          </w:p>
        </w:tc>
        <w:tc>
          <w:tcPr>
            <w:tcW w:w="393" w:type="pct"/>
            <w:tcBorders>
              <w:tl2br w:val="nil"/>
              <w:tr2bl w:val="nil"/>
            </w:tcBorders>
            <w:noWrap w:val="0"/>
            <w:vAlign w:val="center"/>
          </w:tcPr>
          <w:p w14:paraId="743961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土壤盐分含量</w:t>
            </w:r>
          </w:p>
        </w:tc>
      </w:tr>
      <w:tr w14:paraId="0CF66A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605" w:type="pct"/>
            <w:vMerge w:val="restart"/>
            <w:tcBorders>
              <w:tl2br w:val="nil"/>
              <w:tr2bl w:val="nil"/>
            </w:tcBorders>
            <w:noWrap w:val="0"/>
            <w:vAlign w:val="center"/>
          </w:tcPr>
          <w:p w14:paraId="6C496CF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拟建MBHW6006井场内</w:t>
            </w:r>
          </w:p>
        </w:tc>
        <w:tc>
          <w:tcPr>
            <w:tcW w:w="679" w:type="pct"/>
            <w:tcBorders>
              <w:tl2br w:val="nil"/>
              <w:tr2bl w:val="nil"/>
            </w:tcBorders>
            <w:noWrap w:val="0"/>
            <w:vAlign w:val="center"/>
          </w:tcPr>
          <w:p w14:paraId="1317E0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0～0.5m</w:t>
            </w:r>
          </w:p>
        </w:tc>
        <w:tc>
          <w:tcPr>
            <w:tcW w:w="373" w:type="pct"/>
            <w:tcBorders>
              <w:tl2br w:val="nil"/>
              <w:tr2bl w:val="nil"/>
            </w:tcBorders>
            <w:noWrap w:val="0"/>
            <w:vAlign w:val="center"/>
          </w:tcPr>
          <w:p w14:paraId="7D01D1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9.04</w:t>
            </w:r>
          </w:p>
        </w:tc>
        <w:tc>
          <w:tcPr>
            <w:tcW w:w="382" w:type="pct"/>
            <w:tcBorders>
              <w:tl2br w:val="nil"/>
              <w:tr2bl w:val="nil"/>
            </w:tcBorders>
            <w:noWrap w:val="0"/>
            <w:vAlign w:val="center"/>
          </w:tcPr>
          <w:p w14:paraId="62A2A29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7.01</w:t>
            </w:r>
          </w:p>
        </w:tc>
        <w:tc>
          <w:tcPr>
            <w:tcW w:w="365" w:type="pct"/>
            <w:tcBorders>
              <w:tl2br w:val="nil"/>
              <w:tr2bl w:val="nil"/>
            </w:tcBorders>
            <w:noWrap w:val="0"/>
            <w:vAlign w:val="center"/>
          </w:tcPr>
          <w:p w14:paraId="5D8678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0.10</w:t>
            </w:r>
          </w:p>
        </w:tc>
        <w:tc>
          <w:tcPr>
            <w:tcW w:w="450" w:type="pct"/>
            <w:tcBorders>
              <w:tl2br w:val="nil"/>
              <w:tr2bl w:val="nil"/>
            </w:tcBorders>
            <w:noWrap w:val="0"/>
            <w:vAlign w:val="center"/>
          </w:tcPr>
          <w:p w14:paraId="7050758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82" w:type="pct"/>
            <w:tcBorders>
              <w:tl2br w:val="nil"/>
              <w:tr2bl w:val="nil"/>
            </w:tcBorders>
            <w:noWrap w:val="0"/>
            <w:vAlign w:val="center"/>
          </w:tcPr>
          <w:p w14:paraId="494C28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w:t>
            </w:r>
          </w:p>
        </w:tc>
        <w:tc>
          <w:tcPr>
            <w:tcW w:w="318" w:type="pct"/>
            <w:tcBorders>
              <w:tl2br w:val="nil"/>
              <w:tr2bl w:val="nil"/>
            </w:tcBorders>
            <w:noWrap w:val="0"/>
            <w:vAlign w:val="center"/>
          </w:tcPr>
          <w:p w14:paraId="5BEDCD4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26</w:t>
            </w:r>
          </w:p>
        </w:tc>
        <w:tc>
          <w:tcPr>
            <w:tcW w:w="420" w:type="pct"/>
            <w:tcBorders>
              <w:tl2br w:val="nil"/>
              <w:tr2bl w:val="nil"/>
            </w:tcBorders>
            <w:noWrap w:val="0"/>
            <w:vAlign w:val="center"/>
          </w:tcPr>
          <w:p w14:paraId="44B353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0.007</w:t>
            </w:r>
          </w:p>
        </w:tc>
        <w:tc>
          <w:tcPr>
            <w:tcW w:w="305" w:type="pct"/>
            <w:tcBorders>
              <w:tl2br w:val="nil"/>
              <w:tr2bl w:val="nil"/>
            </w:tcBorders>
            <w:noWrap w:val="0"/>
            <w:vAlign w:val="center"/>
          </w:tcPr>
          <w:p w14:paraId="3BE2088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17</w:t>
            </w:r>
          </w:p>
        </w:tc>
        <w:tc>
          <w:tcPr>
            <w:tcW w:w="322" w:type="pct"/>
            <w:tcBorders>
              <w:tl2br w:val="nil"/>
              <w:tr2bl w:val="nil"/>
            </w:tcBorders>
            <w:noWrap w:val="0"/>
            <w:vAlign w:val="center"/>
          </w:tcPr>
          <w:p w14:paraId="04D4603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11</w:t>
            </w:r>
          </w:p>
        </w:tc>
        <w:tc>
          <w:tcPr>
            <w:tcW w:w="393" w:type="pct"/>
            <w:tcBorders>
              <w:tl2br w:val="nil"/>
              <w:tr2bl w:val="nil"/>
            </w:tcBorders>
            <w:noWrap w:val="0"/>
            <w:vAlign w:val="center"/>
          </w:tcPr>
          <w:p w14:paraId="4AF57D4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0.69</w:t>
            </w:r>
          </w:p>
        </w:tc>
      </w:tr>
      <w:tr w14:paraId="25BE1B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605" w:type="pct"/>
            <w:vMerge w:val="continue"/>
            <w:tcBorders>
              <w:tl2br w:val="nil"/>
              <w:tr2bl w:val="nil"/>
            </w:tcBorders>
            <w:noWrap w:val="0"/>
            <w:vAlign w:val="center"/>
          </w:tcPr>
          <w:p w14:paraId="603EAB2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679" w:type="pct"/>
            <w:tcBorders>
              <w:tl2br w:val="nil"/>
              <w:tr2bl w:val="nil"/>
            </w:tcBorders>
            <w:noWrap w:val="0"/>
            <w:vAlign w:val="center"/>
          </w:tcPr>
          <w:p w14:paraId="6C2EFA8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0.5～1.5m</w:t>
            </w:r>
          </w:p>
        </w:tc>
        <w:tc>
          <w:tcPr>
            <w:tcW w:w="373" w:type="pct"/>
            <w:tcBorders>
              <w:tl2br w:val="nil"/>
              <w:tr2bl w:val="nil"/>
            </w:tcBorders>
            <w:noWrap w:val="0"/>
            <w:vAlign w:val="center"/>
          </w:tcPr>
          <w:p w14:paraId="5851036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9.09</w:t>
            </w:r>
          </w:p>
        </w:tc>
        <w:tc>
          <w:tcPr>
            <w:tcW w:w="382" w:type="pct"/>
            <w:tcBorders>
              <w:tl2br w:val="nil"/>
              <w:tr2bl w:val="nil"/>
            </w:tcBorders>
            <w:noWrap w:val="0"/>
            <w:vAlign w:val="center"/>
          </w:tcPr>
          <w:p w14:paraId="5DE9791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6.81</w:t>
            </w:r>
          </w:p>
        </w:tc>
        <w:tc>
          <w:tcPr>
            <w:tcW w:w="365" w:type="pct"/>
            <w:tcBorders>
              <w:tl2br w:val="nil"/>
              <w:tr2bl w:val="nil"/>
            </w:tcBorders>
            <w:noWrap w:val="0"/>
            <w:vAlign w:val="center"/>
          </w:tcPr>
          <w:p w14:paraId="2AB1D10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0.08</w:t>
            </w:r>
          </w:p>
        </w:tc>
        <w:tc>
          <w:tcPr>
            <w:tcW w:w="450" w:type="pct"/>
            <w:tcBorders>
              <w:tl2br w:val="nil"/>
              <w:tr2bl w:val="nil"/>
            </w:tcBorders>
            <w:noWrap w:val="0"/>
            <w:vAlign w:val="center"/>
          </w:tcPr>
          <w:p w14:paraId="6B4948E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82" w:type="pct"/>
            <w:tcBorders>
              <w:tl2br w:val="nil"/>
              <w:tr2bl w:val="nil"/>
            </w:tcBorders>
            <w:noWrap w:val="0"/>
            <w:vAlign w:val="center"/>
          </w:tcPr>
          <w:p w14:paraId="0BBE7E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12</w:t>
            </w:r>
          </w:p>
        </w:tc>
        <w:tc>
          <w:tcPr>
            <w:tcW w:w="318" w:type="pct"/>
            <w:tcBorders>
              <w:tl2br w:val="nil"/>
              <w:tr2bl w:val="nil"/>
            </w:tcBorders>
            <w:noWrap w:val="0"/>
            <w:vAlign w:val="center"/>
          </w:tcPr>
          <w:p w14:paraId="5C77889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14</w:t>
            </w:r>
          </w:p>
        </w:tc>
        <w:tc>
          <w:tcPr>
            <w:tcW w:w="420" w:type="pct"/>
            <w:tcBorders>
              <w:tl2br w:val="nil"/>
              <w:tr2bl w:val="nil"/>
            </w:tcBorders>
            <w:noWrap w:val="0"/>
            <w:vAlign w:val="center"/>
          </w:tcPr>
          <w:p w14:paraId="7B8F2A7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0.004</w:t>
            </w:r>
          </w:p>
        </w:tc>
        <w:tc>
          <w:tcPr>
            <w:tcW w:w="305" w:type="pct"/>
            <w:tcBorders>
              <w:tl2br w:val="nil"/>
              <w:tr2bl w:val="nil"/>
            </w:tcBorders>
            <w:noWrap w:val="0"/>
            <w:vAlign w:val="center"/>
          </w:tcPr>
          <w:p w14:paraId="6234B40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19</w:t>
            </w:r>
          </w:p>
        </w:tc>
        <w:tc>
          <w:tcPr>
            <w:tcW w:w="322" w:type="pct"/>
            <w:tcBorders>
              <w:tl2br w:val="nil"/>
              <w:tr2bl w:val="nil"/>
            </w:tcBorders>
            <w:noWrap w:val="0"/>
            <w:vAlign w:val="center"/>
          </w:tcPr>
          <w:p w14:paraId="720715F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7</w:t>
            </w:r>
          </w:p>
        </w:tc>
        <w:tc>
          <w:tcPr>
            <w:tcW w:w="393" w:type="pct"/>
            <w:tcBorders>
              <w:tl2br w:val="nil"/>
              <w:tr2bl w:val="nil"/>
            </w:tcBorders>
            <w:noWrap w:val="0"/>
            <w:vAlign w:val="center"/>
          </w:tcPr>
          <w:p w14:paraId="6B9C4B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0.43</w:t>
            </w:r>
          </w:p>
        </w:tc>
      </w:tr>
      <w:tr w14:paraId="5BEB60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605" w:type="pct"/>
            <w:vMerge w:val="continue"/>
            <w:tcBorders>
              <w:tl2br w:val="nil"/>
              <w:tr2bl w:val="nil"/>
            </w:tcBorders>
            <w:noWrap w:val="0"/>
            <w:vAlign w:val="center"/>
          </w:tcPr>
          <w:p w14:paraId="0BA0ED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679" w:type="pct"/>
            <w:tcBorders>
              <w:tl2br w:val="nil"/>
              <w:tr2bl w:val="nil"/>
            </w:tcBorders>
            <w:noWrap w:val="0"/>
            <w:vAlign w:val="center"/>
          </w:tcPr>
          <w:p w14:paraId="2CC2408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1.5～3.0m</w:t>
            </w:r>
          </w:p>
        </w:tc>
        <w:tc>
          <w:tcPr>
            <w:tcW w:w="373" w:type="pct"/>
            <w:tcBorders>
              <w:tl2br w:val="nil"/>
              <w:tr2bl w:val="nil"/>
            </w:tcBorders>
            <w:noWrap w:val="0"/>
            <w:vAlign w:val="center"/>
          </w:tcPr>
          <w:p w14:paraId="15027C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9.10</w:t>
            </w:r>
          </w:p>
        </w:tc>
        <w:tc>
          <w:tcPr>
            <w:tcW w:w="382" w:type="pct"/>
            <w:tcBorders>
              <w:tl2br w:val="nil"/>
              <w:tr2bl w:val="nil"/>
            </w:tcBorders>
            <w:noWrap w:val="0"/>
            <w:vAlign w:val="center"/>
          </w:tcPr>
          <w:p w14:paraId="229DCD7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8.95</w:t>
            </w:r>
          </w:p>
        </w:tc>
        <w:tc>
          <w:tcPr>
            <w:tcW w:w="365" w:type="pct"/>
            <w:tcBorders>
              <w:tl2br w:val="nil"/>
              <w:tr2bl w:val="nil"/>
            </w:tcBorders>
            <w:noWrap w:val="0"/>
            <w:vAlign w:val="center"/>
          </w:tcPr>
          <w:p w14:paraId="29E4B1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0.10</w:t>
            </w:r>
          </w:p>
        </w:tc>
        <w:tc>
          <w:tcPr>
            <w:tcW w:w="450" w:type="pct"/>
            <w:tcBorders>
              <w:tl2br w:val="nil"/>
              <w:tr2bl w:val="nil"/>
            </w:tcBorders>
            <w:noWrap w:val="0"/>
            <w:vAlign w:val="center"/>
          </w:tcPr>
          <w:p w14:paraId="1272DB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82" w:type="pct"/>
            <w:tcBorders>
              <w:tl2br w:val="nil"/>
              <w:tr2bl w:val="nil"/>
            </w:tcBorders>
            <w:noWrap w:val="0"/>
            <w:vAlign w:val="center"/>
          </w:tcPr>
          <w:p w14:paraId="488AD9B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11</w:t>
            </w:r>
          </w:p>
        </w:tc>
        <w:tc>
          <w:tcPr>
            <w:tcW w:w="318" w:type="pct"/>
            <w:tcBorders>
              <w:tl2br w:val="nil"/>
              <w:tr2bl w:val="nil"/>
            </w:tcBorders>
            <w:noWrap w:val="0"/>
            <w:vAlign w:val="center"/>
          </w:tcPr>
          <w:p w14:paraId="6963010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16</w:t>
            </w:r>
          </w:p>
        </w:tc>
        <w:tc>
          <w:tcPr>
            <w:tcW w:w="420" w:type="pct"/>
            <w:tcBorders>
              <w:tl2br w:val="nil"/>
              <w:tr2bl w:val="nil"/>
            </w:tcBorders>
            <w:noWrap w:val="0"/>
            <w:vAlign w:val="center"/>
          </w:tcPr>
          <w:p w14:paraId="3347A3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0.004</w:t>
            </w:r>
          </w:p>
        </w:tc>
        <w:tc>
          <w:tcPr>
            <w:tcW w:w="305" w:type="pct"/>
            <w:tcBorders>
              <w:tl2br w:val="nil"/>
              <w:tr2bl w:val="nil"/>
            </w:tcBorders>
            <w:noWrap w:val="0"/>
            <w:vAlign w:val="center"/>
          </w:tcPr>
          <w:p w14:paraId="3AC47F2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14</w:t>
            </w:r>
          </w:p>
        </w:tc>
        <w:tc>
          <w:tcPr>
            <w:tcW w:w="322" w:type="pct"/>
            <w:tcBorders>
              <w:tl2br w:val="nil"/>
              <w:tr2bl w:val="nil"/>
            </w:tcBorders>
            <w:noWrap w:val="0"/>
            <w:vAlign w:val="center"/>
          </w:tcPr>
          <w:p w14:paraId="42352DC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14</w:t>
            </w:r>
          </w:p>
        </w:tc>
        <w:tc>
          <w:tcPr>
            <w:tcW w:w="393" w:type="pct"/>
            <w:tcBorders>
              <w:tl2br w:val="nil"/>
              <w:tr2bl w:val="nil"/>
            </w:tcBorders>
            <w:noWrap w:val="0"/>
            <w:vAlign w:val="center"/>
          </w:tcPr>
          <w:p w14:paraId="6149BBB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0.23</w:t>
            </w:r>
          </w:p>
        </w:tc>
      </w:tr>
      <w:tr w14:paraId="319E80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605" w:type="pct"/>
            <w:vMerge w:val="restart"/>
            <w:tcBorders>
              <w:tl2br w:val="nil"/>
              <w:tr2bl w:val="nil"/>
            </w:tcBorders>
            <w:noWrap w:val="0"/>
            <w:vAlign w:val="center"/>
          </w:tcPr>
          <w:p w14:paraId="2867536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MBHW6008井场内</w:t>
            </w:r>
          </w:p>
        </w:tc>
        <w:tc>
          <w:tcPr>
            <w:tcW w:w="679" w:type="pct"/>
            <w:tcBorders>
              <w:tl2br w:val="nil"/>
              <w:tr2bl w:val="nil"/>
            </w:tcBorders>
            <w:noWrap w:val="0"/>
            <w:vAlign w:val="center"/>
          </w:tcPr>
          <w:p w14:paraId="6F0C49A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0～0.5m</w:t>
            </w:r>
          </w:p>
        </w:tc>
        <w:tc>
          <w:tcPr>
            <w:tcW w:w="373" w:type="pct"/>
            <w:tcBorders>
              <w:tl2br w:val="nil"/>
              <w:tr2bl w:val="nil"/>
            </w:tcBorders>
            <w:noWrap w:val="0"/>
            <w:vAlign w:val="center"/>
          </w:tcPr>
          <w:p w14:paraId="79C7CE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9.06</w:t>
            </w:r>
          </w:p>
        </w:tc>
        <w:tc>
          <w:tcPr>
            <w:tcW w:w="382" w:type="pct"/>
            <w:tcBorders>
              <w:tl2br w:val="nil"/>
              <w:tr2bl w:val="nil"/>
            </w:tcBorders>
            <w:noWrap w:val="0"/>
            <w:vAlign w:val="center"/>
          </w:tcPr>
          <w:p w14:paraId="6AF13F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6.53</w:t>
            </w:r>
          </w:p>
        </w:tc>
        <w:tc>
          <w:tcPr>
            <w:tcW w:w="365" w:type="pct"/>
            <w:tcBorders>
              <w:tl2br w:val="nil"/>
              <w:tr2bl w:val="nil"/>
            </w:tcBorders>
            <w:noWrap w:val="0"/>
            <w:vAlign w:val="center"/>
          </w:tcPr>
          <w:p w14:paraId="18C10A4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0.10</w:t>
            </w:r>
          </w:p>
        </w:tc>
        <w:tc>
          <w:tcPr>
            <w:tcW w:w="450" w:type="pct"/>
            <w:tcBorders>
              <w:tl2br w:val="nil"/>
              <w:tr2bl w:val="nil"/>
            </w:tcBorders>
            <w:noWrap w:val="0"/>
            <w:vAlign w:val="center"/>
          </w:tcPr>
          <w:p w14:paraId="320E672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82" w:type="pct"/>
            <w:tcBorders>
              <w:tl2br w:val="nil"/>
              <w:tr2bl w:val="nil"/>
            </w:tcBorders>
            <w:noWrap w:val="0"/>
            <w:vAlign w:val="center"/>
          </w:tcPr>
          <w:p w14:paraId="0CD73D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16</w:t>
            </w:r>
          </w:p>
        </w:tc>
        <w:tc>
          <w:tcPr>
            <w:tcW w:w="318" w:type="pct"/>
            <w:tcBorders>
              <w:tl2br w:val="nil"/>
              <w:tr2bl w:val="nil"/>
            </w:tcBorders>
            <w:noWrap w:val="0"/>
            <w:vAlign w:val="center"/>
          </w:tcPr>
          <w:p w14:paraId="13F49C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43</w:t>
            </w:r>
          </w:p>
        </w:tc>
        <w:tc>
          <w:tcPr>
            <w:tcW w:w="420" w:type="pct"/>
            <w:tcBorders>
              <w:tl2br w:val="nil"/>
              <w:tr2bl w:val="nil"/>
            </w:tcBorders>
            <w:noWrap w:val="0"/>
            <w:vAlign w:val="center"/>
          </w:tcPr>
          <w:p w14:paraId="3031BA4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0.005</w:t>
            </w:r>
          </w:p>
        </w:tc>
        <w:tc>
          <w:tcPr>
            <w:tcW w:w="305" w:type="pct"/>
            <w:tcBorders>
              <w:tl2br w:val="nil"/>
              <w:tr2bl w:val="nil"/>
            </w:tcBorders>
            <w:noWrap w:val="0"/>
            <w:vAlign w:val="center"/>
          </w:tcPr>
          <w:p w14:paraId="65BA7AC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14</w:t>
            </w:r>
          </w:p>
        </w:tc>
        <w:tc>
          <w:tcPr>
            <w:tcW w:w="322" w:type="pct"/>
            <w:tcBorders>
              <w:tl2br w:val="nil"/>
              <w:tr2bl w:val="nil"/>
            </w:tcBorders>
            <w:noWrap w:val="0"/>
            <w:vAlign w:val="center"/>
          </w:tcPr>
          <w:p w14:paraId="02D381E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w:t>
            </w:r>
          </w:p>
        </w:tc>
        <w:tc>
          <w:tcPr>
            <w:tcW w:w="393" w:type="pct"/>
            <w:tcBorders>
              <w:tl2br w:val="nil"/>
              <w:tr2bl w:val="nil"/>
            </w:tcBorders>
            <w:noWrap w:val="0"/>
            <w:vAlign w:val="center"/>
          </w:tcPr>
          <w:p w14:paraId="58D3D9E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0.48</w:t>
            </w:r>
          </w:p>
        </w:tc>
      </w:tr>
      <w:tr w14:paraId="20BD84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605" w:type="pct"/>
            <w:vMerge w:val="continue"/>
            <w:tcBorders>
              <w:tl2br w:val="nil"/>
              <w:tr2bl w:val="nil"/>
            </w:tcBorders>
            <w:noWrap w:val="0"/>
            <w:vAlign w:val="center"/>
          </w:tcPr>
          <w:p w14:paraId="379B19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679" w:type="pct"/>
            <w:tcBorders>
              <w:tl2br w:val="nil"/>
              <w:tr2bl w:val="nil"/>
            </w:tcBorders>
            <w:noWrap w:val="0"/>
            <w:vAlign w:val="center"/>
          </w:tcPr>
          <w:p w14:paraId="7A7980D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0.5～1.5m</w:t>
            </w:r>
          </w:p>
        </w:tc>
        <w:tc>
          <w:tcPr>
            <w:tcW w:w="373" w:type="pct"/>
            <w:tcBorders>
              <w:tl2br w:val="nil"/>
              <w:tr2bl w:val="nil"/>
            </w:tcBorders>
            <w:noWrap w:val="0"/>
            <w:vAlign w:val="center"/>
          </w:tcPr>
          <w:p w14:paraId="2C44BB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9.33</w:t>
            </w:r>
          </w:p>
        </w:tc>
        <w:tc>
          <w:tcPr>
            <w:tcW w:w="382" w:type="pct"/>
            <w:tcBorders>
              <w:tl2br w:val="nil"/>
              <w:tr2bl w:val="nil"/>
            </w:tcBorders>
            <w:noWrap w:val="0"/>
            <w:vAlign w:val="center"/>
          </w:tcPr>
          <w:p w14:paraId="0467CF0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6.72</w:t>
            </w:r>
          </w:p>
        </w:tc>
        <w:tc>
          <w:tcPr>
            <w:tcW w:w="365" w:type="pct"/>
            <w:tcBorders>
              <w:tl2br w:val="nil"/>
              <w:tr2bl w:val="nil"/>
            </w:tcBorders>
            <w:noWrap w:val="0"/>
            <w:vAlign w:val="center"/>
          </w:tcPr>
          <w:p w14:paraId="1503A83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0.11</w:t>
            </w:r>
          </w:p>
        </w:tc>
        <w:tc>
          <w:tcPr>
            <w:tcW w:w="450" w:type="pct"/>
            <w:tcBorders>
              <w:tl2br w:val="nil"/>
              <w:tr2bl w:val="nil"/>
            </w:tcBorders>
            <w:noWrap w:val="0"/>
            <w:vAlign w:val="center"/>
          </w:tcPr>
          <w:p w14:paraId="026B523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82" w:type="pct"/>
            <w:tcBorders>
              <w:tl2br w:val="nil"/>
              <w:tr2bl w:val="nil"/>
            </w:tcBorders>
            <w:noWrap w:val="0"/>
            <w:vAlign w:val="center"/>
          </w:tcPr>
          <w:p w14:paraId="6335337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16</w:t>
            </w:r>
          </w:p>
        </w:tc>
        <w:tc>
          <w:tcPr>
            <w:tcW w:w="318" w:type="pct"/>
            <w:tcBorders>
              <w:tl2br w:val="nil"/>
              <w:tr2bl w:val="nil"/>
            </w:tcBorders>
            <w:noWrap w:val="0"/>
            <w:vAlign w:val="center"/>
          </w:tcPr>
          <w:p w14:paraId="2848549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21</w:t>
            </w:r>
          </w:p>
        </w:tc>
        <w:tc>
          <w:tcPr>
            <w:tcW w:w="420" w:type="pct"/>
            <w:tcBorders>
              <w:tl2br w:val="nil"/>
              <w:tr2bl w:val="nil"/>
            </w:tcBorders>
            <w:noWrap w:val="0"/>
            <w:vAlign w:val="center"/>
          </w:tcPr>
          <w:p w14:paraId="42722A5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0.004</w:t>
            </w:r>
          </w:p>
        </w:tc>
        <w:tc>
          <w:tcPr>
            <w:tcW w:w="305" w:type="pct"/>
            <w:tcBorders>
              <w:tl2br w:val="nil"/>
              <w:tr2bl w:val="nil"/>
            </w:tcBorders>
            <w:noWrap w:val="0"/>
            <w:vAlign w:val="center"/>
          </w:tcPr>
          <w:p w14:paraId="661759D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w:t>
            </w:r>
          </w:p>
        </w:tc>
        <w:tc>
          <w:tcPr>
            <w:tcW w:w="322" w:type="pct"/>
            <w:tcBorders>
              <w:tl2br w:val="nil"/>
              <w:tr2bl w:val="nil"/>
            </w:tcBorders>
            <w:noWrap w:val="0"/>
            <w:vAlign w:val="center"/>
          </w:tcPr>
          <w:p w14:paraId="046D703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w:t>
            </w:r>
          </w:p>
        </w:tc>
        <w:tc>
          <w:tcPr>
            <w:tcW w:w="393" w:type="pct"/>
            <w:tcBorders>
              <w:tl2br w:val="nil"/>
              <w:tr2bl w:val="nil"/>
            </w:tcBorders>
            <w:noWrap w:val="0"/>
            <w:vAlign w:val="center"/>
          </w:tcPr>
          <w:p w14:paraId="73EB943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0.42</w:t>
            </w:r>
          </w:p>
        </w:tc>
      </w:tr>
      <w:tr w14:paraId="319C83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605" w:type="pct"/>
            <w:vMerge w:val="continue"/>
            <w:tcBorders>
              <w:tl2br w:val="nil"/>
              <w:tr2bl w:val="nil"/>
            </w:tcBorders>
            <w:noWrap w:val="0"/>
            <w:vAlign w:val="center"/>
          </w:tcPr>
          <w:p w14:paraId="248A781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679" w:type="pct"/>
            <w:tcBorders>
              <w:tl2br w:val="nil"/>
              <w:tr2bl w:val="nil"/>
            </w:tcBorders>
            <w:noWrap w:val="0"/>
            <w:vAlign w:val="center"/>
          </w:tcPr>
          <w:p w14:paraId="105265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1.5～3.0m</w:t>
            </w:r>
          </w:p>
        </w:tc>
        <w:tc>
          <w:tcPr>
            <w:tcW w:w="373" w:type="pct"/>
            <w:tcBorders>
              <w:tl2br w:val="nil"/>
              <w:tr2bl w:val="nil"/>
            </w:tcBorders>
            <w:noWrap w:val="0"/>
            <w:vAlign w:val="center"/>
          </w:tcPr>
          <w:p w14:paraId="501ACE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9.56</w:t>
            </w:r>
          </w:p>
        </w:tc>
        <w:tc>
          <w:tcPr>
            <w:tcW w:w="382" w:type="pct"/>
            <w:tcBorders>
              <w:tl2br w:val="nil"/>
              <w:tr2bl w:val="nil"/>
            </w:tcBorders>
            <w:noWrap w:val="0"/>
            <w:vAlign w:val="center"/>
          </w:tcPr>
          <w:p w14:paraId="1FF100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7.30</w:t>
            </w:r>
          </w:p>
        </w:tc>
        <w:tc>
          <w:tcPr>
            <w:tcW w:w="365" w:type="pct"/>
            <w:tcBorders>
              <w:tl2br w:val="nil"/>
              <w:tr2bl w:val="nil"/>
            </w:tcBorders>
            <w:noWrap w:val="0"/>
            <w:vAlign w:val="center"/>
          </w:tcPr>
          <w:p w14:paraId="7424300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0.09</w:t>
            </w:r>
          </w:p>
        </w:tc>
        <w:tc>
          <w:tcPr>
            <w:tcW w:w="450" w:type="pct"/>
            <w:tcBorders>
              <w:tl2br w:val="nil"/>
              <w:tr2bl w:val="nil"/>
            </w:tcBorders>
            <w:noWrap w:val="0"/>
            <w:vAlign w:val="center"/>
          </w:tcPr>
          <w:p w14:paraId="55D14F9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82" w:type="pct"/>
            <w:tcBorders>
              <w:tl2br w:val="nil"/>
              <w:tr2bl w:val="nil"/>
            </w:tcBorders>
            <w:noWrap w:val="0"/>
            <w:vAlign w:val="center"/>
          </w:tcPr>
          <w:p w14:paraId="28D5CE1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15</w:t>
            </w:r>
          </w:p>
        </w:tc>
        <w:tc>
          <w:tcPr>
            <w:tcW w:w="318" w:type="pct"/>
            <w:tcBorders>
              <w:tl2br w:val="nil"/>
              <w:tr2bl w:val="nil"/>
            </w:tcBorders>
            <w:noWrap w:val="0"/>
            <w:vAlign w:val="center"/>
          </w:tcPr>
          <w:p w14:paraId="1DBA7F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21</w:t>
            </w:r>
          </w:p>
        </w:tc>
        <w:tc>
          <w:tcPr>
            <w:tcW w:w="420" w:type="pct"/>
            <w:tcBorders>
              <w:tl2br w:val="nil"/>
              <w:tr2bl w:val="nil"/>
            </w:tcBorders>
            <w:noWrap w:val="0"/>
            <w:vAlign w:val="center"/>
          </w:tcPr>
          <w:p w14:paraId="4EA04C2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0.009</w:t>
            </w:r>
          </w:p>
        </w:tc>
        <w:tc>
          <w:tcPr>
            <w:tcW w:w="305" w:type="pct"/>
            <w:tcBorders>
              <w:tl2br w:val="nil"/>
              <w:tr2bl w:val="nil"/>
            </w:tcBorders>
            <w:noWrap w:val="0"/>
            <w:vAlign w:val="center"/>
          </w:tcPr>
          <w:p w14:paraId="6CF4A40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15</w:t>
            </w:r>
          </w:p>
        </w:tc>
        <w:tc>
          <w:tcPr>
            <w:tcW w:w="322" w:type="pct"/>
            <w:tcBorders>
              <w:tl2br w:val="nil"/>
              <w:tr2bl w:val="nil"/>
            </w:tcBorders>
            <w:noWrap w:val="0"/>
            <w:vAlign w:val="center"/>
          </w:tcPr>
          <w:p w14:paraId="3BBF579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w:t>
            </w:r>
          </w:p>
        </w:tc>
        <w:tc>
          <w:tcPr>
            <w:tcW w:w="393" w:type="pct"/>
            <w:tcBorders>
              <w:tl2br w:val="nil"/>
              <w:tr2bl w:val="nil"/>
            </w:tcBorders>
            <w:noWrap w:val="0"/>
            <w:vAlign w:val="center"/>
          </w:tcPr>
          <w:p w14:paraId="682F20C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0.65</w:t>
            </w:r>
          </w:p>
        </w:tc>
      </w:tr>
      <w:tr w14:paraId="406B96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605" w:type="pct"/>
            <w:vMerge w:val="restart"/>
            <w:tcBorders>
              <w:tl2br w:val="nil"/>
              <w:tr2bl w:val="nil"/>
            </w:tcBorders>
            <w:noWrap w:val="0"/>
            <w:vAlign w:val="center"/>
          </w:tcPr>
          <w:p w14:paraId="0C452B1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莫109转油站站内</w:t>
            </w:r>
          </w:p>
        </w:tc>
        <w:tc>
          <w:tcPr>
            <w:tcW w:w="679" w:type="pct"/>
            <w:tcBorders>
              <w:tl2br w:val="nil"/>
              <w:tr2bl w:val="nil"/>
            </w:tcBorders>
            <w:noWrap w:val="0"/>
            <w:vAlign w:val="center"/>
          </w:tcPr>
          <w:p w14:paraId="4C76BBD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0～0.5m</w:t>
            </w:r>
          </w:p>
        </w:tc>
        <w:tc>
          <w:tcPr>
            <w:tcW w:w="373" w:type="pct"/>
            <w:tcBorders>
              <w:tl2br w:val="nil"/>
              <w:tr2bl w:val="nil"/>
            </w:tcBorders>
            <w:noWrap w:val="0"/>
            <w:vAlign w:val="center"/>
          </w:tcPr>
          <w:p w14:paraId="371754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9.48</w:t>
            </w:r>
          </w:p>
        </w:tc>
        <w:tc>
          <w:tcPr>
            <w:tcW w:w="382" w:type="pct"/>
            <w:tcBorders>
              <w:tl2br w:val="nil"/>
              <w:tr2bl w:val="nil"/>
            </w:tcBorders>
            <w:noWrap w:val="0"/>
            <w:vAlign w:val="center"/>
          </w:tcPr>
          <w:p w14:paraId="05FCCB9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6.10</w:t>
            </w:r>
          </w:p>
        </w:tc>
        <w:tc>
          <w:tcPr>
            <w:tcW w:w="365" w:type="pct"/>
            <w:tcBorders>
              <w:tl2br w:val="nil"/>
              <w:tr2bl w:val="nil"/>
            </w:tcBorders>
            <w:noWrap w:val="0"/>
            <w:vAlign w:val="center"/>
          </w:tcPr>
          <w:p w14:paraId="1C5E6D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0.07</w:t>
            </w:r>
          </w:p>
        </w:tc>
        <w:tc>
          <w:tcPr>
            <w:tcW w:w="450" w:type="pct"/>
            <w:tcBorders>
              <w:tl2br w:val="nil"/>
              <w:tr2bl w:val="nil"/>
            </w:tcBorders>
            <w:noWrap w:val="0"/>
            <w:vAlign w:val="center"/>
          </w:tcPr>
          <w:p w14:paraId="402B9EC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82" w:type="pct"/>
            <w:tcBorders>
              <w:tl2br w:val="nil"/>
              <w:tr2bl w:val="nil"/>
            </w:tcBorders>
            <w:noWrap w:val="0"/>
            <w:vAlign w:val="center"/>
          </w:tcPr>
          <w:p w14:paraId="6CCE79A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17</w:t>
            </w:r>
          </w:p>
        </w:tc>
        <w:tc>
          <w:tcPr>
            <w:tcW w:w="318" w:type="pct"/>
            <w:tcBorders>
              <w:tl2br w:val="nil"/>
              <w:tr2bl w:val="nil"/>
            </w:tcBorders>
            <w:noWrap w:val="0"/>
            <w:vAlign w:val="center"/>
          </w:tcPr>
          <w:p w14:paraId="1CB0A95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18</w:t>
            </w:r>
          </w:p>
        </w:tc>
        <w:tc>
          <w:tcPr>
            <w:tcW w:w="420" w:type="pct"/>
            <w:tcBorders>
              <w:tl2br w:val="nil"/>
              <w:tr2bl w:val="nil"/>
            </w:tcBorders>
            <w:noWrap w:val="0"/>
            <w:vAlign w:val="center"/>
          </w:tcPr>
          <w:p w14:paraId="3F709C3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0.029</w:t>
            </w:r>
          </w:p>
        </w:tc>
        <w:tc>
          <w:tcPr>
            <w:tcW w:w="305" w:type="pct"/>
            <w:tcBorders>
              <w:tl2br w:val="nil"/>
              <w:tr2bl w:val="nil"/>
            </w:tcBorders>
            <w:noWrap w:val="0"/>
            <w:vAlign w:val="center"/>
          </w:tcPr>
          <w:p w14:paraId="637165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17</w:t>
            </w:r>
          </w:p>
        </w:tc>
        <w:tc>
          <w:tcPr>
            <w:tcW w:w="322" w:type="pct"/>
            <w:tcBorders>
              <w:tl2br w:val="nil"/>
              <w:tr2bl w:val="nil"/>
            </w:tcBorders>
            <w:noWrap w:val="0"/>
            <w:vAlign w:val="center"/>
          </w:tcPr>
          <w:p w14:paraId="28B9B7A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w:t>
            </w:r>
          </w:p>
        </w:tc>
        <w:tc>
          <w:tcPr>
            <w:tcW w:w="393" w:type="pct"/>
            <w:tcBorders>
              <w:tl2br w:val="nil"/>
              <w:tr2bl w:val="nil"/>
            </w:tcBorders>
            <w:noWrap w:val="0"/>
            <w:vAlign w:val="center"/>
          </w:tcPr>
          <w:p w14:paraId="68747F4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1.50</w:t>
            </w:r>
          </w:p>
        </w:tc>
      </w:tr>
      <w:tr w14:paraId="7CBBF0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605" w:type="pct"/>
            <w:vMerge w:val="continue"/>
            <w:tcBorders>
              <w:tl2br w:val="nil"/>
              <w:tr2bl w:val="nil"/>
            </w:tcBorders>
            <w:noWrap w:val="0"/>
            <w:vAlign w:val="center"/>
          </w:tcPr>
          <w:p w14:paraId="12FFAE6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679" w:type="pct"/>
            <w:tcBorders>
              <w:tl2br w:val="nil"/>
              <w:tr2bl w:val="nil"/>
            </w:tcBorders>
            <w:noWrap w:val="0"/>
            <w:vAlign w:val="center"/>
          </w:tcPr>
          <w:p w14:paraId="187FDF3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0.5～1.5m</w:t>
            </w:r>
          </w:p>
        </w:tc>
        <w:tc>
          <w:tcPr>
            <w:tcW w:w="373" w:type="pct"/>
            <w:tcBorders>
              <w:tl2br w:val="nil"/>
              <w:tr2bl w:val="nil"/>
            </w:tcBorders>
            <w:noWrap w:val="0"/>
            <w:vAlign w:val="center"/>
          </w:tcPr>
          <w:p w14:paraId="53D55A6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9.56</w:t>
            </w:r>
          </w:p>
        </w:tc>
        <w:tc>
          <w:tcPr>
            <w:tcW w:w="382" w:type="pct"/>
            <w:tcBorders>
              <w:tl2br w:val="nil"/>
              <w:tr2bl w:val="nil"/>
            </w:tcBorders>
            <w:noWrap w:val="0"/>
            <w:vAlign w:val="center"/>
          </w:tcPr>
          <w:p w14:paraId="36C9B5D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7.23</w:t>
            </w:r>
          </w:p>
        </w:tc>
        <w:tc>
          <w:tcPr>
            <w:tcW w:w="365" w:type="pct"/>
            <w:tcBorders>
              <w:tl2br w:val="nil"/>
              <w:tr2bl w:val="nil"/>
            </w:tcBorders>
            <w:noWrap w:val="0"/>
            <w:vAlign w:val="center"/>
          </w:tcPr>
          <w:p w14:paraId="5F01F53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0.06</w:t>
            </w:r>
          </w:p>
        </w:tc>
        <w:tc>
          <w:tcPr>
            <w:tcW w:w="450" w:type="pct"/>
            <w:tcBorders>
              <w:tl2br w:val="nil"/>
              <w:tr2bl w:val="nil"/>
            </w:tcBorders>
            <w:noWrap w:val="0"/>
            <w:vAlign w:val="center"/>
          </w:tcPr>
          <w:p w14:paraId="2D9B125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82" w:type="pct"/>
            <w:tcBorders>
              <w:tl2br w:val="nil"/>
              <w:tr2bl w:val="nil"/>
            </w:tcBorders>
            <w:noWrap w:val="0"/>
            <w:vAlign w:val="center"/>
          </w:tcPr>
          <w:p w14:paraId="03BB7B7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16</w:t>
            </w:r>
          </w:p>
        </w:tc>
        <w:tc>
          <w:tcPr>
            <w:tcW w:w="318" w:type="pct"/>
            <w:tcBorders>
              <w:tl2br w:val="nil"/>
              <w:tr2bl w:val="nil"/>
            </w:tcBorders>
            <w:noWrap w:val="0"/>
            <w:vAlign w:val="center"/>
          </w:tcPr>
          <w:p w14:paraId="4A15A24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18</w:t>
            </w:r>
          </w:p>
        </w:tc>
        <w:tc>
          <w:tcPr>
            <w:tcW w:w="420" w:type="pct"/>
            <w:tcBorders>
              <w:tl2br w:val="nil"/>
              <w:tr2bl w:val="nil"/>
            </w:tcBorders>
            <w:noWrap w:val="0"/>
            <w:vAlign w:val="center"/>
          </w:tcPr>
          <w:p w14:paraId="6B3C4AC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0.004</w:t>
            </w:r>
          </w:p>
        </w:tc>
        <w:tc>
          <w:tcPr>
            <w:tcW w:w="305" w:type="pct"/>
            <w:tcBorders>
              <w:tl2br w:val="nil"/>
              <w:tr2bl w:val="nil"/>
            </w:tcBorders>
            <w:noWrap w:val="0"/>
            <w:vAlign w:val="center"/>
          </w:tcPr>
          <w:p w14:paraId="19BCA63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17</w:t>
            </w:r>
          </w:p>
        </w:tc>
        <w:tc>
          <w:tcPr>
            <w:tcW w:w="322" w:type="pct"/>
            <w:tcBorders>
              <w:tl2br w:val="nil"/>
              <w:tr2bl w:val="nil"/>
            </w:tcBorders>
            <w:noWrap w:val="0"/>
            <w:vAlign w:val="center"/>
          </w:tcPr>
          <w:p w14:paraId="2843553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9</w:t>
            </w:r>
          </w:p>
        </w:tc>
        <w:tc>
          <w:tcPr>
            <w:tcW w:w="393" w:type="pct"/>
            <w:tcBorders>
              <w:tl2br w:val="nil"/>
              <w:tr2bl w:val="nil"/>
            </w:tcBorders>
            <w:noWrap w:val="0"/>
            <w:vAlign w:val="center"/>
          </w:tcPr>
          <w:p w14:paraId="0F682FD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0.58</w:t>
            </w:r>
          </w:p>
        </w:tc>
      </w:tr>
      <w:tr w14:paraId="78CD5A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605" w:type="pct"/>
            <w:vMerge w:val="continue"/>
            <w:tcBorders>
              <w:tl2br w:val="nil"/>
              <w:tr2bl w:val="nil"/>
            </w:tcBorders>
            <w:noWrap w:val="0"/>
            <w:vAlign w:val="center"/>
          </w:tcPr>
          <w:p w14:paraId="58135F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679" w:type="pct"/>
            <w:tcBorders>
              <w:tl2br w:val="nil"/>
              <w:tr2bl w:val="nil"/>
            </w:tcBorders>
            <w:noWrap w:val="0"/>
            <w:vAlign w:val="center"/>
          </w:tcPr>
          <w:p w14:paraId="6D704C3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1.5～3.0m</w:t>
            </w:r>
          </w:p>
        </w:tc>
        <w:tc>
          <w:tcPr>
            <w:tcW w:w="373" w:type="pct"/>
            <w:tcBorders>
              <w:tl2br w:val="nil"/>
              <w:tr2bl w:val="nil"/>
            </w:tcBorders>
            <w:noWrap w:val="0"/>
            <w:vAlign w:val="center"/>
          </w:tcPr>
          <w:p w14:paraId="028EBD1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9.66</w:t>
            </w:r>
          </w:p>
        </w:tc>
        <w:tc>
          <w:tcPr>
            <w:tcW w:w="382" w:type="pct"/>
            <w:tcBorders>
              <w:tl2br w:val="nil"/>
              <w:tr2bl w:val="nil"/>
            </w:tcBorders>
            <w:noWrap w:val="0"/>
            <w:vAlign w:val="center"/>
          </w:tcPr>
          <w:p w14:paraId="2CBEF8E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5.75</w:t>
            </w:r>
          </w:p>
        </w:tc>
        <w:tc>
          <w:tcPr>
            <w:tcW w:w="365" w:type="pct"/>
            <w:tcBorders>
              <w:tl2br w:val="nil"/>
              <w:tr2bl w:val="nil"/>
            </w:tcBorders>
            <w:noWrap w:val="0"/>
            <w:vAlign w:val="center"/>
          </w:tcPr>
          <w:p w14:paraId="6A759FB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0.12</w:t>
            </w:r>
          </w:p>
        </w:tc>
        <w:tc>
          <w:tcPr>
            <w:tcW w:w="450" w:type="pct"/>
            <w:tcBorders>
              <w:tl2br w:val="nil"/>
              <w:tr2bl w:val="nil"/>
            </w:tcBorders>
            <w:noWrap w:val="0"/>
            <w:vAlign w:val="center"/>
          </w:tcPr>
          <w:p w14:paraId="5AC42C4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82" w:type="pct"/>
            <w:tcBorders>
              <w:tl2br w:val="nil"/>
              <w:tr2bl w:val="nil"/>
            </w:tcBorders>
            <w:noWrap w:val="0"/>
            <w:vAlign w:val="center"/>
          </w:tcPr>
          <w:p w14:paraId="5C4C259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10</w:t>
            </w:r>
          </w:p>
        </w:tc>
        <w:tc>
          <w:tcPr>
            <w:tcW w:w="318" w:type="pct"/>
            <w:tcBorders>
              <w:tl2br w:val="nil"/>
              <w:tr2bl w:val="nil"/>
            </w:tcBorders>
            <w:noWrap w:val="0"/>
            <w:vAlign w:val="center"/>
          </w:tcPr>
          <w:p w14:paraId="015540F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11</w:t>
            </w:r>
          </w:p>
        </w:tc>
        <w:tc>
          <w:tcPr>
            <w:tcW w:w="420" w:type="pct"/>
            <w:tcBorders>
              <w:tl2br w:val="nil"/>
              <w:tr2bl w:val="nil"/>
            </w:tcBorders>
            <w:noWrap w:val="0"/>
            <w:vAlign w:val="center"/>
          </w:tcPr>
          <w:p w14:paraId="02231E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0.007</w:t>
            </w:r>
          </w:p>
        </w:tc>
        <w:tc>
          <w:tcPr>
            <w:tcW w:w="305" w:type="pct"/>
            <w:tcBorders>
              <w:tl2br w:val="nil"/>
              <w:tr2bl w:val="nil"/>
            </w:tcBorders>
            <w:noWrap w:val="0"/>
            <w:vAlign w:val="center"/>
          </w:tcPr>
          <w:p w14:paraId="5843EBA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16</w:t>
            </w:r>
          </w:p>
        </w:tc>
        <w:tc>
          <w:tcPr>
            <w:tcW w:w="322" w:type="pct"/>
            <w:tcBorders>
              <w:tl2br w:val="nil"/>
              <w:tr2bl w:val="nil"/>
            </w:tcBorders>
            <w:noWrap w:val="0"/>
            <w:vAlign w:val="center"/>
          </w:tcPr>
          <w:p w14:paraId="4798FEC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w:t>
            </w:r>
          </w:p>
        </w:tc>
        <w:tc>
          <w:tcPr>
            <w:tcW w:w="393" w:type="pct"/>
            <w:tcBorders>
              <w:tl2br w:val="nil"/>
              <w:tr2bl w:val="nil"/>
            </w:tcBorders>
            <w:noWrap w:val="0"/>
            <w:vAlign w:val="center"/>
          </w:tcPr>
          <w:p w14:paraId="6B2C410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0.55</w:t>
            </w:r>
          </w:p>
        </w:tc>
      </w:tr>
      <w:tr w14:paraId="2298DE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284" w:type="pct"/>
            <w:gridSpan w:val="2"/>
            <w:tcBorders>
              <w:tl2br w:val="nil"/>
              <w:tr2bl w:val="nil"/>
            </w:tcBorders>
            <w:noWrap w:val="0"/>
            <w:vAlign w:val="center"/>
          </w:tcPr>
          <w:p w14:paraId="3BEC6BB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标准值</w:t>
            </w:r>
          </w:p>
        </w:tc>
        <w:tc>
          <w:tcPr>
            <w:tcW w:w="373" w:type="pct"/>
            <w:tcBorders>
              <w:tl2br w:val="nil"/>
              <w:tr2bl w:val="nil"/>
            </w:tcBorders>
            <w:noWrap w:val="0"/>
            <w:vAlign w:val="center"/>
          </w:tcPr>
          <w:p w14:paraId="520CC9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w:t>
            </w:r>
          </w:p>
        </w:tc>
        <w:tc>
          <w:tcPr>
            <w:tcW w:w="382" w:type="pct"/>
            <w:tcBorders>
              <w:tl2br w:val="nil"/>
              <w:tr2bl w:val="nil"/>
            </w:tcBorders>
            <w:noWrap w:val="0"/>
            <w:vAlign w:val="center"/>
          </w:tcPr>
          <w:p w14:paraId="01A69C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60</w:t>
            </w:r>
          </w:p>
        </w:tc>
        <w:tc>
          <w:tcPr>
            <w:tcW w:w="365" w:type="pct"/>
            <w:tcBorders>
              <w:tl2br w:val="nil"/>
              <w:tr2bl w:val="nil"/>
            </w:tcBorders>
            <w:noWrap w:val="0"/>
            <w:vAlign w:val="center"/>
          </w:tcPr>
          <w:p w14:paraId="5F0DF9E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65</w:t>
            </w:r>
          </w:p>
        </w:tc>
        <w:tc>
          <w:tcPr>
            <w:tcW w:w="450" w:type="pct"/>
            <w:tcBorders>
              <w:tl2br w:val="nil"/>
              <w:tr2bl w:val="nil"/>
            </w:tcBorders>
            <w:noWrap w:val="0"/>
            <w:vAlign w:val="center"/>
          </w:tcPr>
          <w:p w14:paraId="2AA251A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5.7</w:t>
            </w:r>
          </w:p>
        </w:tc>
        <w:tc>
          <w:tcPr>
            <w:tcW w:w="382" w:type="pct"/>
            <w:tcBorders>
              <w:tl2br w:val="nil"/>
              <w:tr2bl w:val="nil"/>
            </w:tcBorders>
            <w:noWrap w:val="0"/>
            <w:vAlign w:val="center"/>
          </w:tcPr>
          <w:p w14:paraId="3F1BE0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pacing w:val="-17"/>
                <w:sz w:val="21"/>
                <w:szCs w:val="21"/>
                <w:u w:val="none"/>
                <w:lang w:val="en-US" w:eastAsia="zh-CN"/>
              </w:rPr>
              <w:t>18000</w:t>
            </w:r>
          </w:p>
        </w:tc>
        <w:tc>
          <w:tcPr>
            <w:tcW w:w="318" w:type="pct"/>
            <w:tcBorders>
              <w:tl2br w:val="nil"/>
              <w:tr2bl w:val="nil"/>
            </w:tcBorders>
            <w:noWrap w:val="0"/>
            <w:vAlign w:val="center"/>
          </w:tcPr>
          <w:p w14:paraId="0A032F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800</w:t>
            </w:r>
          </w:p>
        </w:tc>
        <w:tc>
          <w:tcPr>
            <w:tcW w:w="420" w:type="pct"/>
            <w:tcBorders>
              <w:tl2br w:val="nil"/>
              <w:tr2bl w:val="nil"/>
            </w:tcBorders>
            <w:noWrap w:val="0"/>
            <w:vAlign w:val="center"/>
          </w:tcPr>
          <w:p w14:paraId="18DBC6A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38</w:t>
            </w:r>
          </w:p>
        </w:tc>
        <w:tc>
          <w:tcPr>
            <w:tcW w:w="305" w:type="pct"/>
            <w:tcBorders>
              <w:tl2br w:val="nil"/>
              <w:tr2bl w:val="nil"/>
            </w:tcBorders>
            <w:noWrap w:val="0"/>
            <w:vAlign w:val="center"/>
          </w:tcPr>
          <w:p w14:paraId="614EFF4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900</w:t>
            </w:r>
          </w:p>
        </w:tc>
        <w:tc>
          <w:tcPr>
            <w:tcW w:w="322" w:type="pct"/>
            <w:tcBorders>
              <w:tl2br w:val="nil"/>
              <w:tr2bl w:val="nil"/>
            </w:tcBorders>
            <w:noWrap w:val="0"/>
            <w:vAlign w:val="center"/>
          </w:tcPr>
          <w:p w14:paraId="68F2707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pacing w:val="-20"/>
                <w:sz w:val="21"/>
                <w:szCs w:val="21"/>
                <w:u w:val="none"/>
                <w:lang w:val="en-US" w:eastAsia="zh-CN"/>
              </w:rPr>
              <w:t>4500</w:t>
            </w:r>
          </w:p>
        </w:tc>
        <w:tc>
          <w:tcPr>
            <w:tcW w:w="393" w:type="pct"/>
            <w:tcBorders>
              <w:tl2br w:val="nil"/>
              <w:tr2bl w:val="nil"/>
            </w:tcBorders>
            <w:noWrap w:val="0"/>
            <w:vAlign w:val="center"/>
          </w:tcPr>
          <w:p w14:paraId="7FEBB06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w:t>
            </w:r>
          </w:p>
        </w:tc>
      </w:tr>
      <w:tr w14:paraId="27655D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284" w:type="pct"/>
            <w:gridSpan w:val="2"/>
            <w:tcBorders>
              <w:tl2br w:val="nil"/>
              <w:tr2bl w:val="nil"/>
            </w:tcBorders>
            <w:noWrap w:val="0"/>
            <w:vAlign w:val="center"/>
          </w:tcPr>
          <w:p w14:paraId="5113692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是否达标</w:t>
            </w:r>
          </w:p>
        </w:tc>
        <w:tc>
          <w:tcPr>
            <w:tcW w:w="373" w:type="pct"/>
            <w:tcBorders>
              <w:tl2br w:val="nil"/>
              <w:tr2bl w:val="nil"/>
            </w:tcBorders>
            <w:noWrap w:val="0"/>
            <w:vAlign w:val="center"/>
          </w:tcPr>
          <w:p w14:paraId="77D732A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w:t>
            </w:r>
          </w:p>
        </w:tc>
        <w:tc>
          <w:tcPr>
            <w:tcW w:w="382" w:type="pct"/>
            <w:tcBorders>
              <w:tl2br w:val="nil"/>
              <w:tr2bl w:val="nil"/>
            </w:tcBorders>
            <w:noWrap w:val="0"/>
            <w:vAlign w:val="center"/>
          </w:tcPr>
          <w:p w14:paraId="132B58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达标</w:t>
            </w:r>
          </w:p>
        </w:tc>
        <w:tc>
          <w:tcPr>
            <w:tcW w:w="365" w:type="pct"/>
            <w:tcBorders>
              <w:tl2br w:val="nil"/>
              <w:tr2bl w:val="nil"/>
            </w:tcBorders>
            <w:noWrap w:val="0"/>
            <w:vAlign w:val="center"/>
          </w:tcPr>
          <w:p w14:paraId="77BEE34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达标</w:t>
            </w:r>
          </w:p>
        </w:tc>
        <w:tc>
          <w:tcPr>
            <w:tcW w:w="450" w:type="pct"/>
            <w:tcBorders>
              <w:tl2br w:val="nil"/>
              <w:tr2bl w:val="nil"/>
            </w:tcBorders>
            <w:noWrap w:val="0"/>
            <w:vAlign w:val="center"/>
          </w:tcPr>
          <w:p w14:paraId="2E6976C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达标</w:t>
            </w:r>
          </w:p>
        </w:tc>
        <w:tc>
          <w:tcPr>
            <w:tcW w:w="382" w:type="pct"/>
            <w:tcBorders>
              <w:tl2br w:val="nil"/>
              <w:tr2bl w:val="nil"/>
            </w:tcBorders>
            <w:noWrap w:val="0"/>
            <w:vAlign w:val="center"/>
          </w:tcPr>
          <w:p w14:paraId="42ED176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达标</w:t>
            </w:r>
          </w:p>
        </w:tc>
        <w:tc>
          <w:tcPr>
            <w:tcW w:w="318" w:type="pct"/>
            <w:tcBorders>
              <w:tl2br w:val="nil"/>
              <w:tr2bl w:val="nil"/>
            </w:tcBorders>
            <w:noWrap w:val="0"/>
            <w:vAlign w:val="center"/>
          </w:tcPr>
          <w:p w14:paraId="232A79F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pacing w:val="-23"/>
                <w:sz w:val="21"/>
                <w:szCs w:val="21"/>
                <w:u w:val="none"/>
              </w:rPr>
              <w:t>达标</w:t>
            </w:r>
          </w:p>
        </w:tc>
        <w:tc>
          <w:tcPr>
            <w:tcW w:w="420" w:type="pct"/>
            <w:tcBorders>
              <w:tl2br w:val="nil"/>
              <w:tr2bl w:val="nil"/>
            </w:tcBorders>
            <w:noWrap w:val="0"/>
            <w:vAlign w:val="center"/>
          </w:tcPr>
          <w:p w14:paraId="6E0552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达标</w:t>
            </w:r>
          </w:p>
        </w:tc>
        <w:tc>
          <w:tcPr>
            <w:tcW w:w="305" w:type="pct"/>
            <w:tcBorders>
              <w:tl2br w:val="nil"/>
              <w:tr2bl w:val="nil"/>
            </w:tcBorders>
            <w:noWrap w:val="0"/>
            <w:vAlign w:val="center"/>
          </w:tcPr>
          <w:p w14:paraId="1E75C14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23"/>
                <w:sz w:val="21"/>
                <w:szCs w:val="21"/>
                <w:u w:val="none"/>
                <w:lang w:val="en-US" w:eastAsia="zh-CN"/>
              </w:rPr>
            </w:pPr>
            <w:r>
              <w:rPr>
                <w:rFonts w:hint="eastAsia" w:ascii="宋体" w:hAnsi="宋体" w:eastAsia="宋体" w:cs="宋体"/>
                <w:color w:val="auto"/>
                <w:spacing w:val="-28"/>
                <w:sz w:val="21"/>
                <w:szCs w:val="21"/>
                <w:u w:val="none"/>
              </w:rPr>
              <w:t>达标</w:t>
            </w:r>
          </w:p>
        </w:tc>
        <w:tc>
          <w:tcPr>
            <w:tcW w:w="322" w:type="pct"/>
            <w:tcBorders>
              <w:tl2br w:val="nil"/>
              <w:tr2bl w:val="nil"/>
            </w:tcBorders>
            <w:noWrap w:val="0"/>
            <w:vAlign w:val="center"/>
          </w:tcPr>
          <w:p w14:paraId="08B898F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23"/>
                <w:sz w:val="21"/>
                <w:szCs w:val="21"/>
                <w:u w:val="none"/>
                <w:lang w:val="en-US" w:eastAsia="zh-CN"/>
              </w:rPr>
            </w:pPr>
            <w:r>
              <w:rPr>
                <w:rFonts w:hint="eastAsia" w:ascii="宋体" w:hAnsi="宋体" w:eastAsia="宋体" w:cs="宋体"/>
                <w:color w:val="auto"/>
                <w:spacing w:val="-23"/>
                <w:sz w:val="21"/>
                <w:szCs w:val="21"/>
                <w:u w:val="none"/>
              </w:rPr>
              <w:t>达标</w:t>
            </w:r>
          </w:p>
        </w:tc>
        <w:tc>
          <w:tcPr>
            <w:tcW w:w="393" w:type="pct"/>
            <w:tcBorders>
              <w:tl2br w:val="nil"/>
              <w:tr2bl w:val="nil"/>
            </w:tcBorders>
            <w:noWrap w:val="0"/>
            <w:vAlign w:val="center"/>
          </w:tcPr>
          <w:p w14:paraId="2B3F5FA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w:t>
            </w:r>
          </w:p>
        </w:tc>
      </w:tr>
    </w:tbl>
    <w:p w14:paraId="7D535266">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表4.5-8  占地范围内表层样土壤环境质量评价（MBHW6009井场</w:t>
      </w:r>
      <w:r>
        <w:rPr>
          <w:rFonts w:hint="default" w:ascii="黑体" w:hAnsi="黑体" w:eastAsia="黑体" w:cs="黑体"/>
          <w:b w:val="0"/>
          <w:bCs/>
          <w:color w:val="auto"/>
          <w:kern w:val="2"/>
          <w:sz w:val="24"/>
          <w:szCs w:val="24"/>
          <w:u w:val="none"/>
          <w:lang w:val="en-US" w:eastAsia="zh-CN" w:bidi="ar-SA"/>
        </w:rPr>
        <w:t>）</w:t>
      </w:r>
    </w:p>
    <w:tbl>
      <w:tblPr>
        <w:tblStyle w:val="37"/>
        <w:tblW w:w="4999"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788"/>
        <w:gridCol w:w="2242"/>
        <w:gridCol w:w="1288"/>
        <w:gridCol w:w="1270"/>
        <w:gridCol w:w="1263"/>
        <w:gridCol w:w="1240"/>
        <w:gridCol w:w="741"/>
      </w:tblGrid>
      <w:tr w14:paraId="09E1AA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3163" w:type="pct"/>
            <w:gridSpan w:val="4"/>
            <w:tcBorders>
              <w:tl2br w:val="nil"/>
              <w:tr2bl w:val="nil"/>
            </w:tcBorders>
            <w:noWrap/>
            <w:vAlign w:val="center"/>
          </w:tcPr>
          <w:p w14:paraId="46213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监测点位</w:t>
            </w:r>
          </w:p>
        </w:tc>
        <w:tc>
          <w:tcPr>
            <w:tcW w:w="1836" w:type="pct"/>
            <w:gridSpan w:val="3"/>
            <w:tcBorders>
              <w:tl2br w:val="nil"/>
              <w:tr2bl w:val="nil"/>
            </w:tcBorders>
            <w:noWrap/>
            <w:vAlign w:val="center"/>
          </w:tcPr>
          <w:p w14:paraId="65FD53E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sz w:val="21"/>
                <w:szCs w:val="21"/>
                <w:highlight w:val="none"/>
                <w:u w:val="none"/>
              </w:rPr>
            </w:pPr>
            <w:r>
              <w:rPr>
                <w:rFonts w:hint="eastAsia"/>
                <w:color w:val="auto"/>
                <w:u w:val="none"/>
              </w:rPr>
              <w:t>MBHW6009井场</w:t>
            </w:r>
          </w:p>
        </w:tc>
      </w:tr>
      <w:tr w14:paraId="0BBCC5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3163" w:type="pct"/>
            <w:gridSpan w:val="4"/>
            <w:tcBorders>
              <w:tl2br w:val="nil"/>
              <w:tr2bl w:val="nil"/>
            </w:tcBorders>
            <w:noWrap/>
            <w:vAlign w:val="center"/>
          </w:tcPr>
          <w:p w14:paraId="04031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采样深度</w:t>
            </w:r>
          </w:p>
        </w:tc>
        <w:tc>
          <w:tcPr>
            <w:tcW w:w="1836" w:type="pct"/>
            <w:gridSpan w:val="3"/>
            <w:tcBorders>
              <w:tl2br w:val="nil"/>
              <w:tr2bl w:val="nil"/>
            </w:tcBorders>
            <w:noWrap/>
            <w:vAlign w:val="center"/>
          </w:tcPr>
          <w:p w14:paraId="1F8E8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0-20cm</w:t>
            </w:r>
          </w:p>
        </w:tc>
      </w:tr>
      <w:tr w14:paraId="182589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5EC5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269" w:type="pct"/>
            <w:tcBorders>
              <w:tl2br w:val="nil"/>
              <w:tr2bl w:val="nil"/>
            </w:tcBorders>
            <w:vAlign w:val="center"/>
          </w:tcPr>
          <w:p w14:paraId="10868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检测项目</w:t>
            </w:r>
          </w:p>
        </w:tc>
        <w:tc>
          <w:tcPr>
            <w:tcW w:w="729" w:type="pct"/>
            <w:tcBorders>
              <w:tl2br w:val="nil"/>
              <w:tr2bl w:val="nil"/>
            </w:tcBorders>
            <w:vAlign w:val="center"/>
          </w:tcPr>
          <w:p w14:paraId="3586B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717" w:type="pct"/>
            <w:tcBorders>
              <w:tl2br w:val="nil"/>
              <w:tr2bl w:val="nil"/>
            </w:tcBorders>
            <w:vAlign w:val="center"/>
          </w:tcPr>
          <w:p w14:paraId="5B1C5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筛选值（第二类用地）</w:t>
            </w:r>
          </w:p>
        </w:tc>
        <w:tc>
          <w:tcPr>
            <w:tcW w:w="715" w:type="pct"/>
            <w:tcBorders>
              <w:tl2br w:val="nil"/>
              <w:tr2bl w:val="nil"/>
            </w:tcBorders>
            <w:vAlign w:val="center"/>
          </w:tcPr>
          <w:p w14:paraId="2A7C6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监测数据</w:t>
            </w:r>
          </w:p>
        </w:tc>
        <w:tc>
          <w:tcPr>
            <w:tcW w:w="702" w:type="pct"/>
            <w:tcBorders>
              <w:tl2br w:val="nil"/>
              <w:tr2bl w:val="nil"/>
            </w:tcBorders>
            <w:vAlign w:val="center"/>
          </w:tcPr>
          <w:p w14:paraId="2EA32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Pi</w:t>
            </w:r>
          </w:p>
        </w:tc>
        <w:tc>
          <w:tcPr>
            <w:tcW w:w="418" w:type="pct"/>
            <w:tcBorders>
              <w:tl2br w:val="nil"/>
              <w:tr2bl w:val="nil"/>
            </w:tcBorders>
            <w:vAlign w:val="center"/>
          </w:tcPr>
          <w:p w14:paraId="263D7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达标情况</w:t>
            </w:r>
          </w:p>
        </w:tc>
      </w:tr>
      <w:tr w14:paraId="1D01BB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49A2A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69" w:type="pct"/>
            <w:tcBorders>
              <w:tl2br w:val="nil"/>
              <w:tr2bl w:val="nil"/>
            </w:tcBorders>
            <w:vAlign w:val="center"/>
          </w:tcPr>
          <w:p w14:paraId="5F365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pH</w:t>
            </w:r>
            <w:r>
              <w:rPr>
                <w:rStyle w:val="143"/>
                <w:rFonts w:hint="eastAsia" w:ascii="宋体" w:hAnsi="宋体" w:eastAsia="宋体" w:cs="宋体"/>
                <w:color w:val="auto"/>
                <w:sz w:val="21"/>
                <w:szCs w:val="21"/>
                <w:highlight w:val="none"/>
                <w:u w:val="none"/>
                <w:lang w:val="en-US" w:eastAsia="zh-CN" w:bidi="ar"/>
              </w:rPr>
              <w:t>值</w:t>
            </w:r>
          </w:p>
        </w:tc>
        <w:tc>
          <w:tcPr>
            <w:tcW w:w="729" w:type="pct"/>
            <w:tcBorders>
              <w:tl2br w:val="nil"/>
              <w:tr2bl w:val="nil"/>
            </w:tcBorders>
            <w:vAlign w:val="center"/>
          </w:tcPr>
          <w:p w14:paraId="7561B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无量纲</w:t>
            </w:r>
          </w:p>
        </w:tc>
        <w:tc>
          <w:tcPr>
            <w:tcW w:w="717" w:type="pct"/>
            <w:tcBorders>
              <w:tl2br w:val="nil"/>
              <w:tr2bl w:val="nil"/>
            </w:tcBorders>
            <w:vAlign w:val="center"/>
          </w:tcPr>
          <w:p w14:paraId="34AAA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w:t>
            </w:r>
          </w:p>
        </w:tc>
        <w:tc>
          <w:tcPr>
            <w:tcW w:w="715" w:type="pct"/>
            <w:tcBorders>
              <w:tl2br w:val="nil"/>
              <w:tr2bl w:val="nil"/>
            </w:tcBorders>
            <w:vAlign w:val="center"/>
          </w:tcPr>
          <w:p w14:paraId="16432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9.06</w:t>
            </w:r>
          </w:p>
        </w:tc>
        <w:tc>
          <w:tcPr>
            <w:tcW w:w="702" w:type="pct"/>
            <w:tcBorders>
              <w:tl2br w:val="nil"/>
              <w:tr2bl w:val="nil"/>
            </w:tcBorders>
            <w:vAlign w:val="center"/>
          </w:tcPr>
          <w:p w14:paraId="449282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119B1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r>
      <w:tr w14:paraId="5A70E9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A4CB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69" w:type="pct"/>
            <w:tcBorders>
              <w:tl2br w:val="nil"/>
              <w:tr2bl w:val="nil"/>
            </w:tcBorders>
            <w:vAlign w:val="center"/>
          </w:tcPr>
          <w:p w14:paraId="708E5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砷</w:t>
            </w:r>
          </w:p>
        </w:tc>
        <w:tc>
          <w:tcPr>
            <w:tcW w:w="729" w:type="pct"/>
            <w:tcBorders>
              <w:tl2br w:val="nil"/>
              <w:tr2bl w:val="nil"/>
            </w:tcBorders>
            <w:vAlign w:val="center"/>
          </w:tcPr>
          <w:p w14:paraId="3309B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2D32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715" w:type="pct"/>
            <w:tcBorders>
              <w:tl2br w:val="nil"/>
              <w:tr2bl w:val="nil"/>
            </w:tcBorders>
            <w:vAlign w:val="center"/>
          </w:tcPr>
          <w:p w14:paraId="41077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7.58</w:t>
            </w:r>
          </w:p>
        </w:tc>
        <w:tc>
          <w:tcPr>
            <w:tcW w:w="702" w:type="pct"/>
            <w:tcBorders>
              <w:tl2br w:val="nil"/>
              <w:tr2bl w:val="nil"/>
            </w:tcBorders>
            <w:vAlign w:val="center"/>
          </w:tcPr>
          <w:p w14:paraId="0C787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0.13</w:t>
            </w:r>
          </w:p>
        </w:tc>
        <w:tc>
          <w:tcPr>
            <w:tcW w:w="418" w:type="pct"/>
            <w:tcBorders>
              <w:tl2br w:val="nil"/>
              <w:tr2bl w:val="nil"/>
            </w:tcBorders>
            <w:vAlign w:val="center"/>
          </w:tcPr>
          <w:p w14:paraId="3C7CE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color w:val="auto"/>
                <w:kern w:val="0"/>
                <w:sz w:val="21"/>
                <w:szCs w:val="21"/>
                <w:highlight w:val="none"/>
                <w:u w:val="none"/>
              </w:rPr>
              <w:t>达标</w:t>
            </w:r>
          </w:p>
        </w:tc>
      </w:tr>
      <w:tr w14:paraId="355637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68AE6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69" w:type="pct"/>
            <w:tcBorders>
              <w:tl2br w:val="nil"/>
              <w:tr2bl w:val="nil"/>
            </w:tcBorders>
            <w:vAlign w:val="center"/>
          </w:tcPr>
          <w:p w14:paraId="16C25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镉</w:t>
            </w:r>
          </w:p>
        </w:tc>
        <w:tc>
          <w:tcPr>
            <w:tcW w:w="729" w:type="pct"/>
            <w:tcBorders>
              <w:tl2br w:val="nil"/>
              <w:tr2bl w:val="nil"/>
            </w:tcBorders>
            <w:vAlign w:val="center"/>
          </w:tcPr>
          <w:p w14:paraId="7DA8B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8496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715" w:type="pct"/>
            <w:tcBorders>
              <w:tl2br w:val="nil"/>
              <w:tr2bl w:val="nil"/>
            </w:tcBorders>
            <w:vAlign w:val="center"/>
          </w:tcPr>
          <w:p w14:paraId="35F60A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0.09</w:t>
            </w:r>
          </w:p>
        </w:tc>
        <w:tc>
          <w:tcPr>
            <w:tcW w:w="702" w:type="pct"/>
            <w:tcBorders>
              <w:tl2br w:val="nil"/>
              <w:tr2bl w:val="nil"/>
            </w:tcBorders>
            <w:vAlign w:val="center"/>
          </w:tcPr>
          <w:p w14:paraId="6931E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1.38×10</w:t>
            </w:r>
            <w:r>
              <w:rPr>
                <w:rFonts w:hint="eastAsia" w:ascii="宋体" w:hAnsi="宋体" w:cs="宋体"/>
                <w:color w:val="auto"/>
                <w:sz w:val="21"/>
                <w:szCs w:val="21"/>
                <w:highlight w:val="none"/>
                <w:u w:val="none"/>
                <w:vertAlign w:val="superscript"/>
                <w:lang w:val="en-US" w:eastAsia="zh-CN"/>
              </w:rPr>
              <w:t>-3</w:t>
            </w:r>
          </w:p>
        </w:tc>
        <w:tc>
          <w:tcPr>
            <w:tcW w:w="418" w:type="pct"/>
            <w:tcBorders>
              <w:tl2br w:val="nil"/>
              <w:tr2bl w:val="nil"/>
            </w:tcBorders>
            <w:vAlign w:val="center"/>
          </w:tcPr>
          <w:p w14:paraId="1C1DF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611B5E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4C19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69" w:type="pct"/>
            <w:tcBorders>
              <w:tl2br w:val="nil"/>
              <w:tr2bl w:val="nil"/>
            </w:tcBorders>
            <w:vAlign w:val="center"/>
          </w:tcPr>
          <w:p w14:paraId="1E6DF3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六价铬</w:t>
            </w:r>
          </w:p>
        </w:tc>
        <w:tc>
          <w:tcPr>
            <w:tcW w:w="729" w:type="pct"/>
            <w:tcBorders>
              <w:tl2br w:val="nil"/>
              <w:tr2bl w:val="nil"/>
            </w:tcBorders>
            <w:vAlign w:val="center"/>
          </w:tcPr>
          <w:p w14:paraId="3A49F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43C8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715" w:type="pct"/>
            <w:tcBorders>
              <w:tl2br w:val="nil"/>
              <w:tr2bl w:val="nil"/>
            </w:tcBorders>
            <w:vAlign w:val="center"/>
          </w:tcPr>
          <w:p w14:paraId="05EE8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＜0.5</w:t>
            </w:r>
          </w:p>
        </w:tc>
        <w:tc>
          <w:tcPr>
            <w:tcW w:w="702" w:type="pct"/>
            <w:tcBorders>
              <w:tl2br w:val="nil"/>
              <w:tr2bl w:val="nil"/>
            </w:tcBorders>
            <w:vAlign w:val="center"/>
          </w:tcPr>
          <w:p w14:paraId="05EBF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63920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00103E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2A6F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69" w:type="pct"/>
            <w:tcBorders>
              <w:tl2br w:val="nil"/>
              <w:tr2bl w:val="nil"/>
            </w:tcBorders>
            <w:vAlign w:val="center"/>
          </w:tcPr>
          <w:p w14:paraId="62866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w:t>
            </w:r>
          </w:p>
        </w:tc>
        <w:tc>
          <w:tcPr>
            <w:tcW w:w="729" w:type="pct"/>
            <w:tcBorders>
              <w:tl2br w:val="nil"/>
              <w:tr2bl w:val="nil"/>
            </w:tcBorders>
            <w:vAlign w:val="center"/>
          </w:tcPr>
          <w:p w14:paraId="3F227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632AE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18000</w:t>
            </w:r>
          </w:p>
        </w:tc>
        <w:tc>
          <w:tcPr>
            <w:tcW w:w="715" w:type="pct"/>
            <w:tcBorders>
              <w:tl2br w:val="nil"/>
              <w:tr2bl w:val="nil"/>
            </w:tcBorders>
            <w:vAlign w:val="center"/>
          </w:tcPr>
          <w:p w14:paraId="70919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13</w:t>
            </w:r>
          </w:p>
        </w:tc>
        <w:tc>
          <w:tcPr>
            <w:tcW w:w="702" w:type="pct"/>
            <w:tcBorders>
              <w:tl2br w:val="nil"/>
              <w:tr2bl w:val="nil"/>
            </w:tcBorders>
            <w:vAlign w:val="center"/>
          </w:tcPr>
          <w:p w14:paraId="1EC9B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7.22×10</w:t>
            </w:r>
            <w:r>
              <w:rPr>
                <w:rFonts w:hint="eastAsia" w:ascii="宋体" w:hAnsi="宋体" w:cs="宋体"/>
                <w:color w:val="auto"/>
                <w:sz w:val="21"/>
                <w:szCs w:val="21"/>
                <w:highlight w:val="none"/>
                <w:u w:val="none"/>
                <w:vertAlign w:val="superscript"/>
                <w:lang w:val="en-US" w:eastAsia="zh-CN"/>
              </w:rPr>
              <w:t>-4</w:t>
            </w:r>
          </w:p>
        </w:tc>
        <w:tc>
          <w:tcPr>
            <w:tcW w:w="418" w:type="pct"/>
            <w:tcBorders>
              <w:tl2br w:val="nil"/>
              <w:tr2bl w:val="nil"/>
            </w:tcBorders>
            <w:vAlign w:val="center"/>
          </w:tcPr>
          <w:p w14:paraId="14E80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kern w:val="0"/>
                <w:sz w:val="21"/>
                <w:szCs w:val="21"/>
                <w:highlight w:val="none"/>
                <w:u w:val="none"/>
              </w:rPr>
              <w:t>达标</w:t>
            </w:r>
          </w:p>
        </w:tc>
      </w:tr>
      <w:tr w14:paraId="0570B0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A3A6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69" w:type="pct"/>
            <w:tcBorders>
              <w:tl2br w:val="nil"/>
              <w:tr2bl w:val="nil"/>
            </w:tcBorders>
            <w:vAlign w:val="center"/>
          </w:tcPr>
          <w:p w14:paraId="350DA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铅</w:t>
            </w:r>
          </w:p>
        </w:tc>
        <w:tc>
          <w:tcPr>
            <w:tcW w:w="729" w:type="pct"/>
            <w:tcBorders>
              <w:tl2br w:val="nil"/>
              <w:tr2bl w:val="nil"/>
            </w:tcBorders>
            <w:vAlign w:val="center"/>
          </w:tcPr>
          <w:p w14:paraId="7FD5C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227EEC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715" w:type="pct"/>
            <w:tcBorders>
              <w:tl2br w:val="nil"/>
              <w:tr2bl w:val="nil"/>
            </w:tcBorders>
            <w:vAlign w:val="center"/>
          </w:tcPr>
          <w:p w14:paraId="2D788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17</w:t>
            </w:r>
          </w:p>
        </w:tc>
        <w:tc>
          <w:tcPr>
            <w:tcW w:w="702" w:type="pct"/>
            <w:tcBorders>
              <w:tl2br w:val="nil"/>
              <w:tr2bl w:val="nil"/>
            </w:tcBorders>
            <w:vAlign w:val="center"/>
          </w:tcPr>
          <w:p w14:paraId="1C196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0.02</w:t>
            </w:r>
          </w:p>
        </w:tc>
        <w:tc>
          <w:tcPr>
            <w:tcW w:w="418" w:type="pct"/>
            <w:tcBorders>
              <w:tl2br w:val="nil"/>
              <w:tr2bl w:val="nil"/>
            </w:tcBorders>
            <w:vAlign w:val="center"/>
          </w:tcPr>
          <w:p w14:paraId="63FAD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1C1EE2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192C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69" w:type="pct"/>
            <w:tcBorders>
              <w:tl2br w:val="nil"/>
              <w:tr2bl w:val="nil"/>
            </w:tcBorders>
            <w:vAlign w:val="center"/>
          </w:tcPr>
          <w:p w14:paraId="379CFC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汞</w:t>
            </w:r>
          </w:p>
        </w:tc>
        <w:tc>
          <w:tcPr>
            <w:tcW w:w="729" w:type="pct"/>
            <w:tcBorders>
              <w:tl2br w:val="nil"/>
              <w:tr2bl w:val="nil"/>
            </w:tcBorders>
            <w:vAlign w:val="center"/>
          </w:tcPr>
          <w:p w14:paraId="011E3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62F6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715" w:type="pct"/>
            <w:tcBorders>
              <w:tl2br w:val="nil"/>
              <w:tr2bl w:val="nil"/>
            </w:tcBorders>
            <w:vAlign w:val="center"/>
          </w:tcPr>
          <w:p w14:paraId="66EA7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0.007</w:t>
            </w:r>
          </w:p>
        </w:tc>
        <w:tc>
          <w:tcPr>
            <w:tcW w:w="702" w:type="pct"/>
            <w:tcBorders>
              <w:tl2br w:val="nil"/>
              <w:tr2bl w:val="nil"/>
            </w:tcBorders>
            <w:vAlign w:val="center"/>
          </w:tcPr>
          <w:p w14:paraId="3E673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1.84×10</w:t>
            </w:r>
            <w:r>
              <w:rPr>
                <w:rFonts w:hint="eastAsia" w:ascii="宋体" w:hAnsi="宋体" w:cs="宋体"/>
                <w:color w:val="auto"/>
                <w:sz w:val="21"/>
                <w:szCs w:val="21"/>
                <w:highlight w:val="none"/>
                <w:u w:val="none"/>
                <w:vertAlign w:val="superscript"/>
                <w:lang w:val="en-US" w:eastAsia="zh-CN"/>
              </w:rPr>
              <w:t>-4</w:t>
            </w:r>
          </w:p>
        </w:tc>
        <w:tc>
          <w:tcPr>
            <w:tcW w:w="418" w:type="pct"/>
            <w:tcBorders>
              <w:tl2br w:val="nil"/>
              <w:tr2bl w:val="nil"/>
            </w:tcBorders>
            <w:vAlign w:val="center"/>
          </w:tcPr>
          <w:p w14:paraId="57E3F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5997D4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FC8A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69" w:type="pct"/>
            <w:tcBorders>
              <w:tl2br w:val="nil"/>
              <w:tr2bl w:val="nil"/>
            </w:tcBorders>
            <w:vAlign w:val="center"/>
          </w:tcPr>
          <w:p w14:paraId="496E44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镍</w:t>
            </w:r>
          </w:p>
        </w:tc>
        <w:tc>
          <w:tcPr>
            <w:tcW w:w="729" w:type="pct"/>
            <w:tcBorders>
              <w:tl2br w:val="nil"/>
              <w:tr2bl w:val="nil"/>
            </w:tcBorders>
            <w:vAlign w:val="center"/>
          </w:tcPr>
          <w:p w14:paraId="567461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22414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w:t>
            </w:r>
          </w:p>
        </w:tc>
        <w:tc>
          <w:tcPr>
            <w:tcW w:w="715" w:type="pct"/>
            <w:tcBorders>
              <w:tl2br w:val="nil"/>
              <w:tr2bl w:val="nil"/>
            </w:tcBorders>
            <w:vAlign w:val="center"/>
          </w:tcPr>
          <w:p w14:paraId="7606C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12</w:t>
            </w:r>
          </w:p>
        </w:tc>
        <w:tc>
          <w:tcPr>
            <w:tcW w:w="702" w:type="pct"/>
            <w:tcBorders>
              <w:tl2br w:val="nil"/>
              <w:tr2bl w:val="nil"/>
            </w:tcBorders>
            <w:vAlign w:val="center"/>
          </w:tcPr>
          <w:p w14:paraId="4FF2B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0.01</w:t>
            </w:r>
          </w:p>
        </w:tc>
        <w:tc>
          <w:tcPr>
            <w:tcW w:w="418" w:type="pct"/>
            <w:tcBorders>
              <w:tl2br w:val="nil"/>
              <w:tr2bl w:val="nil"/>
            </w:tcBorders>
            <w:vAlign w:val="center"/>
          </w:tcPr>
          <w:p w14:paraId="309A8B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626D8A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C375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69" w:type="pct"/>
            <w:tcBorders>
              <w:tl2br w:val="nil"/>
              <w:tr2bl w:val="nil"/>
            </w:tcBorders>
            <w:vAlign w:val="center"/>
          </w:tcPr>
          <w:p w14:paraId="55ED1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四氯化碳</w:t>
            </w:r>
          </w:p>
        </w:tc>
        <w:tc>
          <w:tcPr>
            <w:tcW w:w="729" w:type="pct"/>
            <w:tcBorders>
              <w:tl2br w:val="nil"/>
              <w:tr2bl w:val="nil"/>
            </w:tcBorders>
            <w:vAlign w:val="center"/>
          </w:tcPr>
          <w:p w14:paraId="3A375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E2A33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715" w:type="pct"/>
            <w:tcBorders>
              <w:tl2br w:val="nil"/>
              <w:tr2bl w:val="nil"/>
            </w:tcBorders>
            <w:vAlign w:val="center"/>
          </w:tcPr>
          <w:p w14:paraId="07575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＜0.0013</w:t>
            </w:r>
          </w:p>
        </w:tc>
        <w:tc>
          <w:tcPr>
            <w:tcW w:w="702" w:type="pct"/>
            <w:tcBorders>
              <w:tl2br w:val="nil"/>
              <w:tr2bl w:val="nil"/>
            </w:tcBorders>
            <w:vAlign w:val="center"/>
          </w:tcPr>
          <w:p w14:paraId="13A85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5C230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3333A4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9301C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69" w:type="pct"/>
            <w:tcBorders>
              <w:tl2br w:val="nil"/>
              <w:tr2bl w:val="nil"/>
            </w:tcBorders>
            <w:vAlign w:val="center"/>
          </w:tcPr>
          <w:p w14:paraId="14CB1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氯仿</w:t>
            </w:r>
          </w:p>
        </w:tc>
        <w:tc>
          <w:tcPr>
            <w:tcW w:w="729" w:type="pct"/>
            <w:tcBorders>
              <w:tl2br w:val="nil"/>
              <w:tr2bl w:val="nil"/>
            </w:tcBorders>
            <w:vAlign w:val="center"/>
          </w:tcPr>
          <w:p w14:paraId="3A633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BA3BE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0.9</w:t>
            </w:r>
          </w:p>
        </w:tc>
        <w:tc>
          <w:tcPr>
            <w:tcW w:w="715" w:type="pct"/>
            <w:tcBorders>
              <w:tl2br w:val="nil"/>
              <w:tr2bl w:val="nil"/>
            </w:tcBorders>
            <w:vAlign w:val="center"/>
          </w:tcPr>
          <w:p w14:paraId="07B47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＜0.0011</w:t>
            </w:r>
          </w:p>
        </w:tc>
        <w:tc>
          <w:tcPr>
            <w:tcW w:w="702" w:type="pct"/>
            <w:tcBorders>
              <w:tl2br w:val="nil"/>
              <w:tr2bl w:val="nil"/>
            </w:tcBorders>
            <w:vAlign w:val="center"/>
          </w:tcPr>
          <w:p w14:paraId="556E4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65BC5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191F65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31DE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269" w:type="pct"/>
            <w:tcBorders>
              <w:tl2br w:val="nil"/>
              <w:tr2bl w:val="nil"/>
            </w:tcBorders>
            <w:vAlign w:val="center"/>
          </w:tcPr>
          <w:p w14:paraId="58B61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氯甲烷</w:t>
            </w:r>
          </w:p>
        </w:tc>
        <w:tc>
          <w:tcPr>
            <w:tcW w:w="729" w:type="pct"/>
            <w:tcBorders>
              <w:tl2br w:val="nil"/>
              <w:tr2bl w:val="nil"/>
            </w:tcBorders>
            <w:vAlign w:val="center"/>
          </w:tcPr>
          <w:p w14:paraId="299F37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224ED7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715" w:type="pct"/>
            <w:tcBorders>
              <w:tl2br w:val="nil"/>
              <w:tr2bl w:val="nil"/>
            </w:tcBorders>
            <w:vAlign w:val="center"/>
          </w:tcPr>
          <w:p w14:paraId="6ABFD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＜0.0010</w:t>
            </w:r>
          </w:p>
        </w:tc>
        <w:tc>
          <w:tcPr>
            <w:tcW w:w="702" w:type="pct"/>
            <w:tcBorders>
              <w:tl2br w:val="nil"/>
              <w:tr2bl w:val="nil"/>
            </w:tcBorders>
            <w:vAlign w:val="center"/>
          </w:tcPr>
          <w:p w14:paraId="705A0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02256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3892B3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99E1B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269" w:type="pct"/>
            <w:tcBorders>
              <w:tl2br w:val="nil"/>
              <w:tr2bl w:val="nil"/>
            </w:tcBorders>
            <w:vAlign w:val="center"/>
          </w:tcPr>
          <w:p w14:paraId="4B9ED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1,1-二氯乙烷</w:t>
            </w:r>
          </w:p>
        </w:tc>
        <w:tc>
          <w:tcPr>
            <w:tcW w:w="729" w:type="pct"/>
            <w:tcBorders>
              <w:tl2br w:val="nil"/>
              <w:tr2bl w:val="nil"/>
            </w:tcBorders>
            <w:vAlign w:val="center"/>
          </w:tcPr>
          <w:p w14:paraId="703D8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B9BA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715" w:type="pct"/>
            <w:tcBorders>
              <w:tl2br w:val="nil"/>
              <w:tr2bl w:val="nil"/>
            </w:tcBorders>
            <w:vAlign w:val="center"/>
          </w:tcPr>
          <w:p w14:paraId="5075AB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3EF37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0D013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69C26B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8786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269" w:type="pct"/>
            <w:tcBorders>
              <w:tl2br w:val="nil"/>
              <w:tr2bl w:val="nil"/>
            </w:tcBorders>
            <w:vAlign w:val="center"/>
          </w:tcPr>
          <w:p w14:paraId="4D0D27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1,2-二氯乙烷</w:t>
            </w:r>
          </w:p>
        </w:tc>
        <w:tc>
          <w:tcPr>
            <w:tcW w:w="729" w:type="pct"/>
            <w:tcBorders>
              <w:tl2br w:val="nil"/>
              <w:tr2bl w:val="nil"/>
            </w:tcBorders>
            <w:vAlign w:val="center"/>
          </w:tcPr>
          <w:p w14:paraId="76DDA7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61501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15" w:type="pct"/>
            <w:tcBorders>
              <w:tl2br w:val="nil"/>
              <w:tr2bl w:val="nil"/>
            </w:tcBorders>
            <w:vAlign w:val="center"/>
          </w:tcPr>
          <w:p w14:paraId="7EE63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＜0.0013</w:t>
            </w:r>
          </w:p>
        </w:tc>
        <w:tc>
          <w:tcPr>
            <w:tcW w:w="702" w:type="pct"/>
            <w:tcBorders>
              <w:tl2br w:val="nil"/>
              <w:tr2bl w:val="nil"/>
            </w:tcBorders>
            <w:vAlign w:val="center"/>
          </w:tcPr>
          <w:p w14:paraId="32CF9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45393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142A06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6F30D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269" w:type="pct"/>
            <w:tcBorders>
              <w:tl2br w:val="nil"/>
              <w:tr2bl w:val="nil"/>
            </w:tcBorders>
            <w:vAlign w:val="center"/>
          </w:tcPr>
          <w:p w14:paraId="57AE5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1,1-二氯乙烯</w:t>
            </w:r>
          </w:p>
        </w:tc>
        <w:tc>
          <w:tcPr>
            <w:tcW w:w="729" w:type="pct"/>
            <w:tcBorders>
              <w:tl2br w:val="nil"/>
              <w:tr2bl w:val="nil"/>
            </w:tcBorders>
            <w:vAlign w:val="center"/>
          </w:tcPr>
          <w:p w14:paraId="2A21F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570E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715" w:type="pct"/>
            <w:tcBorders>
              <w:tl2br w:val="nil"/>
              <w:tr2bl w:val="nil"/>
            </w:tcBorders>
            <w:vAlign w:val="center"/>
          </w:tcPr>
          <w:p w14:paraId="01E5C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＜0.0010</w:t>
            </w:r>
          </w:p>
        </w:tc>
        <w:tc>
          <w:tcPr>
            <w:tcW w:w="702" w:type="pct"/>
            <w:tcBorders>
              <w:tl2br w:val="nil"/>
              <w:tr2bl w:val="nil"/>
            </w:tcBorders>
            <w:vAlign w:val="center"/>
          </w:tcPr>
          <w:p w14:paraId="206C7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77086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69CA92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C18E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269" w:type="pct"/>
            <w:tcBorders>
              <w:tl2br w:val="nil"/>
              <w:tr2bl w:val="nil"/>
            </w:tcBorders>
            <w:vAlign w:val="center"/>
          </w:tcPr>
          <w:p w14:paraId="2566C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顺式-1,2-二氯乙烯</w:t>
            </w:r>
          </w:p>
        </w:tc>
        <w:tc>
          <w:tcPr>
            <w:tcW w:w="729" w:type="pct"/>
            <w:tcBorders>
              <w:tl2br w:val="nil"/>
              <w:tr2bl w:val="nil"/>
            </w:tcBorders>
            <w:vAlign w:val="center"/>
          </w:tcPr>
          <w:p w14:paraId="6055C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B907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596</w:t>
            </w:r>
          </w:p>
        </w:tc>
        <w:tc>
          <w:tcPr>
            <w:tcW w:w="715" w:type="pct"/>
            <w:tcBorders>
              <w:tl2br w:val="nil"/>
              <w:tr2bl w:val="nil"/>
            </w:tcBorders>
            <w:vAlign w:val="center"/>
          </w:tcPr>
          <w:p w14:paraId="54CE1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＜0.0013</w:t>
            </w:r>
          </w:p>
        </w:tc>
        <w:tc>
          <w:tcPr>
            <w:tcW w:w="702" w:type="pct"/>
            <w:tcBorders>
              <w:tl2br w:val="nil"/>
              <w:tr2bl w:val="nil"/>
            </w:tcBorders>
            <w:vAlign w:val="center"/>
          </w:tcPr>
          <w:p w14:paraId="40F1E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2744A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19E5F8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5978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269" w:type="pct"/>
            <w:tcBorders>
              <w:tl2br w:val="nil"/>
              <w:tr2bl w:val="nil"/>
            </w:tcBorders>
            <w:vAlign w:val="center"/>
          </w:tcPr>
          <w:p w14:paraId="17DCC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反式-1,2-二氯乙烯</w:t>
            </w:r>
          </w:p>
        </w:tc>
        <w:tc>
          <w:tcPr>
            <w:tcW w:w="729" w:type="pct"/>
            <w:tcBorders>
              <w:tl2br w:val="nil"/>
              <w:tr2bl w:val="nil"/>
            </w:tcBorders>
            <w:vAlign w:val="center"/>
          </w:tcPr>
          <w:p w14:paraId="338A2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A630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715" w:type="pct"/>
            <w:tcBorders>
              <w:tl2br w:val="nil"/>
              <w:tr2bl w:val="nil"/>
            </w:tcBorders>
            <w:vAlign w:val="center"/>
          </w:tcPr>
          <w:p w14:paraId="29555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＜0.0014</w:t>
            </w:r>
          </w:p>
        </w:tc>
        <w:tc>
          <w:tcPr>
            <w:tcW w:w="702" w:type="pct"/>
            <w:tcBorders>
              <w:tl2br w:val="nil"/>
              <w:tr2bl w:val="nil"/>
            </w:tcBorders>
            <w:vAlign w:val="center"/>
          </w:tcPr>
          <w:p w14:paraId="4AB41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695E78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0AF7D9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A655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269" w:type="pct"/>
            <w:tcBorders>
              <w:tl2br w:val="nil"/>
              <w:tr2bl w:val="nil"/>
            </w:tcBorders>
            <w:vAlign w:val="center"/>
          </w:tcPr>
          <w:p w14:paraId="64DEB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二氯甲烷</w:t>
            </w:r>
          </w:p>
        </w:tc>
        <w:tc>
          <w:tcPr>
            <w:tcW w:w="729" w:type="pct"/>
            <w:tcBorders>
              <w:tl2br w:val="nil"/>
              <w:tr2bl w:val="nil"/>
            </w:tcBorders>
            <w:vAlign w:val="center"/>
          </w:tcPr>
          <w:p w14:paraId="3ACCC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231A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616</w:t>
            </w:r>
          </w:p>
        </w:tc>
        <w:tc>
          <w:tcPr>
            <w:tcW w:w="715" w:type="pct"/>
            <w:tcBorders>
              <w:tl2br w:val="nil"/>
              <w:tr2bl w:val="nil"/>
            </w:tcBorders>
            <w:vAlign w:val="center"/>
          </w:tcPr>
          <w:p w14:paraId="51FD5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＜0.0015</w:t>
            </w:r>
          </w:p>
        </w:tc>
        <w:tc>
          <w:tcPr>
            <w:tcW w:w="702" w:type="pct"/>
            <w:tcBorders>
              <w:tl2br w:val="nil"/>
              <w:tr2bl w:val="nil"/>
            </w:tcBorders>
            <w:vAlign w:val="center"/>
          </w:tcPr>
          <w:p w14:paraId="6FED5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343F6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23C255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59D6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269" w:type="pct"/>
            <w:tcBorders>
              <w:tl2br w:val="nil"/>
              <w:tr2bl w:val="nil"/>
            </w:tcBorders>
            <w:vAlign w:val="center"/>
          </w:tcPr>
          <w:p w14:paraId="10C36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1,2-二氯丙烷</w:t>
            </w:r>
          </w:p>
        </w:tc>
        <w:tc>
          <w:tcPr>
            <w:tcW w:w="729" w:type="pct"/>
            <w:tcBorders>
              <w:tl2br w:val="nil"/>
              <w:tr2bl w:val="nil"/>
            </w:tcBorders>
            <w:vAlign w:val="center"/>
          </w:tcPr>
          <w:p w14:paraId="0FAAF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6C13F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15" w:type="pct"/>
            <w:tcBorders>
              <w:tl2br w:val="nil"/>
              <w:tr2bl w:val="nil"/>
            </w:tcBorders>
            <w:vAlign w:val="center"/>
          </w:tcPr>
          <w:p w14:paraId="6904A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＜0.0011</w:t>
            </w:r>
          </w:p>
        </w:tc>
        <w:tc>
          <w:tcPr>
            <w:tcW w:w="702" w:type="pct"/>
            <w:tcBorders>
              <w:tl2br w:val="nil"/>
              <w:tr2bl w:val="nil"/>
            </w:tcBorders>
            <w:vAlign w:val="center"/>
          </w:tcPr>
          <w:p w14:paraId="6B20C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2ABE3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7D16A4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3404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269" w:type="pct"/>
            <w:tcBorders>
              <w:tl2br w:val="nil"/>
              <w:tr2bl w:val="nil"/>
            </w:tcBorders>
            <w:vAlign w:val="center"/>
          </w:tcPr>
          <w:p w14:paraId="23A623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1,1,1,2-四氯乙烷</w:t>
            </w:r>
          </w:p>
        </w:tc>
        <w:tc>
          <w:tcPr>
            <w:tcW w:w="729" w:type="pct"/>
            <w:tcBorders>
              <w:tl2br w:val="nil"/>
              <w:tr2bl w:val="nil"/>
            </w:tcBorders>
            <w:vAlign w:val="center"/>
          </w:tcPr>
          <w:p w14:paraId="01CDB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C54B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15" w:type="pct"/>
            <w:tcBorders>
              <w:tl2br w:val="nil"/>
              <w:tr2bl w:val="nil"/>
            </w:tcBorders>
            <w:vAlign w:val="center"/>
          </w:tcPr>
          <w:p w14:paraId="2AEF5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2236E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0910C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368291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CA1B2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269" w:type="pct"/>
            <w:tcBorders>
              <w:tl2br w:val="nil"/>
              <w:tr2bl w:val="nil"/>
            </w:tcBorders>
            <w:vAlign w:val="center"/>
          </w:tcPr>
          <w:p w14:paraId="23EBE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1,1,2,2-四氯乙烷</w:t>
            </w:r>
          </w:p>
        </w:tc>
        <w:tc>
          <w:tcPr>
            <w:tcW w:w="729" w:type="pct"/>
            <w:tcBorders>
              <w:tl2br w:val="nil"/>
              <w:tr2bl w:val="nil"/>
            </w:tcBorders>
            <w:vAlign w:val="center"/>
          </w:tcPr>
          <w:p w14:paraId="0051F9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FB47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715" w:type="pct"/>
            <w:tcBorders>
              <w:tl2br w:val="nil"/>
              <w:tr2bl w:val="nil"/>
            </w:tcBorders>
            <w:vAlign w:val="center"/>
          </w:tcPr>
          <w:p w14:paraId="786AE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6D831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76E9D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2BAED8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FD8E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269" w:type="pct"/>
            <w:tcBorders>
              <w:tl2br w:val="nil"/>
              <w:tr2bl w:val="nil"/>
            </w:tcBorders>
            <w:vAlign w:val="center"/>
          </w:tcPr>
          <w:p w14:paraId="629103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四氯乙烯</w:t>
            </w:r>
          </w:p>
        </w:tc>
        <w:tc>
          <w:tcPr>
            <w:tcW w:w="729" w:type="pct"/>
            <w:tcBorders>
              <w:tl2br w:val="nil"/>
              <w:tr2bl w:val="nil"/>
            </w:tcBorders>
            <w:vAlign w:val="center"/>
          </w:tcPr>
          <w:p w14:paraId="5C38C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58E4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715" w:type="pct"/>
            <w:tcBorders>
              <w:tl2br w:val="nil"/>
              <w:tr2bl w:val="nil"/>
            </w:tcBorders>
            <w:vAlign w:val="center"/>
          </w:tcPr>
          <w:p w14:paraId="2A5D0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＜0.0014</w:t>
            </w:r>
          </w:p>
        </w:tc>
        <w:tc>
          <w:tcPr>
            <w:tcW w:w="702" w:type="pct"/>
            <w:tcBorders>
              <w:tl2br w:val="nil"/>
              <w:tr2bl w:val="nil"/>
            </w:tcBorders>
            <w:vAlign w:val="center"/>
          </w:tcPr>
          <w:p w14:paraId="38CA1C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39D2A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630FEC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7816B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269" w:type="pct"/>
            <w:tcBorders>
              <w:tl2br w:val="nil"/>
              <w:tr2bl w:val="nil"/>
            </w:tcBorders>
            <w:vAlign w:val="center"/>
          </w:tcPr>
          <w:p w14:paraId="62CCC5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1,1,1-三氯乙烷</w:t>
            </w:r>
          </w:p>
        </w:tc>
        <w:tc>
          <w:tcPr>
            <w:tcW w:w="729" w:type="pct"/>
            <w:tcBorders>
              <w:tl2br w:val="nil"/>
              <w:tr2bl w:val="nil"/>
            </w:tcBorders>
            <w:vAlign w:val="center"/>
          </w:tcPr>
          <w:p w14:paraId="6AF92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E143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840</w:t>
            </w:r>
          </w:p>
        </w:tc>
        <w:tc>
          <w:tcPr>
            <w:tcW w:w="715" w:type="pct"/>
            <w:tcBorders>
              <w:tl2br w:val="nil"/>
              <w:tr2bl w:val="nil"/>
            </w:tcBorders>
            <w:vAlign w:val="center"/>
          </w:tcPr>
          <w:p w14:paraId="71510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＜0.0013</w:t>
            </w:r>
          </w:p>
        </w:tc>
        <w:tc>
          <w:tcPr>
            <w:tcW w:w="702" w:type="pct"/>
            <w:tcBorders>
              <w:tl2br w:val="nil"/>
              <w:tr2bl w:val="nil"/>
            </w:tcBorders>
            <w:vAlign w:val="center"/>
          </w:tcPr>
          <w:p w14:paraId="638B56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23B0C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748572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F99B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269" w:type="pct"/>
            <w:tcBorders>
              <w:tl2br w:val="nil"/>
              <w:tr2bl w:val="nil"/>
            </w:tcBorders>
            <w:vAlign w:val="center"/>
          </w:tcPr>
          <w:p w14:paraId="2B1979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1,1,2-三氯乙烷</w:t>
            </w:r>
          </w:p>
        </w:tc>
        <w:tc>
          <w:tcPr>
            <w:tcW w:w="729" w:type="pct"/>
            <w:tcBorders>
              <w:tl2br w:val="nil"/>
              <w:tr2bl w:val="nil"/>
            </w:tcBorders>
            <w:vAlign w:val="center"/>
          </w:tcPr>
          <w:p w14:paraId="1C94A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7D074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715" w:type="pct"/>
            <w:tcBorders>
              <w:tl2br w:val="nil"/>
              <w:tr2bl w:val="nil"/>
            </w:tcBorders>
            <w:vAlign w:val="center"/>
          </w:tcPr>
          <w:p w14:paraId="634F1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25C72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17BBB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24B0E2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C20A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269" w:type="pct"/>
            <w:tcBorders>
              <w:tl2br w:val="nil"/>
              <w:tr2bl w:val="nil"/>
            </w:tcBorders>
            <w:vAlign w:val="center"/>
          </w:tcPr>
          <w:p w14:paraId="41EBA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三氯乙烯</w:t>
            </w:r>
          </w:p>
        </w:tc>
        <w:tc>
          <w:tcPr>
            <w:tcW w:w="729" w:type="pct"/>
            <w:tcBorders>
              <w:tl2br w:val="nil"/>
              <w:tr2bl w:val="nil"/>
            </w:tcBorders>
            <w:vAlign w:val="center"/>
          </w:tcPr>
          <w:p w14:paraId="77EB3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640B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715" w:type="pct"/>
            <w:tcBorders>
              <w:tl2br w:val="nil"/>
              <w:tr2bl w:val="nil"/>
            </w:tcBorders>
            <w:vAlign w:val="center"/>
          </w:tcPr>
          <w:p w14:paraId="07A4FF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7340F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77BFA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787C36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6C59F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269" w:type="pct"/>
            <w:tcBorders>
              <w:tl2br w:val="nil"/>
              <w:tr2bl w:val="nil"/>
            </w:tcBorders>
            <w:vAlign w:val="center"/>
          </w:tcPr>
          <w:p w14:paraId="3176E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1,2,3-三氯丙烷</w:t>
            </w:r>
          </w:p>
        </w:tc>
        <w:tc>
          <w:tcPr>
            <w:tcW w:w="729" w:type="pct"/>
            <w:tcBorders>
              <w:tl2br w:val="nil"/>
              <w:tr2bl w:val="nil"/>
            </w:tcBorders>
            <w:vAlign w:val="center"/>
          </w:tcPr>
          <w:p w14:paraId="5E32D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FA3B2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c>
          <w:tcPr>
            <w:tcW w:w="715" w:type="pct"/>
            <w:tcBorders>
              <w:tl2br w:val="nil"/>
              <w:tr2bl w:val="nil"/>
            </w:tcBorders>
            <w:vAlign w:val="center"/>
          </w:tcPr>
          <w:p w14:paraId="43A246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08F8AE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5C3E7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38CD89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CCBF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269" w:type="pct"/>
            <w:tcBorders>
              <w:tl2br w:val="nil"/>
              <w:tr2bl w:val="nil"/>
            </w:tcBorders>
            <w:vAlign w:val="center"/>
          </w:tcPr>
          <w:p w14:paraId="55516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氯乙烯</w:t>
            </w:r>
          </w:p>
        </w:tc>
        <w:tc>
          <w:tcPr>
            <w:tcW w:w="729" w:type="pct"/>
            <w:tcBorders>
              <w:tl2br w:val="nil"/>
              <w:tr2bl w:val="nil"/>
            </w:tcBorders>
            <w:vAlign w:val="center"/>
          </w:tcPr>
          <w:p w14:paraId="5334E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67FAD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0.43</w:t>
            </w:r>
          </w:p>
        </w:tc>
        <w:tc>
          <w:tcPr>
            <w:tcW w:w="715" w:type="pct"/>
            <w:tcBorders>
              <w:tl2br w:val="nil"/>
              <w:tr2bl w:val="nil"/>
            </w:tcBorders>
            <w:vAlign w:val="center"/>
          </w:tcPr>
          <w:p w14:paraId="2EEF5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＜0.0010</w:t>
            </w:r>
          </w:p>
        </w:tc>
        <w:tc>
          <w:tcPr>
            <w:tcW w:w="702" w:type="pct"/>
            <w:tcBorders>
              <w:tl2br w:val="nil"/>
              <w:tr2bl w:val="nil"/>
            </w:tcBorders>
            <w:vAlign w:val="center"/>
          </w:tcPr>
          <w:p w14:paraId="2043B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431041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1E0854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BECC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269" w:type="pct"/>
            <w:tcBorders>
              <w:tl2br w:val="nil"/>
              <w:tr2bl w:val="nil"/>
            </w:tcBorders>
            <w:vAlign w:val="center"/>
          </w:tcPr>
          <w:p w14:paraId="420DCB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苯</w:t>
            </w:r>
          </w:p>
        </w:tc>
        <w:tc>
          <w:tcPr>
            <w:tcW w:w="729" w:type="pct"/>
            <w:tcBorders>
              <w:tl2br w:val="nil"/>
              <w:tr2bl w:val="nil"/>
            </w:tcBorders>
            <w:vAlign w:val="center"/>
          </w:tcPr>
          <w:p w14:paraId="4E665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B2C7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715" w:type="pct"/>
            <w:tcBorders>
              <w:tl2br w:val="nil"/>
              <w:tr2bl w:val="nil"/>
            </w:tcBorders>
            <w:vAlign w:val="center"/>
          </w:tcPr>
          <w:p w14:paraId="7A02C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＜0.0019</w:t>
            </w:r>
          </w:p>
        </w:tc>
        <w:tc>
          <w:tcPr>
            <w:tcW w:w="702" w:type="pct"/>
            <w:tcBorders>
              <w:tl2br w:val="nil"/>
              <w:tr2bl w:val="nil"/>
            </w:tcBorders>
            <w:vAlign w:val="center"/>
          </w:tcPr>
          <w:p w14:paraId="0946E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1D930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6DC2E4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5A47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269" w:type="pct"/>
            <w:tcBorders>
              <w:tl2br w:val="nil"/>
              <w:tr2bl w:val="nil"/>
            </w:tcBorders>
            <w:vAlign w:val="center"/>
          </w:tcPr>
          <w:p w14:paraId="42F4E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氯苯</w:t>
            </w:r>
          </w:p>
        </w:tc>
        <w:tc>
          <w:tcPr>
            <w:tcW w:w="729" w:type="pct"/>
            <w:tcBorders>
              <w:tl2br w:val="nil"/>
              <w:tr2bl w:val="nil"/>
            </w:tcBorders>
            <w:vAlign w:val="center"/>
          </w:tcPr>
          <w:p w14:paraId="4B603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660C6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270</w:t>
            </w:r>
          </w:p>
        </w:tc>
        <w:tc>
          <w:tcPr>
            <w:tcW w:w="715" w:type="pct"/>
            <w:tcBorders>
              <w:tl2br w:val="nil"/>
              <w:tr2bl w:val="nil"/>
            </w:tcBorders>
            <w:vAlign w:val="center"/>
          </w:tcPr>
          <w:p w14:paraId="12A769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5E5527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6B89C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21E70D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F3FD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269" w:type="pct"/>
            <w:tcBorders>
              <w:tl2br w:val="nil"/>
              <w:tr2bl w:val="nil"/>
            </w:tcBorders>
            <w:vAlign w:val="center"/>
          </w:tcPr>
          <w:p w14:paraId="5A310B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1,2-二氯苯</w:t>
            </w:r>
          </w:p>
        </w:tc>
        <w:tc>
          <w:tcPr>
            <w:tcW w:w="729" w:type="pct"/>
            <w:tcBorders>
              <w:tl2br w:val="nil"/>
              <w:tr2bl w:val="nil"/>
            </w:tcBorders>
            <w:vAlign w:val="center"/>
          </w:tcPr>
          <w:p w14:paraId="30AC8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53FB6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560</w:t>
            </w:r>
          </w:p>
        </w:tc>
        <w:tc>
          <w:tcPr>
            <w:tcW w:w="715" w:type="pct"/>
            <w:tcBorders>
              <w:tl2br w:val="nil"/>
              <w:tr2bl w:val="nil"/>
            </w:tcBorders>
            <w:vAlign w:val="center"/>
          </w:tcPr>
          <w:p w14:paraId="2B03E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＜0.0015</w:t>
            </w:r>
          </w:p>
        </w:tc>
        <w:tc>
          <w:tcPr>
            <w:tcW w:w="702" w:type="pct"/>
            <w:tcBorders>
              <w:tl2br w:val="nil"/>
              <w:tr2bl w:val="nil"/>
            </w:tcBorders>
            <w:vAlign w:val="center"/>
          </w:tcPr>
          <w:p w14:paraId="262AB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47980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082501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C377A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269" w:type="pct"/>
            <w:tcBorders>
              <w:tl2br w:val="nil"/>
              <w:tr2bl w:val="nil"/>
            </w:tcBorders>
            <w:vAlign w:val="center"/>
          </w:tcPr>
          <w:p w14:paraId="1F1F9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1,4-二氯苯</w:t>
            </w:r>
          </w:p>
        </w:tc>
        <w:tc>
          <w:tcPr>
            <w:tcW w:w="729" w:type="pct"/>
            <w:tcBorders>
              <w:tl2br w:val="nil"/>
              <w:tr2bl w:val="nil"/>
            </w:tcBorders>
            <w:vAlign w:val="center"/>
          </w:tcPr>
          <w:p w14:paraId="74B8F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2346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15" w:type="pct"/>
            <w:tcBorders>
              <w:tl2br w:val="nil"/>
              <w:tr2bl w:val="nil"/>
            </w:tcBorders>
            <w:vAlign w:val="center"/>
          </w:tcPr>
          <w:p w14:paraId="7F2851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＜0.0015</w:t>
            </w:r>
          </w:p>
        </w:tc>
        <w:tc>
          <w:tcPr>
            <w:tcW w:w="702" w:type="pct"/>
            <w:tcBorders>
              <w:tl2br w:val="nil"/>
              <w:tr2bl w:val="nil"/>
            </w:tcBorders>
            <w:vAlign w:val="center"/>
          </w:tcPr>
          <w:p w14:paraId="519FB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2D4F0B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0D61C4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1B3C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269" w:type="pct"/>
            <w:tcBorders>
              <w:tl2br w:val="nil"/>
              <w:tr2bl w:val="nil"/>
            </w:tcBorders>
            <w:vAlign w:val="center"/>
          </w:tcPr>
          <w:p w14:paraId="018C0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乙苯</w:t>
            </w:r>
          </w:p>
        </w:tc>
        <w:tc>
          <w:tcPr>
            <w:tcW w:w="729" w:type="pct"/>
            <w:tcBorders>
              <w:tl2br w:val="nil"/>
              <w:tr2bl w:val="nil"/>
            </w:tcBorders>
            <w:vAlign w:val="center"/>
          </w:tcPr>
          <w:p w14:paraId="6D9487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01165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715" w:type="pct"/>
            <w:tcBorders>
              <w:tl2br w:val="nil"/>
              <w:tr2bl w:val="nil"/>
            </w:tcBorders>
            <w:vAlign w:val="center"/>
          </w:tcPr>
          <w:p w14:paraId="693DC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56BAD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6DFEFD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79EB83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AEC3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269" w:type="pct"/>
            <w:tcBorders>
              <w:tl2br w:val="nil"/>
              <w:tr2bl w:val="nil"/>
            </w:tcBorders>
            <w:vAlign w:val="center"/>
          </w:tcPr>
          <w:p w14:paraId="74C9F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苯乙烯</w:t>
            </w:r>
          </w:p>
        </w:tc>
        <w:tc>
          <w:tcPr>
            <w:tcW w:w="729" w:type="pct"/>
            <w:tcBorders>
              <w:tl2br w:val="nil"/>
              <w:tr2bl w:val="nil"/>
            </w:tcBorders>
            <w:vAlign w:val="center"/>
          </w:tcPr>
          <w:p w14:paraId="32716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05C8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1290</w:t>
            </w:r>
          </w:p>
        </w:tc>
        <w:tc>
          <w:tcPr>
            <w:tcW w:w="715" w:type="pct"/>
            <w:tcBorders>
              <w:tl2br w:val="nil"/>
              <w:tr2bl w:val="nil"/>
            </w:tcBorders>
            <w:vAlign w:val="center"/>
          </w:tcPr>
          <w:p w14:paraId="50A68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＜0.0011</w:t>
            </w:r>
          </w:p>
        </w:tc>
        <w:tc>
          <w:tcPr>
            <w:tcW w:w="702" w:type="pct"/>
            <w:tcBorders>
              <w:tl2br w:val="nil"/>
              <w:tr2bl w:val="nil"/>
            </w:tcBorders>
            <w:vAlign w:val="center"/>
          </w:tcPr>
          <w:p w14:paraId="1D0DC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44EF8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4E2BEB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6F320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269" w:type="pct"/>
            <w:tcBorders>
              <w:tl2br w:val="nil"/>
              <w:tr2bl w:val="nil"/>
            </w:tcBorders>
            <w:vAlign w:val="center"/>
          </w:tcPr>
          <w:p w14:paraId="2E24B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甲苯</w:t>
            </w:r>
          </w:p>
        </w:tc>
        <w:tc>
          <w:tcPr>
            <w:tcW w:w="729" w:type="pct"/>
            <w:tcBorders>
              <w:tl2br w:val="nil"/>
              <w:tr2bl w:val="nil"/>
            </w:tcBorders>
            <w:vAlign w:val="center"/>
          </w:tcPr>
          <w:p w14:paraId="6CEC2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828B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715" w:type="pct"/>
            <w:tcBorders>
              <w:tl2br w:val="nil"/>
              <w:tr2bl w:val="nil"/>
            </w:tcBorders>
            <w:vAlign w:val="center"/>
          </w:tcPr>
          <w:p w14:paraId="2B30F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＜0.0013</w:t>
            </w:r>
          </w:p>
        </w:tc>
        <w:tc>
          <w:tcPr>
            <w:tcW w:w="702" w:type="pct"/>
            <w:tcBorders>
              <w:tl2br w:val="nil"/>
              <w:tr2bl w:val="nil"/>
            </w:tcBorders>
            <w:vAlign w:val="center"/>
          </w:tcPr>
          <w:p w14:paraId="5A521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4FAF1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703136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5E4E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269" w:type="pct"/>
            <w:tcBorders>
              <w:tl2br w:val="nil"/>
              <w:tr2bl w:val="nil"/>
            </w:tcBorders>
            <w:vAlign w:val="center"/>
          </w:tcPr>
          <w:p w14:paraId="2DDB4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间/对二甲苯</w:t>
            </w:r>
          </w:p>
        </w:tc>
        <w:tc>
          <w:tcPr>
            <w:tcW w:w="729" w:type="pct"/>
            <w:tcBorders>
              <w:tl2br w:val="nil"/>
              <w:tr2bl w:val="nil"/>
            </w:tcBorders>
            <w:vAlign w:val="center"/>
          </w:tcPr>
          <w:p w14:paraId="4A8F4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6C31F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570</w:t>
            </w:r>
          </w:p>
        </w:tc>
        <w:tc>
          <w:tcPr>
            <w:tcW w:w="715" w:type="pct"/>
            <w:tcBorders>
              <w:tl2br w:val="nil"/>
              <w:tr2bl w:val="nil"/>
            </w:tcBorders>
            <w:vAlign w:val="center"/>
          </w:tcPr>
          <w:p w14:paraId="5F309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184A3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43C7B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7E0FDC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2BB4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269" w:type="pct"/>
            <w:tcBorders>
              <w:tl2br w:val="nil"/>
              <w:tr2bl w:val="nil"/>
            </w:tcBorders>
            <w:vAlign w:val="center"/>
          </w:tcPr>
          <w:p w14:paraId="13368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邻二甲苯</w:t>
            </w:r>
          </w:p>
        </w:tc>
        <w:tc>
          <w:tcPr>
            <w:tcW w:w="729" w:type="pct"/>
            <w:tcBorders>
              <w:tl2br w:val="nil"/>
              <w:tr2bl w:val="nil"/>
            </w:tcBorders>
            <w:vAlign w:val="center"/>
          </w:tcPr>
          <w:p w14:paraId="4116F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C3BB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640</w:t>
            </w:r>
          </w:p>
        </w:tc>
        <w:tc>
          <w:tcPr>
            <w:tcW w:w="715" w:type="pct"/>
            <w:tcBorders>
              <w:tl2br w:val="nil"/>
              <w:tr2bl w:val="nil"/>
            </w:tcBorders>
            <w:vAlign w:val="center"/>
          </w:tcPr>
          <w:p w14:paraId="027EB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＜0.0012</w:t>
            </w:r>
          </w:p>
        </w:tc>
        <w:tc>
          <w:tcPr>
            <w:tcW w:w="702" w:type="pct"/>
            <w:tcBorders>
              <w:tl2br w:val="nil"/>
              <w:tr2bl w:val="nil"/>
            </w:tcBorders>
            <w:vAlign w:val="center"/>
          </w:tcPr>
          <w:p w14:paraId="610DDA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0CC217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70581E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7DFA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269" w:type="pct"/>
            <w:tcBorders>
              <w:tl2br w:val="nil"/>
              <w:tr2bl w:val="nil"/>
            </w:tcBorders>
            <w:vAlign w:val="center"/>
          </w:tcPr>
          <w:p w14:paraId="5472A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硝基苯</w:t>
            </w:r>
          </w:p>
        </w:tc>
        <w:tc>
          <w:tcPr>
            <w:tcW w:w="729" w:type="pct"/>
            <w:tcBorders>
              <w:tl2br w:val="nil"/>
              <w:tr2bl w:val="nil"/>
            </w:tcBorders>
            <w:vAlign w:val="center"/>
          </w:tcPr>
          <w:p w14:paraId="18669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6F3BD2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715" w:type="pct"/>
            <w:tcBorders>
              <w:tl2br w:val="nil"/>
              <w:tr2bl w:val="nil"/>
            </w:tcBorders>
            <w:vAlign w:val="center"/>
          </w:tcPr>
          <w:p w14:paraId="43915E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＜0.09</w:t>
            </w:r>
          </w:p>
        </w:tc>
        <w:tc>
          <w:tcPr>
            <w:tcW w:w="702" w:type="pct"/>
            <w:tcBorders>
              <w:tl2br w:val="nil"/>
              <w:tr2bl w:val="nil"/>
            </w:tcBorders>
            <w:vAlign w:val="center"/>
          </w:tcPr>
          <w:p w14:paraId="4D89B6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04862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33887D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D583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269" w:type="pct"/>
            <w:tcBorders>
              <w:tl2br w:val="nil"/>
              <w:tr2bl w:val="nil"/>
            </w:tcBorders>
            <w:vAlign w:val="center"/>
          </w:tcPr>
          <w:p w14:paraId="4E290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苯胺</w:t>
            </w:r>
          </w:p>
        </w:tc>
        <w:tc>
          <w:tcPr>
            <w:tcW w:w="729" w:type="pct"/>
            <w:tcBorders>
              <w:tl2br w:val="nil"/>
              <w:tr2bl w:val="nil"/>
            </w:tcBorders>
            <w:vAlign w:val="center"/>
          </w:tcPr>
          <w:p w14:paraId="6F72B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13C8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w:t>
            </w:r>
          </w:p>
        </w:tc>
        <w:tc>
          <w:tcPr>
            <w:tcW w:w="715" w:type="pct"/>
            <w:tcBorders>
              <w:tl2br w:val="nil"/>
              <w:tr2bl w:val="nil"/>
            </w:tcBorders>
            <w:vAlign w:val="center"/>
          </w:tcPr>
          <w:p w14:paraId="60EA0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＜0.1</w:t>
            </w:r>
          </w:p>
        </w:tc>
        <w:tc>
          <w:tcPr>
            <w:tcW w:w="702" w:type="pct"/>
            <w:tcBorders>
              <w:tl2br w:val="nil"/>
              <w:tr2bl w:val="nil"/>
            </w:tcBorders>
            <w:vAlign w:val="center"/>
          </w:tcPr>
          <w:p w14:paraId="49816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0857E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27BD99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E32B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269" w:type="pct"/>
            <w:tcBorders>
              <w:tl2br w:val="nil"/>
              <w:tr2bl w:val="nil"/>
            </w:tcBorders>
            <w:vAlign w:val="center"/>
          </w:tcPr>
          <w:p w14:paraId="62F5B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2-氯酚</w:t>
            </w:r>
          </w:p>
        </w:tc>
        <w:tc>
          <w:tcPr>
            <w:tcW w:w="729" w:type="pct"/>
            <w:tcBorders>
              <w:tl2br w:val="nil"/>
              <w:tr2bl w:val="nil"/>
            </w:tcBorders>
            <w:vAlign w:val="center"/>
          </w:tcPr>
          <w:p w14:paraId="0E7818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F4F9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2256</w:t>
            </w:r>
          </w:p>
        </w:tc>
        <w:tc>
          <w:tcPr>
            <w:tcW w:w="715" w:type="pct"/>
            <w:tcBorders>
              <w:tl2br w:val="nil"/>
              <w:tr2bl w:val="nil"/>
            </w:tcBorders>
            <w:vAlign w:val="center"/>
          </w:tcPr>
          <w:p w14:paraId="12F46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＜0.06</w:t>
            </w:r>
          </w:p>
        </w:tc>
        <w:tc>
          <w:tcPr>
            <w:tcW w:w="702" w:type="pct"/>
            <w:tcBorders>
              <w:tl2br w:val="nil"/>
              <w:tr2bl w:val="nil"/>
            </w:tcBorders>
            <w:vAlign w:val="center"/>
          </w:tcPr>
          <w:p w14:paraId="688FE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05713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1E9719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417A9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269" w:type="pct"/>
            <w:tcBorders>
              <w:tl2br w:val="nil"/>
              <w:tr2bl w:val="nil"/>
            </w:tcBorders>
            <w:vAlign w:val="center"/>
          </w:tcPr>
          <w:p w14:paraId="42990A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苯并[a]蒽</w:t>
            </w:r>
          </w:p>
        </w:tc>
        <w:tc>
          <w:tcPr>
            <w:tcW w:w="729" w:type="pct"/>
            <w:tcBorders>
              <w:tl2br w:val="nil"/>
              <w:tr2bl w:val="nil"/>
            </w:tcBorders>
            <w:vAlign w:val="center"/>
          </w:tcPr>
          <w:p w14:paraId="7A832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3F16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73607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＜0.1</w:t>
            </w:r>
          </w:p>
        </w:tc>
        <w:tc>
          <w:tcPr>
            <w:tcW w:w="702" w:type="pct"/>
            <w:tcBorders>
              <w:tl2br w:val="nil"/>
              <w:tr2bl w:val="nil"/>
            </w:tcBorders>
            <w:vAlign w:val="center"/>
          </w:tcPr>
          <w:p w14:paraId="7D39E9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6CECC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419390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6936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269" w:type="pct"/>
            <w:tcBorders>
              <w:tl2br w:val="nil"/>
              <w:tr2bl w:val="nil"/>
            </w:tcBorders>
            <w:vAlign w:val="center"/>
          </w:tcPr>
          <w:p w14:paraId="63C94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苯并[a]芘</w:t>
            </w:r>
          </w:p>
        </w:tc>
        <w:tc>
          <w:tcPr>
            <w:tcW w:w="729" w:type="pct"/>
            <w:tcBorders>
              <w:tl2br w:val="nil"/>
              <w:tr2bl w:val="nil"/>
            </w:tcBorders>
            <w:vAlign w:val="center"/>
          </w:tcPr>
          <w:p w14:paraId="5F502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A175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2F63D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＜0.1</w:t>
            </w:r>
          </w:p>
        </w:tc>
        <w:tc>
          <w:tcPr>
            <w:tcW w:w="702" w:type="pct"/>
            <w:tcBorders>
              <w:tl2br w:val="nil"/>
              <w:tr2bl w:val="nil"/>
            </w:tcBorders>
            <w:vAlign w:val="center"/>
          </w:tcPr>
          <w:p w14:paraId="186EC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76868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047183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433C2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269" w:type="pct"/>
            <w:tcBorders>
              <w:tl2br w:val="nil"/>
              <w:tr2bl w:val="nil"/>
            </w:tcBorders>
            <w:vAlign w:val="center"/>
          </w:tcPr>
          <w:p w14:paraId="177B68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苯并[b]荧蒽</w:t>
            </w:r>
          </w:p>
        </w:tc>
        <w:tc>
          <w:tcPr>
            <w:tcW w:w="729" w:type="pct"/>
            <w:tcBorders>
              <w:tl2br w:val="nil"/>
              <w:tr2bl w:val="nil"/>
            </w:tcBorders>
            <w:vAlign w:val="center"/>
          </w:tcPr>
          <w:p w14:paraId="2D6A0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C03F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1461C0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＜0.2</w:t>
            </w:r>
          </w:p>
        </w:tc>
        <w:tc>
          <w:tcPr>
            <w:tcW w:w="702" w:type="pct"/>
            <w:tcBorders>
              <w:tl2br w:val="nil"/>
              <w:tr2bl w:val="nil"/>
            </w:tcBorders>
            <w:vAlign w:val="center"/>
          </w:tcPr>
          <w:p w14:paraId="5DE27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7A422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217043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ACCD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269" w:type="pct"/>
            <w:tcBorders>
              <w:tl2br w:val="nil"/>
              <w:tr2bl w:val="nil"/>
            </w:tcBorders>
            <w:vAlign w:val="center"/>
          </w:tcPr>
          <w:p w14:paraId="2C824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苯并[k]荧蒽</w:t>
            </w:r>
          </w:p>
        </w:tc>
        <w:tc>
          <w:tcPr>
            <w:tcW w:w="729" w:type="pct"/>
            <w:tcBorders>
              <w:tl2br w:val="nil"/>
              <w:tr2bl w:val="nil"/>
            </w:tcBorders>
            <w:vAlign w:val="center"/>
          </w:tcPr>
          <w:p w14:paraId="0E7CD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607F67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w:t>
            </w:r>
          </w:p>
        </w:tc>
        <w:tc>
          <w:tcPr>
            <w:tcW w:w="715" w:type="pct"/>
            <w:tcBorders>
              <w:tl2br w:val="nil"/>
              <w:tr2bl w:val="nil"/>
            </w:tcBorders>
            <w:vAlign w:val="center"/>
          </w:tcPr>
          <w:p w14:paraId="7FCEB7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＜0.1</w:t>
            </w:r>
          </w:p>
        </w:tc>
        <w:tc>
          <w:tcPr>
            <w:tcW w:w="702" w:type="pct"/>
            <w:tcBorders>
              <w:tl2br w:val="nil"/>
              <w:tr2bl w:val="nil"/>
            </w:tcBorders>
            <w:vAlign w:val="center"/>
          </w:tcPr>
          <w:p w14:paraId="59F95B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328F5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4CDAEB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D9D12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269" w:type="pct"/>
            <w:tcBorders>
              <w:tl2br w:val="nil"/>
              <w:tr2bl w:val="nil"/>
            </w:tcBorders>
            <w:vAlign w:val="center"/>
          </w:tcPr>
          <w:p w14:paraId="5D0AF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䓛</w:t>
            </w:r>
          </w:p>
        </w:tc>
        <w:tc>
          <w:tcPr>
            <w:tcW w:w="729" w:type="pct"/>
            <w:tcBorders>
              <w:tl2br w:val="nil"/>
              <w:tr2bl w:val="nil"/>
            </w:tcBorders>
            <w:vAlign w:val="center"/>
          </w:tcPr>
          <w:p w14:paraId="1322A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008BE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1293</w:t>
            </w:r>
          </w:p>
        </w:tc>
        <w:tc>
          <w:tcPr>
            <w:tcW w:w="715" w:type="pct"/>
            <w:tcBorders>
              <w:tl2br w:val="nil"/>
              <w:tr2bl w:val="nil"/>
            </w:tcBorders>
            <w:vAlign w:val="center"/>
          </w:tcPr>
          <w:p w14:paraId="2167B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＜0.1</w:t>
            </w:r>
          </w:p>
        </w:tc>
        <w:tc>
          <w:tcPr>
            <w:tcW w:w="702" w:type="pct"/>
            <w:tcBorders>
              <w:tl2br w:val="nil"/>
              <w:tr2bl w:val="nil"/>
            </w:tcBorders>
            <w:vAlign w:val="center"/>
          </w:tcPr>
          <w:p w14:paraId="72D2F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0B2D03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53DB8B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FE66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269" w:type="pct"/>
            <w:tcBorders>
              <w:tl2br w:val="nil"/>
              <w:tr2bl w:val="nil"/>
            </w:tcBorders>
            <w:vAlign w:val="center"/>
          </w:tcPr>
          <w:p w14:paraId="214A7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二苯并[a,h]蒽</w:t>
            </w:r>
          </w:p>
        </w:tc>
        <w:tc>
          <w:tcPr>
            <w:tcW w:w="729" w:type="pct"/>
            <w:tcBorders>
              <w:tl2br w:val="nil"/>
              <w:tr2bl w:val="nil"/>
            </w:tcBorders>
            <w:vAlign w:val="center"/>
          </w:tcPr>
          <w:p w14:paraId="411E60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AA38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5451F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＜0.1</w:t>
            </w:r>
          </w:p>
        </w:tc>
        <w:tc>
          <w:tcPr>
            <w:tcW w:w="702" w:type="pct"/>
            <w:tcBorders>
              <w:tl2br w:val="nil"/>
              <w:tr2bl w:val="nil"/>
            </w:tcBorders>
            <w:vAlign w:val="center"/>
          </w:tcPr>
          <w:p w14:paraId="4ADF12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0E8A0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74618D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88B0D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269" w:type="pct"/>
            <w:tcBorders>
              <w:tl2br w:val="nil"/>
              <w:tr2bl w:val="nil"/>
            </w:tcBorders>
            <w:vAlign w:val="center"/>
          </w:tcPr>
          <w:p w14:paraId="1BC6DA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茚并[1,2,3-cd]芘</w:t>
            </w:r>
          </w:p>
        </w:tc>
        <w:tc>
          <w:tcPr>
            <w:tcW w:w="729" w:type="pct"/>
            <w:tcBorders>
              <w:tl2br w:val="nil"/>
              <w:tr2bl w:val="nil"/>
            </w:tcBorders>
            <w:vAlign w:val="center"/>
          </w:tcPr>
          <w:p w14:paraId="5898A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A01A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022FE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＜0.1</w:t>
            </w:r>
          </w:p>
        </w:tc>
        <w:tc>
          <w:tcPr>
            <w:tcW w:w="702" w:type="pct"/>
            <w:tcBorders>
              <w:tl2br w:val="nil"/>
              <w:tr2bl w:val="nil"/>
            </w:tcBorders>
            <w:vAlign w:val="center"/>
          </w:tcPr>
          <w:p w14:paraId="28540B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259DD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694324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60FC9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269" w:type="pct"/>
            <w:tcBorders>
              <w:tl2br w:val="nil"/>
              <w:tr2bl w:val="nil"/>
            </w:tcBorders>
            <w:vAlign w:val="center"/>
          </w:tcPr>
          <w:p w14:paraId="49F40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萘</w:t>
            </w:r>
          </w:p>
        </w:tc>
        <w:tc>
          <w:tcPr>
            <w:tcW w:w="729" w:type="pct"/>
            <w:tcBorders>
              <w:tl2br w:val="nil"/>
              <w:tr2bl w:val="nil"/>
            </w:tcBorders>
            <w:vAlign w:val="center"/>
          </w:tcPr>
          <w:p w14:paraId="15E9B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C3C7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715" w:type="pct"/>
            <w:tcBorders>
              <w:tl2br w:val="nil"/>
              <w:tr2bl w:val="nil"/>
            </w:tcBorders>
            <w:vAlign w:val="center"/>
          </w:tcPr>
          <w:p w14:paraId="51454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sz w:val="21"/>
                <w:szCs w:val="21"/>
                <w:highlight w:val="none"/>
                <w:u w:val="none"/>
                <w:lang w:val="en-US"/>
              </w:rPr>
            </w:pPr>
            <w:r>
              <w:rPr>
                <w:rFonts w:hint="eastAsia" w:ascii="宋体" w:hAnsi="宋体" w:cs="宋体"/>
                <w:color w:val="auto"/>
                <w:sz w:val="21"/>
                <w:szCs w:val="21"/>
                <w:highlight w:val="none"/>
                <w:u w:val="none"/>
                <w:lang w:val="en-US" w:eastAsia="zh-CN"/>
              </w:rPr>
              <w:t>＜0.09</w:t>
            </w:r>
          </w:p>
        </w:tc>
        <w:tc>
          <w:tcPr>
            <w:tcW w:w="702" w:type="pct"/>
            <w:tcBorders>
              <w:tl2br w:val="nil"/>
              <w:tr2bl w:val="nil"/>
            </w:tcBorders>
            <w:vAlign w:val="center"/>
          </w:tcPr>
          <w:p w14:paraId="1CB96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w:t>
            </w:r>
          </w:p>
        </w:tc>
        <w:tc>
          <w:tcPr>
            <w:tcW w:w="418" w:type="pct"/>
            <w:tcBorders>
              <w:tl2br w:val="nil"/>
              <w:tr2bl w:val="nil"/>
            </w:tcBorders>
            <w:vAlign w:val="center"/>
          </w:tcPr>
          <w:p w14:paraId="78218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达标</w:t>
            </w:r>
          </w:p>
        </w:tc>
      </w:tr>
      <w:tr w14:paraId="0B62D0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69666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47</w:t>
            </w:r>
          </w:p>
        </w:tc>
        <w:tc>
          <w:tcPr>
            <w:tcW w:w="1269" w:type="pct"/>
            <w:tcBorders>
              <w:tl2br w:val="nil"/>
              <w:tr2bl w:val="nil"/>
            </w:tcBorders>
            <w:vAlign w:val="center"/>
          </w:tcPr>
          <w:p w14:paraId="4F49F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石油烃</w:t>
            </w:r>
          </w:p>
        </w:tc>
        <w:tc>
          <w:tcPr>
            <w:tcW w:w="729" w:type="pct"/>
            <w:tcBorders>
              <w:tl2br w:val="nil"/>
              <w:tr2bl w:val="nil"/>
            </w:tcBorders>
            <w:vAlign w:val="center"/>
          </w:tcPr>
          <w:p w14:paraId="490F1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A69B5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4500</w:t>
            </w:r>
          </w:p>
        </w:tc>
        <w:tc>
          <w:tcPr>
            <w:tcW w:w="715" w:type="pct"/>
            <w:tcBorders>
              <w:tl2br w:val="nil"/>
              <w:tr2bl w:val="nil"/>
            </w:tcBorders>
            <w:vAlign w:val="center"/>
          </w:tcPr>
          <w:p w14:paraId="32002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10</w:t>
            </w:r>
          </w:p>
        </w:tc>
        <w:tc>
          <w:tcPr>
            <w:tcW w:w="702" w:type="pct"/>
            <w:tcBorders>
              <w:tl2br w:val="nil"/>
              <w:tr2bl w:val="nil"/>
            </w:tcBorders>
            <w:vAlign w:val="center"/>
          </w:tcPr>
          <w:p w14:paraId="31CFA7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2.22×10</w:t>
            </w:r>
            <w:r>
              <w:rPr>
                <w:rFonts w:hint="eastAsia" w:ascii="宋体" w:hAnsi="宋体" w:cs="宋体"/>
                <w:i w:val="0"/>
                <w:iCs w:val="0"/>
                <w:color w:val="auto"/>
                <w:kern w:val="0"/>
                <w:sz w:val="21"/>
                <w:szCs w:val="21"/>
                <w:highlight w:val="none"/>
                <w:u w:val="none"/>
                <w:vertAlign w:val="superscript"/>
                <w:lang w:val="en-US" w:eastAsia="zh-CN" w:bidi="ar"/>
              </w:rPr>
              <w:t>-3</w:t>
            </w:r>
          </w:p>
        </w:tc>
        <w:tc>
          <w:tcPr>
            <w:tcW w:w="418" w:type="pct"/>
            <w:tcBorders>
              <w:tl2br w:val="nil"/>
              <w:tr2bl w:val="nil"/>
            </w:tcBorders>
            <w:vAlign w:val="center"/>
          </w:tcPr>
          <w:p w14:paraId="1C9FEB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none"/>
              </w:rPr>
              <w:t>达标</w:t>
            </w:r>
          </w:p>
        </w:tc>
      </w:tr>
      <w:tr w14:paraId="4D878C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73397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48</w:t>
            </w:r>
          </w:p>
        </w:tc>
        <w:tc>
          <w:tcPr>
            <w:tcW w:w="1269" w:type="pct"/>
            <w:tcBorders>
              <w:tl2br w:val="nil"/>
              <w:tr2bl w:val="nil"/>
            </w:tcBorders>
            <w:vAlign w:val="center"/>
          </w:tcPr>
          <w:p w14:paraId="1F1B8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土壤盐分含量</w:t>
            </w:r>
          </w:p>
        </w:tc>
        <w:tc>
          <w:tcPr>
            <w:tcW w:w="729" w:type="pct"/>
            <w:tcBorders>
              <w:tl2br w:val="nil"/>
              <w:tr2bl w:val="nil"/>
            </w:tcBorders>
            <w:vAlign w:val="center"/>
          </w:tcPr>
          <w:p w14:paraId="52527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g/kg</w:t>
            </w:r>
          </w:p>
        </w:tc>
        <w:tc>
          <w:tcPr>
            <w:tcW w:w="717" w:type="pct"/>
            <w:tcBorders>
              <w:tl2br w:val="nil"/>
              <w:tr2bl w:val="nil"/>
            </w:tcBorders>
            <w:vAlign w:val="center"/>
          </w:tcPr>
          <w:p w14:paraId="1596A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u w:val="none"/>
                <w:lang w:val="en-US" w:eastAsia="zh-CN"/>
              </w:rPr>
              <w:t>/</w:t>
            </w:r>
          </w:p>
        </w:tc>
        <w:tc>
          <w:tcPr>
            <w:tcW w:w="715" w:type="pct"/>
            <w:tcBorders>
              <w:tl2br w:val="nil"/>
              <w:tr2bl w:val="nil"/>
            </w:tcBorders>
            <w:vAlign w:val="center"/>
          </w:tcPr>
          <w:p w14:paraId="31683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宋体" w:hAnsi="宋体" w:eastAsia="宋体" w:cs="宋体"/>
                <w:color w:val="auto"/>
                <w:kern w:val="0"/>
                <w:sz w:val="21"/>
                <w:szCs w:val="21"/>
                <w:highlight w:val="none"/>
                <w:u w:val="none"/>
                <w:lang w:val="en-US" w:eastAsia="zh-CN"/>
              </w:rPr>
            </w:pPr>
            <w:r>
              <w:rPr>
                <w:rFonts w:hint="eastAsia" w:ascii="宋体" w:hAnsi="宋体" w:cs="宋体"/>
                <w:color w:val="auto"/>
                <w:kern w:val="0"/>
                <w:sz w:val="21"/>
                <w:szCs w:val="21"/>
                <w:highlight w:val="none"/>
                <w:u w:val="none"/>
                <w:lang w:val="en-US" w:eastAsia="zh-CN"/>
              </w:rPr>
              <w:t>0.78</w:t>
            </w:r>
          </w:p>
        </w:tc>
        <w:tc>
          <w:tcPr>
            <w:tcW w:w="1121" w:type="pct"/>
            <w:gridSpan w:val="2"/>
            <w:tcBorders>
              <w:tl2br w:val="nil"/>
              <w:tr2bl w:val="nil"/>
            </w:tcBorders>
            <w:vAlign w:val="center"/>
          </w:tcPr>
          <w:p w14:paraId="0ED64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宋体" w:hAnsi="宋体" w:cs="宋体"/>
                <w:color w:val="auto"/>
                <w:kern w:val="0"/>
                <w:sz w:val="21"/>
                <w:szCs w:val="21"/>
                <w:highlight w:val="none"/>
                <w:u w:val="none"/>
                <w:lang w:val="en-US" w:eastAsia="zh-CN"/>
              </w:rPr>
            </w:pPr>
            <w:r>
              <w:rPr>
                <w:rFonts w:hint="eastAsia" w:ascii="宋体" w:hAnsi="宋体" w:cs="宋体"/>
                <w:color w:val="auto"/>
                <w:kern w:val="0"/>
                <w:sz w:val="21"/>
                <w:szCs w:val="21"/>
                <w:highlight w:val="none"/>
                <w:u w:val="none"/>
                <w:lang w:val="en-US" w:eastAsia="zh-CN"/>
              </w:rPr>
              <w:t>/</w:t>
            </w:r>
          </w:p>
        </w:tc>
      </w:tr>
    </w:tbl>
    <w:p w14:paraId="75F634CC">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表4.5-9    土壤监测结果一览表（占地范围外表层样）    单位：mg/kg</w:t>
      </w:r>
    </w:p>
    <w:tbl>
      <w:tblPr>
        <w:tblStyle w:val="3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921"/>
        <w:gridCol w:w="659"/>
        <w:gridCol w:w="679"/>
        <w:gridCol w:w="1068"/>
        <w:gridCol w:w="697"/>
        <w:gridCol w:w="669"/>
        <w:gridCol w:w="788"/>
        <w:gridCol w:w="656"/>
        <w:gridCol w:w="843"/>
      </w:tblGrid>
      <w:tr w14:paraId="21C38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69" w:type="pct"/>
            <w:gridSpan w:val="2"/>
            <w:vMerge w:val="restart"/>
            <w:tcBorders>
              <w:tl2br w:val="nil"/>
              <w:tr2bl w:val="nil"/>
            </w:tcBorders>
            <w:noWrap w:val="0"/>
            <w:vAlign w:val="center"/>
          </w:tcPr>
          <w:p w14:paraId="4D679BE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lang w:val="en-US" w:eastAsia="zh-CN"/>
              </w:rPr>
              <w:t>监测项目</w:t>
            </w:r>
          </w:p>
          <w:p w14:paraId="7A6E6D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p w14:paraId="630BEA6F">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监测点位</w:t>
            </w:r>
          </w:p>
        </w:tc>
        <w:tc>
          <w:tcPr>
            <w:tcW w:w="3430" w:type="pct"/>
            <w:gridSpan w:val="8"/>
            <w:tcBorders>
              <w:tl2br w:val="nil"/>
              <w:tr2bl w:val="nil"/>
            </w:tcBorders>
            <w:noWrap w:val="0"/>
            <w:vAlign w:val="center"/>
          </w:tcPr>
          <w:p w14:paraId="79CD9D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cs="宋体"/>
                <w:color w:val="auto"/>
                <w:sz w:val="21"/>
                <w:szCs w:val="21"/>
                <w:u w:val="none"/>
                <w:lang w:val="en-US" w:eastAsia="zh-CN"/>
              </w:rPr>
              <w:t>监测结果</w:t>
            </w:r>
          </w:p>
        </w:tc>
      </w:tr>
      <w:tr w14:paraId="35F26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69" w:type="pct"/>
            <w:gridSpan w:val="2"/>
            <w:vMerge w:val="continue"/>
            <w:tcBorders>
              <w:tl2br w:val="nil"/>
              <w:tr2bl w:val="nil"/>
            </w:tcBorders>
            <w:noWrap w:val="0"/>
            <w:vAlign w:val="center"/>
          </w:tcPr>
          <w:p w14:paraId="3578AD0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373" w:type="pct"/>
            <w:tcBorders>
              <w:tl2br w:val="nil"/>
              <w:tr2bl w:val="nil"/>
            </w:tcBorders>
            <w:noWrap w:val="0"/>
            <w:vAlign w:val="center"/>
          </w:tcPr>
          <w:p w14:paraId="77819C9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砷</w:t>
            </w:r>
          </w:p>
        </w:tc>
        <w:tc>
          <w:tcPr>
            <w:tcW w:w="384" w:type="pct"/>
            <w:tcBorders>
              <w:tl2br w:val="nil"/>
              <w:tr2bl w:val="nil"/>
            </w:tcBorders>
            <w:noWrap w:val="0"/>
            <w:vAlign w:val="center"/>
          </w:tcPr>
          <w:p w14:paraId="4D0FA6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镉</w:t>
            </w:r>
          </w:p>
        </w:tc>
        <w:tc>
          <w:tcPr>
            <w:tcW w:w="604" w:type="pct"/>
            <w:tcBorders>
              <w:tl2br w:val="nil"/>
              <w:tr2bl w:val="nil"/>
            </w:tcBorders>
            <w:noWrap w:val="0"/>
            <w:vAlign w:val="center"/>
          </w:tcPr>
          <w:p w14:paraId="190D91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铬（六价）</w:t>
            </w:r>
          </w:p>
        </w:tc>
        <w:tc>
          <w:tcPr>
            <w:tcW w:w="394" w:type="pct"/>
            <w:tcBorders>
              <w:tl2br w:val="nil"/>
              <w:tr2bl w:val="nil"/>
            </w:tcBorders>
            <w:noWrap w:val="0"/>
            <w:vAlign w:val="center"/>
          </w:tcPr>
          <w:p w14:paraId="2D40F2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铜</w:t>
            </w:r>
          </w:p>
        </w:tc>
        <w:tc>
          <w:tcPr>
            <w:tcW w:w="378" w:type="pct"/>
            <w:tcBorders>
              <w:tl2br w:val="nil"/>
              <w:tr2bl w:val="nil"/>
            </w:tcBorders>
            <w:noWrap w:val="0"/>
            <w:vAlign w:val="center"/>
          </w:tcPr>
          <w:p w14:paraId="408B2F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铅</w:t>
            </w:r>
          </w:p>
        </w:tc>
        <w:tc>
          <w:tcPr>
            <w:tcW w:w="446" w:type="pct"/>
            <w:tcBorders>
              <w:tl2br w:val="nil"/>
              <w:tr2bl w:val="nil"/>
            </w:tcBorders>
            <w:noWrap w:val="0"/>
            <w:vAlign w:val="center"/>
          </w:tcPr>
          <w:p w14:paraId="57D9BC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汞</w:t>
            </w:r>
          </w:p>
        </w:tc>
        <w:tc>
          <w:tcPr>
            <w:tcW w:w="371" w:type="pct"/>
            <w:tcBorders>
              <w:tl2br w:val="nil"/>
              <w:tr2bl w:val="nil"/>
            </w:tcBorders>
            <w:noWrap w:val="0"/>
            <w:vAlign w:val="center"/>
          </w:tcPr>
          <w:p w14:paraId="2C910A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镍</w:t>
            </w:r>
          </w:p>
        </w:tc>
        <w:tc>
          <w:tcPr>
            <w:tcW w:w="477" w:type="pct"/>
            <w:tcBorders>
              <w:tl2br w:val="nil"/>
              <w:tr2bl w:val="nil"/>
            </w:tcBorders>
            <w:noWrap w:val="0"/>
            <w:vAlign w:val="center"/>
          </w:tcPr>
          <w:p w14:paraId="3AD9FD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pacing w:val="-11"/>
                <w:sz w:val="21"/>
                <w:szCs w:val="21"/>
                <w:u w:val="none"/>
                <w:lang w:val="en-US" w:eastAsia="zh-CN"/>
              </w:rPr>
              <w:t>石油烃</w:t>
            </w:r>
          </w:p>
        </w:tc>
      </w:tr>
      <w:tr w14:paraId="1C07F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7" w:type="pct"/>
            <w:tcBorders>
              <w:tl2br w:val="nil"/>
              <w:tr2bl w:val="nil"/>
            </w:tcBorders>
            <w:noWrap w:val="0"/>
            <w:vAlign w:val="center"/>
          </w:tcPr>
          <w:p w14:paraId="44D397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MBHW6008井场东侧200m</w:t>
            </w:r>
          </w:p>
        </w:tc>
        <w:tc>
          <w:tcPr>
            <w:tcW w:w="521" w:type="pct"/>
            <w:tcBorders>
              <w:tl2br w:val="nil"/>
              <w:tr2bl w:val="nil"/>
            </w:tcBorders>
            <w:noWrap w:val="0"/>
            <w:vAlign w:val="center"/>
          </w:tcPr>
          <w:p w14:paraId="1946DA1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color w:val="auto"/>
                <w:u w:val="none"/>
              </w:rPr>
              <w:t>0-20cm</w:t>
            </w:r>
          </w:p>
        </w:tc>
        <w:tc>
          <w:tcPr>
            <w:tcW w:w="373" w:type="pct"/>
            <w:tcBorders>
              <w:tl2br w:val="nil"/>
              <w:tr2bl w:val="nil"/>
            </w:tcBorders>
            <w:noWrap w:val="0"/>
            <w:vAlign w:val="center"/>
          </w:tcPr>
          <w:p w14:paraId="22D009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6.79</w:t>
            </w:r>
          </w:p>
        </w:tc>
        <w:tc>
          <w:tcPr>
            <w:tcW w:w="384" w:type="pct"/>
            <w:tcBorders>
              <w:tl2br w:val="nil"/>
              <w:tr2bl w:val="nil"/>
            </w:tcBorders>
            <w:noWrap w:val="0"/>
            <w:vAlign w:val="center"/>
          </w:tcPr>
          <w:p w14:paraId="05A0271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0.11</w:t>
            </w:r>
          </w:p>
        </w:tc>
        <w:tc>
          <w:tcPr>
            <w:tcW w:w="604" w:type="pct"/>
            <w:tcBorders>
              <w:tl2br w:val="nil"/>
              <w:tr2bl w:val="nil"/>
            </w:tcBorders>
            <w:noWrap w:val="0"/>
            <w:vAlign w:val="center"/>
          </w:tcPr>
          <w:p w14:paraId="1EF01EF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94" w:type="pct"/>
            <w:tcBorders>
              <w:tl2br w:val="nil"/>
              <w:tr2bl w:val="nil"/>
            </w:tcBorders>
            <w:noWrap w:val="0"/>
            <w:vAlign w:val="center"/>
          </w:tcPr>
          <w:p w14:paraId="192A973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15</w:t>
            </w:r>
          </w:p>
        </w:tc>
        <w:tc>
          <w:tcPr>
            <w:tcW w:w="378" w:type="pct"/>
            <w:tcBorders>
              <w:tl2br w:val="nil"/>
              <w:tr2bl w:val="nil"/>
            </w:tcBorders>
            <w:noWrap w:val="0"/>
            <w:vAlign w:val="center"/>
          </w:tcPr>
          <w:p w14:paraId="3013F3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18</w:t>
            </w:r>
          </w:p>
        </w:tc>
        <w:tc>
          <w:tcPr>
            <w:tcW w:w="446" w:type="pct"/>
            <w:tcBorders>
              <w:tl2br w:val="nil"/>
              <w:tr2bl w:val="nil"/>
            </w:tcBorders>
            <w:noWrap w:val="0"/>
            <w:vAlign w:val="center"/>
          </w:tcPr>
          <w:p w14:paraId="17AEF1C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0.006</w:t>
            </w:r>
          </w:p>
        </w:tc>
        <w:tc>
          <w:tcPr>
            <w:tcW w:w="371" w:type="pct"/>
            <w:tcBorders>
              <w:tl2br w:val="nil"/>
              <w:tr2bl w:val="nil"/>
            </w:tcBorders>
            <w:noWrap w:val="0"/>
            <w:vAlign w:val="center"/>
          </w:tcPr>
          <w:p w14:paraId="1309E5E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w:t>
            </w:r>
          </w:p>
        </w:tc>
        <w:tc>
          <w:tcPr>
            <w:tcW w:w="477" w:type="pct"/>
            <w:tcBorders>
              <w:tl2br w:val="nil"/>
              <w:tr2bl w:val="nil"/>
            </w:tcBorders>
            <w:noWrap w:val="0"/>
            <w:vAlign w:val="center"/>
          </w:tcPr>
          <w:p w14:paraId="3A19EE1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w:t>
            </w:r>
          </w:p>
        </w:tc>
      </w:tr>
      <w:tr w14:paraId="4DDF1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7" w:type="pct"/>
            <w:tcBorders>
              <w:tl2br w:val="nil"/>
              <w:tr2bl w:val="nil"/>
            </w:tcBorders>
            <w:noWrap w:val="0"/>
            <w:vAlign w:val="center"/>
          </w:tcPr>
          <w:p w14:paraId="7874E4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MBHW6006井场南侧2.0km</w:t>
            </w:r>
          </w:p>
        </w:tc>
        <w:tc>
          <w:tcPr>
            <w:tcW w:w="521" w:type="pct"/>
            <w:tcBorders>
              <w:tl2br w:val="nil"/>
              <w:tr2bl w:val="nil"/>
            </w:tcBorders>
            <w:noWrap w:val="0"/>
            <w:vAlign w:val="center"/>
          </w:tcPr>
          <w:p w14:paraId="1F9BC4A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color w:val="auto"/>
                <w:u w:val="none"/>
              </w:rPr>
              <w:t>0-20cm</w:t>
            </w:r>
          </w:p>
        </w:tc>
        <w:tc>
          <w:tcPr>
            <w:tcW w:w="373" w:type="pct"/>
            <w:tcBorders>
              <w:tl2br w:val="nil"/>
              <w:tr2bl w:val="nil"/>
            </w:tcBorders>
            <w:noWrap w:val="0"/>
            <w:vAlign w:val="center"/>
          </w:tcPr>
          <w:p w14:paraId="6AD7CE6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6.90</w:t>
            </w:r>
          </w:p>
        </w:tc>
        <w:tc>
          <w:tcPr>
            <w:tcW w:w="384" w:type="pct"/>
            <w:tcBorders>
              <w:tl2br w:val="nil"/>
              <w:tr2bl w:val="nil"/>
            </w:tcBorders>
            <w:noWrap w:val="0"/>
            <w:vAlign w:val="center"/>
          </w:tcPr>
          <w:p w14:paraId="66C4A2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0.08</w:t>
            </w:r>
          </w:p>
        </w:tc>
        <w:tc>
          <w:tcPr>
            <w:tcW w:w="604" w:type="pct"/>
            <w:tcBorders>
              <w:tl2br w:val="nil"/>
              <w:tr2bl w:val="nil"/>
            </w:tcBorders>
            <w:noWrap w:val="0"/>
            <w:vAlign w:val="center"/>
          </w:tcPr>
          <w:p w14:paraId="6922738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94" w:type="pct"/>
            <w:tcBorders>
              <w:tl2br w:val="nil"/>
              <w:tr2bl w:val="nil"/>
            </w:tcBorders>
            <w:noWrap w:val="0"/>
            <w:vAlign w:val="center"/>
          </w:tcPr>
          <w:p w14:paraId="1586B09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18</w:t>
            </w:r>
          </w:p>
        </w:tc>
        <w:tc>
          <w:tcPr>
            <w:tcW w:w="378" w:type="pct"/>
            <w:tcBorders>
              <w:tl2br w:val="nil"/>
              <w:tr2bl w:val="nil"/>
            </w:tcBorders>
            <w:noWrap w:val="0"/>
            <w:vAlign w:val="center"/>
          </w:tcPr>
          <w:p w14:paraId="48A3C9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21</w:t>
            </w:r>
          </w:p>
        </w:tc>
        <w:tc>
          <w:tcPr>
            <w:tcW w:w="446" w:type="pct"/>
            <w:tcBorders>
              <w:tl2br w:val="nil"/>
              <w:tr2bl w:val="nil"/>
            </w:tcBorders>
            <w:noWrap w:val="0"/>
            <w:vAlign w:val="center"/>
          </w:tcPr>
          <w:p w14:paraId="1387508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0.011</w:t>
            </w:r>
          </w:p>
        </w:tc>
        <w:tc>
          <w:tcPr>
            <w:tcW w:w="371" w:type="pct"/>
            <w:tcBorders>
              <w:tl2br w:val="nil"/>
              <w:tr2bl w:val="nil"/>
            </w:tcBorders>
            <w:noWrap w:val="0"/>
            <w:vAlign w:val="center"/>
          </w:tcPr>
          <w:p w14:paraId="4161E97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w:t>
            </w:r>
          </w:p>
        </w:tc>
        <w:tc>
          <w:tcPr>
            <w:tcW w:w="477" w:type="pct"/>
            <w:tcBorders>
              <w:tl2br w:val="nil"/>
              <w:tr2bl w:val="nil"/>
            </w:tcBorders>
            <w:noWrap w:val="0"/>
            <w:vAlign w:val="center"/>
          </w:tcPr>
          <w:p w14:paraId="64ED95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7</w:t>
            </w:r>
          </w:p>
        </w:tc>
      </w:tr>
      <w:tr w14:paraId="1EC51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7" w:type="pct"/>
            <w:tcBorders>
              <w:tl2br w:val="nil"/>
              <w:tr2bl w:val="nil"/>
            </w:tcBorders>
            <w:noWrap w:val="0"/>
            <w:vAlign w:val="center"/>
          </w:tcPr>
          <w:p w14:paraId="4EFC43C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MBHW6008井场北侧200m</w:t>
            </w:r>
          </w:p>
        </w:tc>
        <w:tc>
          <w:tcPr>
            <w:tcW w:w="521" w:type="pct"/>
            <w:tcBorders>
              <w:tl2br w:val="nil"/>
              <w:tr2bl w:val="nil"/>
            </w:tcBorders>
            <w:noWrap w:val="0"/>
            <w:vAlign w:val="center"/>
          </w:tcPr>
          <w:p w14:paraId="793838C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color w:val="auto"/>
                <w:u w:val="none"/>
              </w:rPr>
              <w:t>0-20cm</w:t>
            </w:r>
          </w:p>
        </w:tc>
        <w:tc>
          <w:tcPr>
            <w:tcW w:w="373" w:type="pct"/>
            <w:tcBorders>
              <w:tl2br w:val="nil"/>
              <w:tr2bl w:val="nil"/>
            </w:tcBorders>
            <w:noWrap w:val="0"/>
            <w:vAlign w:val="center"/>
          </w:tcPr>
          <w:p w14:paraId="6269004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6.92</w:t>
            </w:r>
          </w:p>
        </w:tc>
        <w:tc>
          <w:tcPr>
            <w:tcW w:w="384" w:type="pct"/>
            <w:tcBorders>
              <w:tl2br w:val="nil"/>
              <w:tr2bl w:val="nil"/>
            </w:tcBorders>
            <w:noWrap w:val="0"/>
            <w:vAlign w:val="center"/>
          </w:tcPr>
          <w:p w14:paraId="35B5DB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0.09</w:t>
            </w:r>
          </w:p>
        </w:tc>
        <w:tc>
          <w:tcPr>
            <w:tcW w:w="604" w:type="pct"/>
            <w:tcBorders>
              <w:tl2br w:val="nil"/>
              <w:tr2bl w:val="nil"/>
            </w:tcBorders>
            <w:noWrap w:val="0"/>
            <w:vAlign w:val="center"/>
          </w:tcPr>
          <w:p w14:paraId="18FE6D9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94" w:type="pct"/>
            <w:tcBorders>
              <w:tl2br w:val="nil"/>
              <w:tr2bl w:val="nil"/>
            </w:tcBorders>
            <w:noWrap w:val="0"/>
            <w:vAlign w:val="center"/>
          </w:tcPr>
          <w:p w14:paraId="442F46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22</w:t>
            </w:r>
          </w:p>
        </w:tc>
        <w:tc>
          <w:tcPr>
            <w:tcW w:w="378" w:type="pct"/>
            <w:tcBorders>
              <w:tl2br w:val="nil"/>
              <w:tr2bl w:val="nil"/>
            </w:tcBorders>
            <w:noWrap w:val="0"/>
            <w:vAlign w:val="center"/>
          </w:tcPr>
          <w:p w14:paraId="5AC28CB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17</w:t>
            </w:r>
          </w:p>
        </w:tc>
        <w:tc>
          <w:tcPr>
            <w:tcW w:w="446" w:type="pct"/>
            <w:tcBorders>
              <w:tl2br w:val="nil"/>
              <w:tr2bl w:val="nil"/>
            </w:tcBorders>
            <w:noWrap w:val="0"/>
            <w:vAlign w:val="center"/>
          </w:tcPr>
          <w:p w14:paraId="686E41B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0.008</w:t>
            </w:r>
          </w:p>
        </w:tc>
        <w:tc>
          <w:tcPr>
            <w:tcW w:w="371" w:type="pct"/>
            <w:tcBorders>
              <w:tl2br w:val="nil"/>
              <w:tr2bl w:val="nil"/>
            </w:tcBorders>
            <w:noWrap w:val="0"/>
            <w:vAlign w:val="center"/>
          </w:tcPr>
          <w:p w14:paraId="1F948AE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15</w:t>
            </w:r>
          </w:p>
        </w:tc>
        <w:tc>
          <w:tcPr>
            <w:tcW w:w="477" w:type="pct"/>
            <w:tcBorders>
              <w:tl2br w:val="nil"/>
              <w:tr2bl w:val="nil"/>
            </w:tcBorders>
            <w:noWrap w:val="0"/>
            <w:vAlign w:val="center"/>
          </w:tcPr>
          <w:p w14:paraId="332BF17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7</w:t>
            </w:r>
          </w:p>
        </w:tc>
      </w:tr>
      <w:tr w14:paraId="4E51F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7" w:type="pct"/>
            <w:tcBorders>
              <w:tl2br w:val="nil"/>
              <w:tr2bl w:val="nil"/>
            </w:tcBorders>
            <w:noWrap w:val="0"/>
            <w:vAlign w:val="center"/>
          </w:tcPr>
          <w:p w14:paraId="40A60C3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default" w:ascii="宋体" w:hAnsi="宋体" w:eastAsia="宋体" w:cs="宋体"/>
                <w:color w:val="auto"/>
                <w:sz w:val="21"/>
                <w:szCs w:val="21"/>
                <w:u w:val="none"/>
                <w:lang w:val="en-US" w:eastAsia="zh-CN"/>
              </w:rPr>
              <w:t>莫109转油站西侧2.0km</w:t>
            </w:r>
          </w:p>
        </w:tc>
        <w:tc>
          <w:tcPr>
            <w:tcW w:w="521" w:type="pct"/>
            <w:tcBorders>
              <w:tl2br w:val="nil"/>
              <w:tr2bl w:val="nil"/>
            </w:tcBorders>
            <w:noWrap w:val="0"/>
            <w:vAlign w:val="center"/>
          </w:tcPr>
          <w:p w14:paraId="47D4783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color w:val="auto"/>
                <w:u w:val="none"/>
              </w:rPr>
              <w:t>0-20cm</w:t>
            </w:r>
          </w:p>
        </w:tc>
        <w:tc>
          <w:tcPr>
            <w:tcW w:w="373" w:type="pct"/>
            <w:tcBorders>
              <w:tl2br w:val="nil"/>
              <w:tr2bl w:val="nil"/>
            </w:tcBorders>
            <w:noWrap w:val="0"/>
            <w:vAlign w:val="center"/>
          </w:tcPr>
          <w:p w14:paraId="24CA84B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6.68</w:t>
            </w:r>
          </w:p>
        </w:tc>
        <w:tc>
          <w:tcPr>
            <w:tcW w:w="384" w:type="pct"/>
            <w:tcBorders>
              <w:tl2br w:val="nil"/>
              <w:tr2bl w:val="nil"/>
            </w:tcBorders>
            <w:noWrap w:val="0"/>
            <w:vAlign w:val="center"/>
          </w:tcPr>
          <w:p w14:paraId="0805A56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0.06</w:t>
            </w:r>
          </w:p>
        </w:tc>
        <w:tc>
          <w:tcPr>
            <w:tcW w:w="604" w:type="pct"/>
            <w:tcBorders>
              <w:tl2br w:val="nil"/>
              <w:tr2bl w:val="nil"/>
            </w:tcBorders>
            <w:noWrap w:val="0"/>
            <w:vAlign w:val="center"/>
          </w:tcPr>
          <w:p w14:paraId="5DDB113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＜0.5</w:t>
            </w:r>
          </w:p>
        </w:tc>
        <w:tc>
          <w:tcPr>
            <w:tcW w:w="394" w:type="pct"/>
            <w:tcBorders>
              <w:tl2br w:val="nil"/>
              <w:tr2bl w:val="nil"/>
            </w:tcBorders>
            <w:noWrap w:val="0"/>
            <w:vAlign w:val="center"/>
          </w:tcPr>
          <w:p w14:paraId="7FA7D0F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15</w:t>
            </w:r>
          </w:p>
        </w:tc>
        <w:tc>
          <w:tcPr>
            <w:tcW w:w="378" w:type="pct"/>
            <w:tcBorders>
              <w:tl2br w:val="nil"/>
              <w:tr2bl w:val="nil"/>
            </w:tcBorders>
            <w:noWrap w:val="0"/>
            <w:vAlign w:val="center"/>
          </w:tcPr>
          <w:p w14:paraId="1DF1E60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14</w:t>
            </w:r>
          </w:p>
        </w:tc>
        <w:tc>
          <w:tcPr>
            <w:tcW w:w="446" w:type="pct"/>
            <w:tcBorders>
              <w:tl2br w:val="nil"/>
              <w:tr2bl w:val="nil"/>
            </w:tcBorders>
            <w:noWrap w:val="0"/>
            <w:vAlign w:val="center"/>
          </w:tcPr>
          <w:p w14:paraId="593CCD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0.006</w:t>
            </w:r>
          </w:p>
        </w:tc>
        <w:tc>
          <w:tcPr>
            <w:tcW w:w="371" w:type="pct"/>
            <w:tcBorders>
              <w:tl2br w:val="nil"/>
              <w:tr2bl w:val="nil"/>
            </w:tcBorders>
            <w:noWrap w:val="0"/>
            <w:vAlign w:val="center"/>
          </w:tcPr>
          <w:p w14:paraId="4E519A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w:t>
            </w:r>
          </w:p>
        </w:tc>
        <w:tc>
          <w:tcPr>
            <w:tcW w:w="477" w:type="pct"/>
            <w:tcBorders>
              <w:tl2br w:val="nil"/>
              <w:tr2bl w:val="nil"/>
            </w:tcBorders>
            <w:noWrap w:val="0"/>
            <w:vAlign w:val="center"/>
          </w:tcPr>
          <w:p w14:paraId="1671EA7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8</w:t>
            </w:r>
          </w:p>
        </w:tc>
      </w:tr>
      <w:tr w14:paraId="400AD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7" w:type="pct"/>
            <w:tcBorders>
              <w:tl2br w:val="nil"/>
              <w:tr2bl w:val="nil"/>
            </w:tcBorders>
            <w:noWrap w:val="0"/>
            <w:vAlign w:val="center"/>
          </w:tcPr>
          <w:p w14:paraId="6192337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标准值</w:t>
            </w:r>
          </w:p>
        </w:tc>
        <w:tc>
          <w:tcPr>
            <w:tcW w:w="521" w:type="pct"/>
            <w:tcBorders>
              <w:tl2br w:val="nil"/>
              <w:tr2bl w:val="nil"/>
            </w:tcBorders>
            <w:noWrap w:val="0"/>
            <w:vAlign w:val="center"/>
          </w:tcPr>
          <w:p w14:paraId="4B1EB0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eastAsia="宋体"/>
                <w:color w:val="auto"/>
                <w:u w:val="none"/>
                <w:lang w:val="en-US" w:eastAsia="zh-CN"/>
              </w:rPr>
            </w:pPr>
            <w:r>
              <w:rPr>
                <w:rFonts w:hint="eastAsia"/>
                <w:color w:val="auto"/>
                <w:u w:val="none"/>
                <w:lang w:val="en-US" w:eastAsia="zh-CN"/>
              </w:rPr>
              <w:t>/</w:t>
            </w:r>
          </w:p>
        </w:tc>
        <w:tc>
          <w:tcPr>
            <w:tcW w:w="373" w:type="pct"/>
            <w:tcBorders>
              <w:tl2br w:val="nil"/>
              <w:tr2bl w:val="nil"/>
            </w:tcBorders>
            <w:noWrap w:val="0"/>
            <w:vAlign w:val="center"/>
          </w:tcPr>
          <w:p w14:paraId="0721742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60</w:t>
            </w:r>
          </w:p>
        </w:tc>
        <w:tc>
          <w:tcPr>
            <w:tcW w:w="384" w:type="pct"/>
            <w:tcBorders>
              <w:tl2br w:val="nil"/>
              <w:tr2bl w:val="nil"/>
            </w:tcBorders>
            <w:noWrap w:val="0"/>
            <w:vAlign w:val="center"/>
          </w:tcPr>
          <w:p w14:paraId="134CD5D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65</w:t>
            </w:r>
          </w:p>
        </w:tc>
        <w:tc>
          <w:tcPr>
            <w:tcW w:w="604" w:type="pct"/>
            <w:tcBorders>
              <w:tl2br w:val="nil"/>
              <w:tr2bl w:val="nil"/>
            </w:tcBorders>
            <w:noWrap w:val="0"/>
            <w:vAlign w:val="center"/>
          </w:tcPr>
          <w:p w14:paraId="754BF2C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5.7</w:t>
            </w:r>
          </w:p>
        </w:tc>
        <w:tc>
          <w:tcPr>
            <w:tcW w:w="394" w:type="pct"/>
            <w:tcBorders>
              <w:tl2br w:val="nil"/>
              <w:tr2bl w:val="nil"/>
            </w:tcBorders>
            <w:noWrap w:val="0"/>
            <w:vAlign w:val="center"/>
          </w:tcPr>
          <w:p w14:paraId="089D6E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pacing w:val="-17"/>
                <w:sz w:val="21"/>
                <w:szCs w:val="21"/>
                <w:u w:val="none"/>
                <w:lang w:val="en-US" w:eastAsia="zh-CN"/>
              </w:rPr>
              <w:t>18000</w:t>
            </w:r>
          </w:p>
        </w:tc>
        <w:tc>
          <w:tcPr>
            <w:tcW w:w="378" w:type="pct"/>
            <w:tcBorders>
              <w:tl2br w:val="nil"/>
              <w:tr2bl w:val="nil"/>
            </w:tcBorders>
            <w:noWrap w:val="0"/>
            <w:vAlign w:val="center"/>
          </w:tcPr>
          <w:p w14:paraId="0057943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800</w:t>
            </w:r>
          </w:p>
        </w:tc>
        <w:tc>
          <w:tcPr>
            <w:tcW w:w="446" w:type="pct"/>
            <w:tcBorders>
              <w:tl2br w:val="nil"/>
              <w:tr2bl w:val="nil"/>
            </w:tcBorders>
            <w:noWrap w:val="0"/>
            <w:vAlign w:val="center"/>
          </w:tcPr>
          <w:p w14:paraId="5861D4B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38</w:t>
            </w:r>
          </w:p>
        </w:tc>
        <w:tc>
          <w:tcPr>
            <w:tcW w:w="371" w:type="pct"/>
            <w:tcBorders>
              <w:tl2br w:val="nil"/>
              <w:tr2bl w:val="nil"/>
            </w:tcBorders>
            <w:noWrap w:val="0"/>
            <w:vAlign w:val="center"/>
          </w:tcPr>
          <w:p w14:paraId="1846608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900</w:t>
            </w:r>
          </w:p>
        </w:tc>
        <w:tc>
          <w:tcPr>
            <w:tcW w:w="477" w:type="pct"/>
            <w:tcBorders>
              <w:tl2br w:val="nil"/>
              <w:tr2bl w:val="nil"/>
            </w:tcBorders>
            <w:noWrap w:val="0"/>
            <w:vAlign w:val="center"/>
          </w:tcPr>
          <w:p w14:paraId="16DF755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4500</w:t>
            </w:r>
          </w:p>
        </w:tc>
      </w:tr>
      <w:tr w14:paraId="705D7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7" w:type="pct"/>
            <w:tcBorders>
              <w:tl2br w:val="nil"/>
              <w:tr2bl w:val="nil"/>
            </w:tcBorders>
            <w:noWrap w:val="0"/>
            <w:vAlign w:val="center"/>
          </w:tcPr>
          <w:p w14:paraId="5EAD07E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达标情况</w:t>
            </w:r>
          </w:p>
        </w:tc>
        <w:tc>
          <w:tcPr>
            <w:tcW w:w="521" w:type="pct"/>
            <w:tcBorders>
              <w:tl2br w:val="nil"/>
              <w:tr2bl w:val="nil"/>
            </w:tcBorders>
            <w:noWrap w:val="0"/>
            <w:vAlign w:val="center"/>
          </w:tcPr>
          <w:p w14:paraId="7E167B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eastAsia="宋体"/>
                <w:color w:val="auto"/>
                <w:u w:val="none"/>
                <w:lang w:val="en-US" w:eastAsia="zh-CN"/>
              </w:rPr>
            </w:pPr>
            <w:r>
              <w:rPr>
                <w:rFonts w:hint="eastAsia"/>
                <w:color w:val="auto"/>
                <w:u w:val="none"/>
                <w:lang w:val="en-US" w:eastAsia="zh-CN"/>
              </w:rPr>
              <w:t>/</w:t>
            </w:r>
          </w:p>
        </w:tc>
        <w:tc>
          <w:tcPr>
            <w:tcW w:w="373" w:type="pct"/>
            <w:tcBorders>
              <w:tl2br w:val="nil"/>
              <w:tr2bl w:val="nil"/>
            </w:tcBorders>
            <w:noWrap w:val="0"/>
            <w:vAlign w:val="center"/>
          </w:tcPr>
          <w:p w14:paraId="5A84BAC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达标</w:t>
            </w:r>
          </w:p>
        </w:tc>
        <w:tc>
          <w:tcPr>
            <w:tcW w:w="384" w:type="pct"/>
            <w:tcBorders>
              <w:tl2br w:val="nil"/>
              <w:tr2bl w:val="nil"/>
            </w:tcBorders>
            <w:noWrap w:val="0"/>
            <w:vAlign w:val="center"/>
          </w:tcPr>
          <w:p w14:paraId="31C78B2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达标</w:t>
            </w:r>
          </w:p>
        </w:tc>
        <w:tc>
          <w:tcPr>
            <w:tcW w:w="604" w:type="pct"/>
            <w:tcBorders>
              <w:tl2br w:val="nil"/>
              <w:tr2bl w:val="nil"/>
            </w:tcBorders>
            <w:noWrap w:val="0"/>
            <w:vAlign w:val="center"/>
          </w:tcPr>
          <w:p w14:paraId="0D7A7B8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达标</w:t>
            </w:r>
          </w:p>
        </w:tc>
        <w:tc>
          <w:tcPr>
            <w:tcW w:w="394" w:type="pct"/>
            <w:tcBorders>
              <w:tl2br w:val="nil"/>
              <w:tr2bl w:val="nil"/>
            </w:tcBorders>
            <w:noWrap w:val="0"/>
            <w:vAlign w:val="center"/>
          </w:tcPr>
          <w:p w14:paraId="0A30A91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pacing w:val="-17"/>
                <w:sz w:val="21"/>
                <w:szCs w:val="21"/>
                <w:u w:val="none"/>
                <w:lang w:val="en-US" w:eastAsia="zh-CN"/>
              </w:rPr>
            </w:pPr>
            <w:r>
              <w:rPr>
                <w:rFonts w:hint="eastAsia" w:ascii="宋体" w:hAnsi="宋体" w:cs="宋体"/>
                <w:color w:val="auto"/>
                <w:sz w:val="21"/>
                <w:szCs w:val="21"/>
                <w:u w:val="none"/>
                <w:lang w:val="en-US" w:eastAsia="zh-CN"/>
              </w:rPr>
              <w:t>达标</w:t>
            </w:r>
          </w:p>
        </w:tc>
        <w:tc>
          <w:tcPr>
            <w:tcW w:w="378" w:type="pct"/>
            <w:tcBorders>
              <w:tl2br w:val="nil"/>
              <w:tr2bl w:val="nil"/>
            </w:tcBorders>
            <w:noWrap w:val="0"/>
            <w:vAlign w:val="center"/>
          </w:tcPr>
          <w:p w14:paraId="288FAB4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达标</w:t>
            </w:r>
          </w:p>
        </w:tc>
        <w:tc>
          <w:tcPr>
            <w:tcW w:w="446" w:type="pct"/>
            <w:tcBorders>
              <w:tl2br w:val="nil"/>
              <w:tr2bl w:val="nil"/>
            </w:tcBorders>
            <w:noWrap w:val="0"/>
            <w:vAlign w:val="center"/>
          </w:tcPr>
          <w:p w14:paraId="35EFF8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达标</w:t>
            </w:r>
          </w:p>
        </w:tc>
        <w:tc>
          <w:tcPr>
            <w:tcW w:w="371" w:type="pct"/>
            <w:tcBorders>
              <w:tl2br w:val="nil"/>
              <w:tr2bl w:val="nil"/>
            </w:tcBorders>
            <w:noWrap w:val="0"/>
            <w:vAlign w:val="center"/>
          </w:tcPr>
          <w:p w14:paraId="1DA98ED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达标</w:t>
            </w:r>
          </w:p>
        </w:tc>
        <w:tc>
          <w:tcPr>
            <w:tcW w:w="477" w:type="pct"/>
            <w:tcBorders>
              <w:tl2br w:val="nil"/>
              <w:tr2bl w:val="nil"/>
            </w:tcBorders>
            <w:noWrap w:val="0"/>
            <w:vAlign w:val="center"/>
          </w:tcPr>
          <w:p w14:paraId="4D25A2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达标</w:t>
            </w:r>
          </w:p>
        </w:tc>
      </w:tr>
    </w:tbl>
    <w:p w14:paraId="0EAD097E">
      <w:pPr>
        <w:keepNext w:val="0"/>
        <w:keepLines w:val="0"/>
        <w:pageBreakBefore w:val="0"/>
        <w:kinsoku/>
        <w:wordWrap/>
        <w:overflowPunct/>
        <w:topLinePunct w:val="0"/>
        <w:autoSpaceDE/>
        <w:autoSpaceDN/>
        <w:bidi w:val="0"/>
        <w:adjustRightInd/>
        <w:snapToGrid/>
        <w:spacing w:line="480" w:lineRule="exact"/>
        <w:ind w:firstLine="578"/>
        <w:textAlignment w:val="auto"/>
        <w:rPr>
          <w:rFonts w:hint="eastAsia" w:ascii="黑体" w:hAnsi="黑体" w:eastAsia="黑体" w:cs="黑体"/>
          <w:color w:val="auto"/>
          <w:sz w:val="28"/>
          <w:szCs w:val="28"/>
          <w:u w:val="none"/>
          <w:lang w:val="en-US" w:eastAsia="zh-CN"/>
        </w:rPr>
      </w:pPr>
      <w:r>
        <w:rPr>
          <w:rStyle w:val="97"/>
          <w:rFonts w:hint="default" w:ascii="Times New Roman" w:hAnsi="Times New Roman" w:cs="Times New Roman"/>
          <w:color w:val="auto"/>
          <w:u w:val="none"/>
        </w:rPr>
        <w:t>由表4.6-7~表4.6-9可知：</w:t>
      </w:r>
      <w:r>
        <w:rPr>
          <w:rStyle w:val="97"/>
          <w:rFonts w:hint="eastAsia" w:cs="Times New Roman"/>
          <w:color w:val="auto"/>
          <w:u w:val="none"/>
          <w:lang w:val="en-US" w:eastAsia="zh-CN"/>
        </w:rPr>
        <w:t>项目区</w:t>
      </w:r>
      <w:r>
        <w:rPr>
          <w:rStyle w:val="97"/>
          <w:rFonts w:hint="default" w:ascii="Times New Roman" w:hAnsi="Times New Roman" w:cs="Times New Roman"/>
          <w:color w:val="auto"/>
          <w:u w:val="none"/>
        </w:rPr>
        <w:t>占地范围内</w:t>
      </w:r>
      <w:r>
        <w:rPr>
          <w:rStyle w:val="97"/>
          <w:rFonts w:hint="eastAsia" w:cs="Times New Roman"/>
          <w:color w:val="auto"/>
          <w:u w:val="none"/>
          <w:lang w:eastAsia="zh-CN"/>
        </w:rPr>
        <w:t>、</w:t>
      </w:r>
      <w:r>
        <w:rPr>
          <w:rStyle w:val="97"/>
          <w:rFonts w:hint="eastAsia" w:cs="Times New Roman"/>
          <w:color w:val="auto"/>
          <w:u w:val="none"/>
          <w:lang w:val="en-US" w:eastAsia="zh-CN"/>
        </w:rPr>
        <w:t>外</w:t>
      </w:r>
      <w:r>
        <w:rPr>
          <w:rStyle w:val="97"/>
          <w:rFonts w:hint="default" w:ascii="Times New Roman" w:hAnsi="Times New Roman" w:cs="Times New Roman"/>
          <w:color w:val="auto"/>
          <w:u w:val="none"/>
        </w:rPr>
        <w:t>土壤中重金属、无机物及石油烃含量较低，土壤中各项因子监测值均低于《土壤环境质量 建设用地土壤污染风险管控标准（试行）》（GB36600-2018）第二类建设用地筛选值标准。</w:t>
      </w:r>
    </w:p>
    <w:p w14:paraId="3686FA01">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82" w:name="_Toc31526"/>
      <w:r>
        <w:rPr>
          <w:rFonts w:hint="eastAsia" w:ascii="黑体" w:hAnsi="黑体" w:eastAsia="黑体" w:cs="黑体"/>
          <w:color w:val="auto"/>
          <w:sz w:val="28"/>
          <w:szCs w:val="28"/>
          <w:u w:val="none"/>
          <w:lang w:val="en-US" w:eastAsia="zh-CN"/>
        </w:rPr>
        <w:t>4</w:t>
      </w:r>
      <w:r>
        <w:rPr>
          <w:rFonts w:hint="default" w:ascii="黑体" w:hAnsi="黑体" w:eastAsia="黑体" w:cs="黑体"/>
          <w:color w:val="auto"/>
          <w:sz w:val="28"/>
          <w:szCs w:val="28"/>
          <w:u w:val="none"/>
          <w:lang w:val="en-US" w:eastAsia="zh-CN"/>
        </w:rPr>
        <w:t>.</w:t>
      </w:r>
      <w:r>
        <w:rPr>
          <w:rFonts w:hint="eastAsia" w:ascii="黑体" w:hAnsi="黑体" w:eastAsia="黑体" w:cs="黑体"/>
          <w:color w:val="auto"/>
          <w:sz w:val="28"/>
          <w:szCs w:val="28"/>
          <w:u w:val="none"/>
          <w:lang w:val="en-US" w:eastAsia="zh-CN"/>
        </w:rPr>
        <w:t>6 大气环境现状</w:t>
      </w:r>
      <w:r>
        <w:rPr>
          <w:rFonts w:hint="default" w:ascii="黑体" w:hAnsi="黑体" w:eastAsia="黑体" w:cs="黑体"/>
          <w:color w:val="auto"/>
          <w:sz w:val="28"/>
          <w:szCs w:val="28"/>
          <w:u w:val="none"/>
          <w:lang w:val="en-US" w:eastAsia="zh-CN"/>
        </w:rPr>
        <w:t>调查与评价</w:t>
      </w:r>
      <w:bookmarkEnd w:id="377"/>
      <w:bookmarkEnd w:id="378"/>
      <w:bookmarkEnd w:id="382"/>
    </w:p>
    <w:p w14:paraId="17460E05">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4.6.1 区域大气环境质量达标判定</w:t>
      </w:r>
    </w:p>
    <w:p w14:paraId="61415498">
      <w:pPr>
        <w:keepNext w:val="0"/>
        <w:keepLines w:val="0"/>
        <w:pageBreakBefore w:val="0"/>
        <w:kinsoku/>
        <w:wordWrap/>
        <w:overflowPunct/>
        <w:topLinePunct w:val="0"/>
        <w:autoSpaceDE/>
        <w:autoSpaceDN/>
        <w:bidi w:val="0"/>
        <w:adjustRightInd/>
        <w:snapToGrid/>
        <w:spacing w:line="480" w:lineRule="exact"/>
        <w:ind w:firstLine="578"/>
        <w:textAlignment w:val="auto"/>
        <w:rPr>
          <w:rFonts w:hint="default" w:ascii="Times New Roman" w:hAnsi="Times New Roman" w:eastAsia="宋体" w:cs="Times New Roman"/>
          <w:bCs/>
          <w:color w:val="auto"/>
          <w:sz w:val="24"/>
          <w:szCs w:val="24"/>
          <w:highlight w:val="none"/>
          <w:u w:val="none"/>
          <w:lang w:val="en-US" w:eastAsia="zh-CN" w:bidi="ar"/>
        </w:rPr>
      </w:pPr>
      <w:r>
        <w:rPr>
          <w:rFonts w:hint="default" w:ascii="Times New Roman" w:hAnsi="Times New Roman" w:eastAsia="宋体" w:cs="Times New Roman"/>
          <w:bCs/>
          <w:color w:val="auto"/>
          <w:spacing w:val="-6"/>
          <w:sz w:val="24"/>
          <w:szCs w:val="24"/>
          <w:highlight w:val="none"/>
          <w:u w:val="none"/>
          <w:lang w:val="en-US" w:eastAsia="zh-CN" w:bidi="ar"/>
        </w:rPr>
        <w:t>本工程地处新疆维吾尔自治区昌吉回族自治州呼图壁县境内，根据《环境影响评价技术导则大气环境》（H.J2.2-2018）对环境质量现状数据的要求，本次评价引用生态环境部环境工程评估中心公布的全国环境空气质量达标区判定</w:t>
      </w:r>
      <w:r>
        <w:rPr>
          <w:rFonts w:hint="eastAsia" w:cs="Times New Roman"/>
          <w:bCs/>
          <w:color w:val="auto"/>
          <w:spacing w:val="-6"/>
          <w:sz w:val="24"/>
          <w:szCs w:val="24"/>
          <w:highlight w:val="none"/>
          <w:u w:val="none"/>
          <w:lang w:val="en-US" w:eastAsia="zh-CN" w:bidi="ar"/>
        </w:rPr>
        <w:t>结果。</w:t>
      </w:r>
    </w:p>
    <w:p w14:paraId="7747A292">
      <w:pPr>
        <w:keepNext w:val="0"/>
        <w:keepLines w:val="0"/>
        <w:pageBreakBefore w:val="0"/>
        <w:kinsoku/>
        <w:wordWrap/>
        <w:overflowPunct/>
        <w:topLinePunct w:val="0"/>
        <w:autoSpaceDE/>
        <w:autoSpaceDN/>
        <w:bidi w:val="0"/>
        <w:adjustRightInd/>
        <w:snapToGrid/>
        <w:spacing w:line="480" w:lineRule="exact"/>
        <w:ind w:firstLine="578"/>
        <w:textAlignment w:val="auto"/>
        <w:rPr>
          <w:rFonts w:hint="eastAsia" w:ascii="Times New Roman" w:hAnsi="Times New Roman" w:eastAsia="宋体" w:cs="Times New Roman"/>
          <w:bCs/>
          <w:color w:val="auto"/>
          <w:sz w:val="24"/>
          <w:szCs w:val="24"/>
          <w:highlight w:val="none"/>
          <w:u w:val="none"/>
          <w:lang w:val="en-US" w:eastAsia="zh-CN" w:bidi="ar"/>
        </w:rPr>
      </w:pPr>
      <w:r>
        <w:rPr>
          <w:rFonts w:hint="default" w:ascii="Times New Roman" w:hAnsi="Times New Roman" w:eastAsia="宋体" w:cs="Times New Roman"/>
          <w:bCs/>
          <w:color w:val="auto"/>
          <w:sz w:val="24"/>
          <w:szCs w:val="24"/>
          <w:highlight w:val="none"/>
          <w:u w:val="none"/>
          <w:lang w:val="en-US" w:eastAsia="zh-CN" w:bidi="ar"/>
        </w:rPr>
        <w:t>根据《环境影响评价技术导则 大气环境》（HJ2.2-2018）对环境质量现状数据的要求，本次评价引用生态环境部环境工程评估中心公布的全国环境空气质量达标区判定</w:t>
      </w:r>
      <w:r>
        <w:rPr>
          <w:rFonts w:hint="eastAsia" w:ascii="Times New Roman" w:hAnsi="Times New Roman" w:eastAsia="宋体" w:cs="Times New Roman"/>
          <w:bCs/>
          <w:color w:val="auto"/>
          <w:sz w:val="24"/>
          <w:szCs w:val="24"/>
          <w:highlight w:val="none"/>
          <w:u w:val="none"/>
          <w:lang w:val="en-US" w:eastAsia="zh-CN" w:bidi="ar"/>
        </w:rPr>
        <w:t>的数据，作为基本污染物环境空气质量现状数据。</w:t>
      </w:r>
    </w:p>
    <w:p w14:paraId="7B7A0526">
      <w:pPr>
        <w:keepNext w:val="0"/>
        <w:keepLines w:val="0"/>
        <w:pageBreakBefore w:val="0"/>
        <w:kinsoku/>
        <w:wordWrap/>
        <w:overflowPunct/>
        <w:topLinePunct w:val="0"/>
        <w:autoSpaceDE/>
        <w:autoSpaceDN/>
        <w:bidi w:val="0"/>
        <w:adjustRightInd/>
        <w:snapToGrid/>
        <w:spacing w:line="480" w:lineRule="exact"/>
        <w:ind w:firstLine="578"/>
        <w:textAlignment w:val="auto"/>
        <w:rPr>
          <w:rFonts w:hint="eastAsia" w:ascii="Times New Roman" w:hAnsi="Times New Roman" w:eastAsia="宋体" w:cs="Times New Roman"/>
          <w:bCs/>
          <w:color w:val="auto"/>
          <w:sz w:val="24"/>
          <w:szCs w:val="24"/>
          <w:highlight w:val="none"/>
          <w:u w:val="none"/>
          <w:lang w:val="en-US" w:eastAsia="zh-CN" w:bidi="ar"/>
        </w:rPr>
      </w:pPr>
      <w:r>
        <w:rPr>
          <w:rFonts w:hint="eastAsia" w:ascii="Times New Roman" w:hAnsi="Times New Roman" w:eastAsia="宋体" w:cs="Times New Roman"/>
          <w:bCs/>
          <w:color w:val="auto"/>
          <w:sz w:val="24"/>
          <w:szCs w:val="24"/>
          <w:highlight w:val="none"/>
          <w:u w:val="none"/>
          <w:lang w:val="en-US" w:eastAsia="zh-CN" w:bidi="ar"/>
        </w:rPr>
        <w:t>昌吉回族自治州2023年SO</w:t>
      </w:r>
      <w:r>
        <w:rPr>
          <w:rFonts w:hint="eastAsia" w:ascii="Times New Roman" w:hAnsi="Times New Roman" w:eastAsia="宋体" w:cs="Times New Roman"/>
          <w:bCs/>
          <w:color w:val="auto"/>
          <w:sz w:val="24"/>
          <w:szCs w:val="24"/>
          <w:highlight w:val="none"/>
          <w:u w:val="none"/>
          <w:vertAlign w:val="subscript"/>
          <w:lang w:val="en-US" w:eastAsia="zh-CN" w:bidi="ar"/>
        </w:rPr>
        <w:t>2</w:t>
      </w:r>
      <w:r>
        <w:rPr>
          <w:rFonts w:hint="eastAsia" w:ascii="Times New Roman" w:hAnsi="Times New Roman" w:eastAsia="宋体" w:cs="Times New Roman"/>
          <w:bCs/>
          <w:color w:val="auto"/>
          <w:sz w:val="24"/>
          <w:szCs w:val="24"/>
          <w:highlight w:val="none"/>
          <w:u w:val="none"/>
          <w:lang w:val="en-US" w:eastAsia="zh-CN" w:bidi="ar"/>
        </w:rPr>
        <w:t>、NO</w:t>
      </w:r>
      <w:r>
        <w:rPr>
          <w:rFonts w:hint="eastAsia" w:ascii="Times New Roman" w:hAnsi="Times New Roman" w:eastAsia="宋体" w:cs="Times New Roman"/>
          <w:bCs/>
          <w:color w:val="auto"/>
          <w:sz w:val="24"/>
          <w:szCs w:val="24"/>
          <w:highlight w:val="none"/>
          <w:u w:val="none"/>
          <w:vertAlign w:val="subscript"/>
          <w:lang w:val="en-US" w:eastAsia="zh-CN" w:bidi="ar"/>
        </w:rPr>
        <w:t>2</w:t>
      </w:r>
      <w:r>
        <w:rPr>
          <w:rFonts w:hint="eastAsia" w:ascii="Times New Roman" w:hAnsi="Times New Roman" w:eastAsia="宋体" w:cs="Times New Roman"/>
          <w:bCs/>
          <w:color w:val="auto"/>
          <w:sz w:val="24"/>
          <w:szCs w:val="24"/>
          <w:highlight w:val="none"/>
          <w:u w:val="none"/>
          <w:lang w:val="en-US" w:eastAsia="zh-CN" w:bidi="ar"/>
        </w:rPr>
        <w:t>、PM</w:t>
      </w:r>
      <w:r>
        <w:rPr>
          <w:rFonts w:hint="eastAsia" w:ascii="Times New Roman" w:hAnsi="Times New Roman" w:eastAsia="宋体" w:cs="Times New Roman"/>
          <w:bCs/>
          <w:color w:val="auto"/>
          <w:sz w:val="24"/>
          <w:szCs w:val="24"/>
          <w:highlight w:val="none"/>
          <w:u w:val="none"/>
          <w:vertAlign w:val="subscript"/>
          <w:lang w:val="en-US" w:eastAsia="zh-CN" w:bidi="ar"/>
        </w:rPr>
        <w:t>10</w:t>
      </w:r>
      <w:r>
        <w:rPr>
          <w:rFonts w:hint="eastAsia" w:ascii="Times New Roman" w:hAnsi="Times New Roman" w:eastAsia="宋体" w:cs="Times New Roman"/>
          <w:bCs/>
          <w:color w:val="auto"/>
          <w:sz w:val="24"/>
          <w:szCs w:val="24"/>
          <w:highlight w:val="none"/>
          <w:u w:val="none"/>
          <w:lang w:val="en-US" w:eastAsia="zh-CN" w:bidi="ar"/>
        </w:rPr>
        <w:t>、PM</w:t>
      </w:r>
      <w:r>
        <w:rPr>
          <w:rFonts w:hint="eastAsia" w:ascii="Times New Roman" w:hAnsi="Times New Roman" w:eastAsia="宋体" w:cs="Times New Roman"/>
          <w:bCs/>
          <w:color w:val="auto"/>
          <w:sz w:val="24"/>
          <w:szCs w:val="24"/>
          <w:highlight w:val="none"/>
          <w:u w:val="none"/>
          <w:vertAlign w:val="subscript"/>
          <w:lang w:val="en-US" w:eastAsia="zh-CN" w:bidi="ar"/>
        </w:rPr>
        <w:t>2.5</w:t>
      </w:r>
      <w:r>
        <w:rPr>
          <w:rFonts w:hint="eastAsia" w:ascii="Times New Roman" w:hAnsi="Times New Roman" w:eastAsia="宋体" w:cs="Times New Roman"/>
          <w:bCs/>
          <w:color w:val="auto"/>
          <w:sz w:val="24"/>
          <w:szCs w:val="24"/>
          <w:highlight w:val="none"/>
          <w:u w:val="none"/>
          <w:lang w:val="en-US" w:eastAsia="zh-CN" w:bidi="ar"/>
        </w:rPr>
        <w:t>年均浓度分别为7ug/m</w:t>
      </w:r>
      <w:r>
        <w:rPr>
          <w:rFonts w:hint="eastAsia" w:ascii="Times New Roman" w:hAnsi="Times New Roman" w:eastAsia="宋体" w:cs="Times New Roman"/>
          <w:bCs/>
          <w:color w:val="auto"/>
          <w:sz w:val="24"/>
          <w:szCs w:val="24"/>
          <w:highlight w:val="none"/>
          <w:u w:val="none"/>
          <w:vertAlign w:val="superscript"/>
          <w:lang w:val="en-US" w:eastAsia="zh-CN" w:bidi="ar"/>
        </w:rPr>
        <w:t>3</w:t>
      </w:r>
      <w:r>
        <w:rPr>
          <w:rFonts w:hint="eastAsia" w:ascii="Times New Roman" w:hAnsi="Times New Roman" w:eastAsia="宋体" w:cs="Times New Roman"/>
          <w:bCs/>
          <w:color w:val="auto"/>
          <w:sz w:val="24"/>
          <w:szCs w:val="24"/>
          <w:highlight w:val="none"/>
          <w:u w:val="none"/>
          <w:lang w:val="en-US" w:eastAsia="zh-CN" w:bidi="ar"/>
        </w:rPr>
        <w:t>、17ug/m</w:t>
      </w:r>
      <w:r>
        <w:rPr>
          <w:rFonts w:hint="eastAsia" w:ascii="Times New Roman" w:hAnsi="Times New Roman" w:eastAsia="宋体" w:cs="Times New Roman"/>
          <w:bCs/>
          <w:color w:val="auto"/>
          <w:sz w:val="24"/>
          <w:szCs w:val="24"/>
          <w:highlight w:val="none"/>
          <w:u w:val="none"/>
          <w:vertAlign w:val="superscript"/>
          <w:lang w:val="en-US" w:eastAsia="zh-CN" w:bidi="ar"/>
        </w:rPr>
        <w:t>3</w:t>
      </w:r>
      <w:r>
        <w:rPr>
          <w:rFonts w:hint="eastAsia" w:ascii="Times New Roman" w:hAnsi="Times New Roman" w:eastAsia="宋体" w:cs="Times New Roman"/>
          <w:bCs/>
          <w:color w:val="auto"/>
          <w:sz w:val="24"/>
          <w:szCs w:val="24"/>
          <w:highlight w:val="none"/>
          <w:u w:val="none"/>
          <w:lang w:val="en-US" w:eastAsia="zh-CN" w:bidi="ar"/>
        </w:rPr>
        <w:t>、83ug/m</w:t>
      </w:r>
      <w:r>
        <w:rPr>
          <w:rFonts w:hint="eastAsia" w:ascii="Times New Roman" w:hAnsi="Times New Roman" w:eastAsia="宋体" w:cs="Times New Roman"/>
          <w:bCs/>
          <w:color w:val="auto"/>
          <w:sz w:val="24"/>
          <w:szCs w:val="24"/>
          <w:highlight w:val="none"/>
          <w:u w:val="none"/>
          <w:vertAlign w:val="superscript"/>
          <w:lang w:val="en-US" w:eastAsia="zh-CN" w:bidi="ar"/>
        </w:rPr>
        <w:t>3</w:t>
      </w:r>
      <w:r>
        <w:rPr>
          <w:rFonts w:hint="eastAsia" w:ascii="Times New Roman" w:hAnsi="Times New Roman" w:eastAsia="宋体" w:cs="Times New Roman"/>
          <w:bCs/>
          <w:color w:val="auto"/>
          <w:sz w:val="24"/>
          <w:szCs w:val="24"/>
          <w:highlight w:val="none"/>
          <w:u w:val="none"/>
          <w:lang w:val="en-US" w:eastAsia="zh-CN" w:bidi="ar"/>
        </w:rPr>
        <w:t>、48ug/m</w:t>
      </w:r>
      <w:r>
        <w:rPr>
          <w:rFonts w:hint="eastAsia" w:ascii="Times New Roman" w:hAnsi="Times New Roman" w:eastAsia="宋体" w:cs="Times New Roman"/>
          <w:bCs/>
          <w:color w:val="auto"/>
          <w:sz w:val="24"/>
          <w:szCs w:val="24"/>
          <w:highlight w:val="none"/>
          <w:u w:val="none"/>
          <w:vertAlign w:val="superscript"/>
          <w:lang w:val="en-US" w:eastAsia="zh-CN" w:bidi="ar"/>
        </w:rPr>
        <w:t>3</w:t>
      </w:r>
      <w:r>
        <w:rPr>
          <w:rFonts w:hint="eastAsia" w:ascii="Times New Roman" w:hAnsi="Times New Roman" w:eastAsia="宋体" w:cs="Times New Roman"/>
          <w:bCs/>
          <w:color w:val="auto"/>
          <w:sz w:val="24"/>
          <w:szCs w:val="24"/>
          <w:highlight w:val="none"/>
          <w:u w:val="none"/>
          <w:lang w:val="en-US" w:eastAsia="zh-CN" w:bidi="ar"/>
        </w:rPr>
        <w:t>；CO24小时平均第95百分位数为1.2mg/m</w:t>
      </w:r>
      <w:r>
        <w:rPr>
          <w:rFonts w:hint="eastAsia" w:ascii="Times New Roman" w:hAnsi="Times New Roman" w:eastAsia="宋体" w:cs="Times New Roman"/>
          <w:bCs/>
          <w:color w:val="auto"/>
          <w:sz w:val="24"/>
          <w:szCs w:val="24"/>
          <w:highlight w:val="none"/>
          <w:u w:val="none"/>
          <w:vertAlign w:val="superscript"/>
          <w:lang w:val="en-US" w:eastAsia="zh-CN" w:bidi="ar"/>
        </w:rPr>
        <w:t>3</w:t>
      </w:r>
      <w:r>
        <w:rPr>
          <w:rFonts w:hint="eastAsia" w:ascii="Times New Roman" w:hAnsi="Times New Roman" w:eastAsia="宋体" w:cs="Times New Roman"/>
          <w:bCs/>
          <w:color w:val="auto"/>
          <w:sz w:val="24"/>
          <w:szCs w:val="24"/>
          <w:highlight w:val="none"/>
          <w:u w:val="none"/>
          <w:lang w:val="en-US" w:eastAsia="zh-CN" w:bidi="ar"/>
        </w:rPr>
        <w:t>，O</w:t>
      </w:r>
      <w:r>
        <w:rPr>
          <w:rFonts w:hint="eastAsia" w:ascii="Times New Roman" w:hAnsi="Times New Roman" w:eastAsia="宋体" w:cs="Times New Roman"/>
          <w:bCs/>
          <w:color w:val="auto"/>
          <w:sz w:val="24"/>
          <w:szCs w:val="24"/>
          <w:highlight w:val="none"/>
          <w:u w:val="none"/>
          <w:vertAlign w:val="subscript"/>
          <w:lang w:val="en-US" w:eastAsia="zh-CN" w:bidi="ar"/>
        </w:rPr>
        <w:t>3</w:t>
      </w:r>
      <w:r>
        <w:rPr>
          <w:rFonts w:hint="eastAsia" w:ascii="Times New Roman" w:hAnsi="Times New Roman" w:eastAsia="宋体" w:cs="Times New Roman"/>
          <w:bCs/>
          <w:color w:val="auto"/>
          <w:sz w:val="24"/>
          <w:szCs w:val="24"/>
          <w:highlight w:val="none"/>
          <w:u w:val="none"/>
          <w:lang w:val="en-US" w:eastAsia="zh-CN" w:bidi="ar"/>
        </w:rPr>
        <w:t>日最大8小时平均第90百分位数为143ug/m</w:t>
      </w:r>
      <w:r>
        <w:rPr>
          <w:rFonts w:hint="eastAsia" w:ascii="Times New Roman" w:hAnsi="Times New Roman" w:eastAsia="宋体" w:cs="Times New Roman"/>
          <w:bCs/>
          <w:color w:val="auto"/>
          <w:sz w:val="24"/>
          <w:szCs w:val="24"/>
          <w:highlight w:val="none"/>
          <w:u w:val="none"/>
          <w:vertAlign w:val="superscript"/>
          <w:lang w:val="en-US" w:eastAsia="zh-CN" w:bidi="ar"/>
        </w:rPr>
        <w:t>3</w:t>
      </w:r>
      <w:r>
        <w:rPr>
          <w:rFonts w:hint="eastAsia" w:ascii="Times New Roman" w:hAnsi="Times New Roman" w:eastAsia="宋体" w:cs="Times New Roman"/>
          <w:bCs/>
          <w:color w:val="auto"/>
          <w:sz w:val="24"/>
          <w:szCs w:val="24"/>
          <w:highlight w:val="none"/>
          <w:u w:val="none"/>
          <w:lang w:val="en-US" w:eastAsia="zh-CN" w:bidi="ar"/>
        </w:rPr>
        <w:t>；超过《环境空气质量标准》（GB3095-2012）中二级标准限值的污染物为PM</w:t>
      </w:r>
      <w:r>
        <w:rPr>
          <w:rFonts w:hint="eastAsia" w:ascii="Times New Roman" w:hAnsi="Times New Roman" w:eastAsia="宋体" w:cs="Times New Roman"/>
          <w:bCs/>
          <w:color w:val="auto"/>
          <w:sz w:val="24"/>
          <w:szCs w:val="24"/>
          <w:highlight w:val="none"/>
          <w:u w:val="none"/>
          <w:vertAlign w:val="subscript"/>
          <w:lang w:val="en-US" w:eastAsia="zh-CN" w:bidi="ar"/>
        </w:rPr>
        <w:t>10</w:t>
      </w:r>
      <w:r>
        <w:rPr>
          <w:rFonts w:hint="eastAsia" w:ascii="Times New Roman" w:hAnsi="Times New Roman" w:eastAsia="宋体" w:cs="Times New Roman"/>
          <w:bCs/>
          <w:color w:val="auto"/>
          <w:sz w:val="24"/>
          <w:szCs w:val="24"/>
          <w:highlight w:val="none"/>
          <w:u w:val="none"/>
          <w:lang w:val="en-US" w:eastAsia="zh-CN" w:bidi="ar"/>
        </w:rPr>
        <w:t>、PM</w:t>
      </w:r>
      <w:r>
        <w:rPr>
          <w:rFonts w:hint="eastAsia" w:ascii="Times New Roman" w:hAnsi="Times New Roman" w:eastAsia="宋体" w:cs="Times New Roman"/>
          <w:bCs/>
          <w:color w:val="auto"/>
          <w:sz w:val="24"/>
          <w:szCs w:val="24"/>
          <w:highlight w:val="none"/>
          <w:u w:val="none"/>
          <w:vertAlign w:val="subscript"/>
          <w:lang w:val="en-US" w:eastAsia="zh-CN" w:bidi="ar"/>
        </w:rPr>
        <w:t>2.5</w:t>
      </w:r>
    </w:p>
    <w:p w14:paraId="7BBF8F4B">
      <w:pPr>
        <w:keepNext w:val="0"/>
        <w:keepLines w:val="0"/>
        <w:pageBreakBefore w:val="0"/>
        <w:kinsoku/>
        <w:wordWrap/>
        <w:overflowPunct/>
        <w:topLinePunct w:val="0"/>
        <w:autoSpaceDE/>
        <w:autoSpaceDN/>
        <w:bidi w:val="0"/>
        <w:adjustRightInd/>
        <w:snapToGrid/>
        <w:spacing w:line="480" w:lineRule="exact"/>
        <w:ind w:firstLine="578"/>
        <w:textAlignment w:val="auto"/>
        <w:rPr>
          <w:rFonts w:hint="default" w:ascii="Times New Roman" w:hAnsi="Times New Roman" w:eastAsia="宋体" w:cs="Times New Roman"/>
          <w:bCs/>
          <w:color w:val="auto"/>
          <w:kern w:val="2"/>
          <w:sz w:val="24"/>
          <w:szCs w:val="24"/>
          <w:highlight w:val="none"/>
          <w:u w:val="none"/>
          <w:lang w:val="en-US" w:eastAsia="zh-CN" w:bidi="ar-SA"/>
        </w:rPr>
      </w:pPr>
      <w:r>
        <w:rPr>
          <w:rFonts w:hint="default" w:ascii="Times New Roman" w:hAnsi="Times New Roman" w:eastAsia="宋体" w:cs="Times New Roman"/>
          <w:bCs/>
          <w:color w:val="auto"/>
          <w:sz w:val="24"/>
          <w:szCs w:val="24"/>
          <w:highlight w:val="none"/>
          <w:u w:val="none"/>
          <w:lang w:val="en-US" w:eastAsia="zh-CN" w:bidi="ar-SA"/>
        </w:rPr>
        <w:t>现状评价结果</w:t>
      </w:r>
      <w:r>
        <w:rPr>
          <w:rFonts w:hint="eastAsia" w:cs="Times New Roman"/>
          <w:bCs/>
          <w:color w:val="auto"/>
          <w:sz w:val="24"/>
          <w:szCs w:val="24"/>
          <w:highlight w:val="none"/>
          <w:u w:val="none"/>
          <w:lang w:val="en-US" w:eastAsia="zh-CN" w:bidi="ar-SA"/>
        </w:rPr>
        <w:t>，</w:t>
      </w:r>
      <w:r>
        <w:rPr>
          <w:rFonts w:hint="default" w:ascii="Times New Roman" w:hAnsi="Times New Roman" w:eastAsia="宋体" w:cs="Times New Roman"/>
          <w:bCs/>
          <w:color w:val="auto"/>
          <w:sz w:val="24"/>
          <w:szCs w:val="24"/>
          <w:highlight w:val="none"/>
          <w:u w:val="none"/>
          <w:lang w:val="en-US" w:eastAsia="zh-CN" w:bidi="ar-SA"/>
        </w:rPr>
        <w:t>见表4.</w:t>
      </w:r>
      <w:r>
        <w:rPr>
          <w:rFonts w:hint="eastAsia" w:cs="Times New Roman"/>
          <w:bCs/>
          <w:color w:val="auto"/>
          <w:sz w:val="24"/>
          <w:szCs w:val="24"/>
          <w:highlight w:val="none"/>
          <w:u w:val="none"/>
          <w:lang w:val="en-US" w:eastAsia="zh-CN" w:bidi="ar-SA"/>
        </w:rPr>
        <w:t>6</w:t>
      </w:r>
      <w:r>
        <w:rPr>
          <w:rFonts w:hint="default" w:ascii="Times New Roman" w:hAnsi="Times New Roman" w:eastAsia="宋体" w:cs="Times New Roman"/>
          <w:bCs/>
          <w:color w:val="auto"/>
          <w:sz w:val="24"/>
          <w:szCs w:val="24"/>
          <w:highlight w:val="none"/>
          <w:u w:val="none"/>
          <w:lang w:val="en-US" w:eastAsia="zh-CN" w:bidi="ar-SA"/>
        </w:rPr>
        <w:t>-1。</w:t>
      </w:r>
    </w:p>
    <w:p w14:paraId="433CB1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7C965D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7508213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1C69C4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p>
    <w:p w14:paraId="1435D5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表4.</w:t>
      </w:r>
      <w:r>
        <w:rPr>
          <w:rFonts w:hint="eastAsia" w:ascii="黑体" w:hAnsi="黑体" w:eastAsia="黑体" w:cs="黑体"/>
          <w:b w:val="0"/>
          <w:bCs/>
          <w:color w:val="auto"/>
          <w:kern w:val="2"/>
          <w:sz w:val="24"/>
          <w:szCs w:val="24"/>
          <w:u w:val="none"/>
          <w:lang w:val="en-US" w:eastAsia="zh-CN" w:bidi="ar-SA"/>
        </w:rPr>
        <w:t>6</w:t>
      </w:r>
      <w:r>
        <w:rPr>
          <w:rFonts w:hint="default" w:ascii="黑体" w:hAnsi="黑体" w:eastAsia="黑体" w:cs="黑体"/>
          <w:b w:val="0"/>
          <w:bCs/>
          <w:color w:val="auto"/>
          <w:kern w:val="2"/>
          <w:sz w:val="24"/>
          <w:szCs w:val="24"/>
          <w:u w:val="none"/>
          <w:lang w:val="en-US" w:eastAsia="zh-CN" w:bidi="ar-SA"/>
        </w:rPr>
        <w:t>-1</w:t>
      </w:r>
      <w:r>
        <w:rPr>
          <w:rFonts w:hint="eastAsia" w:ascii="黑体" w:hAnsi="黑体" w:eastAsia="黑体" w:cs="黑体"/>
          <w:b w:val="0"/>
          <w:bCs/>
          <w:color w:val="auto"/>
          <w:kern w:val="2"/>
          <w:sz w:val="24"/>
          <w:szCs w:val="24"/>
          <w:u w:val="none"/>
          <w:lang w:val="en-US" w:eastAsia="zh-CN" w:bidi="ar-SA"/>
        </w:rPr>
        <w:t xml:space="preserve"> </w:t>
      </w:r>
      <w:r>
        <w:rPr>
          <w:rFonts w:hint="default" w:ascii="黑体" w:hAnsi="黑体" w:eastAsia="黑体" w:cs="黑体"/>
          <w:b w:val="0"/>
          <w:bCs/>
          <w:color w:val="auto"/>
          <w:kern w:val="2"/>
          <w:sz w:val="24"/>
          <w:szCs w:val="24"/>
          <w:u w:val="none"/>
          <w:lang w:val="en-US" w:eastAsia="zh-CN" w:bidi="ar-SA"/>
        </w:rPr>
        <w:t>昌吉州环境空气质量现状评价一览表</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2593"/>
        <w:gridCol w:w="1257"/>
        <w:gridCol w:w="1257"/>
        <w:gridCol w:w="1214"/>
        <w:gridCol w:w="1255"/>
      </w:tblGrid>
      <w:tr w14:paraId="56E9B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10" w:type="pct"/>
            <w:vMerge w:val="restart"/>
            <w:tcBorders>
              <w:tl2br w:val="nil"/>
              <w:tr2bl w:val="nil"/>
            </w:tcBorders>
            <w:noWrap w:val="0"/>
            <w:vAlign w:val="center"/>
          </w:tcPr>
          <w:p w14:paraId="43D3FC35">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评价因子</w:t>
            </w:r>
          </w:p>
        </w:tc>
        <w:tc>
          <w:tcPr>
            <w:tcW w:w="1467" w:type="pct"/>
            <w:vMerge w:val="restart"/>
            <w:tcBorders>
              <w:tl2br w:val="nil"/>
              <w:tr2bl w:val="nil"/>
            </w:tcBorders>
            <w:noWrap w:val="0"/>
            <w:vAlign w:val="center"/>
          </w:tcPr>
          <w:p w14:paraId="2A4493C2">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年评价指标</w:t>
            </w:r>
          </w:p>
        </w:tc>
        <w:tc>
          <w:tcPr>
            <w:tcW w:w="711" w:type="pct"/>
            <w:tcBorders>
              <w:tl2br w:val="nil"/>
              <w:tr2bl w:val="nil"/>
            </w:tcBorders>
            <w:noWrap w:val="0"/>
            <w:vAlign w:val="center"/>
          </w:tcPr>
          <w:p w14:paraId="0AD1ECA7">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现状浓度</w:t>
            </w:r>
          </w:p>
        </w:tc>
        <w:tc>
          <w:tcPr>
            <w:tcW w:w="711" w:type="pct"/>
            <w:tcBorders>
              <w:tl2br w:val="nil"/>
              <w:tr2bl w:val="nil"/>
            </w:tcBorders>
            <w:noWrap w:val="0"/>
            <w:vAlign w:val="center"/>
          </w:tcPr>
          <w:p w14:paraId="6C0E9B83">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标准限值</w:t>
            </w:r>
          </w:p>
        </w:tc>
        <w:tc>
          <w:tcPr>
            <w:tcW w:w="687" w:type="pct"/>
            <w:vMerge w:val="restart"/>
            <w:tcBorders>
              <w:tl2br w:val="nil"/>
              <w:tr2bl w:val="nil"/>
            </w:tcBorders>
            <w:noWrap w:val="0"/>
            <w:vAlign w:val="center"/>
          </w:tcPr>
          <w:p w14:paraId="10BADB85">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占标率%</w:t>
            </w:r>
          </w:p>
        </w:tc>
        <w:tc>
          <w:tcPr>
            <w:tcW w:w="710" w:type="pct"/>
            <w:vMerge w:val="restart"/>
            <w:tcBorders>
              <w:tl2br w:val="nil"/>
              <w:tr2bl w:val="nil"/>
            </w:tcBorders>
            <w:noWrap w:val="0"/>
            <w:vAlign w:val="center"/>
          </w:tcPr>
          <w:p w14:paraId="19BC1DFD">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达标情况</w:t>
            </w:r>
          </w:p>
        </w:tc>
      </w:tr>
      <w:tr w14:paraId="7831B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10" w:type="pct"/>
            <w:vMerge w:val="continue"/>
            <w:tcBorders>
              <w:tl2br w:val="nil"/>
              <w:tr2bl w:val="nil"/>
            </w:tcBorders>
            <w:noWrap w:val="0"/>
            <w:vAlign w:val="center"/>
          </w:tcPr>
          <w:p w14:paraId="597659D0">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p>
        </w:tc>
        <w:tc>
          <w:tcPr>
            <w:tcW w:w="1467" w:type="pct"/>
            <w:vMerge w:val="continue"/>
            <w:tcBorders>
              <w:tl2br w:val="nil"/>
              <w:tr2bl w:val="nil"/>
            </w:tcBorders>
            <w:noWrap w:val="0"/>
            <w:vAlign w:val="center"/>
          </w:tcPr>
          <w:p w14:paraId="433B8D6F">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p>
        </w:tc>
        <w:tc>
          <w:tcPr>
            <w:tcW w:w="711" w:type="pct"/>
            <w:tcBorders>
              <w:tl2br w:val="nil"/>
              <w:tr2bl w:val="nil"/>
            </w:tcBorders>
            <w:noWrap w:val="0"/>
            <w:vAlign w:val="center"/>
          </w:tcPr>
          <w:p w14:paraId="5C99BD4A">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μg/m</w:t>
            </w:r>
            <w:r>
              <w:rPr>
                <w:rFonts w:hint="default" w:ascii="Times New Roman" w:hAnsi="Times New Roman" w:cs="Times New Roman"/>
                <w:color w:val="auto"/>
                <w:kern w:val="0"/>
                <w:sz w:val="21"/>
                <w:szCs w:val="21"/>
                <w:highlight w:val="none"/>
                <w:u w:val="none"/>
                <w:vertAlign w:val="superscript"/>
              </w:rPr>
              <w:t>3</w:t>
            </w:r>
          </w:p>
        </w:tc>
        <w:tc>
          <w:tcPr>
            <w:tcW w:w="711" w:type="pct"/>
            <w:tcBorders>
              <w:tl2br w:val="nil"/>
              <w:tr2bl w:val="nil"/>
            </w:tcBorders>
            <w:noWrap w:val="0"/>
            <w:vAlign w:val="center"/>
          </w:tcPr>
          <w:p w14:paraId="2F5759A4">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μg/m</w:t>
            </w:r>
            <w:r>
              <w:rPr>
                <w:rFonts w:hint="default" w:ascii="Times New Roman" w:hAnsi="Times New Roman" w:cs="Times New Roman"/>
                <w:color w:val="auto"/>
                <w:kern w:val="0"/>
                <w:sz w:val="21"/>
                <w:szCs w:val="21"/>
                <w:highlight w:val="none"/>
                <w:u w:val="none"/>
                <w:vertAlign w:val="superscript"/>
              </w:rPr>
              <w:t>3</w:t>
            </w:r>
          </w:p>
        </w:tc>
        <w:tc>
          <w:tcPr>
            <w:tcW w:w="687" w:type="pct"/>
            <w:vMerge w:val="continue"/>
            <w:tcBorders>
              <w:tl2br w:val="nil"/>
              <w:tr2bl w:val="nil"/>
            </w:tcBorders>
            <w:noWrap w:val="0"/>
            <w:vAlign w:val="center"/>
          </w:tcPr>
          <w:p w14:paraId="27B968E5">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p>
        </w:tc>
        <w:tc>
          <w:tcPr>
            <w:tcW w:w="710" w:type="pct"/>
            <w:vMerge w:val="continue"/>
            <w:tcBorders>
              <w:tl2br w:val="nil"/>
              <w:tr2bl w:val="nil"/>
            </w:tcBorders>
            <w:noWrap w:val="0"/>
            <w:vAlign w:val="center"/>
          </w:tcPr>
          <w:p w14:paraId="353243A0">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p>
        </w:tc>
      </w:tr>
      <w:tr w14:paraId="49A92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10" w:type="pct"/>
            <w:tcBorders>
              <w:tl2br w:val="nil"/>
              <w:tr2bl w:val="nil"/>
            </w:tcBorders>
            <w:noWrap w:val="0"/>
            <w:vAlign w:val="center"/>
          </w:tcPr>
          <w:p w14:paraId="49005A0F">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SO</w:t>
            </w:r>
            <w:r>
              <w:rPr>
                <w:rFonts w:hint="default" w:ascii="Times New Roman" w:hAnsi="Times New Roman" w:cs="Times New Roman"/>
                <w:color w:val="auto"/>
                <w:kern w:val="0"/>
                <w:sz w:val="21"/>
                <w:szCs w:val="21"/>
                <w:highlight w:val="none"/>
                <w:u w:val="none"/>
                <w:vertAlign w:val="subscript"/>
              </w:rPr>
              <w:t>2</w:t>
            </w:r>
          </w:p>
        </w:tc>
        <w:tc>
          <w:tcPr>
            <w:tcW w:w="1467" w:type="pct"/>
            <w:tcBorders>
              <w:tl2br w:val="nil"/>
              <w:tr2bl w:val="nil"/>
            </w:tcBorders>
            <w:noWrap w:val="0"/>
            <w:vAlign w:val="center"/>
          </w:tcPr>
          <w:p w14:paraId="49685BF7">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年平均</w:t>
            </w:r>
          </w:p>
        </w:tc>
        <w:tc>
          <w:tcPr>
            <w:tcW w:w="711" w:type="pct"/>
            <w:tcBorders>
              <w:tl2br w:val="nil"/>
              <w:tr2bl w:val="nil"/>
            </w:tcBorders>
            <w:noWrap w:val="0"/>
            <w:vAlign w:val="center"/>
          </w:tcPr>
          <w:p w14:paraId="21E3A119">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eastAsia="zh-CN"/>
              </w:rPr>
            </w:pPr>
            <w:r>
              <w:rPr>
                <w:rFonts w:hint="eastAsia" w:cs="Times New Roman"/>
                <w:color w:val="auto"/>
                <w:kern w:val="0"/>
                <w:sz w:val="21"/>
                <w:szCs w:val="21"/>
                <w:highlight w:val="none"/>
                <w:u w:val="none"/>
                <w:lang w:val="en-US" w:eastAsia="zh-CN"/>
              </w:rPr>
              <w:t>7</w:t>
            </w:r>
          </w:p>
        </w:tc>
        <w:tc>
          <w:tcPr>
            <w:tcW w:w="711" w:type="pct"/>
            <w:tcBorders>
              <w:tl2br w:val="nil"/>
              <w:tr2bl w:val="nil"/>
            </w:tcBorders>
            <w:noWrap w:val="0"/>
            <w:vAlign w:val="center"/>
          </w:tcPr>
          <w:p w14:paraId="2E9F878C">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60</w:t>
            </w:r>
          </w:p>
        </w:tc>
        <w:tc>
          <w:tcPr>
            <w:tcW w:w="687" w:type="pct"/>
            <w:tcBorders>
              <w:tl2br w:val="nil"/>
              <w:tr2bl w:val="nil"/>
            </w:tcBorders>
            <w:noWrap w:val="0"/>
            <w:vAlign w:val="center"/>
          </w:tcPr>
          <w:p w14:paraId="30DA55A5">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11.67</w:t>
            </w:r>
          </w:p>
        </w:tc>
        <w:tc>
          <w:tcPr>
            <w:tcW w:w="710" w:type="pct"/>
            <w:tcBorders>
              <w:tl2br w:val="nil"/>
              <w:tr2bl w:val="nil"/>
            </w:tcBorders>
            <w:noWrap w:val="0"/>
            <w:vAlign w:val="center"/>
          </w:tcPr>
          <w:p w14:paraId="4A726D70">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达标</w:t>
            </w:r>
          </w:p>
        </w:tc>
      </w:tr>
      <w:tr w14:paraId="122A9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10" w:type="pct"/>
            <w:tcBorders>
              <w:tl2br w:val="nil"/>
              <w:tr2bl w:val="nil"/>
            </w:tcBorders>
            <w:noWrap w:val="0"/>
            <w:vAlign w:val="center"/>
          </w:tcPr>
          <w:p w14:paraId="0E751213">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NO</w:t>
            </w:r>
            <w:r>
              <w:rPr>
                <w:rFonts w:hint="default" w:ascii="Times New Roman" w:hAnsi="Times New Roman" w:cs="Times New Roman"/>
                <w:color w:val="auto"/>
                <w:kern w:val="0"/>
                <w:sz w:val="21"/>
                <w:szCs w:val="21"/>
                <w:highlight w:val="none"/>
                <w:u w:val="none"/>
                <w:vertAlign w:val="subscript"/>
              </w:rPr>
              <w:t>2</w:t>
            </w:r>
          </w:p>
        </w:tc>
        <w:tc>
          <w:tcPr>
            <w:tcW w:w="1467" w:type="pct"/>
            <w:tcBorders>
              <w:tl2br w:val="nil"/>
              <w:tr2bl w:val="nil"/>
            </w:tcBorders>
            <w:noWrap w:val="0"/>
            <w:vAlign w:val="center"/>
          </w:tcPr>
          <w:p w14:paraId="69061C7D">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年平均</w:t>
            </w:r>
          </w:p>
        </w:tc>
        <w:tc>
          <w:tcPr>
            <w:tcW w:w="711" w:type="pct"/>
            <w:tcBorders>
              <w:tl2br w:val="nil"/>
              <w:tr2bl w:val="nil"/>
            </w:tcBorders>
            <w:noWrap w:val="0"/>
            <w:vAlign w:val="center"/>
          </w:tcPr>
          <w:p w14:paraId="7119B4C6">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17</w:t>
            </w:r>
          </w:p>
        </w:tc>
        <w:tc>
          <w:tcPr>
            <w:tcW w:w="711" w:type="pct"/>
            <w:tcBorders>
              <w:tl2br w:val="nil"/>
              <w:tr2bl w:val="nil"/>
            </w:tcBorders>
            <w:noWrap w:val="0"/>
            <w:vAlign w:val="center"/>
          </w:tcPr>
          <w:p w14:paraId="652AB3A8">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40</w:t>
            </w:r>
          </w:p>
        </w:tc>
        <w:tc>
          <w:tcPr>
            <w:tcW w:w="687" w:type="pct"/>
            <w:tcBorders>
              <w:tl2br w:val="nil"/>
              <w:tr2bl w:val="nil"/>
            </w:tcBorders>
            <w:noWrap w:val="0"/>
            <w:vAlign w:val="center"/>
          </w:tcPr>
          <w:p w14:paraId="5165A97D">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42.5</w:t>
            </w:r>
          </w:p>
        </w:tc>
        <w:tc>
          <w:tcPr>
            <w:tcW w:w="710" w:type="pct"/>
            <w:tcBorders>
              <w:tl2br w:val="nil"/>
              <w:tr2bl w:val="nil"/>
            </w:tcBorders>
            <w:noWrap w:val="0"/>
            <w:vAlign w:val="center"/>
          </w:tcPr>
          <w:p w14:paraId="5086F9CB">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达标</w:t>
            </w:r>
          </w:p>
        </w:tc>
      </w:tr>
      <w:tr w14:paraId="71E15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10" w:type="pct"/>
            <w:tcBorders>
              <w:tl2br w:val="nil"/>
              <w:tr2bl w:val="nil"/>
            </w:tcBorders>
            <w:noWrap w:val="0"/>
            <w:vAlign w:val="center"/>
          </w:tcPr>
          <w:p w14:paraId="3493B15E">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CO</w:t>
            </w:r>
          </w:p>
        </w:tc>
        <w:tc>
          <w:tcPr>
            <w:tcW w:w="1467" w:type="pct"/>
            <w:tcBorders>
              <w:tl2br w:val="nil"/>
              <w:tr2bl w:val="nil"/>
            </w:tcBorders>
            <w:noWrap w:val="0"/>
            <w:vAlign w:val="center"/>
          </w:tcPr>
          <w:p w14:paraId="0A98D558">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第95百分位数日平均</w:t>
            </w:r>
          </w:p>
        </w:tc>
        <w:tc>
          <w:tcPr>
            <w:tcW w:w="711" w:type="pct"/>
            <w:tcBorders>
              <w:tl2br w:val="nil"/>
              <w:tr2bl w:val="nil"/>
            </w:tcBorders>
            <w:noWrap w:val="0"/>
            <w:vAlign w:val="center"/>
          </w:tcPr>
          <w:p w14:paraId="7287FEE4">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1200</w:t>
            </w:r>
          </w:p>
        </w:tc>
        <w:tc>
          <w:tcPr>
            <w:tcW w:w="711" w:type="pct"/>
            <w:tcBorders>
              <w:tl2br w:val="nil"/>
              <w:tr2bl w:val="nil"/>
            </w:tcBorders>
            <w:noWrap w:val="0"/>
            <w:vAlign w:val="center"/>
          </w:tcPr>
          <w:p w14:paraId="4A9390A6">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4000</w:t>
            </w:r>
          </w:p>
        </w:tc>
        <w:tc>
          <w:tcPr>
            <w:tcW w:w="687" w:type="pct"/>
            <w:tcBorders>
              <w:tl2br w:val="nil"/>
              <w:tr2bl w:val="nil"/>
            </w:tcBorders>
            <w:noWrap w:val="0"/>
            <w:vAlign w:val="center"/>
          </w:tcPr>
          <w:p w14:paraId="58AEDC66">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30.0</w:t>
            </w:r>
          </w:p>
        </w:tc>
        <w:tc>
          <w:tcPr>
            <w:tcW w:w="710" w:type="pct"/>
            <w:tcBorders>
              <w:tl2br w:val="nil"/>
              <w:tr2bl w:val="nil"/>
            </w:tcBorders>
            <w:noWrap w:val="0"/>
            <w:vAlign w:val="center"/>
          </w:tcPr>
          <w:p w14:paraId="1DA37AB0">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达标</w:t>
            </w:r>
          </w:p>
        </w:tc>
      </w:tr>
      <w:tr w14:paraId="749F2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10" w:type="pct"/>
            <w:tcBorders>
              <w:tl2br w:val="nil"/>
              <w:tr2bl w:val="nil"/>
            </w:tcBorders>
            <w:noWrap w:val="0"/>
            <w:vAlign w:val="center"/>
          </w:tcPr>
          <w:p w14:paraId="32EC9B6E">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O</w:t>
            </w:r>
            <w:r>
              <w:rPr>
                <w:rFonts w:hint="default" w:ascii="Times New Roman" w:hAnsi="Times New Roman" w:cs="Times New Roman"/>
                <w:color w:val="auto"/>
                <w:kern w:val="0"/>
                <w:sz w:val="21"/>
                <w:szCs w:val="21"/>
                <w:highlight w:val="none"/>
                <w:u w:val="none"/>
                <w:vertAlign w:val="subscript"/>
              </w:rPr>
              <w:t>3</w:t>
            </w:r>
          </w:p>
        </w:tc>
        <w:tc>
          <w:tcPr>
            <w:tcW w:w="1467" w:type="pct"/>
            <w:tcBorders>
              <w:tl2br w:val="nil"/>
              <w:tr2bl w:val="nil"/>
            </w:tcBorders>
            <w:noWrap w:val="0"/>
            <w:vAlign w:val="center"/>
          </w:tcPr>
          <w:p w14:paraId="75D9E6B8">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第90百分位数日平均</w:t>
            </w:r>
          </w:p>
        </w:tc>
        <w:tc>
          <w:tcPr>
            <w:tcW w:w="711" w:type="pct"/>
            <w:tcBorders>
              <w:tl2br w:val="nil"/>
              <w:tr2bl w:val="nil"/>
            </w:tcBorders>
            <w:noWrap w:val="0"/>
            <w:vAlign w:val="center"/>
          </w:tcPr>
          <w:p w14:paraId="615C152E">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143</w:t>
            </w:r>
          </w:p>
        </w:tc>
        <w:tc>
          <w:tcPr>
            <w:tcW w:w="711" w:type="pct"/>
            <w:tcBorders>
              <w:tl2br w:val="nil"/>
              <w:tr2bl w:val="nil"/>
            </w:tcBorders>
            <w:noWrap w:val="0"/>
            <w:vAlign w:val="center"/>
          </w:tcPr>
          <w:p w14:paraId="338192EE">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160</w:t>
            </w:r>
          </w:p>
        </w:tc>
        <w:tc>
          <w:tcPr>
            <w:tcW w:w="687" w:type="pct"/>
            <w:tcBorders>
              <w:tl2br w:val="nil"/>
              <w:tr2bl w:val="nil"/>
            </w:tcBorders>
            <w:noWrap w:val="0"/>
            <w:vAlign w:val="center"/>
          </w:tcPr>
          <w:p w14:paraId="0DA95F49">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89.38</w:t>
            </w:r>
          </w:p>
        </w:tc>
        <w:tc>
          <w:tcPr>
            <w:tcW w:w="710" w:type="pct"/>
            <w:tcBorders>
              <w:tl2br w:val="nil"/>
              <w:tr2bl w:val="nil"/>
            </w:tcBorders>
            <w:noWrap w:val="0"/>
            <w:vAlign w:val="center"/>
          </w:tcPr>
          <w:p w14:paraId="2BBA6BB3">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达标</w:t>
            </w:r>
          </w:p>
        </w:tc>
      </w:tr>
      <w:tr w14:paraId="4DB84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10" w:type="pct"/>
            <w:tcBorders>
              <w:tl2br w:val="nil"/>
              <w:tr2bl w:val="nil"/>
            </w:tcBorders>
            <w:noWrap w:val="0"/>
            <w:vAlign w:val="center"/>
          </w:tcPr>
          <w:p w14:paraId="4C4E590B">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PM</w:t>
            </w:r>
            <w:r>
              <w:rPr>
                <w:rFonts w:hint="default" w:ascii="Times New Roman" w:hAnsi="Times New Roman" w:cs="Times New Roman"/>
                <w:color w:val="auto"/>
                <w:kern w:val="0"/>
                <w:sz w:val="21"/>
                <w:szCs w:val="21"/>
                <w:highlight w:val="none"/>
                <w:u w:val="none"/>
                <w:vertAlign w:val="subscript"/>
              </w:rPr>
              <w:t>2.5</w:t>
            </w:r>
          </w:p>
        </w:tc>
        <w:tc>
          <w:tcPr>
            <w:tcW w:w="1467" w:type="pct"/>
            <w:tcBorders>
              <w:tl2br w:val="nil"/>
              <w:tr2bl w:val="nil"/>
            </w:tcBorders>
            <w:noWrap w:val="0"/>
            <w:vAlign w:val="center"/>
          </w:tcPr>
          <w:p w14:paraId="4BBE0A52">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年平均</w:t>
            </w:r>
          </w:p>
        </w:tc>
        <w:tc>
          <w:tcPr>
            <w:tcW w:w="711" w:type="pct"/>
            <w:tcBorders>
              <w:tl2br w:val="nil"/>
              <w:tr2bl w:val="nil"/>
            </w:tcBorders>
            <w:noWrap w:val="0"/>
            <w:vAlign w:val="center"/>
          </w:tcPr>
          <w:p w14:paraId="11A0E1B3">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48</w:t>
            </w:r>
          </w:p>
        </w:tc>
        <w:tc>
          <w:tcPr>
            <w:tcW w:w="711" w:type="pct"/>
            <w:tcBorders>
              <w:tl2br w:val="nil"/>
              <w:tr2bl w:val="nil"/>
            </w:tcBorders>
            <w:noWrap w:val="0"/>
            <w:vAlign w:val="center"/>
          </w:tcPr>
          <w:p w14:paraId="4A23B179">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35</w:t>
            </w:r>
          </w:p>
        </w:tc>
        <w:tc>
          <w:tcPr>
            <w:tcW w:w="687" w:type="pct"/>
            <w:tcBorders>
              <w:tl2br w:val="nil"/>
              <w:tr2bl w:val="nil"/>
            </w:tcBorders>
            <w:noWrap w:val="0"/>
            <w:vAlign w:val="center"/>
          </w:tcPr>
          <w:p w14:paraId="35BC3EA3">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137.14</w:t>
            </w:r>
          </w:p>
        </w:tc>
        <w:tc>
          <w:tcPr>
            <w:tcW w:w="710" w:type="pct"/>
            <w:tcBorders>
              <w:tl2br w:val="nil"/>
              <w:tr2bl w:val="nil"/>
            </w:tcBorders>
            <w:noWrap w:val="0"/>
            <w:vAlign w:val="top"/>
          </w:tcPr>
          <w:p w14:paraId="54531F65">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lang w:val="en-US" w:eastAsia="zh-CN"/>
              </w:rPr>
              <w:t>超</w:t>
            </w:r>
            <w:r>
              <w:rPr>
                <w:rFonts w:hint="default" w:ascii="Times New Roman" w:hAnsi="Times New Roman" w:cs="Times New Roman"/>
                <w:color w:val="auto"/>
                <w:kern w:val="0"/>
                <w:sz w:val="21"/>
                <w:szCs w:val="21"/>
                <w:highlight w:val="none"/>
                <w:u w:val="none"/>
              </w:rPr>
              <w:t>标</w:t>
            </w:r>
          </w:p>
        </w:tc>
      </w:tr>
      <w:tr w14:paraId="21947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10" w:type="pct"/>
            <w:tcBorders>
              <w:tl2br w:val="nil"/>
              <w:tr2bl w:val="nil"/>
            </w:tcBorders>
            <w:noWrap w:val="0"/>
            <w:vAlign w:val="center"/>
          </w:tcPr>
          <w:p w14:paraId="67527E72">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PM</w:t>
            </w:r>
            <w:r>
              <w:rPr>
                <w:rFonts w:hint="default" w:ascii="Times New Roman" w:hAnsi="Times New Roman" w:cs="Times New Roman"/>
                <w:color w:val="auto"/>
                <w:kern w:val="0"/>
                <w:sz w:val="21"/>
                <w:szCs w:val="21"/>
                <w:highlight w:val="none"/>
                <w:u w:val="none"/>
                <w:vertAlign w:val="subscript"/>
              </w:rPr>
              <w:t>10</w:t>
            </w:r>
          </w:p>
        </w:tc>
        <w:tc>
          <w:tcPr>
            <w:tcW w:w="1467" w:type="pct"/>
            <w:tcBorders>
              <w:tl2br w:val="nil"/>
              <w:tr2bl w:val="nil"/>
            </w:tcBorders>
            <w:noWrap w:val="0"/>
            <w:vAlign w:val="center"/>
          </w:tcPr>
          <w:p w14:paraId="71CD82DB">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年平均</w:t>
            </w:r>
          </w:p>
        </w:tc>
        <w:tc>
          <w:tcPr>
            <w:tcW w:w="711" w:type="pct"/>
            <w:tcBorders>
              <w:tl2br w:val="nil"/>
              <w:tr2bl w:val="nil"/>
            </w:tcBorders>
            <w:noWrap w:val="0"/>
            <w:vAlign w:val="center"/>
          </w:tcPr>
          <w:p w14:paraId="22027B9F">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83</w:t>
            </w:r>
          </w:p>
        </w:tc>
        <w:tc>
          <w:tcPr>
            <w:tcW w:w="711" w:type="pct"/>
            <w:tcBorders>
              <w:tl2br w:val="nil"/>
              <w:tr2bl w:val="nil"/>
            </w:tcBorders>
            <w:noWrap w:val="0"/>
            <w:vAlign w:val="center"/>
          </w:tcPr>
          <w:p w14:paraId="3E8989CF">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70</w:t>
            </w:r>
          </w:p>
        </w:tc>
        <w:tc>
          <w:tcPr>
            <w:tcW w:w="687" w:type="pct"/>
            <w:tcBorders>
              <w:tl2br w:val="nil"/>
              <w:tr2bl w:val="nil"/>
            </w:tcBorders>
            <w:noWrap w:val="0"/>
            <w:vAlign w:val="center"/>
          </w:tcPr>
          <w:p w14:paraId="1E8F5E35">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118.57</w:t>
            </w:r>
          </w:p>
        </w:tc>
        <w:tc>
          <w:tcPr>
            <w:tcW w:w="710" w:type="pct"/>
            <w:tcBorders>
              <w:tl2br w:val="nil"/>
              <w:tr2bl w:val="nil"/>
            </w:tcBorders>
            <w:noWrap w:val="0"/>
            <w:vAlign w:val="top"/>
          </w:tcPr>
          <w:p w14:paraId="27FB9A2A">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 w:val="21"/>
                <w:szCs w:val="21"/>
                <w:highlight w:val="none"/>
                <w:u w:val="none"/>
                <w:lang w:eastAsia="zh-CN"/>
              </w:rPr>
            </w:pPr>
            <w:r>
              <w:rPr>
                <w:rFonts w:hint="default" w:ascii="Times New Roman" w:hAnsi="Times New Roman" w:cs="Times New Roman"/>
                <w:color w:val="auto"/>
                <w:kern w:val="0"/>
                <w:sz w:val="21"/>
                <w:szCs w:val="21"/>
                <w:highlight w:val="none"/>
                <w:u w:val="none"/>
                <w:lang w:val="en-US" w:eastAsia="zh-CN"/>
              </w:rPr>
              <w:t>超标</w:t>
            </w:r>
          </w:p>
        </w:tc>
      </w:tr>
    </w:tbl>
    <w:p w14:paraId="0800CE4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kern w:val="2"/>
          <w:sz w:val="18"/>
          <w:szCs w:val="18"/>
          <w:highlight w:val="none"/>
          <w:u w:val="none"/>
        </w:rPr>
      </w:pPr>
      <w:r>
        <w:rPr>
          <w:rFonts w:hint="default" w:ascii="Times New Roman" w:hAnsi="Times New Roman" w:cs="Times New Roman"/>
          <w:b w:val="0"/>
          <w:bCs w:val="0"/>
          <w:color w:val="auto"/>
          <w:kern w:val="0"/>
          <w:sz w:val="18"/>
          <w:szCs w:val="18"/>
          <w:highlight w:val="none"/>
          <w:u w:val="none"/>
        </w:rPr>
        <w:t>注：监测数值中PM</w:t>
      </w:r>
      <w:r>
        <w:rPr>
          <w:rFonts w:hint="default" w:ascii="Times New Roman" w:hAnsi="Times New Roman" w:cs="Times New Roman"/>
          <w:b w:val="0"/>
          <w:bCs w:val="0"/>
          <w:color w:val="auto"/>
          <w:kern w:val="0"/>
          <w:sz w:val="18"/>
          <w:szCs w:val="18"/>
          <w:highlight w:val="none"/>
          <w:u w:val="none"/>
          <w:vertAlign w:val="subscript"/>
        </w:rPr>
        <w:t>2.5</w:t>
      </w:r>
      <w:r>
        <w:rPr>
          <w:rFonts w:hint="default" w:ascii="Times New Roman" w:hAnsi="Times New Roman" w:cs="Times New Roman"/>
          <w:b w:val="0"/>
          <w:bCs w:val="0"/>
          <w:color w:val="auto"/>
          <w:kern w:val="0"/>
          <w:sz w:val="18"/>
          <w:szCs w:val="18"/>
          <w:highlight w:val="none"/>
          <w:u w:val="none"/>
        </w:rPr>
        <w:t>、PM</w:t>
      </w:r>
      <w:r>
        <w:rPr>
          <w:rFonts w:hint="default" w:ascii="Times New Roman" w:hAnsi="Times New Roman" w:cs="Times New Roman"/>
          <w:b w:val="0"/>
          <w:bCs w:val="0"/>
          <w:color w:val="auto"/>
          <w:kern w:val="0"/>
          <w:sz w:val="18"/>
          <w:szCs w:val="18"/>
          <w:highlight w:val="none"/>
          <w:u w:val="none"/>
          <w:vertAlign w:val="subscript"/>
        </w:rPr>
        <w:t>10</w:t>
      </w:r>
      <w:r>
        <w:rPr>
          <w:rFonts w:hint="default" w:ascii="Times New Roman" w:hAnsi="Times New Roman" w:cs="Times New Roman"/>
          <w:b w:val="0"/>
          <w:bCs w:val="0"/>
          <w:color w:val="auto"/>
          <w:kern w:val="0"/>
          <w:sz w:val="18"/>
          <w:szCs w:val="18"/>
          <w:highlight w:val="none"/>
          <w:u w:val="none"/>
        </w:rPr>
        <w:t>、SO</w:t>
      </w:r>
      <w:r>
        <w:rPr>
          <w:rFonts w:hint="default" w:ascii="Times New Roman" w:hAnsi="Times New Roman" w:cs="Times New Roman"/>
          <w:b w:val="0"/>
          <w:bCs w:val="0"/>
          <w:color w:val="auto"/>
          <w:kern w:val="0"/>
          <w:sz w:val="18"/>
          <w:szCs w:val="18"/>
          <w:highlight w:val="none"/>
          <w:u w:val="none"/>
          <w:vertAlign w:val="subscript"/>
        </w:rPr>
        <w:t>2</w:t>
      </w:r>
      <w:r>
        <w:rPr>
          <w:rFonts w:hint="default" w:ascii="Times New Roman" w:hAnsi="Times New Roman" w:cs="Times New Roman"/>
          <w:b w:val="0"/>
          <w:bCs w:val="0"/>
          <w:color w:val="auto"/>
          <w:kern w:val="0"/>
          <w:sz w:val="18"/>
          <w:szCs w:val="18"/>
          <w:highlight w:val="none"/>
          <w:u w:val="none"/>
        </w:rPr>
        <w:t>、NO</w:t>
      </w:r>
      <w:r>
        <w:rPr>
          <w:rFonts w:hint="default" w:ascii="Times New Roman" w:hAnsi="Times New Roman" w:cs="Times New Roman"/>
          <w:b w:val="0"/>
          <w:bCs w:val="0"/>
          <w:color w:val="auto"/>
          <w:kern w:val="0"/>
          <w:sz w:val="18"/>
          <w:szCs w:val="18"/>
          <w:highlight w:val="none"/>
          <w:u w:val="none"/>
          <w:vertAlign w:val="subscript"/>
        </w:rPr>
        <w:t>2</w:t>
      </w:r>
      <w:r>
        <w:rPr>
          <w:rFonts w:hint="default" w:ascii="Times New Roman" w:hAnsi="Times New Roman" w:cs="Times New Roman"/>
          <w:b w:val="0"/>
          <w:bCs w:val="0"/>
          <w:color w:val="auto"/>
          <w:kern w:val="0"/>
          <w:sz w:val="18"/>
          <w:szCs w:val="18"/>
          <w:highlight w:val="none"/>
          <w:u w:val="none"/>
        </w:rPr>
        <w:t>这四项为浓度均值，CO为24小时平均浓度第95百分位数，O</w:t>
      </w:r>
      <w:r>
        <w:rPr>
          <w:rFonts w:hint="default" w:ascii="Times New Roman" w:hAnsi="Times New Roman" w:cs="Times New Roman"/>
          <w:b w:val="0"/>
          <w:bCs w:val="0"/>
          <w:color w:val="auto"/>
          <w:kern w:val="0"/>
          <w:sz w:val="18"/>
          <w:szCs w:val="18"/>
          <w:highlight w:val="none"/>
          <w:u w:val="none"/>
          <w:vertAlign w:val="subscript"/>
        </w:rPr>
        <w:t>3</w:t>
      </w:r>
      <w:r>
        <w:rPr>
          <w:rFonts w:hint="default" w:ascii="Times New Roman" w:hAnsi="Times New Roman" w:cs="Times New Roman"/>
          <w:b w:val="0"/>
          <w:bCs w:val="0"/>
          <w:color w:val="auto"/>
          <w:kern w:val="0"/>
          <w:sz w:val="18"/>
          <w:szCs w:val="18"/>
          <w:highlight w:val="none"/>
          <w:u w:val="none"/>
        </w:rPr>
        <w:t>为日最大8小时平均浓度第90百分位数；二级标准值中PM</w:t>
      </w:r>
      <w:r>
        <w:rPr>
          <w:rFonts w:hint="default" w:ascii="Times New Roman" w:hAnsi="Times New Roman" w:cs="Times New Roman"/>
          <w:b w:val="0"/>
          <w:bCs w:val="0"/>
          <w:color w:val="auto"/>
          <w:kern w:val="0"/>
          <w:sz w:val="18"/>
          <w:szCs w:val="18"/>
          <w:highlight w:val="none"/>
          <w:u w:val="none"/>
          <w:vertAlign w:val="subscript"/>
        </w:rPr>
        <w:t>2.5</w:t>
      </w:r>
      <w:r>
        <w:rPr>
          <w:rFonts w:hint="default" w:ascii="Times New Roman" w:hAnsi="Times New Roman" w:cs="Times New Roman"/>
          <w:b w:val="0"/>
          <w:bCs w:val="0"/>
          <w:color w:val="auto"/>
          <w:kern w:val="0"/>
          <w:sz w:val="18"/>
          <w:szCs w:val="18"/>
          <w:highlight w:val="none"/>
          <w:u w:val="none"/>
        </w:rPr>
        <w:t>、PM</w:t>
      </w:r>
      <w:r>
        <w:rPr>
          <w:rFonts w:hint="default" w:ascii="Times New Roman" w:hAnsi="Times New Roman" w:cs="Times New Roman"/>
          <w:b w:val="0"/>
          <w:bCs w:val="0"/>
          <w:color w:val="auto"/>
          <w:kern w:val="0"/>
          <w:sz w:val="18"/>
          <w:szCs w:val="18"/>
          <w:highlight w:val="none"/>
          <w:u w:val="none"/>
          <w:vertAlign w:val="subscript"/>
        </w:rPr>
        <w:t>10</w:t>
      </w:r>
      <w:r>
        <w:rPr>
          <w:rFonts w:hint="default" w:ascii="Times New Roman" w:hAnsi="Times New Roman" w:cs="Times New Roman"/>
          <w:b w:val="0"/>
          <w:bCs w:val="0"/>
          <w:color w:val="auto"/>
          <w:kern w:val="0"/>
          <w:sz w:val="18"/>
          <w:szCs w:val="18"/>
          <w:highlight w:val="none"/>
          <w:u w:val="none"/>
        </w:rPr>
        <w:t>、SO</w:t>
      </w:r>
      <w:r>
        <w:rPr>
          <w:rFonts w:hint="default" w:ascii="Times New Roman" w:hAnsi="Times New Roman" w:cs="Times New Roman"/>
          <w:b w:val="0"/>
          <w:bCs w:val="0"/>
          <w:color w:val="auto"/>
          <w:kern w:val="0"/>
          <w:sz w:val="18"/>
          <w:szCs w:val="18"/>
          <w:highlight w:val="none"/>
          <w:u w:val="none"/>
          <w:vertAlign w:val="subscript"/>
        </w:rPr>
        <w:t>2</w:t>
      </w:r>
      <w:r>
        <w:rPr>
          <w:rFonts w:hint="default" w:ascii="Times New Roman" w:hAnsi="Times New Roman" w:cs="Times New Roman"/>
          <w:b w:val="0"/>
          <w:bCs w:val="0"/>
          <w:color w:val="auto"/>
          <w:kern w:val="0"/>
          <w:sz w:val="18"/>
          <w:szCs w:val="18"/>
          <w:highlight w:val="none"/>
          <w:u w:val="none"/>
        </w:rPr>
        <w:t>、NO</w:t>
      </w:r>
      <w:r>
        <w:rPr>
          <w:rFonts w:hint="default" w:ascii="Times New Roman" w:hAnsi="Times New Roman" w:cs="Times New Roman"/>
          <w:b w:val="0"/>
          <w:bCs w:val="0"/>
          <w:color w:val="auto"/>
          <w:kern w:val="0"/>
          <w:sz w:val="18"/>
          <w:szCs w:val="18"/>
          <w:highlight w:val="none"/>
          <w:u w:val="none"/>
          <w:vertAlign w:val="subscript"/>
        </w:rPr>
        <w:t>2</w:t>
      </w:r>
      <w:r>
        <w:rPr>
          <w:rFonts w:hint="default" w:ascii="Times New Roman" w:hAnsi="Times New Roman" w:cs="Times New Roman"/>
          <w:b w:val="0"/>
          <w:bCs w:val="0"/>
          <w:color w:val="auto"/>
          <w:kern w:val="0"/>
          <w:sz w:val="18"/>
          <w:szCs w:val="18"/>
          <w:highlight w:val="none"/>
          <w:u w:val="none"/>
        </w:rPr>
        <w:t>这四项为年均值，CO为24小时平均值，O</w:t>
      </w:r>
      <w:r>
        <w:rPr>
          <w:rFonts w:hint="default" w:ascii="Times New Roman" w:hAnsi="Times New Roman" w:cs="Times New Roman"/>
          <w:b w:val="0"/>
          <w:bCs w:val="0"/>
          <w:color w:val="auto"/>
          <w:kern w:val="0"/>
          <w:sz w:val="18"/>
          <w:szCs w:val="18"/>
          <w:highlight w:val="none"/>
          <w:u w:val="none"/>
          <w:vertAlign w:val="subscript"/>
        </w:rPr>
        <w:t>3</w:t>
      </w:r>
      <w:r>
        <w:rPr>
          <w:rFonts w:hint="default" w:ascii="Times New Roman" w:hAnsi="Times New Roman" w:cs="Times New Roman"/>
          <w:b w:val="0"/>
          <w:bCs w:val="0"/>
          <w:color w:val="auto"/>
          <w:kern w:val="0"/>
          <w:sz w:val="18"/>
          <w:szCs w:val="18"/>
          <w:highlight w:val="none"/>
          <w:u w:val="none"/>
        </w:rPr>
        <w:t>为日最大8小时平均值。</w:t>
      </w:r>
    </w:p>
    <w:p w14:paraId="5A6A698E">
      <w:pPr>
        <w:keepNext w:val="0"/>
        <w:keepLines w:val="0"/>
        <w:pageBreakBefore w:val="0"/>
        <w:widowControl/>
        <w:kinsoku/>
        <w:wordWrap/>
        <w:overflowPunct/>
        <w:topLinePunct w:val="0"/>
        <w:autoSpaceDE/>
        <w:autoSpaceDN/>
        <w:bidi w:val="0"/>
        <w:adjustRightInd/>
        <w:snapToGrid/>
        <w:spacing w:before="313" w:beforeLines="100" w:after="0" w:afterLines="0" w:afterAutospacing="0" w:line="480" w:lineRule="exact"/>
        <w:ind w:firstLine="496" w:firstLineChars="200"/>
        <w:textAlignment w:val="auto"/>
        <w:rPr>
          <w:rFonts w:hint="eastAsia" w:cs="Times New Roman"/>
          <w:color w:val="auto"/>
          <w:spacing w:val="4"/>
          <w:kern w:val="2"/>
          <w:sz w:val="24"/>
          <w:szCs w:val="24"/>
          <w:highlight w:val="none"/>
          <w:u w:val="none"/>
          <w:lang w:val="en-US" w:eastAsia="zh-CN" w:bidi="ar-SA"/>
        </w:rPr>
      </w:pPr>
      <w:r>
        <w:rPr>
          <w:rFonts w:hint="default" w:ascii="Times New Roman" w:hAnsi="Times New Roman" w:eastAsia="宋体" w:cs="Times New Roman"/>
          <w:color w:val="auto"/>
          <w:spacing w:val="4"/>
          <w:kern w:val="2"/>
          <w:sz w:val="24"/>
          <w:szCs w:val="24"/>
          <w:highlight w:val="none"/>
          <w:u w:val="none"/>
          <w:lang w:val="en-US" w:eastAsia="zh-CN" w:bidi="ar-SA"/>
        </w:rPr>
        <w:t>由表</w:t>
      </w:r>
      <w:r>
        <w:rPr>
          <w:rFonts w:hint="eastAsia" w:cs="Times New Roman"/>
          <w:color w:val="auto"/>
          <w:spacing w:val="4"/>
          <w:kern w:val="2"/>
          <w:sz w:val="24"/>
          <w:szCs w:val="24"/>
          <w:highlight w:val="none"/>
          <w:u w:val="none"/>
          <w:lang w:val="en-US" w:eastAsia="zh-CN" w:bidi="ar-SA"/>
        </w:rPr>
        <w:t>4.3-1</w:t>
      </w:r>
      <w:r>
        <w:rPr>
          <w:rFonts w:hint="default" w:ascii="Times New Roman" w:hAnsi="Times New Roman" w:eastAsia="宋体" w:cs="Times New Roman"/>
          <w:color w:val="auto"/>
          <w:spacing w:val="4"/>
          <w:kern w:val="2"/>
          <w:sz w:val="24"/>
          <w:szCs w:val="24"/>
          <w:highlight w:val="none"/>
          <w:u w:val="none"/>
          <w:lang w:val="en-US" w:eastAsia="zh-CN" w:bidi="ar-SA"/>
        </w:rPr>
        <w:t>可知：202</w:t>
      </w:r>
      <w:r>
        <w:rPr>
          <w:rFonts w:hint="eastAsia" w:cs="Times New Roman"/>
          <w:color w:val="auto"/>
          <w:spacing w:val="4"/>
          <w:kern w:val="2"/>
          <w:sz w:val="24"/>
          <w:szCs w:val="24"/>
          <w:highlight w:val="none"/>
          <w:u w:val="none"/>
          <w:lang w:val="en-US" w:eastAsia="zh-CN" w:bidi="ar-SA"/>
        </w:rPr>
        <w:t>3</w:t>
      </w:r>
      <w:r>
        <w:rPr>
          <w:rFonts w:hint="default" w:ascii="Times New Roman" w:hAnsi="Times New Roman" w:eastAsia="宋体" w:cs="Times New Roman"/>
          <w:color w:val="auto"/>
          <w:spacing w:val="4"/>
          <w:kern w:val="2"/>
          <w:sz w:val="24"/>
          <w:szCs w:val="24"/>
          <w:highlight w:val="none"/>
          <w:u w:val="none"/>
          <w:lang w:val="en-US" w:eastAsia="zh-CN" w:bidi="ar-SA"/>
        </w:rPr>
        <w:t>年项目所在地</w:t>
      </w:r>
      <w:r>
        <w:rPr>
          <w:rFonts w:hint="eastAsia" w:ascii="Times New Roman" w:hAnsi="Times New Roman" w:eastAsia="宋体" w:cs="Times New Roman"/>
          <w:bCs/>
          <w:color w:val="auto"/>
          <w:sz w:val="24"/>
          <w:szCs w:val="24"/>
          <w:highlight w:val="none"/>
          <w:u w:val="none"/>
          <w:lang w:val="en-US" w:eastAsia="zh-CN" w:bidi="ar"/>
        </w:rPr>
        <w:t>昌吉州</w:t>
      </w:r>
      <w:r>
        <w:rPr>
          <w:rFonts w:hint="default" w:ascii="Times New Roman" w:hAnsi="Times New Roman" w:eastAsia="宋体" w:cs="Times New Roman"/>
          <w:color w:val="auto"/>
          <w:spacing w:val="4"/>
          <w:kern w:val="2"/>
          <w:sz w:val="24"/>
          <w:szCs w:val="24"/>
          <w:highlight w:val="none"/>
          <w:u w:val="none"/>
          <w:lang w:val="en-US" w:eastAsia="zh-CN" w:bidi="ar-SA"/>
        </w:rPr>
        <w:t>SO</w:t>
      </w:r>
      <w:r>
        <w:rPr>
          <w:rFonts w:hint="default" w:ascii="Times New Roman" w:hAnsi="Times New Roman" w:eastAsia="宋体" w:cs="Times New Roman"/>
          <w:color w:val="auto"/>
          <w:spacing w:val="4"/>
          <w:kern w:val="2"/>
          <w:sz w:val="24"/>
          <w:szCs w:val="24"/>
          <w:highlight w:val="none"/>
          <w:u w:val="none"/>
          <w:vertAlign w:val="subscript"/>
          <w:lang w:val="en-US" w:eastAsia="zh-CN" w:bidi="ar-SA"/>
        </w:rPr>
        <w:t>2</w:t>
      </w:r>
      <w:r>
        <w:rPr>
          <w:rFonts w:hint="default" w:ascii="Times New Roman" w:hAnsi="Times New Roman" w:eastAsia="宋体" w:cs="Times New Roman"/>
          <w:color w:val="auto"/>
          <w:spacing w:val="4"/>
          <w:kern w:val="2"/>
          <w:sz w:val="24"/>
          <w:szCs w:val="24"/>
          <w:highlight w:val="none"/>
          <w:u w:val="none"/>
          <w:lang w:val="en-US" w:eastAsia="zh-CN" w:bidi="ar-SA"/>
        </w:rPr>
        <w:t>、NO</w:t>
      </w:r>
      <w:r>
        <w:rPr>
          <w:rFonts w:hint="default" w:ascii="Times New Roman" w:hAnsi="Times New Roman" w:eastAsia="宋体" w:cs="Times New Roman"/>
          <w:color w:val="auto"/>
          <w:spacing w:val="4"/>
          <w:kern w:val="2"/>
          <w:sz w:val="24"/>
          <w:szCs w:val="24"/>
          <w:highlight w:val="none"/>
          <w:u w:val="none"/>
          <w:vertAlign w:val="subscript"/>
          <w:lang w:val="en-US" w:eastAsia="zh-CN" w:bidi="ar-SA"/>
        </w:rPr>
        <w:t>2</w:t>
      </w:r>
      <w:r>
        <w:rPr>
          <w:rFonts w:hint="default" w:ascii="Times New Roman" w:hAnsi="Times New Roman" w:eastAsia="宋体" w:cs="Times New Roman"/>
          <w:color w:val="auto"/>
          <w:spacing w:val="4"/>
          <w:kern w:val="2"/>
          <w:sz w:val="24"/>
          <w:szCs w:val="24"/>
          <w:highlight w:val="none"/>
          <w:u w:val="none"/>
          <w:lang w:val="en-US" w:eastAsia="zh-CN" w:bidi="ar-SA"/>
        </w:rPr>
        <w:t>年平均浓度及CO、O</w:t>
      </w:r>
      <w:r>
        <w:rPr>
          <w:rFonts w:hint="default" w:ascii="Times New Roman" w:hAnsi="Times New Roman" w:eastAsia="宋体" w:cs="Times New Roman"/>
          <w:color w:val="auto"/>
          <w:spacing w:val="4"/>
          <w:kern w:val="2"/>
          <w:sz w:val="24"/>
          <w:szCs w:val="24"/>
          <w:highlight w:val="none"/>
          <w:u w:val="none"/>
          <w:vertAlign w:val="subscript"/>
          <w:lang w:val="en-US" w:eastAsia="zh-CN" w:bidi="ar-SA"/>
        </w:rPr>
        <w:t>3</w:t>
      </w:r>
      <w:r>
        <w:rPr>
          <w:rFonts w:hint="default" w:ascii="Times New Roman" w:hAnsi="Times New Roman" w:eastAsia="宋体" w:cs="Times New Roman"/>
          <w:color w:val="auto"/>
          <w:spacing w:val="4"/>
          <w:kern w:val="2"/>
          <w:sz w:val="24"/>
          <w:szCs w:val="24"/>
          <w:highlight w:val="none"/>
          <w:u w:val="none"/>
          <w:lang w:val="en-US" w:eastAsia="zh-CN" w:bidi="ar-SA"/>
        </w:rPr>
        <w:t>日平均浓度均满足《环境空气质量标准》（GB3095-2012）的二级标准要求；</w:t>
      </w:r>
      <w:r>
        <w:rPr>
          <w:rFonts w:hint="default" w:ascii="Times New Roman" w:hAnsi="Times New Roman" w:eastAsia="宋体" w:cs="Times New Roman"/>
          <w:bCs/>
          <w:color w:val="auto"/>
          <w:spacing w:val="4"/>
          <w:kern w:val="24"/>
          <w:sz w:val="24"/>
          <w:szCs w:val="24"/>
          <w:highlight w:val="none"/>
          <w:u w:val="none"/>
          <w:lang w:val="en-US" w:eastAsia="zh-CN" w:bidi="ar"/>
        </w:rPr>
        <w:t>PM</w:t>
      </w:r>
      <w:r>
        <w:rPr>
          <w:rFonts w:hint="default" w:ascii="Times New Roman" w:hAnsi="Times New Roman" w:eastAsia="宋体" w:cs="Times New Roman"/>
          <w:bCs/>
          <w:color w:val="auto"/>
          <w:spacing w:val="4"/>
          <w:kern w:val="24"/>
          <w:sz w:val="24"/>
          <w:szCs w:val="24"/>
          <w:highlight w:val="none"/>
          <w:u w:val="none"/>
          <w:vertAlign w:val="subscript"/>
          <w:lang w:val="en-US" w:eastAsia="zh-CN" w:bidi="ar"/>
        </w:rPr>
        <w:t>10</w:t>
      </w:r>
      <w:r>
        <w:rPr>
          <w:rFonts w:hint="default" w:ascii="Times New Roman" w:hAnsi="Times New Roman" w:eastAsia="宋体" w:cs="Times New Roman"/>
          <w:bCs/>
          <w:color w:val="auto"/>
          <w:spacing w:val="4"/>
          <w:kern w:val="24"/>
          <w:sz w:val="24"/>
          <w:szCs w:val="24"/>
          <w:highlight w:val="none"/>
          <w:u w:val="none"/>
          <w:lang w:val="en-US" w:eastAsia="zh-CN" w:bidi="ar"/>
        </w:rPr>
        <w:t>、PM</w:t>
      </w:r>
      <w:r>
        <w:rPr>
          <w:rFonts w:hint="default" w:ascii="Times New Roman" w:hAnsi="Times New Roman" w:eastAsia="宋体" w:cs="Times New Roman"/>
          <w:bCs/>
          <w:color w:val="auto"/>
          <w:spacing w:val="4"/>
          <w:kern w:val="24"/>
          <w:sz w:val="24"/>
          <w:szCs w:val="24"/>
          <w:highlight w:val="none"/>
          <w:u w:val="none"/>
          <w:vertAlign w:val="subscript"/>
          <w:lang w:val="en-US" w:eastAsia="zh-CN" w:bidi="ar"/>
        </w:rPr>
        <w:t>2.5</w:t>
      </w:r>
      <w:r>
        <w:rPr>
          <w:rFonts w:hint="default" w:ascii="Times New Roman" w:hAnsi="Times New Roman" w:eastAsia="宋体" w:cs="Times New Roman"/>
          <w:color w:val="auto"/>
          <w:spacing w:val="4"/>
          <w:kern w:val="2"/>
          <w:sz w:val="24"/>
          <w:szCs w:val="24"/>
          <w:highlight w:val="none"/>
          <w:u w:val="none"/>
          <w:lang w:val="en-US" w:eastAsia="zh-CN" w:bidi="ar-SA"/>
        </w:rPr>
        <w:t>年浓度超过《环境空气质量标准》（GB3095-2012）中二级标准限值要求</w:t>
      </w:r>
      <w:r>
        <w:rPr>
          <w:rFonts w:hint="eastAsia" w:cs="Times New Roman"/>
          <w:color w:val="auto"/>
          <w:spacing w:val="4"/>
          <w:kern w:val="2"/>
          <w:sz w:val="24"/>
          <w:szCs w:val="24"/>
          <w:highlight w:val="none"/>
          <w:u w:val="none"/>
          <w:lang w:val="en-US" w:eastAsia="zh-CN" w:bidi="ar-SA"/>
        </w:rPr>
        <w:t>，占标率分别为118.57%、137.14%。</w:t>
      </w:r>
    </w:p>
    <w:p w14:paraId="1800B5B6">
      <w:pPr>
        <w:keepNext w:val="0"/>
        <w:keepLines w:val="0"/>
        <w:pageBreakBefore w:val="0"/>
        <w:kinsoku/>
        <w:wordWrap/>
        <w:overflowPunct/>
        <w:topLinePunct w:val="0"/>
        <w:autoSpaceDE/>
        <w:autoSpaceDN/>
        <w:bidi w:val="0"/>
        <w:adjustRightInd/>
        <w:snapToGrid/>
        <w:spacing w:line="480" w:lineRule="exact"/>
        <w:ind w:firstLine="578"/>
        <w:textAlignment w:val="auto"/>
        <w:rPr>
          <w:rFonts w:hint="default" w:ascii="Times New Roman" w:hAnsi="Times New Roman" w:eastAsia="宋体" w:cs="Times New Roman"/>
          <w:color w:val="auto"/>
          <w:spacing w:val="4"/>
          <w:kern w:val="2"/>
          <w:sz w:val="24"/>
          <w:szCs w:val="24"/>
          <w:highlight w:val="none"/>
          <w:u w:val="none"/>
          <w:lang w:val="en-US" w:eastAsia="zh-CN" w:bidi="ar-SA"/>
        </w:rPr>
      </w:pPr>
      <w:r>
        <w:rPr>
          <w:rFonts w:hint="default" w:ascii="Times New Roman" w:hAnsi="Times New Roman" w:eastAsia="宋体" w:cs="Times New Roman"/>
          <w:color w:val="auto"/>
          <w:spacing w:val="4"/>
          <w:kern w:val="2"/>
          <w:sz w:val="24"/>
          <w:szCs w:val="24"/>
          <w:highlight w:val="none"/>
          <w:u w:val="none"/>
          <w:lang w:val="en-US" w:eastAsia="zh-CN" w:bidi="ar-SA"/>
        </w:rPr>
        <w:t>项目区为不达标区，超标主要是由于当地气候条件干燥、自然扬尘较多。</w:t>
      </w:r>
    </w:p>
    <w:bookmarkEnd w:id="334"/>
    <w:bookmarkEnd w:id="370"/>
    <w:bookmarkEnd w:id="371"/>
    <w:bookmarkEnd w:id="372"/>
    <w:bookmarkEnd w:id="373"/>
    <w:bookmarkEnd w:id="374"/>
    <w:bookmarkEnd w:id="375"/>
    <w:bookmarkEnd w:id="379"/>
    <w:p w14:paraId="764E1486">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zh-CN" w:eastAsia="zh-CN"/>
        </w:rPr>
      </w:pPr>
      <w:bookmarkStart w:id="383" w:name="_Toc374724187"/>
      <w:bookmarkStart w:id="384" w:name="_Toc42981111"/>
      <w:bookmarkStart w:id="385" w:name="_Toc353966742"/>
      <w:bookmarkStart w:id="386" w:name="_Toc508291890"/>
      <w:bookmarkStart w:id="387" w:name="_Toc109382928"/>
      <w:bookmarkStart w:id="388" w:name="_Toc78993990"/>
      <w:bookmarkStart w:id="389" w:name="_Toc361761834"/>
      <w:r>
        <w:rPr>
          <w:rFonts w:hint="default" w:ascii="黑体" w:hAnsi="黑体" w:eastAsia="黑体" w:cs="黑体"/>
          <w:b/>
          <w:color w:val="auto"/>
          <w:kern w:val="0"/>
          <w:sz w:val="24"/>
          <w:szCs w:val="24"/>
          <w:highlight w:val="none"/>
          <w:u w:val="none"/>
          <w:lang w:val="zh-CN" w:eastAsia="zh-CN"/>
        </w:rPr>
        <w:t>4.</w:t>
      </w:r>
      <w:r>
        <w:rPr>
          <w:rFonts w:hint="eastAsia" w:ascii="黑体" w:hAnsi="黑体" w:eastAsia="黑体" w:cs="黑体"/>
          <w:b/>
          <w:color w:val="auto"/>
          <w:kern w:val="0"/>
          <w:sz w:val="24"/>
          <w:szCs w:val="24"/>
          <w:highlight w:val="none"/>
          <w:u w:val="none"/>
          <w:lang w:val="en-US" w:eastAsia="zh-CN"/>
        </w:rPr>
        <w:t>6</w:t>
      </w:r>
      <w:r>
        <w:rPr>
          <w:rFonts w:hint="default" w:ascii="黑体" w:hAnsi="黑体" w:eastAsia="黑体" w:cs="黑体"/>
          <w:b/>
          <w:color w:val="auto"/>
          <w:kern w:val="0"/>
          <w:sz w:val="24"/>
          <w:szCs w:val="24"/>
          <w:highlight w:val="none"/>
          <w:u w:val="none"/>
          <w:lang w:val="zh-CN" w:eastAsia="zh-CN"/>
        </w:rPr>
        <w:t>.2 特征因子补充监测</w:t>
      </w:r>
    </w:p>
    <w:p w14:paraId="35D1BB2D">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hint="default" w:ascii="Times New Roman" w:hAnsi="Times New Roman" w:cs="Times New Roman"/>
          <w:snapToGrid w:val="0"/>
          <w:color w:val="auto"/>
          <w:kern w:val="0"/>
          <w:sz w:val="24"/>
          <w:szCs w:val="24"/>
          <w:u w:val="none"/>
        </w:rPr>
      </w:pPr>
      <w:bookmarkStart w:id="390" w:name="_Toc13032"/>
      <w:r>
        <w:rPr>
          <w:rFonts w:hint="eastAsia" w:cs="Times New Roman"/>
          <w:snapToGrid w:val="0"/>
          <w:color w:val="auto"/>
          <w:kern w:val="0"/>
          <w:sz w:val="24"/>
          <w:szCs w:val="24"/>
          <w:u w:val="none"/>
          <w:lang w:eastAsia="zh-CN"/>
        </w:rPr>
        <w:t>（</w:t>
      </w:r>
      <w:r>
        <w:rPr>
          <w:rFonts w:hint="eastAsia" w:cs="Times New Roman"/>
          <w:snapToGrid w:val="0"/>
          <w:color w:val="auto"/>
          <w:kern w:val="0"/>
          <w:sz w:val="24"/>
          <w:szCs w:val="24"/>
          <w:u w:val="none"/>
          <w:lang w:val="en-US" w:eastAsia="zh-CN"/>
        </w:rPr>
        <w:t>1</w:t>
      </w:r>
      <w:r>
        <w:rPr>
          <w:rFonts w:hint="eastAsia" w:cs="Times New Roman"/>
          <w:snapToGrid w:val="0"/>
          <w:color w:val="auto"/>
          <w:kern w:val="0"/>
          <w:sz w:val="24"/>
          <w:szCs w:val="24"/>
          <w:u w:val="none"/>
          <w:lang w:eastAsia="zh-CN"/>
        </w:rPr>
        <w:t>）</w:t>
      </w:r>
      <w:r>
        <w:rPr>
          <w:rFonts w:hint="default" w:ascii="Times New Roman" w:hAnsi="Times New Roman" w:cs="Times New Roman"/>
          <w:snapToGrid w:val="0"/>
          <w:color w:val="auto"/>
          <w:kern w:val="0"/>
          <w:sz w:val="24"/>
          <w:szCs w:val="24"/>
          <w:u w:val="none"/>
        </w:rPr>
        <w:t>监测点基本信息</w:t>
      </w:r>
    </w:p>
    <w:p w14:paraId="257A02CB">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hint="default" w:ascii="Times New Roman" w:hAnsi="Times New Roman" w:cs="Times New Roman"/>
          <w:snapToGrid w:val="0"/>
          <w:color w:val="auto"/>
          <w:kern w:val="0"/>
          <w:sz w:val="24"/>
          <w:szCs w:val="24"/>
          <w:u w:val="none"/>
        </w:rPr>
      </w:pPr>
      <w:r>
        <w:rPr>
          <w:rFonts w:hint="default" w:ascii="Times New Roman" w:hAnsi="Times New Roman" w:cs="Times New Roman"/>
          <w:snapToGrid w:val="0"/>
          <w:color w:val="auto"/>
          <w:kern w:val="0"/>
          <w:sz w:val="24"/>
          <w:szCs w:val="24"/>
          <w:u w:val="none"/>
        </w:rPr>
        <w:t>按照《环境影响评价技术导则 大气环境》(HJ2.2-2018)，结合项目所在区域地形特点以及当地气象特征，且本次评价在布置</w:t>
      </w:r>
      <w:r>
        <w:rPr>
          <w:rFonts w:hint="default" w:ascii="Times New Roman" w:hAnsi="Times New Roman" w:cs="Times New Roman"/>
          <w:snapToGrid w:val="0"/>
          <w:color w:val="auto"/>
          <w:kern w:val="0"/>
          <w:sz w:val="24"/>
          <w:szCs w:val="24"/>
          <w:u w:val="none"/>
          <w:lang w:val="en-US" w:eastAsia="zh-CN"/>
        </w:rPr>
        <w:t>2</w:t>
      </w:r>
      <w:r>
        <w:rPr>
          <w:rFonts w:hint="default" w:ascii="Times New Roman" w:hAnsi="Times New Roman" w:cs="Times New Roman"/>
          <w:snapToGrid w:val="0"/>
          <w:color w:val="auto"/>
          <w:kern w:val="0"/>
          <w:sz w:val="24"/>
          <w:szCs w:val="24"/>
          <w:u w:val="none"/>
        </w:rPr>
        <w:t>个监测点位对区域环境空气质量现状进行补充监测，监测因子为非甲烷总烃、硫化氢。监测工作由新疆正天华能环境工程技术有限公司完成。</w:t>
      </w:r>
    </w:p>
    <w:p w14:paraId="014D82F8">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hint="default" w:ascii="Times New Roman" w:hAnsi="Times New Roman" w:cs="Times New Roman"/>
          <w:snapToGrid w:val="0"/>
          <w:color w:val="auto"/>
          <w:kern w:val="0"/>
          <w:sz w:val="24"/>
          <w:szCs w:val="24"/>
          <w:u w:val="none"/>
        </w:rPr>
      </w:pPr>
      <w:r>
        <w:rPr>
          <w:rFonts w:hint="default" w:ascii="Times New Roman" w:hAnsi="Times New Roman" w:cs="Times New Roman"/>
          <w:snapToGrid w:val="0"/>
          <w:color w:val="auto"/>
          <w:kern w:val="0"/>
          <w:sz w:val="24"/>
          <w:szCs w:val="24"/>
          <w:u w:val="none"/>
        </w:rPr>
        <w:t>监测点位基本信息</w:t>
      </w:r>
      <w:r>
        <w:rPr>
          <w:rFonts w:hint="eastAsia" w:cs="Times New Roman"/>
          <w:snapToGrid w:val="0"/>
          <w:color w:val="auto"/>
          <w:kern w:val="0"/>
          <w:sz w:val="24"/>
          <w:szCs w:val="24"/>
          <w:u w:val="none"/>
          <w:lang w:eastAsia="zh-CN"/>
        </w:rPr>
        <w:t>，</w:t>
      </w:r>
      <w:r>
        <w:rPr>
          <w:rFonts w:hint="default" w:ascii="Times New Roman" w:hAnsi="Times New Roman" w:cs="Times New Roman"/>
          <w:snapToGrid w:val="0"/>
          <w:color w:val="auto"/>
          <w:kern w:val="0"/>
          <w:sz w:val="24"/>
          <w:szCs w:val="24"/>
          <w:u w:val="none"/>
        </w:rPr>
        <w:t>见表4.</w:t>
      </w:r>
      <w:r>
        <w:rPr>
          <w:rFonts w:hint="eastAsia" w:cs="Times New Roman"/>
          <w:snapToGrid w:val="0"/>
          <w:color w:val="auto"/>
          <w:kern w:val="0"/>
          <w:sz w:val="24"/>
          <w:szCs w:val="24"/>
          <w:u w:val="none"/>
          <w:lang w:val="en-US" w:eastAsia="zh-CN"/>
        </w:rPr>
        <w:t>6</w:t>
      </w:r>
      <w:r>
        <w:rPr>
          <w:rFonts w:hint="default" w:ascii="Times New Roman" w:hAnsi="Times New Roman" w:cs="Times New Roman"/>
          <w:snapToGrid w:val="0"/>
          <w:color w:val="auto"/>
          <w:kern w:val="0"/>
          <w:sz w:val="24"/>
          <w:szCs w:val="24"/>
          <w:u w:val="none"/>
        </w:rPr>
        <w:t>-2，监测点位</w:t>
      </w:r>
      <w:r>
        <w:rPr>
          <w:rFonts w:hint="eastAsia" w:cs="Times New Roman"/>
          <w:snapToGrid w:val="0"/>
          <w:color w:val="auto"/>
          <w:kern w:val="0"/>
          <w:sz w:val="24"/>
          <w:szCs w:val="24"/>
          <w:u w:val="none"/>
          <w:lang w:eastAsia="zh-CN"/>
        </w:rPr>
        <w:t>，</w:t>
      </w:r>
      <w:r>
        <w:rPr>
          <w:rFonts w:hint="default" w:ascii="Times New Roman" w:hAnsi="Times New Roman" w:cs="Times New Roman"/>
          <w:snapToGrid w:val="0"/>
          <w:color w:val="auto"/>
          <w:kern w:val="0"/>
          <w:sz w:val="24"/>
          <w:szCs w:val="24"/>
          <w:u w:val="none"/>
        </w:rPr>
        <w:t>见图4.3-1。</w:t>
      </w:r>
    </w:p>
    <w:p w14:paraId="61E331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表4.6-2  监测点位基本信息一览表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573"/>
        <w:gridCol w:w="1733"/>
        <w:gridCol w:w="2156"/>
        <w:gridCol w:w="3209"/>
      </w:tblGrid>
      <w:tr w14:paraId="1C305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07" w:type="pct"/>
            <w:vMerge w:val="restart"/>
            <w:tcBorders>
              <w:tl2br w:val="nil"/>
              <w:tr2bl w:val="nil"/>
            </w:tcBorders>
            <w:vAlign w:val="center"/>
          </w:tcPr>
          <w:p w14:paraId="79F8D2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监测点名称</w:t>
            </w:r>
          </w:p>
        </w:tc>
        <w:tc>
          <w:tcPr>
            <w:tcW w:w="999" w:type="pct"/>
            <w:vMerge w:val="restart"/>
            <w:tcBorders>
              <w:tl2br w:val="nil"/>
              <w:tr2bl w:val="nil"/>
            </w:tcBorders>
            <w:vAlign w:val="center"/>
          </w:tcPr>
          <w:p w14:paraId="52862B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监测点坐标</w:t>
            </w:r>
          </w:p>
        </w:tc>
        <w:tc>
          <w:tcPr>
            <w:tcW w:w="1243" w:type="pct"/>
            <w:tcBorders>
              <w:tl2br w:val="nil"/>
              <w:tr2bl w:val="nil"/>
            </w:tcBorders>
            <w:vAlign w:val="center"/>
          </w:tcPr>
          <w:p w14:paraId="1705CD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监测因子</w:t>
            </w:r>
          </w:p>
        </w:tc>
        <w:tc>
          <w:tcPr>
            <w:tcW w:w="1849" w:type="pct"/>
            <w:vMerge w:val="restart"/>
            <w:tcBorders>
              <w:tl2br w:val="nil"/>
              <w:tr2bl w:val="nil"/>
            </w:tcBorders>
            <w:vAlign w:val="center"/>
          </w:tcPr>
          <w:p w14:paraId="3BF8DD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val="en-US" w:eastAsia="zh-CN"/>
              </w:rPr>
              <w:t>数据来源</w:t>
            </w:r>
          </w:p>
        </w:tc>
      </w:tr>
      <w:tr w14:paraId="4A575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07" w:type="pct"/>
            <w:vMerge w:val="continue"/>
            <w:tcBorders>
              <w:tl2br w:val="nil"/>
              <w:tr2bl w:val="nil"/>
            </w:tcBorders>
            <w:vAlign w:val="center"/>
          </w:tcPr>
          <w:p w14:paraId="363592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cs="Times New Roman"/>
                <w:color w:val="auto"/>
                <w:sz w:val="21"/>
                <w:szCs w:val="21"/>
                <w:u w:val="none"/>
              </w:rPr>
            </w:pPr>
          </w:p>
        </w:tc>
        <w:tc>
          <w:tcPr>
            <w:tcW w:w="999" w:type="pct"/>
            <w:vMerge w:val="continue"/>
            <w:tcBorders>
              <w:tl2br w:val="nil"/>
              <w:tr2bl w:val="nil"/>
            </w:tcBorders>
            <w:vAlign w:val="center"/>
          </w:tcPr>
          <w:p w14:paraId="1D8412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cs="Times New Roman"/>
                <w:color w:val="auto"/>
                <w:sz w:val="21"/>
                <w:szCs w:val="21"/>
                <w:u w:val="none"/>
              </w:rPr>
            </w:pPr>
          </w:p>
        </w:tc>
        <w:tc>
          <w:tcPr>
            <w:tcW w:w="1243" w:type="pct"/>
            <w:tcBorders>
              <w:tl2br w:val="nil"/>
              <w:tr2bl w:val="nil"/>
            </w:tcBorders>
            <w:vAlign w:val="center"/>
          </w:tcPr>
          <w:p w14:paraId="59252E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1小时平均</w:t>
            </w:r>
          </w:p>
        </w:tc>
        <w:tc>
          <w:tcPr>
            <w:tcW w:w="1849" w:type="pct"/>
            <w:vMerge w:val="continue"/>
            <w:tcBorders>
              <w:tl2br w:val="nil"/>
              <w:tr2bl w:val="nil"/>
            </w:tcBorders>
            <w:vAlign w:val="center"/>
          </w:tcPr>
          <w:p w14:paraId="337E14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cs="Times New Roman"/>
                <w:color w:val="auto"/>
                <w:sz w:val="21"/>
                <w:szCs w:val="21"/>
                <w:u w:val="none"/>
              </w:rPr>
            </w:pPr>
          </w:p>
        </w:tc>
      </w:tr>
      <w:tr w14:paraId="3118E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07" w:type="pct"/>
            <w:tcBorders>
              <w:tl2br w:val="nil"/>
              <w:tr2bl w:val="nil"/>
            </w:tcBorders>
            <w:vAlign w:val="center"/>
          </w:tcPr>
          <w:p w14:paraId="25AC75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pacing w:val="-6"/>
                <w:sz w:val="21"/>
                <w:szCs w:val="21"/>
                <w:highlight w:val="none"/>
                <w:u w:val="none"/>
                <w:lang w:val="en-US" w:eastAsia="zh-CN"/>
              </w:rPr>
              <w:t>MBHW6009井场</w:t>
            </w:r>
          </w:p>
        </w:tc>
        <w:tc>
          <w:tcPr>
            <w:tcW w:w="999" w:type="pct"/>
            <w:tcBorders>
              <w:tl2br w:val="nil"/>
              <w:tr2bl w:val="nil"/>
            </w:tcBorders>
            <w:vAlign w:val="center"/>
          </w:tcPr>
          <w:p w14:paraId="0D51E700">
            <w:pPr>
              <w:pStyle w:val="158"/>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E86°37'31.34"</w:t>
            </w:r>
          </w:p>
          <w:p w14:paraId="24E067D7">
            <w:pPr>
              <w:pStyle w:val="158"/>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u w:val="none"/>
              </w:rPr>
            </w:pPr>
            <w:r>
              <w:rPr>
                <w:rFonts w:hint="default" w:ascii="Times New Roman" w:hAnsi="Times New Roman" w:eastAsia="宋体" w:cs="Times New Roman"/>
                <w:color w:val="auto"/>
                <w:sz w:val="21"/>
                <w:szCs w:val="21"/>
                <w:highlight w:val="none"/>
                <w:u w:val="none"/>
              </w:rPr>
              <w:t>N45°06'56.96″</w:t>
            </w:r>
          </w:p>
        </w:tc>
        <w:tc>
          <w:tcPr>
            <w:tcW w:w="1243" w:type="pct"/>
            <w:tcBorders>
              <w:tl2br w:val="nil"/>
              <w:tr2bl w:val="nil"/>
            </w:tcBorders>
            <w:vAlign w:val="center"/>
          </w:tcPr>
          <w:p w14:paraId="0B25E1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非甲烷总烃、硫化氢</w:t>
            </w:r>
          </w:p>
        </w:tc>
        <w:tc>
          <w:tcPr>
            <w:tcW w:w="1849" w:type="pct"/>
            <w:vMerge w:val="restart"/>
            <w:tcBorders>
              <w:tl2br w:val="nil"/>
              <w:tr2bl w:val="nil"/>
            </w:tcBorders>
            <w:vAlign w:val="center"/>
          </w:tcPr>
          <w:p w14:paraId="2AC4D3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szCs w:val="21"/>
                <w:u w:val="none"/>
                <w:lang w:val="en-US" w:eastAsia="zh-CN"/>
              </w:rPr>
              <w:t>实测</w:t>
            </w:r>
          </w:p>
        </w:tc>
      </w:tr>
      <w:tr w14:paraId="68D47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07" w:type="pct"/>
            <w:tcBorders>
              <w:tl2br w:val="nil"/>
              <w:tr2bl w:val="nil"/>
            </w:tcBorders>
            <w:vAlign w:val="center"/>
          </w:tcPr>
          <w:p w14:paraId="186285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cs="Times New Roman"/>
                <w:color w:val="auto"/>
                <w:spacing w:val="-6"/>
                <w:sz w:val="21"/>
                <w:szCs w:val="21"/>
                <w:highlight w:val="none"/>
                <w:u w:val="none"/>
                <w:lang w:val="en-US" w:eastAsia="zh-CN"/>
              </w:rPr>
            </w:pPr>
            <w:r>
              <w:rPr>
                <w:rFonts w:hint="default" w:ascii="Times New Roman" w:hAnsi="Times New Roman" w:cs="Times New Roman"/>
                <w:snapToGrid w:val="0"/>
                <w:color w:val="auto"/>
                <w:sz w:val="21"/>
                <w:szCs w:val="21"/>
                <w:highlight w:val="none"/>
                <w:u w:val="none"/>
                <w:lang w:val="en-US" w:eastAsia="zh-CN"/>
              </w:rPr>
              <w:t>项目区下风向2.0km</w:t>
            </w:r>
          </w:p>
        </w:tc>
        <w:tc>
          <w:tcPr>
            <w:tcW w:w="999" w:type="pct"/>
            <w:tcBorders>
              <w:tl2br w:val="nil"/>
              <w:tr2bl w:val="nil"/>
            </w:tcBorders>
            <w:vAlign w:val="center"/>
          </w:tcPr>
          <w:p w14:paraId="709E2639">
            <w:pPr>
              <w:pStyle w:val="158"/>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E86°38'51.1</w:t>
            </w:r>
            <w:r>
              <w:rPr>
                <w:rFonts w:hint="eastAsia" w:cs="Times New Roman"/>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u w:val="none"/>
              </w:rPr>
              <w:t>"</w:t>
            </w:r>
          </w:p>
          <w:p w14:paraId="3CF585E2">
            <w:pPr>
              <w:pStyle w:val="158"/>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snapToGrid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N45°06'24.8</w:t>
            </w:r>
            <w:r>
              <w:rPr>
                <w:rFonts w:hint="eastAsia" w:cs="Times New Roman"/>
                <w:color w:val="auto"/>
                <w:sz w:val="21"/>
                <w:szCs w:val="21"/>
                <w:highlight w:val="none"/>
                <w:u w:val="none"/>
                <w:lang w:val="en-US" w:eastAsia="zh-CN"/>
              </w:rPr>
              <w:t>6</w:t>
            </w:r>
            <w:r>
              <w:rPr>
                <w:rFonts w:hint="default" w:ascii="Times New Roman" w:hAnsi="Times New Roman" w:eastAsia="宋体" w:cs="Times New Roman"/>
                <w:color w:val="auto"/>
                <w:sz w:val="21"/>
                <w:szCs w:val="21"/>
                <w:highlight w:val="none"/>
                <w:u w:val="none"/>
              </w:rPr>
              <w:t>"</w:t>
            </w:r>
          </w:p>
        </w:tc>
        <w:tc>
          <w:tcPr>
            <w:tcW w:w="1243" w:type="pct"/>
            <w:tcBorders>
              <w:tl2br w:val="nil"/>
              <w:tr2bl w:val="nil"/>
            </w:tcBorders>
            <w:vAlign w:val="center"/>
          </w:tcPr>
          <w:p w14:paraId="2077B8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szCs w:val="21"/>
                <w:u w:val="none"/>
              </w:rPr>
              <w:t>非甲烷总烃、硫化氢</w:t>
            </w:r>
          </w:p>
        </w:tc>
        <w:tc>
          <w:tcPr>
            <w:tcW w:w="1849" w:type="pct"/>
            <w:vMerge w:val="continue"/>
            <w:tcBorders>
              <w:tl2br w:val="nil"/>
              <w:tr2bl w:val="nil"/>
            </w:tcBorders>
            <w:vAlign w:val="center"/>
          </w:tcPr>
          <w:p w14:paraId="6E1112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default" w:ascii="Times New Roman" w:hAnsi="Times New Roman" w:eastAsia="宋体" w:cs="Times New Roman"/>
                <w:color w:val="auto"/>
                <w:kern w:val="2"/>
                <w:sz w:val="21"/>
                <w:szCs w:val="21"/>
                <w:u w:val="none"/>
                <w:lang w:val="en-US" w:eastAsia="zh-CN" w:bidi="ar-SA"/>
              </w:rPr>
            </w:pPr>
          </w:p>
        </w:tc>
      </w:tr>
    </w:tbl>
    <w:p w14:paraId="706C4894">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hint="eastAsia" w:ascii="宋体" w:hAnsi="宋体" w:eastAsia="宋体" w:cs="宋体"/>
          <w:snapToGrid w:val="0"/>
          <w:color w:val="auto"/>
          <w:kern w:val="0"/>
          <w:sz w:val="24"/>
          <w:szCs w:val="24"/>
          <w:u w:val="none"/>
        </w:rPr>
      </w:pPr>
      <w:r>
        <w:rPr>
          <w:rFonts w:hint="eastAsia" w:ascii="宋体" w:hAnsi="宋体" w:eastAsia="宋体" w:cs="宋体"/>
          <w:snapToGrid w:val="0"/>
          <w:color w:val="auto"/>
          <w:kern w:val="0"/>
          <w:sz w:val="24"/>
          <w:szCs w:val="24"/>
          <w:u w:val="none"/>
          <w:lang w:eastAsia="zh-CN"/>
        </w:rPr>
        <w:t>（</w:t>
      </w:r>
      <w:r>
        <w:rPr>
          <w:rFonts w:hint="eastAsia" w:ascii="宋体" w:hAnsi="宋体" w:eastAsia="宋体" w:cs="宋体"/>
          <w:snapToGrid w:val="0"/>
          <w:color w:val="auto"/>
          <w:kern w:val="0"/>
          <w:sz w:val="24"/>
          <w:szCs w:val="24"/>
          <w:u w:val="none"/>
          <w:lang w:val="en-US" w:eastAsia="zh-CN"/>
        </w:rPr>
        <w:t>2</w:t>
      </w:r>
      <w:r>
        <w:rPr>
          <w:rFonts w:hint="eastAsia" w:ascii="宋体" w:hAnsi="宋体" w:eastAsia="宋体" w:cs="宋体"/>
          <w:snapToGrid w:val="0"/>
          <w:color w:val="auto"/>
          <w:kern w:val="0"/>
          <w:sz w:val="24"/>
          <w:szCs w:val="24"/>
          <w:u w:val="none"/>
          <w:lang w:eastAsia="zh-CN"/>
        </w:rPr>
        <w:t>）</w:t>
      </w:r>
      <w:r>
        <w:rPr>
          <w:rFonts w:hint="eastAsia" w:ascii="宋体" w:hAnsi="宋体" w:eastAsia="宋体" w:cs="宋体"/>
          <w:snapToGrid w:val="0"/>
          <w:color w:val="auto"/>
          <w:kern w:val="0"/>
          <w:sz w:val="24"/>
          <w:szCs w:val="24"/>
          <w:u w:val="none"/>
        </w:rPr>
        <w:t>监测时间及频率</w:t>
      </w:r>
    </w:p>
    <w:p w14:paraId="03364820">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hint="eastAsia" w:ascii="宋体" w:hAnsi="宋体" w:eastAsia="宋体" w:cs="宋体"/>
          <w:snapToGrid w:val="0"/>
          <w:color w:val="auto"/>
          <w:kern w:val="0"/>
          <w:sz w:val="24"/>
          <w:szCs w:val="24"/>
          <w:u w:val="none"/>
        </w:rPr>
      </w:pPr>
      <w:r>
        <w:rPr>
          <w:rFonts w:hint="eastAsia" w:ascii="宋体" w:hAnsi="宋体" w:eastAsia="宋体" w:cs="宋体"/>
          <w:snapToGrid w:val="0"/>
          <w:color w:val="auto"/>
          <w:kern w:val="0"/>
          <w:sz w:val="24"/>
          <w:szCs w:val="24"/>
          <w:u w:val="none"/>
          <w:lang w:val="en-US" w:eastAsia="zh-CN"/>
        </w:rPr>
        <w:t>监测时间为202</w:t>
      </w:r>
      <w:r>
        <w:rPr>
          <w:rFonts w:hint="eastAsia" w:ascii="宋体" w:hAnsi="宋体" w:cs="宋体"/>
          <w:snapToGrid w:val="0"/>
          <w:color w:val="auto"/>
          <w:kern w:val="0"/>
          <w:sz w:val="24"/>
          <w:szCs w:val="24"/>
          <w:u w:val="none"/>
          <w:lang w:val="en-US" w:eastAsia="zh-CN"/>
        </w:rPr>
        <w:t>5</w:t>
      </w:r>
      <w:r>
        <w:rPr>
          <w:rFonts w:hint="eastAsia" w:ascii="宋体" w:hAnsi="宋体" w:eastAsia="宋体" w:cs="宋体"/>
          <w:snapToGrid w:val="0"/>
          <w:color w:val="auto"/>
          <w:kern w:val="0"/>
          <w:sz w:val="24"/>
          <w:szCs w:val="24"/>
          <w:u w:val="none"/>
          <w:lang w:val="en-US" w:eastAsia="zh-CN"/>
        </w:rPr>
        <w:t>年</w:t>
      </w:r>
      <w:r>
        <w:rPr>
          <w:rFonts w:hint="eastAsia" w:ascii="宋体" w:hAnsi="宋体" w:cs="宋体"/>
          <w:snapToGrid w:val="0"/>
          <w:color w:val="auto"/>
          <w:kern w:val="0"/>
          <w:sz w:val="24"/>
          <w:szCs w:val="24"/>
          <w:u w:val="none"/>
          <w:lang w:val="en-US" w:eastAsia="zh-CN"/>
        </w:rPr>
        <w:t>8</w:t>
      </w:r>
      <w:r>
        <w:rPr>
          <w:rFonts w:hint="eastAsia" w:ascii="宋体" w:hAnsi="宋体" w:eastAsia="宋体" w:cs="宋体"/>
          <w:snapToGrid w:val="0"/>
          <w:color w:val="auto"/>
          <w:kern w:val="0"/>
          <w:sz w:val="24"/>
          <w:szCs w:val="24"/>
          <w:u w:val="none"/>
          <w:lang w:val="en-US" w:eastAsia="zh-CN"/>
        </w:rPr>
        <w:t>月</w:t>
      </w:r>
      <w:r>
        <w:rPr>
          <w:rFonts w:hint="eastAsia" w:ascii="宋体" w:hAnsi="宋体" w:cs="宋体"/>
          <w:snapToGrid w:val="0"/>
          <w:color w:val="auto"/>
          <w:kern w:val="0"/>
          <w:sz w:val="24"/>
          <w:szCs w:val="24"/>
          <w:u w:val="none"/>
          <w:lang w:val="en-US" w:eastAsia="zh-CN"/>
        </w:rPr>
        <w:t>2日-2025年8月8日</w:t>
      </w:r>
      <w:r>
        <w:rPr>
          <w:rFonts w:hint="eastAsia" w:ascii="宋体" w:hAnsi="宋体" w:eastAsia="宋体" w:cs="宋体"/>
          <w:snapToGrid w:val="0"/>
          <w:color w:val="auto"/>
          <w:kern w:val="0"/>
          <w:sz w:val="24"/>
          <w:szCs w:val="24"/>
          <w:u w:val="none"/>
          <w:lang w:val="en-US" w:eastAsia="zh-CN"/>
        </w:rPr>
        <w:t>。其中硫化氢连续采样7天</w:t>
      </w:r>
      <w:r>
        <w:rPr>
          <w:rFonts w:hint="eastAsia" w:ascii="宋体" w:hAnsi="宋体" w:cs="宋体"/>
          <w:snapToGrid w:val="0"/>
          <w:color w:val="auto"/>
          <w:kern w:val="0"/>
          <w:sz w:val="24"/>
          <w:szCs w:val="24"/>
          <w:u w:val="none"/>
          <w:lang w:val="en-US" w:eastAsia="zh-CN"/>
        </w:rPr>
        <w:t>，</w:t>
      </w:r>
      <w:r>
        <w:rPr>
          <w:rFonts w:hint="eastAsia" w:ascii="宋体" w:hAnsi="宋体" w:eastAsia="宋体" w:cs="宋体"/>
          <w:snapToGrid w:val="0"/>
          <w:color w:val="auto"/>
          <w:kern w:val="0"/>
          <w:sz w:val="24"/>
          <w:szCs w:val="24"/>
          <w:u w:val="none"/>
          <w:lang w:val="en-US" w:eastAsia="zh-CN"/>
        </w:rPr>
        <w:t>采用1小时浓度每天采样4次，每次采样45分钟。非甲烷总烃连续采样7天</w:t>
      </w:r>
      <w:r>
        <w:rPr>
          <w:rFonts w:hint="eastAsia" w:ascii="宋体" w:hAnsi="宋体" w:cs="宋体"/>
          <w:snapToGrid w:val="0"/>
          <w:color w:val="auto"/>
          <w:kern w:val="0"/>
          <w:sz w:val="24"/>
          <w:szCs w:val="24"/>
          <w:u w:val="none"/>
          <w:lang w:val="en-US" w:eastAsia="zh-CN"/>
        </w:rPr>
        <w:t>，</w:t>
      </w:r>
      <w:r>
        <w:rPr>
          <w:rFonts w:hint="eastAsia" w:ascii="宋体" w:hAnsi="宋体" w:eastAsia="宋体" w:cs="宋体"/>
          <w:snapToGrid w:val="0"/>
          <w:color w:val="auto"/>
          <w:kern w:val="0"/>
          <w:sz w:val="24"/>
          <w:szCs w:val="24"/>
          <w:u w:val="none"/>
          <w:lang w:val="en-US" w:eastAsia="zh-CN"/>
        </w:rPr>
        <w:t>每天采样4次，每小时等间隔采样4次</w:t>
      </w:r>
      <w:r>
        <w:rPr>
          <w:rFonts w:hint="eastAsia" w:ascii="宋体" w:hAnsi="宋体" w:eastAsia="宋体" w:cs="宋体"/>
          <w:snapToGrid w:val="0"/>
          <w:color w:val="auto"/>
          <w:kern w:val="0"/>
          <w:sz w:val="24"/>
          <w:szCs w:val="24"/>
          <w:u w:val="none"/>
        </w:rPr>
        <w:t>。</w:t>
      </w:r>
    </w:p>
    <w:p w14:paraId="45307F7B">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hint="default" w:ascii="Times New Roman" w:hAnsi="Times New Roman" w:cs="Times New Roman"/>
          <w:snapToGrid w:val="0"/>
          <w:color w:val="auto"/>
          <w:kern w:val="0"/>
          <w:sz w:val="24"/>
          <w:szCs w:val="24"/>
          <w:u w:val="none"/>
        </w:rPr>
      </w:pPr>
      <w:r>
        <w:rPr>
          <w:rFonts w:hint="eastAsia" w:cs="Times New Roman"/>
          <w:snapToGrid w:val="0"/>
          <w:color w:val="auto"/>
          <w:kern w:val="0"/>
          <w:sz w:val="24"/>
          <w:szCs w:val="24"/>
          <w:u w:val="none"/>
          <w:lang w:eastAsia="zh-CN"/>
        </w:rPr>
        <w:t>（</w:t>
      </w:r>
      <w:r>
        <w:rPr>
          <w:rFonts w:hint="eastAsia" w:cs="Times New Roman"/>
          <w:snapToGrid w:val="0"/>
          <w:color w:val="auto"/>
          <w:kern w:val="0"/>
          <w:sz w:val="24"/>
          <w:szCs w:val="24"/>
          <w:u w:val="none"/>
          <w:lang w:val="en-US" w:eastAsia="zh-CN"/>
        </w:rPr>
        <w:t>3</w:t>
      </w:r>
      <w:r>
        <w:rPr>
          <w:rFonts w:hint="eastAsia" w:cs="Times New Roman"/>
          <w:snapToGrid w:val="0"/>
          <w:color w:val="auto"/>
          <w:kern w:val="0"/>
          <w:sz w:val="24"/>
          <w:szCs w:val="24"/>
          <w:u w:val="none"/>
          <w:lang w:eastAsia="zh-CN"/>
        </w:rPr>
        <w:t>）</w:t>
      </w:r>
      <w:r>
        <w:rPr>
          <w:rFonts w:hint="default" w:ascii="Times New Roman" w:hAnsi="Times New Roman" w:cs="Times New Roman"/>
          <w:snapToGrid w:val="0"/>
          <w:color w:val="auto"/>
          <w:kern w:val="0"/>
          <w:sz w:val="24"/>
          <w:szCs w:val="24"/>
          <w:u w:val="none"/>
        </w:rPr>
        <w:t>监测及分析方法</w:t>
      </w:r>
    </w:p>
    <w:p w14:paraId="494E1F36">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hint="default" w:ascii="Times New Roman" w:hAnsi="Times New Roman" w:cs="Times New Roman"/>
          <w:snapToGrid w:val="0"/>
          <w:color w:val="auto"/>
          <w:kern w:val="0"/>
          <w:sz w:val="24"/>
          <w:szCs w:val="24"/>
          <w:u w:val="none"/>
        </w:rPr>
      </w:pPr>
      <w:r>
        <w:rPr>
          <w:rFonts w:hint="default" w:ascii="Times New Roman" w:hAnsi="Times New Roman" w:cs="Times New Roman"/>
          <w:snapToGrid w:val="0"/>
          <w:color w:val="auto"/>
          <w:kern w:val="0"/>
          <w:sz w:val="24"/>
          <w:szCs w:val="24"/>
          <w:u w:val="none"/>
        </w:rPr>
        <w:t>各监测因子检测方法及检出限表</w:t>
      </w:r>
      <w:r>
        <w:rPr>
          <w:rFonts w:hint="eastAsia" w:cs="Times New Roman"/>
          <w:snapToGrid w:val="0"/>
          <w:color w:val="auto"/>
          <w:kern w:val="0"/>
          <w:sz w:val="24"/>
          <w:szCs w:val="24"/>
          <w:u w:val="none"/>
          <w:lang w:eastAsia="zh-CN"/>
        </w:rPr>
        <w:t>，</w:t>
      </w:r>
      <w:r>
        <w:rPr>
          <w:rFonts w:hint="default" w:ascii="Times New Roman" w:hAnsi="Times New Roman" w:cs="Times New Roman"/>
          <w:snapToGrid w:val="0"/>
          <w:color w:val="auto"/>
          <w:kern w:val="0"/>
          <w:sz w:val="24"/>
          <w:szCs w:val="24"/>
          <w:u w:val="none"/>
        </w:rPr>
        <w:t>见表4.</w:t>
      </w:r>
      <w:r>
        <w:rPr>
          <w:rFonts w:hint="eastAsia" w:cs="Times New Roman"/>
          <w:snapToGrid w:val="0"/>
          <w:color w:val="auto"/>
          <w:kern w:val="0"/>
          <w:sz w:val="24"/>
          <w:szCs w:val="24"/>
          <w:u w:val="none"/>
          <w:lang w:val="en-US" w:eastAsia="zh-CN"/>
        </w:rPr>
        <w:t>6</w:t>
      </w:r>
      <w:r>
        <w:rPr>
          <w:rFonts w:hint="default" w:ascii="Times New Roman" w:hAnsi="Times New Roman" w:cs="Times New Roman"/>
          <w:snapToGrid w:val="0"/>
          <w:color w:val="auto"/>
          <w:kern w:val="0"/>
          <w:sz w:val="24"/>
          <w:szCs w:val="24"/>
          <w:u w:val="none"/>
        </w:rPr>
        <w:t>-3。</w:t>
      </w:r>
    </w:p>
    <w:p w14:paraId="7803A4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表4.6-3  环境空气各监测因子分析方法及检出限一览表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6" w:type="dxa"/>
          <w:left w:w="28" w:type="dxa"/>
          <w:bottom w:w="6" w:type="dxa"/>
          <w:right w:w="28" w:type="dxa"/>
        </w:tblCellMar>
      </w:tblPr>
      <w:tblGrid>
        <w:gridCol w:w="616"/>
        <w:gridCol w:w="1324"/>
        <w:gridCol w:w="3528"/>
        <w:gridCol w:w="1381"/>
        <w:gridCol w:w="719"/>
        <w:gridCol w:w="1103"/>
      </w:tblGrid>
      <w:tr w14:paraId="3EF1C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 w:type="dxa"/>
            <w:left w:w="28" w:type="dxa"/>
            <w:bottom w:w="6" w:type="dxa"/>
            <w:right w:w="28" w:type="dxa"/>
          </w:tblCellMar>
        </w:tblPrEx>
        <w:trPr>
          <w:trHeight w:val="397" w:hRule="atLeast"/>
          <w:jc w:val="center"/>
        </w:trPr>
        <w:tc>
          <w:tcPr>
            <w:tcW w:w="589" w:type="dxa"/>
            <w:tcBorders>
              <w:tl2br w:val="nil"/>
              <w:tr2bl w:val="nil"/>
            </w:tcBorders>
            <w:vAlign w:val="center"/>
          </w:tcPr>
          <w:p w14:paraId="669B0E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序号</w:t>
            </w:r>
          </w:p>
        </w:tc>
        <w:tc>
          <w:tcPr>
            <w:tcW w:w="1265" w:type="dxa"/>
            <w:tcBorders>
              <w:tl2br w:val="nil"/>
              <w:tr2bl w:val="nil"/>
            </w:tcBorders>
            <w:vAlign w:val="center"/>
          </w:tcPr>
          <w:p w14:paraId="00AE4D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监测因子</w:t>
            </w:r>
          </w:p>
        </w:tc>
        <w:tc>
          <w:tcPr>
            <w:tcW w:w="3373" w:type="dxa"/>
            <w:tcBorders>
              <w:tl2br w:val="nil"/>
              <w:tr2bl w:val="nil"/>
            </w:tcBorders>
            <w:vAlign w:val="center"/>
          </w:tcPr>
          <w:p w14:paraId="7C1FFA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检测方法</w:t>
            </w:r>
          </w:p>
        </w:tc>
        <w:tc>
          <w:tcPr>
            <w:tcW w:w="1320" w:type="dxa"/>
            <w:tcBorders>
              <w:tl2br w:val="nil"/>
              <w:tr2bl w:val="nil"/>
            </w:tcBorders>
            <w:vAlign w:val="center"/>
          </w:tcPr>
          <w:p w14:paraId="3CA387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方法来源</w:t>
            </w:r>
          </w:p>
        </w:tc>
        <w:tc>
          <w:tcPr>
            <w:tcW w:w="688" w:type="dxa"/>
            <w:tcBorders>
              <w:tl2br w:val="nil"/>
              <w:tr2bl w:val="nil"/>
            </w:tcBorders>
            <w:vAlign w:val="center"/>
          </w:tcPr>
          <w:p w14:paraId="38F465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单位</w:t>
            </w:r>
          </w:p>
        </w:tc>
        <w:tc>
          <w:tcPr>
            <w:tcW w:w="1054" w:type="dxa"/>
            <w:tcBorders>
              <w:tl2br w:val="nil"/>
              <w:tr2bl w:val="nil"/>
            </w:tcBorders>
            <w:vAlign w:val="center"/>
          </w:tcPr>
          <w:p w14:paraId="7AF880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检出限</w:t>
            </w:r>
          </w:p>
        </w:tc>
      </w:tr>
      <w:tr w14:paraId="030C0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 w:type="dxa"/>
            <w:left w:w="28" w:type="dxa"/>
            <w:bottom w:w="6" w:type="dxa"/>
            <w:right w:w="28" w:type="dxa"/>
          </w:tblCellMar>
        </w:tblPrEx>
        <w:trPr>
          <w:trHeight w:val="397" w:hRule="atLeast"/>
          <w:jc w:val="center"/>
        </w:trPr>
        <w:tc>
          <w:tcPr>
            <w:tcW w:w="589" w:type="dxa"/>
            <w:tcBorders>
              <w:tl2br w:val="nil"/>
              <w:tr2bl w:val="nil"/>
            </w:tcBorders>
            <w:vAlign w:val="center"/>
          </w:tcPr>
          <w:p w14:paraId="2B821A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w:t>
            </w:r>
          </w:p>
        </w:tc>
        <w:tc>
          <w:tcPr>
            <w:tcW w:w="1265" w:type="dxa"/>
            <w:tcBorders>
              <w:tl2br w:val="nil"/>
              <w:tr2bl w:val="nil"/>
            </w:tcBorders>
            <w:vAlign w:val="center"/>
          </w:tcPr>
          <w:p w14:paraId="2C1FE9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非甲烷总烃</w:t>
            </w:r>
          </w:p>
        </w:tc>
        <w:tc>
          <w:tcPr>
            <w:tcW w:w="3373" w:type="dxa"/>
            <w:tcBorders>
              <w:tl2br w:val="nil"/>
              <w:tr2bl w:val="nil"/>
            </w:tcBorders>
            <w:vAlign w:val="center"/>
          </w:tcPr>
          <w:p w14:paraId="0E276D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《环境空气 总烃、甲烷和非甲烷总烃测定 直接进样-气相色谱法》</w:t>
            </w:r>
          </w:p>
        </w:tc>
        <w:tc>
          <w:tcPr>
            <w:tcW w:w="1320" w:type="dxa"/>
            <w:tcBorders>
              <w:tl2br w:val="nil"/>
              <w:tr2bl w:val="nil"/>
            </w:tcBorders>
            <w:vAlign w:val="center"/>
          </w:tcPr>
          <w:p w14:paraId="50FFC6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HJ</w:t>
            </w:r>
            <w:r>
              <w:rPr>
                <w:rFonts w:hint="eastAsia" w:ascii="宋体" w:hAnsi="宋体" w:cs="宋体"/>
                <w:color w:val="auto"/>
                <w:sz w:val="21"/>
                <w:szCs w:val="21"/>
                <w:u w:val="none"/>
                <w:lang w:val="en-US" w:eastAsia="zh-CN"/>
              </w:rPr>
              <w:t xml:space="preserve"> </w:t>
            </w:r>
            <w:r>
              <w:rPr>
                <w:rFonts w:hint="eastAsia" w:ascii="宋体" w:hAnsi="宋体" w:eastAsia="宋体" w:cs="宋体"/>
                <w:color w:val="auto"/>
                <w:sz w:val="21"/>
                <w:szCs w:val="21"/>
                <w:u w:val="none"/>
              </w:rPr>
              <w:t>604-2017</w:t>
            </w:r>
          </w:p>
        </w:tc>
        <w:tc>
          <w:tcPr>
            <w:tcW w:w="688" w:type="dxa"/>
            <w:tcBorders>
              <w:tl2br w:val="nil"/>
              <w:tr2bl w:val="nil"/>
            </w:tcBorders>
            <w:vAlign w:val="center"/>
          </w:tcPr>
          <w:p w14:paraId="5E0A67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mg/m</w:t>
            </w:r>
            <w:r>
              <w:rPr>
                <w:rFonts w:hint="eastAsia" w:ascii="宋体" w:hAnsi="宋体" w:eastAsia="宋体" w:cs="宋体"/>
                <w:color w:val="auto"/>
                <w:sz w:val="21"/>
                <w:szCs w:val="21"/>
                <w:u w:val="none"/>
                <w:vertAlign w:val="superscript"/>
              </w:rPr>
              <w:t>3</w:t>
            </w:r>
          </w:p>
        </w:tc>
        <w:tc>
          <w:tcPr>
            <w:tcW w:w="1054" w:type="dxa"/>
            <w:tcBorders>
              <w:tl2br w:val="nil"/>
              <w:tr2bl w:val="nil"/>
            </w:tcBorders>
            <w:vAlign w:val="center"/>
          </w:tcPr>
          <w:p w14:paraId="15EE89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0.07 </w:t>
            </w:r>
          </w:p>
        </w:tc>
      </w:tr>
      <w:tr w14:paraId="3F4F9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 w:type="dxa"/>
            <w:left w:w="28" w:type="dxa"/>
            <w:bottom w:w="6" w:type="dxa"/>
            <w:right w:w="28" w:type="dxa"/>
          </w:tblCellMar>
        </w:tblPrEx>
        <w:trPr>
          <w:trHeight w:val="397" w:hRule="atLeast"/>
          <w:jc w:val="center"/>
        </w:trPr>
        <w:tc>
          <w:tcPr>
            <w:tcW w:w="589" w:type="dxa"/>
            <w:tcBorders>
              <w:tl2br w:val="nil"/>
              <w:tr2bl w:val="nil"/>
            </w:tcBorders>
            <w:vAlign w:val="center"/>
          </w:tcPr>
          <w:p w14:paraId="5A3A83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w:t>
            </w:r>
          </w:p>
        </w:tc>
        <w:tc>
          <w:tcPr>
            <w:tcW w:w="1265" w:type="dxa"/>
            <w:tcBorders>
              <w:tl2br w:val="nil"/>
              <w:tr2bl w:val="nil"/>
            </w:tcBorders>
            <w:vAlign w:val="center"/>
          </w:tcPr>
          <w:p w14:paraId="427632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硫化氢</w:t>
            </w:r>
          </w:p>
        </w:tc>
        <w:tc>
          <w:tcPr>
            <w:tcW w:w="3373" w:type="dxa"/>
            <w:tcBorders>
              <w:tl2br w:val="nil"/>
              <w:tr2bl w:val="nil"/>
            </w:tcBorders>
            <w:vAlign w:val="center"/>
          </w:tcPr>
          <w:p w14:paraId="009D29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《居住区大气中硫化氢卫生检验标准方法 亚甲蓝分光光度法》</w:t>
            </w:r>
          </w:p>
        </w:tc>
        <w:tc>
          <w:tcPr>
            <w:tcW w:w="1320" w:type="dxa"/>
            <w:tcBorders>
              <w:tl2br w:val="nil"/>
              <w:tr2bl w:val="nil"/>
            </w:tcBorders>
            <w:vAlign w:val="center"/>
          </w:tcPr>
          <w:p w14:paraId="7DB8A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GB</w:t>
            </w:r>
            <w:r>
              <w:rPr>
                <w:rFonts w:hint="eastAsia" w:ascii="宋体" w:hAnsi="宋体" w:cs="宋体"/>
                <w:color w:val="auto"/>
                <w:sz w:val="21"/>
                <w:szCs w:val="21"/>
                <w:u w:val="none"/>
                <w:lang w:val="en-US" w:eastAsia="zh-CN"/>
              </w:rPr>
              <w:t xml:space="preserve"> </w:t>
            </w:r>
            <w:r>
              <w:rPr>
                <w:rFonts w:hint="eastAsia" w:ascii="宋体" w:hAnsi="宋体" w:eastAsia="宋体" w:cs="宋体"/>
                <w:color w:val="auto"/>
                <w:sz w:val="21"/>
                <w:szCs w:val="21"/>
                <w:u w:val="none"/>
              </w:rPr>
              <w:t>11742-89</w:t>
            </w:r>
          </w:p>
        </w:tc>
        <w:tc>
          <w:tcPr>
            <w:tcW w:w="688" w:type="dxa"/>
            <w:tcBorders>
              <w:tl2br w:val="nil"/>
              <w:tr2bl w:val="nil"/>
            </w:tcBorders>
            <w:vAlign w:val="center"/>
          </w:tcPr>
          <w:p w14:paraId="4333AC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mg/m</w:t>
            </w:r>
            <w:r>
              <w:rPr>
                <w:rFonts w:hint="eastAsia" w:ascii="宋体" w:hAnsi="宋体" w:eastAsia="宋体" w:cs="宋体"/>
                <w:color w:val="auto"/>
                <w:sz w:val="21"/>
                <w:szCs w:val="21"/>
                <w:u w:val="none"/>
                <w:vertAlign w:val="superscript"/>
              </w:rPr>
              <w:t>3</w:t>
            </w:r>
          </w:p>
        </w:tc>
        <w:tc>
          <w:tcPr>
            <w:tcW w:w="1054" w:type="dxa"/>
            <w:tcBorders>
              <w:tl2br w:val="nil"/>
              <w:tr2bl w:val="nil"/>
            </w:tcBorders>
            <w:vAlign w:val="center"/>
          </w:tcPr>
          <w:p w14:paraId="7CB50D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0.005</w:t>
            </w:r>
          </w:p>
        </w:tc>
      </w:tr>
    </w:tbl>
    <w:p w14:paraId="4D22DD3A">
      <w:pPr>
        <w:keepNext w:val="0"/>
        <w:keepLines w:val="0"/>
        <w:pageBreakBefore w:val="0"/>
        <w:widowControl w:val="0"/>
        <w:kinsoku/>
        <w:wordWrap/>
        <w:overflowPunct/>
        <w:topLinePunct w:val="0"/>
        <w:autoSpaceDE/>
        <w:autoSpaceDN/>
        <w:bidi w:val="0"/>
        <w:adjustRightInd/>
        <w:snapToGrid/>
        <w:spacing w:before="313" w:beforeLines="100" w:line="480" w:lineRule="exact"/>
        <w:ind w:firstLine="480"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（4）评价标准</w:t>
      </w:r>
    </w:p>
    <w:p w14:paraId="2C68189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非甲烷总烃1小时评价浓度参考执行《大气污染物综合排放标准》（GB16297-1996）详解中的浓度限值2</w:t>
      </w:r>
      <w:r>
        <w:rPr>
          <w:rFonts w:hint="eastAsia" w:ascii="宋体" w:hAnsi="宋体" w:eastAsia="宋体" w:cs="宋体"/>
          <w:color w:val="auto"/>
          <w:sz w:val="24"/>
          <w:szCs w:val="24"/>
          <w:highlight w:val="none"/>
          <w:u w:val="none"/>
          <w:lang w:val="en-US" w:eastAsia="zh-CN"/>
        </w:rPr>
        <w:t>000</w:t>
      </w:r>
      <w:r>
        <w:rPr>
          <w:rFonts w:hint="eastAsia" w:ascii="宋体" w:hAnsi="宋体" w:eastAsia="宋体" w:cs="宋体"/>
          <w:color w:val="auto"/>
          <w:sz w:val="24"/>
          <w:szCs w:val="24"/>
          <w:highlight w:val="none"/>
          <w:u w:val="none"/>
        </w:rPr>
        <w:t>μg/m</w:t>
      </w:r>
      <w:r>
        <w:rPr>
          <w:rFonts w:hint="eastAsia" w:ascii="宋体" w:hAnsi="宋体" w:eastAsia="宋体" w:cs="宋体"/>
          <w:color w:val="auto"/>
          <w:sz w:val="24"/>
          <w:szCs w:val="24"/>
          <w:highlight w:val="none"/>
          <w:u w:val="none"/>
          <w:vertAlign w:val="superscript"/>
        </w:rPr>
        <w:t>3</w:t>
      </w:r>
      <w:r>
        <w:rPr>
          <w:rFonts w:hint="eastAsia" w:ascii="宋体" w:hAnsi="宋体" w:eastAsia="宋体" w:cs="宋体"/>
          <w:color w:val="auto"/>
          <w:sz w:val="24"/>
          <w:szCs w:val="24"/>
          <w:highlight w:val="none"/>
          <w:u w:val="none"/>
        </w:rPr>
        <w:t>，H</w:t>
      </w:r>
      <w:r>
        <w:rPr>
          <w:rFonts w:hint="eastAsia" w:ascii="宋体" w:hAnsi="宋体" w:eastAsia="宋体" w:cs="宋体"/>
          <w:color w:val="auto"/>
          <w:sz w:val="24"/>
          <w:szCs w:val="24"/>
          <w:highlight w:val="none"/>
          <w:u w:val="none"/>
          <w:vertAlign w:val="subscript"/>
        </w:rPr>
        <w:t>2</w:t>
      </w:r>
      <w:r>
        <w:rPr>
          <w:rFonts w:hint="eastAsia" w:ascii="宋体" w:hAnsi="宋体" w:eastAsia="宋体" w:cs="宋体"/>
          <w:color w:val="auto"/>
          <w:sz w:val="24"/>
          <w:szCs w:val="24"/>
          <w:highlight w:val="none"/>
          <w:u w:val="none"/>
        </w:rPr>
        <w:t>S执行《环境影响评价技术导则大气环境》（HJ2.2-2018）附录D中其他污染物空气质量浓度参考限值（10μg/m³）的浓度限值要求。</w:t>
      </w:r>
    </w:p>
    <w:p w14:paraId="2227DCE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color w:val="auto"/>
          <w:sz w:val="24"/>
          <w:szCs w:val="24"/>
          <w:highlight w:val="none"/>
          <w:u w:val="none"/>
        </w:rPr>
      </w:pPr>
      <w:r>
        <w:rPr>
          <w:rFonts w:hint="eastAsia" w:ascii="宋体" w:hAnsi="宋体" w:eastAsia="宋体" w:cs="宋体"/>
          <w:bCs/>
          <w:color w:val="auto"/>
          <w:sz w:val="24"/>
          <w:szCs w:val="24"/>
          <w:highlight w:val="none"/>
          <w:u w:val="none"/>
        </w:rPr>
        <w:t>（5）评价方法</w:t>
      </w:r>
    </w:p>
    <w:p w14:paraId="63196C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color w:val="auto"/>
          <w:sz w:val="24"/>
          <w:szCs w:val="24"/>
          <w:highlight w:val="none"/>
          <w:u w:val="none"/>
        </w:rPr>
      </w:pPr>
      <w:r>
        <w:rPr>
          <w:rFonts w:hint="eastAsia" w:ascii="宋体" w:hAnsi="宋体" w:eastAsia="宋体" w:cs="宋体"/>
          <w:bCs/>
          <w:color w:val="auto"/>
          <w:sz w:val="24"/>
          <w:szCs w:val="24"/>
          <w:highlight w:val="none"/>
          <w:u w:val="none"/>
        </w:rPr>
        <w:t>采用最大</w:t>
      </w:r>
      <w:r>
        <w:rPr>
          <w:rFonts w:hint="eastAsia" w:ascii="宋体" w:hAnsi="宋体" w:eastAsia="宋体" w:cs="宋体"/>
          <w:bCs/>
          <w:color w:val="auto"/>
          <w:sz w:val="24"/>
          <w:szCs w:val="24"/>
          <w:highlight w:val="none"/>
          <w:u w:val="none"/>
          <w:lang w:val="en-US" w:eastAsia="zh-CN"/>
        </w:rPr>
        <w:t>浓度</w:t>
      </w:r>
      <w:r>
        <w:rPr>
          <w:rFonts w:hint="eastAsia" w:ascii="宋体" w:hAnsi="宋体" w:eastAsia="宋体" w:cs="宋体"/>
          <w:bCs/>
          <w:color w:val="auto"/>
          <w:sz w:val="24"/>
          <w:szCs w:val="24"/>
          <w:highlight w:val="none"/>
          <w:u w:val="none"/>
        </w:rPr>
        <w:t>占标率法进行评价区环境空气质量现状评价，计算公式如下：</w:t>
      </w:r>
    </w:p>
    <w:p w14:paraId="0E9A732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eastAsia" w:ascii="宋体" w:hAnsi="宋体" w:eastAsia="宋体" w:cs="宋体"/>
          <w:bCs/>
          <w:color w:val="auto"/>
          <w:sz w:val="24"/>
          <w:szCs w:val="24"/>
          <w:highlight w:val="none"/>
          <w:u w:val="none"/>
        </w:rPr>
      </w:pPr>
      <w:r>
        <w:rPr>
          <w:rFonts w:hint="eastAsia" w:ascii="宋体" w:hAnsi="宋体" w:eastAsia="宋体" w:cs="宋体"/>
          <w:color w:val="auto"/>
          <w:sz w:val="24"/>
          <w:szCs w:val="24"/>
          <w:highlight w:val="none"/>
          <w:u w:val="none"/>
        </w:rPr>
        <w:t>Pi=Ci/Coi×100%</w:t>
      </w:r>
    </w:p>
    <w:p w14:paraId="184015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color w:val="auto"/>
          <w:sz w:val="24"/>
          <w:szCs w:val="24"/>
          <w:highlight w:val="none"/>
          <w:u w:val="none"/>
        </w:rPr>
      </w:pPr>
      <w:r>
        <w:rPr>
          <w:rFonts w:hint="eastAsia" w:ascii="宋体" w:hAnsi="宋体" w:eastAsia="宋体" w:cs="宋体"/>
          <w:bCs/>
          <w:color w:val="auto"/>
          <w:sz w:val="24"/>
          <w:szCs w:val="24"/>
          <w:highlight w:val="none"/>
          <w:u w:val="none"/>
        </w:rPr>
        <w:t>式中：Pi—</w:t>
      </w:r>
      <w:r>
        <w:rPr>
          <w:rFonts w:hint="eastAsia" w:ascii="宋体" w:hAnsi="宋体" w:eastAsia="宋体" w:cs="宋体"/>
          <w:bCs/>
          <w:color w:val="auto"/>
          <w:sz w:val="24"/>
          <w:szCs w:val="24"/>
          <w:highlight w:val="none"/>
          <w:u w:val="none"/>
          <w:lang w:val="en-US" w:eastAsia="zh-CN"/>
        </w:rPr>
        <w:t>第</w:t>
      </w:r>
      <w:r>
        <w:rPr>
          <w:rFonts w:hint="eastAsia" w:ascii="宋体" w:hAnsi="宋体" w:eastAsia="宋体" w:cs="宋体"/>
          <w:bCs/>
          <w:color w:val="auto"/>
          <w:sz w:val="24"/>
          <w:szCs w:val="24"/>
          <w:highlight w:val="none"/>
          <w:u w:val="none"/>
        </w:rPr>
        <w:t>i</w:t>
      </w:r>
      <w:r>
        <w:rPr>
          <w:rFonts w:hint="eastAsia" w:ascii="宋体" w:hAnsi="宋体" w:eastAsia="宋体" w:cs="宋体"/>
          <w:bCs/>
          <w:color w:val="auto"/>
          <w:sz w:val="24"/>
          <w:szCs w:val="24"/>
          <w:highlight w:val="none"/>
          <w:u w:val="none"/>
          <w:lang w:val="en-US" w:eastAsia="zh-CN"/>
        </w:rPr>
        <w:t>个</w:t>
      </w:r>
      <w:r>
        <w:rPr>
          <w:rFonts w:hint="eastAsia" w:ascii="宋体" w:hAnsi="宋体" w:eastAsia="宋体" w:cs="宋体"/>
          <w:bCs/>
          <w:color w:val="auto"/>
          <w:sz w:val="24"/>
          <w:szCs w:val="24"/>
          <w:highlight w:val="none"/>
          <w:u w:val="none"/>
        </w:rPr>
        <w:t>污染物</w:t>
      </w:r>
      <w:r>
        <w:rPr>
          <w:rFonts w:hint="eastAsia" w:ascii="宋体" w:hAnsi="宋体" w:eastAsia="宋体" w:cs="宋体"/>
          <w:bCs/>
          <w:color w:val="auto"/>
          <w:sz w:val="24"/>
          <w:szCs w:val="24"/>
          <w:highlight w:val="none"/>
          <w:u w:val="none"/>
          <w:lang w:val="en-US" w:eastAsia="zh-CN"/>
        </w:rPr>
        <w:t>的最大地面空气质量浓度</w:t>
      </w:r>
      <w:r>
        <w:rPr>
          <w:rFonts w:hint="eastAsia" w:ascii="宋体" w:hAnsi="宋体" w:eastAsia="宋体" w:cs="宋体"/>
          <w:bCs/>
          <w:color w:val="auto"/>
          <w:sz w:val="24"/>
          <w:szCs w:val="24"/>
          <w:highlight w:val="none"/>
          <w:u w:val="none"/>
        </w:rPr>
        <w:t>占标率</w:t>
      </w: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lang w:val="en-US" w:eastAsia="zh-CN"/>
        </w:rPr>
        <w:t>%</w:t>
      </w:r>
      <w:r>
        <w:rPr>
          <w:rFonts w:hint="eastAsia" w:ascii="宋体" w:hAnsi="宋体" w:eastAsia="宋体" w:cs="宋体"/>
          <w:bCs/>
          <w:color w:val="auto"/>
          <w:sz w:val="24"/>
          <w:szCs w:val="24"/>
          <w:highlight w:val="none"/>
          <w:u w:val="none"/>
        </w:rPr>
        <w:t>；</w:t>
      </w:r>
    </w:p>
    <w:p w14:paraId="4A6385D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color w:val="auto"/>
          <w:sz w:val="24"/>
          <w:szCs w:val="24"/>
          <w:highlight w:val="none"/>
          <w:u w:val="none"/>
        </w:rPr>
      </w:pPr>
      <w:r>
        <w:rPr>
          <w:rFonts w:hint="eastAsia" w:ascii="宋体" w:hAnsi="宋体" w:eastAsia="宋体" w:cs="宋体"/>
          <w:bCs/>
          <w:color w:val="auto"/>
          <w:sz w:val="24"/>
          <w:szCs w:val="24"/>
          <w:highlight w:val="none"/>
          <w:u w:val="none"/>
        </w:rPr>
        <w:t>Ci—</w:t>
      </w:r>
      <w:r>
        <w:rPr>
          <w:rFonts w:hint="eastAsia" w:ascii="宋体" w:hAnsi="宋体" w:eastAsia="宋体" w:cs="宋体"/>
          <w:bCs/>
          <w:color w:val="auto"/>
          <w:sz w:val="24"/>
          <w:szCs w:val="24"/>
          <w:highlight w:val="none"/>
          <w:u w:val="none"/>
          <w:lang w:val="en-US" w:eastAsia="zh-CN"/>
        </w:rPr>
        <w:t>采用估算模型计算出的第</w:t>
      </w:r>
      <w:r>
        <w:rPr>
          <w:rFonts w:hint="eastAsia" w:ascii="宋体" w:hAnsi="宋体" w:eastAsia="宋体" w:cs="宋体"/>
          <w:bCs/>
          <w:color w:val="auto"/>
          <w:sz w:val="24"/>
          <w:szCs w:val="24"/>
          <w:highlight w:val="none"/>
          <w:u w:val="none"/>
        </w:rPr>
        <w:t>i</w:t>
      </w:r>
      <w:r>
        <w:rPr>
          <w:rFonts w:hint="eastAsia" w:ascii="宋体" w:hAnsi="宋体" w:eastAsia="宋体" w:cs="宋体"/>
          <w:bCs/>
          <w:color w:val="auto"/>
          <w:sz w:val="24"/>
          <w:szCs w:val="24"/>
          <w:highlight w:val="none"/>
          <w:u w:val="none"/>
          <w:lang w:val="en-US" w:eastAsia="zh-CN"/>
        </w:rPr>
        <w:t>个</w:t>
      </w:r>
      <w:r>
        <w:rPr>
          <w:rFonts w:hint="eastAsia" w:ascii="宋体" w:hAnsi="宋体" w:eastAsia="宋体" w:cs="宋体"/>
          <w:bCs/>
          <w:color w:val="auto"/>
          <w:sz w:val="24"/>
          <w:szCs w:val="24"/>
          <w:highlight w:val="none"/>
          <w:u w:val="none"/>
        </w:rPr>
        <w:t>污染物</w:t>
      </w:r>
      <w:r>
        <w:rPr>
          <w:rFonts w:hint="eastAsia" w:ascii="宋体" w:hAnsi="宋体" w:eastAsia="宋体" w:cs="宋体"/>
          <w:bCs/>
          <w:color w:val="auto"/>
          <w:sz w:val="24"/>
          <w:szCs w:val="24"/>
          <w:highlight w:val="none"/>
          <w:u w:val="none"/>
          <w:lang w:val="en-US" w:eastAsia="zh-CN"/>
        </w:rPr>
        <w:t>的最大1h地面空气质量浓度</w:t>
      </w:r>
      <w:r>
        <w:rPr>
          <w:rFonts w:hint="eastAsia" w:ascii="宋体" w:hAnsi="宋体" w:eastAsia="宋体" w:cs="宋体"/>
          <w:bCs/>
          <w:color w:val="auto"/>
          <w:sz w:val="24"/>
          <w:szCs w:val="24"/>
          <w:highlight w:val="none"/>
          <w:u w:val="none"/>
        </w:rPr>
        <w:t>，</w:t>
      </w:r>
      <w:r>
        <w:rPr>
          <w:rFonts w:hint="eastAsia" w:ascii="宋体" w:hAnsi="宋体" w:eastAsia="宋体" w:cs="宋体"/>
          <w:color w:val="auto"/>
          <w:sz w:val="24"/>
          <w:szCs w:val="24"/>
          <w:highlight w:val="none"/>
          <w:u w:val="none"/>
        </w:rPr>
        <w:t>μg/m</w:t>
      </w:r>
      <w:r>
        <w:rPr>
          <w:rFonts w:hint="eastAsia" w:ascii="宋体" w:hAnsi="宋体" w:eastAsia="宋体" w:cs="宋体"/>
          <w:color w:val="auto"/>
          <w:sz w:val="24"/>
          <w:szCs w:val="24"/>
          <w:highlight w:val="none"/>
          <w:u w:val="none"/>
          <w:vertAlign w:val="superscript"/>
        </w:rPr>
        <w:t>3</w:t>
      </w:r>
      <w:r>
        <w:rPr>
          <w:rFonts w:hint="eastAsia" w:ascii="宋体" w:hAnsi="宋体" w:eastAsia="宋体" w:cs="宋体"/>
          <w:bCs/>
          <w:color w:val="auto"/>
          <w:sz w:val="24"/>
          <w:szCs w:val="24"/>
          <w:highlight w:val="none"/>
          <w:u w:val="none"/>
        </w:rPr>
        <w:t>；</w:t>
      </w:r>
    </w:p>
    <w:p w14:paraId="3DA08D3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bCs/>
          <w:color w:val="auto"/>
          <w:sz w:val="24"/>
          <w:szCs w:val="24"/>
          <w:highlight w:val="none"/>
          <w:u w:val="none"/>
        </w:rPr>
        <w:t>C</w:t>
      </w:r>
      <w:r>
        <w:rPr>
          <w:rFonts w:hint="eastAsia" w:ascii="宋体" w:hAnsi="宋体" w:eastAsia="宋体" w:cs="宋体"/>
          <w:bCs/>
          <w:color w:val="auto"/>
          <w:sz w:val="24"/>
          <w:szCs w:val="24"/>
          <w:highlight w:val="none"/>
          <w:u w:val="none"/>
          <w:vertAlign w:val="subscript"/>
        </w:rPr>
        <w:t>0</w:t>
      </w:r>
      <w:r>
        <w:rPr>
          <w:rFonts w:hint="eastAsia" w:ascii="宋体" w:hAnsi="宋体" w:eastAsia="宋体" w:cs="宋体"/>
          <w:bCs/>
          <w:color w:val="auto"/>
          <w:sz w:val="24"/>
          <w:szCs w:val="24"/>
          <w:highlight w:val="none"/>
          <w:u w:val="none"/>
        </w:rPr>
        <w:t>i—</w:t>
      </w:r>
      <w:r>
        <w:rPr>
          <w:rFonts w:hint="eastAsia" w:ascii="宋体" w:hAnsi="宋体" w:eastAsia="宋体" w:cs="宋体"/>
          <w:bCs/>
          <w:color w:val="auto"/>
          <w:sz w:val="24"/>
          <w:szCs w:val="24"/>
          <w:highlight w:val="none"/>
          <w:u w:val="none"/>
          <w:lang w:val="en-US" w:eastAsia="zh-CN"/>
        </w:rPr>
        <w:t>第</w:t>
      </w:r>
      <w:r>
        <w:rPr>
          <w:rFonts w:hint="eastAsia" w:ascii="宋体" w:hAnsi="宋体" w:eastAsia="宋体" w:cs="宋体"/>
          <w:bCs/>
          <w:color w:val="auto"/>
          <w:sz w:val="24"/>
          <w:szCs w:val="24"/>
          <w:highlight w:val="none"/>
          <w:u w:val="none"/>
        </w:rPr>
        <w:t>i</w:t>
      </w:r>
      <w:r>
        <w:rPr>
          <w:rFonts w:hint="eastAsia" w:ascii="宋体" w:hAnsi="宋体" w:eastAsia="宋体" w:cs="宋体"/>
          <w:bCs/>
          <w:color w:val="auto"/>
          <w:sz w:val="24"/>
          <w:szCs w:val="24"/>
          <w:highlight w:val="none"/>
          <w:u w:val="none"/>
          <w:lang w:val="en-US" w:eastAsia="zh-CN"/>
        </w:rPr>
        <w:t>个</w:t>
      </w:r>
      <w:r>
        <w:rPr>
          <w:rFonts w:hint="eastAsia" w:ascii="宋体" w:hAnsi="宋体" w:eastAsia="宋体" w:cs="宋体"/>
          <w:bCs/>
          <w:color w:val="auto"/>
          <w:sz w:val="24"/>
          <w:szCs w:val="24"/>
          <w:highlight w:val="none"/>
          <w:u w:val="none"/>
        </w:rPr>
        <w:t>污染物的</w:t>
      </w:r>
      <w:r>
        <w:rPr>
          <w:rFonts w:hint="eastAsia" w:ascii="宋体" w:hAnsi="宋体" w:eastAsia="宋体" w:cs="宋体"/>
          <w:bCs/>
          <w:color w:val="auto"/>
          <w:sz w:val="24"/>
          <w:szCs w:val="24"/>
          <w:highlight w:val="none"/>
          <w:u w:val="none"/>
          <w:lang w:val="en-US" w:eastAsia="zh-CN"/>
        </w:rPr>
        <w:t>环境空气质量浓度</w:t>
      </w:r>
      <w:r>
        <w:rPr>
          <w:rFonts w:hint="eastAsia" w:ascii="宋体" w:hAnsi="宋体" w:eastAsia="宋体" w:cs="宋体"/>
          <w:bCs/>
          <w:color w:val="auto"/>
          <w:sz w:val="24"/>
          <w:szCs w:val="24"/>
          <w:highlight w:val="none"/>
          <w:u w:val="none"/>
        </w:rPr>
        <w:t>标准，</w:t>
      </w:r>
      <w:r>
        <w:rPr>
          <w:rFonts w:hint="eastAsia" w:ascii="宋体" w:hAnsi="宋体" w:eastAsia="宋体" w:cs="宋体"/>
          <w:color w:val="auto"/>
          <w:sz w:val="24"/>
          <w:szCs w:val="24"/>
          <w:highlight w:val="none"/>
          <w:u w:val="none"/>
        </w:rPr>
        <w:t>μg/m</w:t>
      </w:r>
      <w:r>
        <w:rPr>
          <w:rFonts w:hint="eastAsia" w:ascii="宋体" w:hAnsi="宋体" w:eastAsia="宋体" w:cs="宋体"/>
          <w:color w:val="auto"/>
          <w:sz w:val="24"/>
          <w:szCs w:val="24"/>
          <w:highlight w:val="none"/>
          <w:u w:val="none"/>
          <w:vertAlign w:val="superscript"/>
        </w:rPr>
        <w:t>3</w:t>
      </w:r>
      <w:r>
        <w:rPr>
          <w:rFonts w:hint="eastAsia" w:ascii="宋体" w:hAnsi="宋体" w:eastAsia="宋体" w:cs="宋体"/>
          <w:bCs/>
          <w:color w:val="auto"/>
          <w:sz w:val="24"/>
          <w:szCs w:val="24"/>
          <w:highlight w:val="none"/>
          <w:u w:val="none"/>
        </w:rPr>
        <w:t>。</w:t>
      </w:r>
    </w:p>
    <w:p w14:paraId="7882DB4A">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（6）评价结果</w:t>
      </w:r>
    </w:p>
    <w:p w14:paraId="2D74FC16">
      <w:pPr>
        <w:pStyle w:val="5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highlight w:val="none"/>
          <w:u w:val="none"/>
        </w:rPr>
      </w:pPr>
      <w:r>
        <w:rPr>
          <w:rFonts w:hint="eastAsia" w:ascii="宋体" w:hAnsi="宋体" w:eastAsia="宋体" w:cs="宋体"/>
          <w:color w:val="auto"/>
          <w:sz w:val="24"/>
          <w:szCs w:val="24"/>
          <w:highlight w:val="none"/>
          <w:u w:val="none"/>
        </w:rPr>
        <w:t>监测及评价结果</w:t>
      </w:r>
      <w:r>
        <w:rPr>
          <w:rFonts w:hint="eastAsia" w:ascii="宋体" w:hAnsi="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见表4.</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rPr>
        <w:t>。</w:t>
      </w:r>
    </w:p>
    <w:p w14:paraId="0F0725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表4.6-4  其他污染物环境质量现状评价表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55"/>
        <w:gridCol w:w="1212"/>
        <w:gridCol w:w="1293"/>
        <w:gridCol w:w="1135"/>
        <w:gridCol w:w="1264"/>
        <w:gridCol w:w="1026"/>
        <w:gridCol w:w="807"/>
        <w:gridCol w:w="682"/>
      </w:tblGrid>
      <w:tr w14:paraId="4BFD5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95" w:hRule="atLeast"/>
          <w:jc w:val="center"/>
        </w:trPr>
        <w:tc>
          <w:tcPr>
            <w:tcW w:w="723" w:type="pct"/>
            <w:tcBorders>
              <w:tl2br w:val="nil"/>
              <w:tr2bl w:val="nil"/>
            </w:tcBorders>
            <w:vAlign w:val="center"/>
          </w:tcPr>
          <w:p w14:paraId="255AD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监测</w:t>
            </w:r>
          </w:p>
          <w:p w14:paraId="2FB56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点位</w:t>
            </w:r>
          </w:p>
        </w:tc>
        <w:tc>
          <w:tcPr>
            <w:tcW w:w="698" w:type="pct"/>
            <w:tcBorders>
              <w:tl2br w:val="nil"/>
              <w:tr2bl w:val="nil"/>
            </w:tcBorders>
            <w:vAlign w:val="center"/>
          </w:tcPr>
          <w:p w14:paraId="35158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污染物</w:t>
            </w:r>
          </w:p>
        </w:tc>
        <w:tc>
          <w:tcPr>
            <w:tcW w:w="745" w:type="pct"/>
            <w:tcBorders>
              <w:tl2br w:val="nil"/>
              <w:tr2bl w:val="nil"/>
            </w:tcBorders>
            <w:vAlign w:val="center"/>
          </w:tcPr>
          <w:p w14:paraId="79226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平均时间</w:t>
            </w:r>
          </w:p>
        </w:tc>
        <w:tc>
          <w:tcPr>
            <w:tcW w:w="654" w:type="pct"/>
            <w:tcBorders>
              <w:tl2br w:val="nil"/>
              <w:tr2bl w:val="nil"/>
            </w:tcBorders>
            <w:vAlign w:val="center"/>
          </w:tcPr>
          <w:p w14:paraId="308B8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评价标准(μg/m</w:t>
            </w:r>
            <w:r>
              <w:rPr>
                <w:rFonts w:hint="eastAsia" w:ascii="宋体" w:hAnsi="宋体" w:eastAsia="宋体" w:cs="宋体"/>
                <w:color w:val="auto"/>
                <w:kern w:val="0"/>
                <w:sz w:val="21"/>
                <w:szCs w:val="21"/>
                <w:u w:val="none"/>
                <w:vertAlign w:val="superscript"/>
                <w:lang w:bidi="ar"/>
              </w:rPr>
              <w:t>3</w:t>
            </w:r>
            <w:r>
              <w:rPr>
                <w:rFonts w:hint="eastAsia" w:ascii="宋体" w:hAnsi="宋体" w:eastAsia="宋体" w:cs="宋体"/>
                <w:color w:val="auto"/>
                <w:kern w:val="0"/>
                <w:sz w:val="21"/>
                <w:szCs w:val="21"/>
                <w:u w:val="none"/>
                <w:lang w:bidi="ar"/>
              </w:rPr>
              <w:t>)</w:t>
            </w:r>
          </w:p>
        </w:tc>
        <w:tc>
          <w:tcPr>
            <w:tcW w:w="728" w:type="pct"/>
            <w:tcBorders>
              <w:tl2br w:val="nil"/>
              <w:tr2bl w:val="nil"/>
            </w:tcBorders>
            <w:vAlign w:val="center"/>
          </w:tcPr>
          <w:p w14:paraId="5F98B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监测浓度范围(μg/m</w:t>
            </w:r>
            <w:r>
              <w:rPr>
                <w:rFonts w:hint="eastAsia" w:ascii="宋体" w:hAnsi="宋体" w:eastAsia="宋体" w:cs="宋体"/>
                <w:color w:val="auto"/>
                <w:kern w:val="0"/>
                <w:sz w:val="21"/>
                <w:szCs w:val="21"/>
                <w:u w:val="none"/>
                <w:vertAlign w:val="superscript"/>
                <w:lang w:bidi="ar"/>
              </w:rPr>
              <w:t>3</w:t>
            </w:r>
            <w:r>
              <w:rPr>
                <w:rFonts w:hint="eastAsia" w:ascii="宋体" w:hAnsi="宋体" w:eastAsia="宋体" w:cs="宋体"/>
                <w:color w:val="auto"/>
                <w:kern w:val="0"/>
                <w:sz w:val="21"/>
                <w:szCs w:val="21"/>
                <w:u w:val="none"/>
                <w:lang w:bidi="ar"/>
              </w:rPr>
              <w:t>)</w:t>
            </w:r>
          </w:p>
        </w:tc>
        <w:tc>
          <w:tcPr>
            <w:tcW w:w="591" w:type="pct"/>
            <w:tcBorders>
              <w:tl2br w:val="nil"/>
              <w:tr2bl w:val="nil"/>
            </w:tcBorders>
            <w:vAlign w:val="center"/>
          </w:tcPr>
          <w:p w14:paraId="247E7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最大浓度占标率/%</w:t>
            </w:r>
          </w:p>
        </w:tc>
        <w:tc>
          <w:tcPr>
            <w:tcW w:w="465" w:type="pct"/>
            <w:tcBorders>
              <w:tl2br w:val="nil"/>
              <w:tr2bl w:val="nil"/>
            </w:tcBorders>
            <w:vAlign w:val="center"/>
          </w:tcPr>
          <w:p w14:paraId="4E263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超标</w:t>
            </w:r>
          </w:p>
          <w:p w14:paraId="58858D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频率/%</w:t>
            </w:r>
          </w:p>
        </w:tc>
        <w:tc>
          <w:tcPr>
            <w:tcW w:w="393" w:type="pct"/>
            <w:tcBorders>
              <w:tl2br w:val="nil"/>
              <w:tr2bl w:val="nil"/>
            </w:tcBorders>
            <w:vAlign w:val="center"/>
          </w:tcPr>
          <w:p w14:paraId="23EA5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达标</w:t>
            </w:r>
          </w:p>
          <w:p w14:paraId="41C9B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情况</w:t>
            </w:r>
          </w:p>
        </w:tc>
      </w:tr>
      <w:tr w14:paraId="18331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23" w:type="pct"/>
            <w:vMerge w:val="restart"/>
            <w:tcBorders>
              <w:tl2br w:val="nil"/>
              <w:tr2bl w:val="nil"/>
            </w:tcBorders>
            <w:vAlign w:val="center"/>
          </w:tcPr>
          <w:p w14:paraId="5D02F2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eastAsia" w:ascii="宋体" w:hAnsi="宋体" w:eastAsia="宋体" w:cs="宋体"/>
                <w:color w:val="auto"/>
                <w:kern w:val="0"/>
                <w:sz w:val="21"/>
                <w:szCs w:val="21"/>
                <w:u w:val="none"/>
                <w:lang w:eastAsia="zh-CN" w:bidi="ar"/>
              </w:rPr>
            </w:pPr>
            <w:r>
              <w:rPr>
                <w:rFonts w:hint="default" w:ascii="Times New Roman" w:hAnsi="Times New Roman" w:cs="Times New Roman"/>
                <w:color w:val="auto"/>
                <w:spacing w:val="-6"/>
                <w:sz w:val="21"/>
                <w:szCs w:val="21"/>
                <w:highlight w:val="none"/>
                <w:u w:val="none"/>
                <w:lang w:val="en-US" w:eastAsia="zh-CN"/>
              </w:rPr>
              <w:t>MBHW6009井场</w:t>
            </w:r>
          </w:p>
        </w:tc>
        <w:tc>
          <w:tcPr>
            <w:tcW w:w="698" w:type="pct"/>
            <w:tcBorders>
              <w:tl2br w:val="nil"/>
              <w:tr2bl w:val="nil"/>
            </w:tcBorders>
            <w:vAlign w:val="center"/>
          </w:tcPr>
          <w:p w14:paraId="3B810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非甲烷总烃</w:t>
            </w:r>
          </w:p>
        </w:tc>
        <w:tc>
          <w:tcPr>
            <w:tcW w:w="745" w:type="pct"/>
            <w:tcBorders>
              <w:tl2br w:val="nil"/>
              <w:tr2bl w:val="nil"/>
            </w:tcBorders>
            <w:vAlign w:val="center"/>
          </w:tcPr>
          <w:p w14:paraId="74AC10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1小时平均</w:t>
            </w:r>
          </w:p>
        </w:tc>
        <w:tc>
          <w:tcPr>
            <w:tcW w:w="654" w:type="pct"/>
            <w:tcBorders>
              <w:tl2br w:val="nil"/>
              <w:tr2bl w:val="nil"/>
            </w:tcBorders>
            <w:vAlign w:val="center"/>
          </w:tcPr>
          <w:p w14:paraId="22066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2000</w:t>
            </w:r>
          </w:p>
        </w:tc>
        <w:tc>
          <w:tcPr>
            <w:tcW w:w="728" w:type="pct"/>
            <w:tcBorders>
              <w:tl2br w:val="nil"/>
              <w:tr2bl w:val="nil"/>
            </w:tcBorders>
            <w:vAlign w:val="center"/>
          </w:tcPr>
          <w:p w14:paraId="06699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宋体" w:hAnsi="宋体" w:eastAsia="宋体" w:cs="宋体"/>
                <w:color w:val="auto"/>
                <w:kern w:val="0"/>
                <w:sz w:val="21"/>
                <w:szCs w:val="21"/>
                <w:u w:val="none"/>
                <w:lang w:val="en-US" w:eastAsia="zh-CN" w:bidi="ar"/>
              </w:rPr>
            </w:pPr>
            <w:r>
              <w:rPr>
                <w:rFonts w:hint="eastAsia" w:ascii="宋体" w:hAnsi="宋体" w:cs="宋体"/>
                <w:color w:val="auto"/>
                <w:kern w:val="0"/>
                <w:sz w:val="21"/>
                <w:szCs w:val="21"/>
                <w:u w:val="none"/>
                <w:lang w:val="en-US" w:eastAsia="zh-CN" w:bidi="ar"/>
              </w:rPr>
              <w:t>460～600</w:t>
            </w:r>
          </w:p>
        </w:tc>
        <w:tc>
          <w:tcPr>
            <w:tcW w:w="591" w:type="pct"/>
            <w:tcBorders>
              <w:tl2br w:val="nil"/>
              <w:tr2bl w:val="nil"/>
            </w:tcBorders>
            <w:vAlign w:val="center"/>
          </w:tcPr>
          <w:p w14:paraId="460DA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宋体" w:hAnsi="宋体" w:eastAsia="宋体" w:cs="宋体"/>
                <w:color w:val="auto"/>
                <w:kern w:val="0"/>
                <w:sz w:val="21"/>
                <w:szCs w:val="21"/>
                <w:u w:val="none"/>
                <w:lang w:val="en-US" w:eastAsia="zh-CN" w:bidi="ar"/>
              </w:rPr>
            </w:pPr>
            <w:r>
              <w:rPr>
                <w:rFonts w:hint="eastAsia" w:ascii="宋体" w:hAnsi="宋体" w:cs="宋体"/>
                <w:color w:val="auto"/>
                <w:kern w:val="0"/>
                <w:sz w:val="21"/>
                <w:szCs w:val="21"/>
                <w:u w:val="none"/>
                <w:lang w:val="en-US" w:eastAsia="zh-CN" w:bidi="ar"/>
              </w:rPr>
              <w:t>/</w:t>
            </w:r>
          </w:p>
        </w:tc>
        <w:tc>
          <w:tcPr>
            <w:tcW w:w="465" w:type="pct"/>
            <w:tcBorders>
              <w:tl2br w:val="nil"/>
              <w:tr2bl w:val="nil"/>
            </w:tcBorders>
            <w:vAlign w:val="center"/>
          </w:tcPr>
          <w:p w14:paraId="04571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eastAsia="zh-CN" w:bidi="ar"/>
              </w:rPr>
            </w:pPr>
            <w:r>
              <w:rPr>
                <w:rFonts w:hint="eastAsia" w:ascii="宋体" w:hAnsi="宋体" w:eastAsia="宋体" w:cs="宋体"/>
                <w:color w:val="auto"/>
                <w:kern w:val="0"/>
                <w:sz w:val="21"/>
                <w:szCs w:val="21"/>
                <w:u w:val="none"/>
                <w:lang w:val="en-US" w:eastAsia="zh-CN" w:bidi="ar"/>
              </w:rPr>
              <w:t>0</w:t>
            </w:r>
          </w:p>
        </w:tc>
        <w:tc>
          <w:tcPr>
            <w:tcW w:w="393" w:type="pct"/>
            <w:tcBorders>
              <w:tl2br w:val="nil"/>
              <w:tr2bl w:val="nil"/>
            </w:tcBorders>
            <w:vAlign w:val="center"/>
          </w:tcPr>
          <w:p w14:paraId="7610C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val="en-US" w:eastAsia="zh-CN" w:bidi="ar"/>
              </w:rPr>
              <w:t>达标</w:t>
            </w:r>
          </w:p>
        </w:tc>
      </w:tr>
      <w:tr w14:paraId="0A5F0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23" w:type="pct"/>
            <w:vMerge w:val="continue"/>
            <w:tcBorders>
              <w:tl2br w:val="nil"/>
              <w:tr2bl w:val="nil"/>
            </w:tcBorders>
            <w:vAlign w:val="center"/>
          </w:tcPr>
          <w:p w14:paraId="70EA1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1"/>
                <w:szCs w:val="21"/>
                <w:u w:val="none"/>
              </w:rPr>
            </w:pPr>
          </w:p>
        </w:tc>
        <w:tc>
          <w:tcPr>
            <w:tcW w:w="698" w:type="pct"/>
            <w:tcBorders>
              <w:tl2br w:val="nil"/>
              <w:tr2bl w:val="nil"/>
            </w:tcBorders>
            <w:vAlign w:val="center"/>
          </w:tcPr>
          <w:p w14:paraId="779D9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硫化氢</w:t>
            </w:r>
          </w:p>
        </w:tc>
        <w:tc>
          <w:tcPr>
            <w:tcW w:w="745" w:type="pct"/>
            <w:tcBorders>
              <w:tl2br w:val="nil"/>
              <w:tr2bl w:val="nil"/>
            </w:tcBorders>
            <w:vAlign w:val="center"/>
          </w:tcPr>
          <w:p w14:paraId="3E4CD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1小时平均</w:t>
            </w:r>
          </w:p>
        </w:tc>
        <w:tc>
          <w:tcPr>
            <w:tcW w:w="654" w:type="pct"/>
            <w:tcBorders>
              <w:tl2br w:val="nil"/>
              <w:tr2bl w:val="nil"/>
            </w:tcBorders>
            <w:vAlign w:val="center"/>
          </w:tcPr>
          <w:p w14:paraId="1A5E38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bidi="ar"/>
              </w:rPr>
            </w:pPr>
            <w:r>
              <w:rPr>
                <w:rFonts w:hint="eastAsia" w:ascii="宋体" w:hAnsi="宋体" w:eastAsia="宋体" w:cs="宋体"/>
                <w:color w:val="auto"/>
                <w:kern w:val="0"/>
                <w:sz w:val="21"/>
                <w:szCs w:val="21"/>
                <w:u w:val="none"/>
                <w:lang w:bidi="ar"/>
              </w:rPr>
              <w:t>10</w:t>
            </w:r>
          </w:p>
        </w:tc>
        <w:tc>
          <w:tcPr>
            <w:tcW w:w="728" w:type="pct"/>
            <w:tcBorders>
              <w:tl2br w:val="nil"/>
              <w:tr2bl w:val="nil"/>
            </w:tcBorders>
            <w:vAlign w:val="center"/>
          </w:tcPr>
          <w:p w14:paraId="3976C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宋体" w:hAnsi="宋体" w:eastAsia="宋体" w:cs="宋体"/>
                <w:color w:val="auto"/>
                <w:kern w:val="0"/>
                <w:sz w:val="21"/>
                <w:szCs w:val="21"/>
                <w:u w:val="none"/>
                <w:lang w:val="en-US" w:eastAsia="zh-CN" w:bidi="ar"/>
              </w:rPr>
            </w:pPr>
            <w:r>
              <w:rPr>
                <w:rFonts w:hint="eastAsia" w:ascii="宋体" w:hAnsi="宋体" w:cs="宋体"/>
                <w:color w:val="auto"/>
                <w:kern w:val="0"/>
                <w:sz w:val="21"/>
                <w:szCs w:val="21"/>
                <w:u w:val="none"/>
                <w:lang w:val="en-US" w:eastAsia="zh-CN" w:bidi="ar"/>
              </w:rPr>
              <w:t>＜0.005</w:t>
            </w:r>
          </w:p>
        </w:tc>
        <w:tc>
          <w:tcPr>
            <w:tcW w:w="591" w:type="pct"/>
            <w:tcBorders>
              <w:tl2br w:val="nil"/>
              <w:tr2bl w:val="nil"/>
            </w:tcBorders>
            <w:vAlign w:val="center"/>
          </w:tcPr>
          <w:p w14:paraId="0C36C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宋体" w:hAnsi="宋体" w:eastAsia="宋体" w:cs="宋体"/>
                <w:color w:val="auto"/>
                <w:kern w:val="0"/>
                <w:sz w:val="21"/>
                <w:szCs w:val="21"/>
                <w:u w:val="none"/>
                <w:lang w:val="en-US" w:eastAsia="zh-CN" w:bidi="ar"/>
              </w:rPr>
            </w:pPr>
            <w:r>
              <w:rPr>
                <w:rFonts w:hint="eastAsia" w:ascii="宋体" w:hAnsi="宋体" w:cs="宋体"/>
                <w:color w:val="auto"/>
                <w:kern w:val="0"/>
                <w:sz w:val="21"/>
                <w:szCs w:val="21"/>
                <w:u w:val="none"/>
                <w:lang w:val="en-US" w:eastAsia="zh-CN" w:bidi="ar"/>
              </w:rPr>
              <w:t>/</w:t>
            </w:r>
          </w:p>
        </w:tc>
        <w:tc>
          <w:tcPr>
            <w:tcW w:w="465" w:type="pct"/>
            <w:tcBorders>
              <w:tl2br w:val="nil"/>
              <w:tr2bl w:val="nil"/>
            </w:tcBorders>
            <w:vAlign w:val="center"/>
          </w:tcPr>
          <w:p w14:paraId="2959E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0</w:t>
            </w:r>
          </w:p>
        </w:tc>
        <w:tc>
          <w:tcPr>
            <w:tcW w:w="393" w:type="pct"/>
            <w:tcBorders>
              <w:tl2br w:val="nil"/>
              <w:tr2bl w:val="nil"/>
            </w:tcBorders>
            <w:vAlign w:val="center"/>
          </w:tcPr>
          <w:p w14:paraId="634A3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达标</w:t>
            </w:r>
          </w:p>
        </w:tc>
      </w:tr>
      <w:tr w14:paraId="38A6E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23" w:type="pct"/>
            <w:vMerge w:val="restart"/>
            <w:tcBorders>
              <w:tl2br w:val="nil"/>
              <w:tr2bl w:val="nil"/>
            </w:tcBorders>
            <w:vAlign w:val="center"/>
          </w:tcPr>
          <w:p w14:paraId="355E16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4" w:rightChars="-16"/>
              <w:jc w:val="center"/>
              <w:textAlignment w:val="auto"/>
              <w:rPr>
                <w:rFonts w:hint="eastAsia" w:ascii="宋体" w:hAnsi="宋体" w:eastAsia="宋体" w:cs="宋体"/>
                <w:color w:val="auto"/>
                <w:sz w:val="21"/>
                <w:szCs w:val="21"/>
                <w:u w:val="none"/>
              </w:rPr>
            </w:pPr>
            <w:r>
              <w:rPr>
                <w:rFonts w:hint="default" w:ascii="Times New Roman" w:hAnsi="Times New Roman" w:cs="Times New Roman"/>
                <w:snapToGrid w:val="0"/>
                <w:color w:val="auto"/>
                <w:sz w:val="21"/>
                <w:szCs w:val="21"/>
                <w:highlight w:val="none"/>
                <w:u w:val="none"/>
                <w:lang w:val="en-US" w:eastAsia="zh-CN"/>
              </w:rPr>
              <w:t>项目区下风向2.0km</w:t>
            </w:r>
          </w:p>
        </w:tc>
        <w:tc>
          <w:tcPr>
            <w:tcW w:w="698" w:type="pct"/>
            <w:tcBorders>
              <w:tl2br w:val="nil"/>
              <w:tr2bl w:val="nil"/>
            </w:tcBorders>
            <w:vAlign w:val="center"/>
          </w:tcPr>
          <w:p w14:paraId="2E4279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bidi="ar"/>
              </w:rPr>
              <w:t>非甲烷总烃</w:t>
            </w:r>
          </w:p>
        </w:tc>
        <w:tc>
          <w:tcPr>
            <w:tcW w:w="745" w:type="pct"/>
            <w:tcBorders>
              <w:tl2br w:val="nil"/>
              <w:tr2bl w:val="nil"/>
            </w:tcBorders>
            <w:vAlign w:val="center"/>
          </w:tcPr>
          <w:p w14:paraId="2EDDD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bidi="ar"/>
              </w:rPr>
              <w:t>1小时平均</w:t>
            </w:r>
          </w:p>
        </w:tc>
        <w:tc>
          <w:tcPr>
            <w:tcW w:w="654" w:type="pct"/>
            <w:tcBorders>
              <w:tl2br w:val="nil"/>
              <w:tr2bl w:val="nil"/>
            </w:tcBorders>
            <w:vAlign w:val="center"/>
          </w:tcPr>
          <w:p w14:paraId="7B011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bidi="ar"/>
              </w:rPr>
              <w:t>2000</w:t>
            </w:r>
          </w:p>
        </w:tc>
        <w:tc>
          <w:tcPr>
            <w:tcW w:w="728" w:type="pct"/>
            <w:tcBorders>
              <w:tl2br w:val="nil"/>
              <w:tr2bl w:val="nil"/>
            </w:tcBorders>
            <w:vAlign w:val="center"/>
          </w:tcPr>
          <w:p w14:paraId="74F8A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宋体" w:hAnsi="宋体" w:eastAsia="宋体" w:cs="宋体"/>
                <w:color w:val="auto"/>
                <w:kern w:val="2"/>
                <w:sz w:val="21"/>
                <w:szCs w:val="21"/>
                <w:u w:val="none"/>
                <w:lang w:val="en-US" w:eastAsia="zh-CN" w:bidi="ar-SA"/>
              </w:rPr>
            </w:pPr>
            <w:r>
              <w:rPr>
                <w:rFonts w:hint="eastAsia" w:ascii="宋体" w:hAnsi="宋体" w:cs="宋体"/>
                <w:color w:val="auto"/>
                <w:kern w:val="0"/>
                <w:sz w:val="21"/>
                <w:szCs w:val="21"/>
                <w:u w:val="none"/>
                <w:lang w:val="en-US" w:eastAsia="zh-CN" w:bidi="ar"/>
              </w:rPr>
              <w:t>490～600</w:t>
            </w:r>
          </w:p>
        </w:tc>
        <w:tc>
          <w:tcPr>
            <w:tcW w:w="591" w:type="pct"/>
            <w:tcBorders>
              <w:tl2br w:val="nil"/>
              <w:tr2bl w:val="nil"/>
            </w:tcBorders>
            <w:vAlign w:val="center"/>
          </w:tcPr>
          <w:p w14:paraId="47EA7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宋体" w:hAnsi="宋体" w:eastAsia="宋体" w:cs="宋体"/>
                <w:color w:val="auto"/>
                <w:kern w:val="0"/>
                <w:sz w:val="21"/>
                <w:szCs w:val="21"/>
                <w:u w:val="none"/>
                <w:lang w:val="en-US" w:eastAsia="zh-CN" w:bidi="ar"/>
              </w:rPr>
            </w:pPr>
            <w:r>
              <w:rPr>
                <w:rFonts w:hint="eastAsia" w:ascii="宋体" w:hAnsi="宋体" w:cs="宋体"/>
                <w:color w:val="auto"/>
                <w:kern w:val="0"/>
                <w:sz w:val="21"/>
                <w:szCs w:val="21"/>
                <w:u w:val="none"/>
                <w:lang w:val="en-US" w:eastAsia="zh-CN" w:bidi="ar"/>
              </w:rPr>
              <w:t>/</w:t>
            </w:r>
          </w:p>
        </w:tc>
        <w:tc>
          <w:tcPr>
            <w:tcW w:w="465" w:type="pct"/>
            <w:tcBorders>
              <w:tl2br w:val="nil"/>
              <w:tr2bl w:val="nil"/>
            </w:tcBorders>
            <w:vAlign w:val="center"/>
          </w:tcPr>
          <w:p w14:paraId="17AA1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0</w:t>
            </w:r>
          </w:p>
        </w:tc>
        <w:tc>
          <w:tcPr>
            <w:tcW w:w="393" w:type="pct"/>
            <w:tcBorders>
              <w:tl2br w:val="nil"/>
              <w:tr2bl w:val="nil"/>
            </w:tcBorders>
            <w:vAlign w:val="center"/>
          </w:tcPr>
          <w:p w14:paraId="22D9E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达标</w:t>
            </w:r>
          </w:p>
        </w:tc>
      </w:tr>
      <w:tr w14:paraId="14D42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23" w:type="pct"/>
            <w:vMerge w:val="continue"/>
            <w:tcBorders>
              <w:tl2br w:val="nil"/>
              <w:tr2bl w:val="nil"/>
            </w:tcBorders>
            <w:vAlign w:val="center"/>
          </w:tcPr>
          <w:p w14:paraId="271760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1"/>
                <w:szCs w:val="21"/>
                <w:u w:val="none"/>
              </w:rPr>
            </w:pPr>
          </w:p>
        </w:tc>
        <w:tc>
          <w:tcPr>
            <w:tcW w:w="698" w:type="pct"/>
            <w:tcBorders>
              <w:tl2br w:val="nil"/>
              <w:tr2bl w:val="nil"/>
            </w:tcBorders>
            <w:vAlign w:val="center"/>
          </w:tcPr>
          <w:p w14:paraId="50713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bidi="ar"/>
              </w:rPr>
              <w:t>硫化氢</w:t>
            </w:r>
          </w:p>
        </w:tc>
        <w:tc>
          <w:tcPr>
            <w:tcW w:w="745" w:type="pct"/>
            <w:tcBorders>
              <w:tl2br w:val="nil"/>
              <w:tr2bl w:val="nil"/>
            </w:tcBorders>
            <w:vAlign w:val="center"/>
          </w:tcPr>
          <w:p w14:paraId="63ECF1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bidi="ar"/>
              </w:rPr>
              <w:t>1小时平均</w:t>
            </w:r>
          </w:p>
        </w:tc>
        <w:tc>
          <w:tcPr>
            <w:tcW w:w="654" w:type="pct"/>
            <w:tcBorders>
              <w:tl2br w:val="nil"/>
              <w:tr2bl w:val="nil"/>
            </w:tcBorders>
            <w:vAlign w:val="center"/>
          </w:tcPr>
          <w:p w14:paraId="3053E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bidi="ar"/>
              </w:rPr>
              <w:t>10</w:t>
            </w:r>
          </w:p>
        </w:tc>
        <w:tc>
          <w:tcPr>
            <w:tcW w:w="728" w:type="pct"/>
            <w:tcBorders>
              <w:tl2br w:val="nil"/>
              <w:tr2bl w:val="nil"/>
            </w:tcBorders>
            <w:vAlign w:val="center"/>
          </w:tcPr>
          <w:p w14:paraId="43C00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2"/>
                <w:sz w:val="21"/>
                <w:szCs w:val="21"/>
                <w:u w:val="none"/>
                <w:lang w:val="en-US" w:eastAsia="zh-CN" w:bidi="ar-SA"/>
              </w:rPr>
            </w:pPr>
            <w:r>
              <w:rPr>
                <w:rFonts w:hint="eastAsia" w:ascii="宋体" w:hAnsi="宋体" w:cs="宋体"/>
                <w:color w:val="auto"/>
                <w:kern w:val="0"/>
                <w:sz w:val="21"/>
                <w:szCs w:val="21"/>
                <w:u w:val="none"/>
                <w:lang w:val="en-US" w:eastAsia="zh-CN" w:bidi="ar"/>
              </w:rPr>
              <w:t>＜0.005</w:t>
            </w:r>
          </w:p>
        </w:tc>
        <w:tc>
          <w:tcPr>
            <w:tcW w:w="591" w:type="pct"/>
            <w:tcBorders>
              <w:tl2br w:val="nil"/>
              <w:tr2bl w:val="nil"/>
            </w:tcBorders>
            <w:vAlign w:val="center"/>
          </w:tcPr>
          <w:p w14:paraId="58590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宋体" w:hAnsi="宋体" w:eastAsia="宋体" w:cs="宋体"/>
                <w:color w:val="auto"/>
                <w:kern w:val="0"/>
                <w:sz w:val="21"/>
                <w:szCs w:val="21"/>
                <w:u w:val="none"/>
                <w:lang w:val="en-US" w:eastAsia="zh-CN" w:bidi="ar"/>
              </w:rPr>
            </w:pPr>
            <w:r>
              <w:rPr>
                <w:rFonts w:hint="eastAsia" w:ascii="宋体" w:hAnsi="宋体" w:cs="宋体"/>
                <w:color w:val="auto"/>
                <w:kern w:val="0"/>
                <w:sz w:val="21"/>
                <w:szCs w:val="21"/>
                <w:u w:val="none"/>
                <w:lang w:val="en-US" w:eastAsia="zh-CN" w:bidi="ar"/>
              </w:rPr>
              <w:t>/</w:t>
            </w:r>
          </w:p>
        </w:tc>
        <w:tc>
          <w:tcPr>
            <w:tcW w:w="465" w:type="pct"/>
            <w:tcBorders>
              <w:tl2br w:val="nil"/>
              <w:tr2bl w:val="nil"/>
            </w:tcBorders>
            <w:vAlign w:val="center"/>
          </w:tcPr>
          <w:p w14:paraId="16221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0</w:t>
            </w:r>
          </w:p>
        </w:tc>
        <w:tc>
          <w:tcPr>
            <w:tcW w:w="393" w:type="pct"/>
            <w:tcBorders>
              <w:tl2br w:val="nil"/>
              <w:tr2bl w:val="nil"/>
            </w:tcBorders>
            <w:vAlign w:val="center"/>
          </w:tcPr>
          <w:p w14:paraId="15B86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达标</w:t>
            </w:r>
          </w:p>
        </w:tc>
      </w:tr>
    </w:tbl>
    <w:p w14:paraId="1FF150F4">
      <w:pPr>
        <w:keepNext w:val="0"/>
        <w:keepLines w:val="0"/>
        <w:pageBreakBefore w:val="0"/>
        <w:widowControl w:val="0"/>
        <w:kinsoku/>
        <w:wordWrap/>
        <w:overflowPunct/>
        <w:topLinePunct w:val="0"/>
        <w:autoSpaceDE/>
        <w:autoSpaceDN/>
        <w:bidi w:val="0"/>
        <w:adjustRightInd/>
        <w:snapToGrid/>
        <w:spacing w:before="313" w:beforeLines="100"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由</w:t>
      </w:r>
      <w:r>
        <w:rPr>
          <w:rFonts w:hint="eastAsia" w:ascii="宋体" w:hAnsi="宋体" w:cs="宋体"/>
          <w:color w:val="auto"/>
          <w:sz w:val="24"/>
          <w:szCs w:val="24"/>
          <w:u w:val="none"/>
          <w:lang w:val="en-US" w:eastAsia="zh-CN"/>
        </w:rPr>
        <w:t>表4.6-4</w:t>
      </w:r>
      <w:r>
        <w:rPr>
          <w:rFonts w:hint="eastAsia" w:ascii="宋体" w:hAnsi="宋体" w:eastAsia="宋体" w:cs="宋体"/>
          <w:color w:val="auto"/>
          <w:sz w:val="24"/>
          <w:szCs w:val="24"/>
          <w:u w:val="none"/>
        </w:rPr>
        <w:t>可知，监测期间</w:t>
      </w:r>
      <w:r>
        <w:rPr>
          <w:rFonts w:hint="eastAsia" w:ascii="宋体" w:hAnsi="宋体" w:cs="宋体"/>
          <w:color w:val="auto"/>
          <w:sz w:val="24"/>
          <w:szCs w:val="24"/>
          <w:u w:val="none"/>
          <w:lang w:val="en-US" w:eastAsia="zh-CN"/>
        </w:rPr>
        <w:t>各监测点</w:t>
      </w:r>
      <w:r>
        <w:rPr>
          <w:rFonts w:hint="eastAsia" w:ascii="宋体" w:hAnsi="宋体" w:eastAsia="宋体" w:cs="宋体"/>
          <w:color w:val="auto"/>
          <w:sz w:val="24"/>
          <w:szCs w:val="24"/>
          <w:u w:val="none"/>
        </w:rPr>
        <w:t>非甲烷总烃小时值</w:t>
      </w:r>
      <w:r>
        <w:rPr>
          <w:rFonts w:hint="eastAsia" w:ascii="宋体" w:hAnsi="宋体" w:cs="宋体"/>
          <w:color w:val="auto"/>
          <w:sz w:val="24"/>
          <w:szCs w:val="24"/>
          <w:u w:val="none"/>
          <w:lang w:val="en-US" w:eastAsia="zh-CN"/>
        </w:rPr>
        <w:t>浓度</w:t>
      </w:r>
      <w:r>
        <w:rPr>
          <w:rFonts w:hint="eastAsia" w:ascii="宋体" w:hAnsi="宋体" w:eastAsia="宋体" w:cs="宋体"/>
          <w:color w:val="auto"/>
          <w:sz w:val="24"/>
          <w:szCs w:val="24"/>
          <w:u w:val="none"/>
        </w:rPr>
        <w:t>满足《大气污染物综合排放标准》（GB16297-1996）详解中浓度限值2000μg/m</w:t>
      </w:r>
      <w:r>
        <w:rPr>
          <w:rFonts w:hint="eastAsia" w:ascii="宋体" w:hAnsi="宋体" w:eastAsia="宋体" w:cs="宋体"/>
          <w:color w:val="auto"/>
          <w:sz w:val="24"/>
          <w:szCs w:val="24"/>
          <w:u w:val="none"/>
          <w:vertAlign w:val="superscript"/>
        </w:rPr>
        <w:t>3</w:t>
      </w:r>
      <w:r>
        <w:rPr>
          <w:rFonts w:hint="eastAsia" w:ascii="宋体" w:hAnsi="宋体" w:eastAsia="宋体" w:cs="宋体"/>
          <w:color w:val="auto"/>
          <w:sz w:val="24"/>
          <w:szCs w:val="24"/>
          <w:u w:val="none"/>
        </w:rPr>
        <w:t>要求；H</w:t>
      </w:r>
      <w:r>
        <w:rPr>
          <w:rFonts w:hint="eastAsia" w:ascii="宋体" w:hAnsi="宋体" w:eastAsia="宋体" w:cs="宋体"/>
          <w:color w:val="auto"/>
          <w:sz w:val="24"/>
          <w:szCs w:val="24"/>
          <w:u w:val="none"/>
          <w:vertAlign w:val="subscript"/>
        </w:rPr>
        <w:t>2</w:t>
      </w:r>
      <w:r>
        <w:rPr>
          <w:rFonts w:hint="eastAsia" w:ascii="宋体" w:hAnsi="宋体" w:eastAsia="宋体" w:cs="宋体"/>
          <w:color w:val="auto"/>
          <w:sz w:val="24"/>
          <w:szCs w:val="24"/>
          <w:u w:val="none"/>
        </w:rPr>
        <w:t>S小时平均值均未检出，能满足《环境影响评价技术导则大气环境》（HJ2.2-2018）附录D中其他污染物空气质量浓度参考限值（10μg/m</w:t>
      </w:r>
      <w:r>
        <w:rPr>
          <w:rFonts w:hint="eastAsia" w:ascii="宋体" w:hAnsi="宋体" w:eastAsia="宋体" w:cs="宋体"/>
          <w:color w:val="auto"/>
          <w:sz w:val="24"/>
          <w:szCs w:val="24"/>
          <w:u w:val="none"/>
          <w:vertAlign w:val="superscript"/>
        </w:rPr>
        <w:t>3</w:t>
      </w:r>
      <w:r>
        <w:rPr>
          <w:rFonts w:hint="eastAsia" w:ascii="宋体" w:hAnsi="宋体" w:eastAsia="宋体" w:cs="宋体"/>
          <w:color w:val="auto"/>
          <w:sz w:val="24"/>
          <w:szCs w:val="24"/>
          <w:u w:val="none"/>
        </w:rPr>
        <w:t>）的浓度限值要求。</w:t>
      </w:r>
    </w:p>
    <w:p w14:paraId="5DC8DD5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cs="宋体"/>
          <w:color w:val="auto"/>
          <w:sz w:val="24"/>
          <w:szCs w:val="24"/>
          <w:u w:val="none"/>
          <w:lang w:val="en-US" w:eastAsia="zh-CN"/>
        </w:rPr>
        <w:t>各要素</w:t>
      </w:r>
      <w:r>
        <w:rPr>
          <w:rFonts w:hint="eastAsia" w:ascii="宋体" w:hAnsi="宋体" w:eastAsia="宋体" w:cs="宋体"/>
          <w:color w:val="auto"/>
          <w:sz w:val="24"/>
          <w:szCs w:val="24"/>
          <w:u w:val="none"/>
        </w:rPr>
        <w:t>监测点位，见图4.3-1。</w:t>
      </w:r>
    </w:p>
    <w:bookmarkEnd w:id="390"/>
    <w:p w14:paraId="64B1290D">
      <w:pPr>
        <w:keepNext/>
        <w:keepLines/>
        <w:pageBreakBefore w:val="0"/>
        <w:widowControl/>
        <w:kinsoku/>
        <w:wordWrap/>
        <w:overflowPunct/>
        <w:topLinePunct w:val="0"/>
        <w:autoSpaceDE/>
        <w:autoSpaceDN/>
        <w:bidi w:val="0"/>
        <w:adjustRightInd/>
        <w:snapToGrid/>
        <w:spacing w:line="360" w:lineRule="auto"/>
        <w:jc w:val="left"/>
        <w:textAlignment w:val="auto"/>
        <w:outlineLvl w:val="1"/>
        <w:rPr>
          <w:rFonts w:hint="default" w:ascii="Times New Roman" w:hAnsi="Times New Roman" w:cs="Times New Roman"/>
          <w:b/>
          <w:color w:val="auto"/>
          <w:sz w:val="32"/>
          <w:szCs w:val="32"/>
          <w:u w:val="none"/>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391" w:name="_Toc26970"/>
    </w:p>
    <w:p w14:paraId="1D7471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color w:val="auto"/>
          <w:sz w:val="32"/>
          <w:szCs w:val="32"/>
          <w:u w:val="none"/>
          <w:lang w:eastAsia="zh-CN"/>
        </w:rPr>
        <w:sectPr>
          <w:pgSz w:w="16838" w:h="11906" w:orient="landscape"/>
          <w:pgMar w:top="720" w:right="720" w:bottom="720" w:left="720" w:header="454" w:footer="283"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黑体" w:hAnsi="黑体" w:eastAsia="黑体" w:cs="黑体"/>
          <w:b w:val="0"/>
          <w:bCs/>
          <w:color w:val="auto"/>
          <w:kern w:val="2"/>
          <w:sz w:val="24"/>
          <w:szCs w:val="24"/>
          <w:u w:val="none"/>
          <w:lang w:val="en-US" w:eastAsia="zh-CN" w:bidi="ar-SA"/>
        </w:rPr>
        <w:drawing>
          <wp:anchor distT="0" distB="0" distL="114300" distR="114300" simplePos="0" relativeHeight="251710464" behindDoc="0" locked="0" layoutInCell="1" allowOverlap="1">
            <wp:simplePos x="0" y="0"/>
            <wp:positionH relativeFrom="column">
              <wp:posOffset>405130</wp:posOffset>
            </wp:positionH>
            <wp:positionV relativeFrom="paragraph">
              <wp:posOffset>41910</wp:posOffset>
            </wp:positionV>
            <wp:extent cx="8829040" cy="6240780"/>
            <wp:effectExtent l="0" t="0" r="10160" b="7620"/>
            <wp:wrapTopAndBottom/>
            <wp:docPr id="76" name="图片 76" descr="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监测点位图"/>
                    <pic:cNvPicPr>
                      <a:picLocks noChangeAspect="1"/>
                    </pic:cNvPicPr>
                  </pic:nvPicPr>
                  <pic:blipFill>
                    <a:blip r:embed="rId63"/>
                    <a:stretch>
                      <a:fillRect/>
                    </a:stretch>
                  </pic:blipFill>
                  <pic:spPr>
                    <a:xfrm>
                      <a:off x="0" y="0"/>
                      <a:ext cx="8829040" cy="6240780"/>
                    </a:xfrm>
                    <a:prstGeom prst="rect">
                      <a:avLst/>
                    </a:prstGeom>
                  </pic:spPr>
                </pic:pic>
              </a:graphicData>
            </a:graphic>
          </wp:anchor>
        </w:drawing>
      </w:r>
      <w:r>
        <w:rPr>
          <w:rFonts w:hint="eastAsia" w:ascii="黑体" w:hAnsi="黑体" w:eastAsia="黑体" w:cs="黑体"/>
          <w:b w:val="0"/>
          <w:bCs/>
          <w:color w:val="auto"/>
          <w:kern w:val="2"/>
          <w:sz w:val="24"/>
          <w:szCs w:val="24"/>
          <w:u w:val="none"/>
          <w:lang w:val="en-US" w:eastAsia="zh-CN" w:bidi="ar-SA"/>
        </w:rPr>
        <w:t>图4.3-1  监测点位图</w:t>
      </w:r>
    </w:p>
    <w:bookmarkEnd w:id="383"/>
    <w:bookmarkEnd w:id="384"/>
    <w:bookmarkEnd w:id="385"/>
    <w:bookmarkEnd w:id="386"/>
    <w:bookmarkEnd w:id="387"/>
    <w:bookmarkEnd w:id="388"/>
    <w:bookmarkEnd w:id="389"/>
    <w:bookmarkEnd w:id="391"/>
    <w:p w14:paraId="54269CB3">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392" w:name="_Toc32410"/>
      <w:bookmarkStart w:id="393" w:name="_Toc109382930"/>
      <w:bookmarkStart w:id="394" w:name="_Toc21498"/>
      <w:bookmarkStart w:id="395" w:name="_Toc28430"/>
      <w:r>
        <w:rPr>
          <w:rFonts w:hint="default" w:ascii="黑体" w:hAnsi="黑体" w:eastAsia="黑体" w:cs="黑体"/>
          <w:color w:val="auto"/>
          <w:sz w:val="28"/>
          <w:szCs w:val="28"/>
          <w:u w:val="none"/>
          <w:lang w:val="en-US" w:eastAsia="zh-CN"/>
        </w:rPr>
        <w:t>4.</w:t>
      </w:r>
      <w:r>
        <w:rPr>
          <w:rFonts w:hint="eastAsia" w:ascii="黑体" w:hAnsi="黑体" w:eastAsia="黑体" w:cs="黑体"/>
          <w:color w:val="auto"/>
          <w:sz w:val="28"/>
          <w:szCs w:val="28"/>
          <w:u w:val="none"/>
          <w:lang w:val="en-US" w:eastAsia="zh-CN"/>
        </w:rPr>
        <w:t xml:space="preserve">7 </w:t>
      </w:r>
      <w:r>
        <w:rPr>
          <w:rFonts w:hint="default" w:ascii="黑体" w:hAnsi="黑体" w:eastAsia="黑体" w:cs="黑体"/>
          <w:color w:val="auto"/>
          <w:sz w:val="28"/>
          <w:szCs w:val="28"/>
          <w:u w:val="none"/>
          <w:lang w:val="en-US" w:eastAsia="zh-CN"/>
        </w:rPr>
        <w:t>声环境现状调查与评价</w:t>
      </w:r>
      <w:bookmarkEnd w:id="392"/>
    </w:p>
    <w:p w14:paraId="5EE1E8AE">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监测点布设</w:t>
      </w:r>
    </w:p>
    <w:p w14:paraId="0262B80B">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kern w:val="24"/>
          <w:sz w:val="24"/>
          <w:szCs w:val="24"/>
          <w:highlight w:val="none"/>
          <w:u w:val="none"/>
        </w:rPr>
      </w:pPr>
      <w:r>
        <w:rPr>
          <w:rFonts w:hint="default" w:ascii="Times New Roman" w:hAnsi="Times New Roman" w:cs="Times New Roman"/>
          <w:color w:val="auto"/>
          <w:kern w:val="24"/>
          <w:sz w:val="24"/>
          <w:szCs w:val="24"/>
          <w:highlight w:val="none"/>
          <w:u w:val="none"/>
        </w:rPr>
        <w:t>本次分别在已建莫109转油站厂界四周</w:t>
      </w:r>
      <w:r>
        <w:rPr>
          <w:rFonts w:hint="eastAsia" w:cs="Times New Roman"/>
          <w:color w:val="auto"/>
          <w:kern w:val="24"/>
          <w:sz w:val="24"/>
          <w:szCs w:val="24"/>
          <w:highlight w:val="none"/>
          <w:u w:val="none"/>
          <w:lang w:eastAsia="zh-CN"/>
        </w:rPr>
        <w:t>、</w:t>
      </w:r>
      <w:r>
        <w:rPr>
          <w:rFonts w:hint="default" w:ascii="Times New Roman" w:hAnsi="Times New Roman" w:cs="Times New Roman"/>
          <w:color w:val="auto"/>
          <w:kern w:val="24"/>
          <w:sz w:val="24"/>
          <w:szCs w:val="24"/>
          <w:highlight w:val="none"/>
          <w:u w:val="none"/>
        </w:rPr>
        <w:t>MBHW6009井场各布设1个监测点位。监测工作由</w:t>
      </w:r>
      <w:r>
        <w:rPr>
          <w:rFonts w:hint="default" w:ascii="Times New Roman" w:hAnsi="Times New Roman" w:cs="Times New Roman"/>
          <w:snapToGrid w:val="0"/>
          <w:color w:val="auto"/>
          <w:kern w:val="0"/>
          <w:sz w:val="24"/>
          <w:szCs w:val="24"/>
          <w:highlight w:val="none"/>
          <w:u w:val="none"/>
        </w:rPr>
        <w:t>新疆正天华能环境工程技术有限公司</w:t>
      </w:r>
      <w:r>
        <w:rPr>
          <w:rFonts w:hint="default" w:ascii="Times New Roman" w:hAnsi="Times New Roman" w:cs="Times New Roman"/>
          <w:color w:val="auto"/>
          <w:kern w:val="24"/>
          <w:sz w:val="24"/>
          <w:szCs w:val="24"/>
          <w:highlight w:val="none"/>
          <w:u w:val="none"/>
        </w:rPr>
        <w:t>完成。</w:t>
      </w:r>
    </w:p>
    <w:p w14:paraId="0F8F68FE">
      <w:pPr>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kern w:val="24"/>
          <w:sz w:val="24"/>
          <w:szCs w:val="24"/>
          <w:highlight w:val="none"/>
          <w:u w:val="none"/>
        </w:rPr>
        <w:t>监测点</w:t>
      </w:r>
      <w:r>
        <w:rPr>
          <w:rFonts w:hint="default" w:ascii="Times New Roman" w:hAnsi="Times New Roman" w:cs="Times New Roman"/>
          <w:color w:val="auto"/>
          <w:sz w:val="24"/>
          <w:szCs w:val="24"/>
          <w:highlight w:val="none"/>
          <w:u w:val="none"/>
        </w:rPr>
        <w:t>位见图4.3-1。</w:t>
      </w:r>
    </w:p>
    <w:p w14:paraId="77E15D31">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监测时间</w:t>
      </w:r>
    </w:p>
    <w:p w14:paraId="0642437F">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声环境质量现状监测时间为</w:t>
      </w:r>
      <w:r>
        <w:rPr>
          <w:rFonts w:hint="eastAsia" w:cs="Times New Roman"/>
          <w:snapToGrid w:val="0"/>
          <w:color w:val="auto"/>
          <w:kern w:val="0"/>
          <w:sz w:val="24"/>
          <w:szCs w:val="24"/>
          <w:u w:val="none"/>
          <w:lang w:val="en-US" w:eastAsia="zh-CN"/>
        </w:rPr>
        <w:t>2025</w:t>
      </w:r>
      <w:r>
        <w:rPr>
          <w:rFonts w:hint="default" w:ascii="Times New Roman" w:hAnsi="Times New Roman" w:cs="Times New Roman"/>
          <w:snapToGrid w:val="0"/>
          <w:color w:val="auto"/>
          <w:kern w:val="0"/>
          <w:sz w:val="24"/>
          <w:szCs w:val="24"/>
          <w:u w:val="none"/>
        </w:rPr>
        <w:t>年</w:t>
      </w:r>
      <w:r>
        <w:rPr>
          <w:rFonts w:hint="eastAsia" w:cs="Times New Roman"/>
          <w:snapToGrid w:val="0"/>
          <w:color w:val="auto"/>
          <w:kern w:val="0"/>
          <w:sz w:val="24"/>
          <w:szCs w:val="24"/>
          <w:u w:val="none"/>
          <w:lang w:val="en-US" w:eastAsia="zh-CN"/>
        </w:rPr>
        <w:t>8</w:t>
      </w:r>
      <w:r>
        <w:rPr>
          <w:rFonts w:hint="default" w:ascii="Times New Roman" w:hAnsi="Times New Roman" w:cs="Times New Roman"/>
          <w:snapToGrid w:val="0"/>
          <w:color w:val="auto"/>
          <w:kern w:val="0"/>
          <w:sz w:val="24"/>
          <w:szCs w:val="24"/>
          <w:u w:val="none"/>
        </w:rPr>
        <w:t>月</w:t>
      </w:r>
      <w:r>
        <w:rPr>
          <w:rFonts w:hint="eastAsia" w:cs="Times New Roman"/>
          <w:snapToGrid w:val="0"/>
          <w:color w:val="auto"/>
          <w:kern w:val="0"/>
          <w:sz w:val="24"/>
          <w:szCs w:val="24"/>
          <w:u w:val="none"/>
          <w:lang w:val="en-US" w:eastAsia="zh-CN"/>
        </w:rPr>
        <w:t>1日-2025年8月3日</w:t>
      </w:r>
      <w:r>
        <w:rPr>
          <w:rFonts w:hint="default" w:ascii="Times New Roman" w:hAnsi="Times New Roman" w:cs="Times New Roman"/>
          <w:color w:val="auto"/>
          <w:sz w:val="24"/>
          <w:szCs w:val="24"/>
          <w:u w:val="none"/>
        </w:rPr>
        <w:t>，连续监测2天，分昼间和夜间两个时段进行。</w:t>
      </w:r>
    </w:p>
    <w:p w14:paraId="492ABCAE">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监测方法</w:t>
      </w:r>
    </w:p>
    <w:p w14:paraId="46CE5F92">
      <w:pPr>
        <w:keepNext w:val="0"/>
        <w:keepLines w:val="0"/>
        <w:pageBreakBefore w:val="0"/>
        <w:kinsoku/>
        <w:wordWrap/>
        <w:overflowPunct/>
        <w:topLinePunct w:val="0"/>
        <w:autoSpaceDE/>
        <w:autoSpaceDN/>
        <w:bidi w:val="0"/>
        <w:adjustRightInd w:val="0"/>
        <w:snapToGrid w:val="0"/>
        <w:spacing w:line="480" w:lineRule="exact"/>
        <w:ind w:firstLine="500" w:firstLineChars="200"/>
        <w:textAlignment w:val="auto"/>
        <w:rPr>
          <w:rFonts w:hint="default" w:ascii="Times New Roman" w:hAnsi="Times New Roman" w:cs="Times New Roman"/>
          <w:color w:val="auto"/>
          <w:spacing w:val="5"/>
          <w:sz w:val="25"/>
          <w:szCs w:val="22"/>
          <w:u w:val="none"/>
        </w:rPr>
      </w:pPr>
      <w:r>
        <w:rPr>
          <w:rFonts w:hint="default" w:ascii="Times New Roman" w:hAnsi="Times New Roman" w:cs="Times New Roman"/>
          <w:color w:val="auto"/>
          <w:spacing w:val="5"/>
          <w:sz w:val="24"/>
          <w:szCs w:val="24"/>
          <w:u w:val="none"/>
        </w:rPr>
        <w:t>按照《声环境质量标准》（GB3096-2008）的要求进行测量。噪声测量值为A声级，采用等效连续A声级Leq作为评价量。</w:t>
      </w:r>
    </w:p>
    <w:p w14:paraId="5EC4E47C">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评价标准</w:t>
      </w:r>
    </w:p>
    <w:p w14:paraId="2F7ECBFF">
      <w:pPr>
        <w:keepNext w:val="0"/>
        <w:keepLines w:val="0"/>
        <w:pageBreakBefore w:val="0"/>
        <w:kinsoku/>
        <w:wordWrap/>
        <w:overflowPunct/>
        <w:topLinePunct w:val="0"/>
        <w:autoSpaceDE/>
        <w:autoSpaceDN/>
        <w:bidi w:val="0"/>
        <w:adjustRightInd w:val="0"/>
        <w:snapToGrid w:val="0"/>
        <w:spacing w:line="480" w:lineRule="exact"/>
        <w:ind w:firstLine="500" w:firstLineChars="200"/>
        <w:textAlignment w:val="auto"/>
        <w:rPr>
          <w:rFonts w:hint="default" w:ascii="Times New Roman" w:hAnsi="Times New Roman" w:cs="Times New Roman"/>
          <w:color w:val="auto"/>
          <w:spacing w:val="5"/>
          <w:sz w:val="24"/>
          <w:szCs w:val="24"/>
          <w:u w:val="none"/>
        </w:rPr>
      </w:pPr>
      <w:r>
        <w:rPr>
          <w:rFonts w:hint="default" w:ascii="Times New Roman" w:hAnsi="Times New Roman" w:cs="Times New Roman"/>
          <w:color w:val="auto"/>
          <w:spacing w:val="5"/>
          <w:sz w:val="24"/>
          <w:szCs w:val="24"/>
          <w:u w:val="none"/>
        </w:rPr>
        <w:t>评价区声环境现状执行《声环境质量标准》（GB3096-2008）中2类标准，即昼间60dB（A），夜间50dB（A）。</w:t>
      </w:r>
    </w:p>
    <w:p w14:paraId="7E2B475D">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评价方法</w:t>
      </w:r>
    </w:p>
    <w:p w14:paraId="67A431E1">
      <w:pPr>
        <w:keepNext w:val="0"/>
        <w:keepLines w:val="0"/>
        <w:pageBreakBefore w:val="0"/>
        <w:kinsoku/>
        <w:wordWrap/>
        <w:overflowPunct/>
        <w:topLinePunct w:val="0"/>
        <w:autoSpaceDE/>
        <w:autoSpaceDN/>
        <w:bidi w:val="0"/>
        <w:spacing w:line="480" w:lineRule="exact"/>
        <w:ind w:firstLine="513" w:firstLineChars="225"/>
        <w:textAlignment w:val="auto"/>
        <w:rPr>
          <w:rFonts w:hint="default" w:ascii="Times New Roman" w:hAnsi="Times New Roman" w:cs="Times New Roman"/>
          <w:snapToGrid w:val="0"/>
          <w:color w:val="auto"/>
          <w:sz w:val="24"/>
          <w:u w:val="none"/>
        </w:rPr>
      </w:pPr>
      <w:r>
        <w:rPr>
          <w:rFonts w:hint="default" w:ascii="Times New Roman" w:hAnsi="Times New Roman" w:cs="Times New Roman"/>
          <w:snapToGrid w:val="0"/>
          <w:color w:val="auto"/>
          <w:spacing w:val="-6"/>
          <w:sz w:val="24"/>
          <w:u w:val="none"/>
        </w:rPr>
        <w:t>采用对标法对声环境质量现状进行评价，即用现状监测结果与标准值进行对比。</w:t>
      </w:r>
    </w:p>
    <w:p w14:paraId="59D33258">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4.</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监测及评价结果</w:t>
      </w:r>
    </w:p>
    <w:p w14:paraId="58BE5066">
      <w:pPr>
        <w:pStyle w:val="61"/>
        <w:keepNext w:val="0"/>
        <w:keepLines w:val="0"/>
        <w:pageBreakBefore w:val="0"/>
        <w:kinsoku/>
        <w:wordWrap/>
        <w:overflowPunct/>
        <w:topLinePunct w:val="0"/>
        <w:autoSpaceDE/>
        <w:autoSpaceDN/>
        <w:bidi w:val="0"/>
        <w:spacing w:line="480" w:lineRule="exact"/>
        <w:textAlignment w:val="auto"/>
        <w:rPr>
          <w:rStyle w:val="40"/>
          <w:rFonts w:hint="default" w:ascii="Times New Roman" w:hAnsi="Times New Roman" w:cs="Times New Roman"/>
          <w:b/>
          <w:color w:val="auto"/>
          <w:highlight w:val="none"/>
          <w:u w:val="none"/>
        </w:rPr>
      </w:pPr>
      <w:r>
        <w:rPr>
          <w:rFonts w:hint="default" w:ascii="Times New Roman" w:hAnsi="Times New Roman" w:cs="Times New Roman"/>
          <w:color w:val="auto"/>
          <w:sz w:val="24"/>
          <w:szCs w:val="24"/>
          <w:highlight w:val="none"/>
          <w:u w:val="none"/>
        </w:rPr>
        <w:t>监测及评价结果统计</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见表</w:t>
      </w:r>
      <w:r>
        <w:rPr>
          <w:rFonts w:hint="eastAsia" w:cs="Times New Roman"/>
          <w:color w:val="auto"/>
          <w:sz w:val="24"/>
          <w:szCs w:val="24"/>
          <w:highlight w:val="none"/>
          <w:u w:val="none"/>
          <w:lang w:val="en-US" w:eastAsia="zh-CN"/>
        </w:rPr>
        <w:t>4.7-1</w:t>
      </w:r>
      <w:r>
        <w:rPr>
          <w:rFonts w:hint="default" w:ascii="Times New Roman" w:hAnsi="Times New Roman" w:cs="Times New Roman"/>
          <w:color w:val="auto"/>
          <w:sz w:val="24"/>
          <w:szCs w:val="24"/>
          <w:highlight w:val="none"/>
          <w:u w:val="none"/>
        </w:rPr>
        <w:t>。</w:t>
      </w:r>
    </w:p>
    <w:p w14:paraId="04646C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b w:val="0"/>
          <w:bCs/>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 xml:space="preserve">4.7-1  </w:t>
      </w:r>
      <w:r>
        <w:rPr>
          <w:rFonts w:hint="default" w:ascii="黑体" w:hAnsi="黑体" w:eastAsia="黑体" w:cs="黑体"/>
          <w:b w:val="0"/>
          <w:bCs/>
          <w:color w:val="auto"/>
          <w:kern w:val="2"/>
          <w:sz w:val="24"/>
          <w:szCs w:val="24"/>
          <w:u w:val="none"/>
          <w:lang w:val="en-US" w:eastAsia="zh-CN" w:bidi="ar-SA"/>
        </w:rPr>
        <w:t>声环境现状监测统计结果一览表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971"/>
        <w:gridCol w:w="686"/>
        <w:gridCol w:w="643"/>
        <w:gridCol w:w="1800"/>
        <w:gridCol w:w="643"/>
        <w:gridCol w:w="642"/>
        <w:gridCol w:w="640"/>
      </w:tblGrid>
      <w:tr w14:paraId="6FA77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21" w:type="pct"/>
            <w:vMerge w:val="restart"/>
            <w:tcBorders>
              <w:tl2br w:val="nil"/>
              <w:tr2bl w:val="nil"/>
            </w:tcBorders>
            <w:noWrap w:val="0"/>
            <w:vAlign w:val="center"/>
          </w:tcPr>
          <w:p w14:paraId="75FF5B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监测点位</w:t>
            </w:r>
          </w:p>
        </w:tc>
        <w:tc>
          <w:tcPr>
            <w:tcW w:w="1116" w:type="pct"/>
            <w:vMerge w:val="restart"/>
            <w:tcBorders>
              <w:tl2br w:val="nil"/>
              <w:tr2bl w:val="nil"/>
            </w:tcBorders>
            <w:noWrap w:val="0"/>
            <w:vAlign w:val="center"/>
          </w:tcPr>
          <w:p w14:paraId="2FB65E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测量时间</w:t>
            </w:r>
          </w:p>
        </w:tc>
        <w:tc>
          <w:tcPr>
            <w:tcW w:w="752" w:type="pct"/>
            <w:gridSpan w:val="2"/>
            <w:tcBorders>
              <w:tl2br w:val="nil"/>
              <w:tr2bl w:val="nil"/>
            </w:tcBorders>
            <w:noWrap w:val="0"/>
            <w:vAlign w:val="center"/>
          </w:tcPr>
          <w:p w14:paraId="1FA511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等 效 声 级 dB（A）</w:t>
            </w:r>
          </w:p>
        </w:tc>
        <w:tc>
          <w:tcPr>
            <w:tcW w:w="1019" w:type="pct"/>
            <w:vMerge w:val="restart"/>
            <w:tcBorders>
              <w:tl2br w:val="nil"/>
              <w:tr2bl w:val="nil"/>
            </w:tcBorders>
            <w:noWrap w:val="0"/>
            <w:vAlign w:val="center"/>
          </w:tcPr>
          <w:p w14:paraId="7A65F2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测量时间</w:t>
            </w:r>
          </w:p>
        </w:tc>
        <w:tc>
          <w:tcPr>
            <w:tcW w:w="727" w:type="pct"/>
            <w:gridSpan w:val="2"/>
            <w:tcBorders>
              <w:tl2br w:val="nil"/>
              <w:tr2bl w:val="nil"/>
            </w:tcBorders>
            <w:noWrap w:val="0"/>
            <w:vAlign w:val="center"/>
          </w:tcPr>
          <w:p w14:paraId="70390C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等 效 声 级 dB（A）</w:t>
            </w:r>
          </w:p>
        </w:tc>
        <w:tc>
          <w:tcPr>
            <w:tcW w:w="362" w:type="pct"/>
            <w:vMerge w:val="restart"/>
            <w:tcBorders>
              <w:tl2br w:val="nil"/>
              <w:tr2bl w:val="nil"/>
            </w:tcBorders>
            <w:noWrap w:val="0"/>
            <w:vAlign w:val="center"/>
          </w:tcPr>
          <w:p w14:paraId="0FC9A3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达标情况</w:t>
            </w:r>
          </w:p>
        </w:tc>
      </w:tr>
      <w:tr w14:paraId="7C054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21" w:type="pct"/>
            <w:vMerge w:val="continue"/>
            <w:tcBorders>
              <w:tl2br w:val="nil"/>
              <w:tr2bl w:val="nil"/>
            </w:tcBorders>
            <w:noWrap w:val="0"/>
            <w:vAlign w:val="center"/>
          </w:tcPr>
          <w:p w14:paraId="5DE1F0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c>
          <w:tcPr>
            <w:tcW w:w="1116" w:type="pct"/>
            <w:vMerge w:val="continue"/>
            <w:tcBorders>
              <w:tl2br w:val="nil"/>
              <w:tr2bl w:val="nil"/>
            </w:tcBorders>
            <w:noWrap w:val="0"/>
            <w:vAlign w:val="center"/>
          </w:tcPr>
          <w:p w14:paraId="762868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c>
          <w:tcPr>
            <w:tcW w:w="388" w:type="pct"/>
            <w:tcBorders>
              <w:tl2br w:val="nil"/>
              <w:tr2bl w:val="nil"/>
            </w:tcBorders>
            <w:noWrap w:val="0"/>
            <w:vAlign w:val="center"/>
          </w:tcPr>
          <w:p w14:paraId="335803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昼间</w:t>
            </w:r>
          </w:p>
        </w:tc>
        <w:tc>
          <w:tcPr>
            <w:tcW w:w="364" w:type="pct"/>
            <w:tcBorders>
              <w:tl2br w:val="nil"/>
              <w:tr2bl w:val="nil"/>
            </w:tcBorders>
            <w:noWrap w:val="0"/>
            <w:vAlign w:val="center"/>
          </w:tcPr>
          <w:p w14:paraId="1FB992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夜间</w:t>
            </w:r>
          </w:p>
        </w:tc>
        <w:tc>
          <w:tcPr>
            <w:tcW w:w="1019" w:type="pct"/>
            <w:vMerge w:val="continue"/>
            <w:tcBorders>
              <w:tl2br w:val="nil"/>
              <w:tr2bl w:val="nil"/>
            </w:tcBorders>
            <w:noWrap w:val="0"/>
            <w:vAlign w:val="center"/>
          </w:tcPr>
          <w:p w14:paraId="3485C8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c>
          <w:tcPr>
            <w:tcW w:w="364" w:type="pct"/>
            <w:tcBorders>
              <w:tl2br w:val="nil"/>
              <w:tr2bl w:val="nil"/>
            </w:tcBorders>
            <w:noWrap w:val="0"/>
            <w:vAlign w:val="center"/>
          </w:tcPr>
          <w:p w14:paraId="10C93B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昼间</w:t>
            </w:r>
          </w:p>
        </w:tc>
        <w:tc>
          <w:tcPr>
            <w:tcW w:w="363" w:type="pct"/>
            <w:tcBorders>
              <w:tl2br w:val="nil"/>
              <w:tr2bl w:val="nil"/>
            </w:tcBorders>
            <w:noWrap w:val="0"/>
            <w:vAlign w:val="center"/>
          </w:tcPr>
          <w:p w14:paraId="5F08F9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rPr>
              <w:t>夜间</w:t>
            </w:r>
          </w:p>
        </w:tc>
        <w:tc>
          <w:tcPr>
            <w:tcW w:w="362" w:type="pct"/>
            <w:vMerge w:val="continue"/>
            <w:tcBorders>
              <w:tl2br w:val="nil"/>
              <w:tr2bl w:val="nil"/>
            </w:tcBorders>
            <w:noWrap w:val="0"/>
            <w:vAlign w:val="center"/>
          </w:tcPr>
          <w:p w14:paraId="1AE35E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r>
      <w:tr w14:paraId="1F91B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21" w:type="pct"/>
            <w:tcBorders>
              <w:tl2br w:val="nil"/>
              <w:tr2bl w:val="nil"/>
            </w:tcBorders>
            <w:noWrap w:val="0"/>
            <w:vAlign w:val="center"/>
          </w:tcPr>
          <w:p w14:paraId="26B1EB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olor w:val="auto"/>
                <w:u w:val="none"/>
              </w:rPr>
              <w:t>MBHW6009井场</w:t>
            </w:r>
          </w:p>
        </w:tc>
        <w:tc>
          <w:tcPr>
            <w:tcW w:w="1116" w:type="pct"/>
            <w:tcBorders>
              <w:tl2br w:val="nil"/>
              <w:tr2bl w:val="nil"/>
            </w:tcBorders>
            <w:noWrap w:val="0"/>
            <w:vAlign w:val="center"/>
          </w:tcPr>
          <w:p w14:paraId="501373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eastAsia="宋体" w:cs="等线"/>
                <w:color w:val="auto"/>
                <w:kern w:val="2"/>
                <w:sz w:val="21"/>
                <w:szCs w:val="21"/>
                <w:highlight w:val="none"/>
                <w:u w:val="none"/>
                <w:lang w:val="en-US" w:eastAsia="zh-CN"/>
              </w:rPr>
              <w:t>202</w:t>
            </w:r>
            <w:r>
              <w:rPr>
                <w:rFonts w:hint="eastAsia" w:cs="等线"/>
                <w:color w:val="auto"/>
                <w:kern w:val="2"/>
                <w:sz w:val="21"/>
                <w:szCs w:val="21"/>
                <w:highlight w:val="none"/>
                <w:u w:val="none"/>
                <w:lang w:val="en-US" w:eastAsia="zh-CN"/>
              </w:rPr>
              <w:t>5</w:t>
            </w:r>
            <w:r>
              <w:rPr>
                <w:rFonts w:hint="eastAsia" w:eastAsia="宋体" w:cs="等线"/>
                <w:color w:val="auto"/>
                <w:kern w:val="2"/>
                <w:sz w:val="21"/>
                <w:szCs w:val="21"/>
                <w:highlight w:val="none"/>
                <w:u w:val="none"/>
                <w:lang w:val="en-US" w:eastAsia="zh-CN"/>
              </w:rPr>
              <w:t>年</w:t>
            </w:r>
            <w:r>
              <w:rPr>
                <w:rFonts w:hint="eastAsia" w:cs="等线"/>
                <w:color w:val="auto"/>
                <w:kern w:val="2"/>
                <w:sz w:val="21"/>
                <w:szCs w:val="21"/>
                <w:highlight w:val="none"/>
                <w:u w:val="none"/>
                <w:lang w:val="en-US" w:eastAsia="zh-CN"/>
              </w:rPr>
              <w:t>8</w:t>
            </w:r>
            <w:r>
              <w:rPr>
                <w:rFonts w:hint="eastAsia" w:eastAsia="宋体" w:cs="等线"/>
                <w:color w:val="auto"/>
                <w:kern w:val="2"/>
                <w:sz w:val="21"/>
                <w:szCs w:val="21"/>
                <w:highlight w:val="none"/>
                <w:u w:val="none"/>
                <w:lang w:val="en-US" w:eastAsia="zh-CN"/>
              </w:rPr>
              <w:t>月</w:t>
            </w:r>
            <w:r>
              <w:rPr>
                <w:rFonts w:hint="eastAsia" w:cs="等线"/>
                <w:color w:val="auto"/>
                <w:kern w:val="2"/>
                <w:sz w:val="21"/>
                <w:szCs w:val="21"/>
                <w:highlight w:val="none"/>
                <w:u w:val="none"/>
                <w:lang w:val="en-US" w:eastAsia="zh-CN"/>
              </w:rPr>
              <w:t>1日-</w:t>
            </w:r>
            <w:r>
              <w:rPr>
                <w:rFonts w:hint="eastAsia" w:eastAsia="宋体" w:cs="等线"/>
                <w:color w:val="auto"/>
                <w:kern w:val="2"/>
                <w:sz w:val="21"/>
                <w:szCs w:val="21"/>
                <w:highlight w:val="none"/>
                <w:u w:val="none"/>
                <w:lang w:val="en-US" w:eastAsia="zh-CN"/>
              </w:rPr>
              <w:t>202</w:t>
            </w:r>
            <w:r>
              <w:rPr>
                <w:rFonts w:hint="eastAsia" w:cs="等线"/>
                <w:color w:val="auto"/>
                <w:kern w:val="2"/>
                <w:sz w:val="21"/>
                <w:szCs w:val="21"/>
                <w:highlight w:val="none"/>
                <w:u w:val="none"/>
                <w:lang w:val="en-US" w:eastAsia="zh-CN"/>
              </w:rPr>
              <w:t>5</w:t>
            </w:r>
            <w:r>
              <w:rPr>
                <w:rFonts w:hint="eastAsia" w:eastAsia="宋体" w:cs="等线"/>
                <w:color w:val="auto"/>
                <w:kern w:val="2"/>
                <w:sz w:val="21"/>
                <w:szCs w:val="21"/>
                <w:highlight w:val="none"/>
                <w:u w:val="none"/>
                <w:lang w:val="en-US" w:eastAsia="zh-CN"/>
              </w:rPr>
              <w:t>年</w:t>
            </w:r>
            <w:r>
              <w:rPr>
                <w:rFonts w:hint="eastAsia" w:cs="等线"/>
                <w:color w:val="auto"/>
                <w:kern w:val="2"/>
                <w:sz w:val="21"/>
                <w:szCs w:val="21"/>
                <w:highlight w:val="none"/>
                <w:u w:val="none"/>
                <w:lang w:val="en-US" w:eastAsia="zh-CN"/>
              </w:rPr>
              <w:t>8</w:t>
            </w:r>
            <w:r>
              <w:rPr>
                <w:rFonts w:hint="eastAsia" w:eastAsia="宋体" w:cs="等线"/>
                <w:color w:val="auto"/>
                <w:kern w:val="2"/>
                <w:sz w:val="21"/>
                <w:szCs w:val="21"/>
                <w:highlight w:val="none"/>
                <w:u w:val="none"/>
                <w:lang w:val="en-US" w:eastAsia="zh-CN"/>
              </w:rPr>
              <w:t>月</w:t>
            </w:r>
            <w:r>
              <w:rPr>
                <w:rFonts w:hint="eastAsia" w:cs="等线"/>
                <w:color w:val="auto"/>
                <w:kern w:val="2"/>
                <w:sz w:val="21"/>
                <w:szCs w:val="21"/>
                <w:highlight w:val="none"/>
                <w:u w:val="none"/>
                <w:lang w:val="en-US" w:eastAsia="zh-CN"/>
              </w:rPr>
              <w:t>2日</w:t>
            </w:r>
          </w:p>
        </w:tc>
        <w:tc>
          <w:tcPr>
            <w:tcW w:w="388" w:type="pct"/>
            <w:tcBorders>
              <w:tl2br w:val="nil"/>
              <w:tr2bl w:val="nil"/>
            </w:tcBorders>
            <w:noWrap w:val="0"/>
            <w:vAlign w:val="center"/>
          </w:tcPr>
          <w:p w14:paraId="74C47D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43</w:t>
            </w:r>
          </w:p>
        </w:tc>
        <w:tc>
          <w:tcPr>
            <w:tcW w:w="364" w:type="pct"/>
            <w:tcBorders>
              <w:tl2br w:val="nil"/>
              <w:tr2bl w:val="nil"/>
            </w:tcBorders>
            <w:noWrap w:val="0"/>
            <w:vAlign w:val="center"/>
          </w:tcPr>
          <w:p w14:paraId="425B7E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40</w:t>
            </w:r>
          </w:p>
        </w:tc>
        <w:tc>
          <w:tcPr>
            <w:tcW w:w="1019" w:type="pct"/>
            <w:tcBorders>
              <w:tl2br w:val="nil"/>
              <w:tr2bl w:val="nil"/>
            </w:tcBorders>
            <w:noWrap w:val="0"/>
            <w:vAlign w:val="center"/>
          </w:tcPr>
          <w:p w14:paraId="0237C4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eastAsia="宋体" w:cs="等线"/>
                <w:color w:val="auto"/>
                <w:kern w:val="2"/>
                <w:sz w:val="21"/>
                <w:szCs w:val="21"/>
                <w:highlight w:val="none"/>
                <w:u w:val="none"/>
                <w:lang w:val="en-US" w:eastAsia="zh-CN"/>
              </w:rPr>
              <w:t>202</w:t>
            </w:r>
            <w:r>
              <w:rPr>
                <w:rFonts w:hint="eastAsia" w:cs="等线"/>
                <w:color w:val="auto"/>
                <w:kern w:val="2"/>
                <w:sz w:val="21"/>
                <w:szCs w:val="21"/>
                <w:highlight w:val="none"/>
                <w:u w:val="none"/>
                <w:lang w:val="en-US" w:eastAsia="zh-CN"/>
              </w:rPr>
              <w:t>5</w:t>
            </w:r>
            <w:r>
              <w:rPr>
                <w:rFonts w:hint="eastAsia" w:eastAsia="宋体" w:cs="等线"/>
                <w:color w:val="auto"/>
                <w:kern w:val="2"/>
                <w:sz w:val="21"/>
                <w:szCs w:val="21"/>
                <w:highlight w:val="none"/>
                <w:u w:val="none"/>
                <w:lang w:val="en-US" w:eastAsia="zh-CN"/>
              </w:rPr>
              <w:t>年</w:t>
            </w:r>
            <w:r>
              <w:rPr>
                <w:rFonts w:hint="eastAsia" w:cs="等线"/>
                <w:color w:val="auto"/>
                <w:kern w:val="2"/>
                <w:sz w:val="21"/>
                <w:szCs w:val="21"/>
                <w:highlight w:val="none"/>
                <w:u w:val="none"/>
                <w:lang w:val="en-US" w:eastAsia="zh-CN"/>
              </w:rPr>
              <w:t>8</w:t>
            </w:r>
            <w:r>
              <w:rPr>
                <w:rFonts w:hint="eastAsia" w:eastAsia="宋体" w:cs="等线"/>
                <w:color w:val="auto"/>
                <w:kern w:val="2"/>
                <w:sz w:val="21"/>
                <w:szCs w:val="21"/>
                <w:highlight w:val="none"/>
                <w:u w:val="none"/>
                <w:lang w:val="en-US" w:eastAsia="zh-CN"/>
              </w:rPr>
              <w:t>月</w:t>
            </w:r>
            <w:r>
              <w:rPr>
                <w:rFonts w:hint="eastAsia" w:cs="等线"/>
                <w:color w:val="auto"/>
                <w:kern w:val="2"/>
                <w:sz w:val="21"/>
                <w:szCs w:val="21"/>
                <w:highlight w:val="none"/>
                <w:u w:val="none"/>
                <w:lang w:val="en-US" w:eastAsia="zh-CN"/>
              </w:rPr>
              <w:t>2日-</w:t>
            </w:r>
            <w:r>
              <w:rPr>
                <w:rFonts w:hint="eastAsia" w:eastAsia="宋体" w:cs="等线"/>
                <w:color w:val="auto"/>
                <w:kern w:val="2"/>
                <w:sz w:val="21"/>
                <w:szCs w:val="21"/>
                <w:highlight w:val="none"/>
                <w:u w:val="none"/>
                <w:lang w:val="en-US" w:eastAsia="zh-CN"/>
              </w:rPr>
              <w:t>202</w:t>
            </w:r>
            <w:r>
              <w:rPr>
                <w:rFonts w:hint="eastAsia" w:cs="等线"/>
                <w:color w:val="auto"/>
                <w:kern w:val="2"/>
                <w:sz w:val="21"/>
                <w:szCs w:val="21"/>
                <w:highlight w:val="none"/>
                <w:u w:val="none"/>
                <w:lang w:val="en-US" w:eastAsia="zh-CN"/>
              </w:rPr>
              <w:t>5</w:t>
            </w:r>
            <w:r>
              <w:rPr>
                <w:rFonts w:hint="eastAsia" w:eastAsia="宋体" w:cs="等线"/>
                <w:color w:val="auto"/>
                <w:kern w:val="2"/>
                <w:sz w:val="21"/>
                <w:szCs w:val="21"/>
                <w:highlight w:val="none"/>
                <w:u w:val="none"/>
                <w:lang w:val="en-US" w:eastAsia="zh-CN"/>
              </w:rPr>
              <w:t>年</w:t>
            </w:r>
            <w:r>
              <w:rPr>
                <w:rFonts w:hint="eastAsia" w:cs="等线"/>
                <w:color w:val="auto"/>
                <w:kern w:val="2"/>
                <w:sz w:val="21"/>
                <w:szCs w:val="21"/>
                <w:highlight w:val="none"/>
                <w:u w:val="none"/>
                <w:lang w:val="en-US" w:eastAsia="zh-CN"/>
              </w:rPr>
              <w:t>8</w:t>
            </w:r>
            <w:r>
              <w:rPr>
                <w:rFonts w:hint="eastAsia" w:eastAsia="宋体" w:cs="等线"/>
                <w:color w:val="auto"/>
                <w:kern w:val="2"/>
                <w:sz w:val="21"/>
                <w:szCs w:val="21"/>
                <w:highlight w:val="none"/>
                <w:u w:val="none"/>
                <w:lang w:val="en-US" w:eastAsia="zh-CN"/>
              </w:rPr>
              <w:t>月</w:t>
            </w:r>
            <w:r>
              <w:rPr>
                <w:rFonts w:hint="eastAsia" w:cs="等线"/>
                <w:color w:val="auto"/>
                <w:kern w:val="2"/>
                <w:sz w:val="21"/>
                <w:szCs w:val="21"/>
                <w:highlight w:val="none"/>
                <w:u w:val="none"/>
                <w:lang w:val="en-US" w:eastAsia="zh-CN"/>
              </w:rPr>
              <w:t>3日</w:t>
            </w:r>
          </w:p>
        </w:tc>
        <w:tc>
          <w:tcPr>
            <w:tcW w:w="364" w:type="pct"/>
            <w:tcBorders>
              <w:tl2br w:val="nil"/>
              <w:tr2bl w:val="nil"/>
            </w:tcBorders>
            <w:noWrap w:val="0"/>
            <w:vAlign w:val="center"/>
          </w:tcPr>
          <w:p w14:paraId="659529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44</w:t>
            </w:r>
          </w:p>
        </w:tc>
        <w:tc>
          <w:tcPr>
            <w:tcW w:w="363" w:type="pct"/>
            <w:tcBorders>
              <w:tl2br w:val="nil"/>
              <w:tr2bl w:val="nil"/>
            </w:tcBorders>
            <w:noWrap w:val="0"/>
            <w:vAlign w:val="center"/>
          </w:tcPr>
          <w:p w14:paraId="15C9E7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42</w:t>
            </w:r>
          </w:p>
        </w:tc>
        <w:tc>
          <w:tcPr>
            <w:tcW w:w="362" w:type="pct"/>
            <w:tcBorders>
              <w:tl2br w:val="nil"/>
              <w:tr2bl w:val="nil"/>
            </w:tcBorders>
            <w:noWrap w:val="0"/>
            <w:vAlign w:val="center"/>
          </w:tcPr>
          <w:p w14:paraId="644BDF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达标</w:t>
            </w:r>
          </w:p>
        </w:tc>
      </w:tr>
      <w:tr w14:paraId="4CA0B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21" w:type="pct"/>
            <w:tcBorders>
              <w:tl2br w:val="nil"/>
              <w:tr2bl w:val="nil"/>
            </w:tcBorders>
            <w:noWrap w:val="0"/>
            <w:vAlign w:val="center"/>
          </w:tcPr>
          <w:p w14:paraId="78DFA5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等线"/>
                <w:color w:val="auto"/>
                <w:kern w:val="2"/>
                <w:sz w:val="21"/>
                <w:szCs w:val="21"/>
                <w:highlight w:val="none"/>
                <w:u w:val="none"/>
                <w:lang w:val="en-US"/>
              </w:rPr>
            </w:pPr>
            <w:r>
              <w:rPr>
                <w:rFonts w:hint="eastAsia" w:cs="等线"/>
                <w:color w:val="auto"/>
                <w:spacing w:val="3"/>
                <w:sz w:val="21"/>
                <w:szCs w:val="21"/>
                <w:highlight w:val="none"/>
                <w:u w:val="none"/>
                <w:lang w:val="en-US" w:eastAsia="zh-CN"/>
              </w:rPr>
              <w:t>已建莫109转油站厂界东南侧</w:t>
            </w:r>
          </w:p>
        </w:tc>
        <w:tc>
          <w:tcPr>
            <w:tcW w:w="1116" w:type="pct"/>
            <w:vMerge w:val="restart"/>
            <w:tcBorders>
              <w:tl2br w:val="nil"/>
              <w:tr2bl w:val="nil"/>
            </w:tcBorders>
            <w:noWrap w:val="0"/>
            <w:vAlign w:val="center"/>
          </w:tcPr>
          <w:p w14:paraId="4989C6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等线"/>
                <w:color w:val="auto"/>
                <w:kern w:val="2"/>
                <w:sz w:val="21"/>
                <w:szCs w:val="21"/>
                <w:highlight w:val="none"/>
                <w:u w:val="none"/>
                <w:lang w:val="en-US" w:eastAsia="zh-CN" w:bidi="ar-SA"/>
              </w:rPr>
            </w:pPr>
            <w:r>
              <w:rPr>
                <w:rFonts w:hint="eastAsia" w:eastAsia="宋体" w:cs="等线"/>
                <w:color w:val="auto"/>
                <w:kern w:val="2"/>
                <w:sz w:val="21"/>
                <w:szCs w:val="21"/>
                <w:highlight w:val="none"/>
                <w:u w:val="none"/>
                <w:lang w:val="en-US" w:eastAsia="zh-CN"/>
              </w:rPr>
              <w:t>202</w:t>
            </w:r>
            <w:r>
              <w:rPr>
                <w:rFonts w:hint="eastAsia" w:cs="等线"/>
                <w:color w:val="auto"/>
                <w:kern w:val="2"/>
                <w:sz w:val="21"/>
                <w:szCs w:val="21"/>
                <w:highlight w:val="none"/>
                <w:u w:val="none"/>
                <w:lang w:val="en-US" w:eastAsia="zh-CN"/>
              </w:rPr>
              <w:t>5</w:t>
            </w:r>
            <w:r>
              <w:rPr>
                <w:rFonts w:hint="eastAsia" w:eastAsia="宋体" w:cs="等线"/>
                <w:color w:val="auto"/>
                <w:kern w:val="2"/>
                <w:sz w:val="21"/>
                <w:szCs w:val="21"/>
                <w:highlight w:val="none"/>
                <w:u w:val="none"/>
                <w:lang w:val="en-US" w:eastAsia="zh-CN"/>
              </w:rPr>
              <w:t>年</w:t>
            </w:r>
            <w:r>
              <w:rPr>
                <w:rFonts w:hint="eastAsia" w:cs="等线"/>
                <w:color w:val="auto"/>
                <w:kern w:val="2"/>
                <w:sz w:val="21"/>
                <w:szCs w:val="21"/>
                <w:highlight w:val="none"/>
                <w:u w:val="none"/>
                <w:lang w:val="en-US" w:eastAsia="zh-CN"/>
              </w:rPr>
              <w:t>8</w:t>
            </w:r>
            <w:r>
              <w:rPr>
                <w:rFonts w:hint="eastAsia" w:eastAsia="宋体" w:cs="等线"/>
                <w:color w:val="auto"/>
                <w:kern w:val="2"/>
                <w:sz w:val="21"/>
                <w:szCs w:val="21"/>
                <w:highlight w:val="none"/>
                <w:u w:val="none"/>
                <w:lang w:val="en-US" w:eastAsia="zh-CN"/>
              </w:rPr>
              <w:t>月</w:t>
            </w:r>
            <w:r>
              <w:rPr>
                <w:rFonts w:hint="eastAsia" w:cs="等线"/>
                <w:color w:val="auto"/>
                <w:kern w:val="2"/>
                <w:sz w:val="21"/>
                <w:szCs w:val="21"/>
                <w:highlight w:val="none"/>
                <w:u w:val="none"/>
                <w:lang w:val="en-US" w:eastAsia="zh-CN"/>
              </w:rPr>
              <w:t>1日-</w:t>
            </w:r>
            <w:r>
              <w:rPr>
                <w:rFonts w:hint="eastAsia" w:eastAsia="宋体" w:cs="等线"/>
                <w:color w:val="auto"/>
                <w:kern w:val="2"/>
                <w:sz w:val="21"/>
                <w:szCs w:val="21"/>
                <w:highlight w:val="none"/>
                <w:u w:val="none"/>
                <w:lang w:val="en-US" w:eastAsia="zh-CN"/>
              </w:rPr>
              <w:t>202</w:t>
            </w:r>
            <w:r>
              <w:rPr>
                <w:rFonts w:hint="eastAsia" w:cs="等线"/>
                <w:color w:val="auto"/>
                <w:kern w:val="2"/>
                <w:sz w:val="21"/>
                <w:szCs w:val="21"/>
                <w:highlight w:val="none"/>
                <w:u w:val="none"/>
                <w:lang w:val="en-US" w:eastAsia="zh-CN"/>
              </w:rPr>
              <w:t>5</w:t>
            </w:r>
            <w:r>
              <w:rPr>
                <w:rFonts w:hint="eastAsia" w:eastAsia="宋体" w:cs="等线"/>
                <w:color w:val="auto"/>
                <w:kern w:val="2"/>
                <w:sz w:val="21"/>
                <w:szCs w:val="21"/>
                <w:highlight w:val="none"/>
                <w:u w:val="none"/>
                <w:lang w:val="en-US" w:eastAsia="zh-CN"/>
              </w:rPr>
              <w:t>年</w:t>
            </w:r>
            <w:r>
              <w:rPr>
                <w:rFonts w:hint="eastAsia" w:cs="等线"/>
                <w:color w:val="auto"/>
                <w:kern w:val="2"/>
                <w:sz w:val="21"/>
                <w:szCs w:val="21"/>
                <w:highlight w:val="none"/>
                <w:u w:val="none"/>
                <w:lang w:val="en-US" w:eastAsia="zh-CN"/>
              </w:rPr>
              <w:t>8</w:t>
            </w:r>
            <w:r>
              <w:rPr>
                <w:rFonts w:hint="eastAsia" w:eastAsia="宋体" w:cs="等线"/>
                <w:color w:val="auto"/>
                <w:kern w:val="2"/>
                <w:sz w:val="21"/>
                <w:szCs w:val="21"/>
                <w:highlight w:val="none"/>
                <w:u w:val="none"/>
                <w:lang w:val="en-US" w:eastAsia="zh-CN"/>
              </w:rPr>
              <w:t>月</w:t>
            </w:r>
            <w:r>
              <w:rPr>
                <w:rFonts w:hint="eastAsia" w:cs="等线"/>
                <w:color w:val="auto"/>
                <w:kern w:val="2"/>
                <w:sz w:val="21"/>
                <w:szCs w:val="21"/>
                <w:highlight w:val="none"/>
                <w:u w:val="none"/>
                <w:lang w:val="en-US" w:eastAsia="zh-CN"/>
              </w:rPr>
              <w:t>2日</w:t>
            </w:r>
          </w:p>
        </w:tc>
        <w:tc>
          <w:tcPr>
            <w:tcW w:w="388" w:type="pct"/>
            <w:tcBorders>
              <w:tl2br w:val="nil"/>
              <w:tr2bl w:val="nil"/>
            </w:tcBorders>
            <w:noWrap w:val="0"/>
            <w:vAlign w:val="center"/>
          </w:tcPr>
          <w:p w14:paraId="175730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58</w:t>
            </w:r>
          </w:p>
        </w:tc>
        <w:tc>
          <w:tcPr>
            <w:tcW w:w="364" w:type="pct"/>
            <w:tcBorders>
              <w:tl2br w:val="nil"/>
              <w:tr2bl w:val="nil"/>
            </w:tcBorders>
            <w:noWrap w:val="0"/>
            <w:vAlign w:val="center"/>
          </w:tcPr>
          <w:p w14:paraId="618B13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49</w:t>
            </w:r>
          </w:p>
        </w:tc>
        <w:tc>
          <w:tcPr>
            <w:tcW w:w="1019" w:type="pct"/>
            <w:vMerge w:val="restart"/>
            <w:tcBorders>
              <w:tl2br w:val="nil"/>
              <w:tr2bl w:val="nil"/>
            </w:tcBorders>
            <w:noWrap w:val="0"/>
            <w:vAlign w:val="center"/>
          </w:tcPr>
          <w:p w14:paraId="66E7CB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等线"/>
                <w:color w:val="auto"/>
                <w:kern w:val="2"/>
                <w:sz w:val="21"/>
                <w:szCs w:val="21"/>
                <w:highlight w:val="none"/>
                <w:u w:val="none"/>
                <w:lang w:val="en-US" w:eastAsia="zh-CN" w:bidi="ar-SA"/>
              </w:rPr>
            </w:pPr>
            <w:r>
              <w:rPr>
                <w:rFonts w:hint="eastAsia" w:eastAsia="宋体" w:cs="等线"/>
                <w:color w:val="auto"/>
                <w:kern w:val="2"/>
                <w:sz w:val="21"/>
                <w:szCs w:val="21"/>
                <w:highlight w:val="none"/>
                <w:u w:val="none"/>
                <w:lang w:val="en-US" w:eastAsia="zh-CN"/>
              </w:rPr>
              <w:t>202</w:t>
            </w:r>
            <w:r>
              <w:rPr>
                <w:rFonts w:hint="eastAsia" w:cs="等线"/>
                <w:color w:val="auto"/>
                <w:kern w:val="2"/>
                <w:sz w:val="21"/>
                <w:szCs w:val="21"/>
                <w:highlight w:val="none"/>
                <w:u w:val="none"/>
                <w:lang w:val="en-US" w:eastAsia="zh-CN"/>
              </w:rPr>
              <w:t>5</w:t>
            </w:r>
            <w:r>
              <w:rPr>
                <w:rFonts w:hint="eastAsia" w:eastAsia="宋体" w:cs="等线"/>
                <w:color w:val="auto"/>
                <w:kern w:val="2"/>
                <w:sz w:val="21"/>
                <w:szCs w:val="21"/>
                <w:highlight w:val="none"/>
                <w:u w:val="none"/>
                <w:lang w:val="en-US" w:eastAsia="zh-CN"/>
              </w:rPr>
              <w:t>年</w:t>
            </w:r>
            <w:r>
              <w:rPr>
                <w:rFonts w:hint="eastAsia" w:cs="等线"/>
                <w:color w:val="auto"/>
                <w:kern w:val="2"/>
                <w:sz w:val="21"/>
                <w:szCs w:val="21"/>
                <w:highlight w:val="none"/>
                <w:u w:val="none"/>
                <w:lang w:val="en-US" w:eastAsia="zh-CN"/>
              </w:rPr>
              <w:t>8</w:t>
            </w:r>
            <w:r>
              <w:rPr>
                <w:rFonts w:hint="eastAsia" w:eastAsia="宋体" w:cs="等线"/>
                <w:color w:val="auto"/>
                <w:kern w:val="2"/>
                <w:sz w:val="21"/>
                <w:szCs w:val="21"/>
                <w:highlight w:val="none"/>
                <w:u w:val="none"/>
                <w:lang w:val="en-US" w:eastAsia="zh-CN"/>
              </w:rPr>
              <w:t>月</w:t>
            </w:r>
            <w:r>
              <w:rPr>
                <w:rFonts w:hint="eastAsia" w:cs="等线"/>
                <w:color w:val="auto"/>
                <w:kern w:val="2"/>
                <w:sz w:val="21"/>
                <w:szCs w:val="21"/>
                <w:highlight w:val="none"/>
                <w:u w:val="none"/>
                <w:lang w:val="en-US" w:eastAsia="zh-CN"/>
              </w:rPr>
              <w:t>2日-</w:t>
            </w:r>
            <w:r>
              <w:rPr>
                <w:rFonts w:hint="eastAsia" w:eastAsia="宋体" w:cs="等线"/>
                <w:color w:val="auto"/>
                <w:kern w:val="2"/>
                <w:sz w:val="21"/>
                <w:szCs w:val="21"/>
                <w:highlight w:val="none"/>
                <w:u w:val="none"/>
                <w:lang w:val="en-US" w:eastAsia="zh-CN"/>
              </w:rPr>
              <w:t>202</w:t>
            </w:r>
            <w:r>
              <w:rPr>
                <w:rFonts w:hint="eastAsia" w:cs="等线"/>
                <w:color w:val="auto"/>
                <w:kern w:val="2"/>
                <w:sz w:val="21"/>
                <w:szCs w:val="21"/>
                <w:highlight w:val="none"/>
                <w:u w:val="none"/>
                <w:lang w:val="en-US" w:eastAsia="zh-CN"/>
              </w:rPr>
              <w:t>5</w:t>
            </w:r>
            <w:r>
              <w:rPr>
                <w:rFonts w:hint="eastAsia" w:eastAsia="宋体" w:cs="等线"/>
                <w:color w:val="auto"/>
                <w:kern w:val="2"/>
                <w:sz w:val="21"/>
                <w:szCs w:val="21"/>
                <w:highlight w:val="none"/>
                <w:u w:val="none"/>
                <w:lang w:val="en-US" w:eastAsia="zh-CN"/>
              </w:rPr>
              <w:t>年</w:t>
            </w:r>
            <w:r>
              <w:rPr>
                <w:rFonts w:hint="eastAsia" w:cs="等线"/>
                <w:color w:val="auto"/>
                <w:kern w:val="2"/>
                <w:sz w:val="21"/>
                <w:szCs w:val="21"/>
                <w:highlight w:val="none"/>
                <w:u w:val="none"/>
                <w:lang w:val="en-US" w:eastAsia="zh-CN"/>
              </w:rPr>
              <w:t>8</w:t>
            </w:r>
            <w:r>
              <w:rPr>
                <w:rFonts w:hint="eastAsia" w:eastAsia="宋体" w:cs="等线"/>
                <w:color w:val="auto"/>
                <w:kern w:val="2"/>
                <w:sz w:val="21"/>
                <w:szCs w:val="21"/>
                <w:highlight w:val="none"/>
                <w:u w:val="none"/>
                <w:lang w:val="en-US" w:eastAsia="zh-CN"/>
              </w:rPr>
              <w:t>月</w:t>
            </w:r>
            <w:r>
              <w:rPr>
                <w:rFonts w:hint="eastAsia" w:cs="等线"/>
                <w:color w:val="auto"/>
                <w:kern w:val="2"/>
                <w:sz w:val="21"/>
                <w:szCs w:val="21"/>
                <w:highlight w:val="none"/>
                <w:u w:val="none"/>
                <w:lang w:val="en-US" w:eastAsia="zh-CN"/>
              </w:rPr>
              <w:t>3日</w:t>
            </w:r>
          </w:p>
        </w:tc>
        <w:tc>
          <w:tcPr>
            <w:tcW w:w="364" w:type="pct"/>
            <w:tcBorders>
              <w:tl2br w:val="nil"/>
              <w:tr2bl w:val="nil"/>
            </w:tcBorders>
            <w:noWrap w:val="0"/>
            <w:vAlign w:val="center"/>
          </w:tcPr>
          <w:p w14:paraId="0C6C4A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56</w:t>
            </w:r>
          </w:p>
        </w:tc>
        <w:tc>
          <w:tcPr>
            <w:tcW w:w="363" w:type="pct"/>
            <w:tcBorders>
              <w:tl2br w:val="nil"/>
              <w:tr2bl w:val="nil"/>
            </w:tcBorders>
            <w:noWrap w:val="0"/>
            <w:vAlign w:val="center"/>
          </w:tcPr>
          <w:p w14:paraId="1FFAEA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48</w:t>
            </w:r>
          </w:p>
        </w:tc>
        <w:tc>
          <w:tcPr>
            <w:tcW w:w="362" w:type="pct"/>
            <w:tcBorders>
              <w:tl2br w:val="nil"/>
              <w:tr2bl w:val="nil"/>
            </w:tcBorders>
            <w:noWrap w:val="0"/>
            <w:vAlign w:val="center"/>
          </w:tcPr>
          <w:p w14:paraId="348FEE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lang w:val="en-US" w:eastAsia="zh-CN"/>
              </w:rPr>
              <w:t>达标</w:t>
            </w:r>
          </w:p>
        </w:tc>
      </w:tr>
      <w:tr w14:paraId="31BF5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21" w:type="pct"/>
            <w:tcBorders>
              <w:tl2br w:val="nil"/>
              <w:tr2bl w:val="nil"/>
            </w:tcBorders>
            <w:noWrap w:val="0"/>
            <w:vAlign w:val="center"/>
          </w:tcPr>
          <w:p w14:paraId="6DDEFB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spacing w:val="3"/>
                <w:sz w:val="21"/>
                <w:szCs w:val="21"/>
                <w:highlight w:val="none"/>
                <w:u w:val="none"/>
                <w:lang w:val="en-US" w:eastAsia="zh-CN"/>
              </w:rPr>
              <w:t>已建莫109转油站厂界东北侧</w:t>
            </w:r>
          </w:p>
        </w:tc>
        <w:tc>
          <w:tcPr>
            <w:tcW w:w="1116" w:type="pct"/>
            <w:vMerge w:val="continue"/>
            <w:tcBorders>
              <w:tl2br w:val="nil"/>
              <w:tr2bl w:val="nil"/>
            </w:tcBorders>
            <w:noWrap w:val="0"/>
            <w:vAlign w:val="center"/>
          </w:tcPr>
          <w:p w14:paraId="7135F9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c>
          <w:tcPr>
            <w:tcW w:w="388" w:type="pct"/>
            <w:tcBorders>
              <w:tl2br w:val="nil"/>
              <w:tr2bl w:val="nil"/>
            </w:tcBorders>
            <w:noWrap w:val="0"/>
            <w:vAlign w:val="center"/>
          </w:tcPr>
          <w:p w14:paraId="3772C7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46</w:t>
            </w:r>
          </w:p>
        </w:tc>
        <w:tc>
          <w:tcPr>
            <w:tcW w:w="364" w:type="pct"/>
            <w:tcBorders>
              <w:tl2br w:val="nil"/>
              <w:tr2bl w:val="nil"/>
            </w:tcBorders>
            <w:noWrap w:val="0"/>
            <w:vAlign w:val="center"/>
          </w:tcPr>
          <w:p w14:paraId="12BC15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42</w:t>
            </w:r>
          </w:p>
        </w:tc>
        <w:tc>
          <w:tcPr>
            <w:tcW w:w="1019" w:type="pct"/>
            <w:vMerge w:val="continue"/>
            <w:tcBorders>
              <w:tl2br w:val="nil"/>
              <w:tr2bl w:val="nil"/>
            </w:tcBorders>
            <w:noWrap w:val="0"/>
            <w:vAlign w:val="center"/>
          </w:tcPr>
          <w:p w14:paraId="169492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c>
          <w:tcPr>
            <w:tcW w:w="364" w:type="pct"/>
            <w:tcBorders>
              <w:tl2br w:val="nil"/>
              <w:tr2bl w:val="nil"/>
            </w:tcBorders>
            <w:noWrap w:val="0"/>
            <w:vAlign w:val="center"/>
          </w:tcPr>
          <w:p w14:paraId="5F67C9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46</w:t>
            </w:r>
          </w:p>
        </w:tc>
        <w:tc>
          <w:tcPr>
            <w:tcW w:w="363" w:type="pct"/>
            <w:tcBorders>
              <w:tl2br w:val="nil"/>
              <w:tr2bl w:val="nil"/>
            </w:tcBorders>
            <w:noWrap w:val="0"/>
            <w:vAlign w:val="center"/>
          </w:tcPr>
          <w:p w14:paraId="00B534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41</w:t>
            </w:r>
          </w:p>
        </w:tc>
        <w:tc>
          <w:tcPr>
            <w:tcW w:w="362" w:type="pct"/>
            <w:tcBorders>
              <w:tl2br w:val="nil"/>
              <w:tr2bl w:val="nil"/>
            </w:tcBorders>
            <w:noWrap w:val="0"/>
            <w:vAlign w:val="center"/>
          </w:tcPr>
          <w:p w14:paraId="6053BD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lang w:val="en-US" w:eastAsia="zh-CN"/>
              </w:rPr>
              <w:t>达标</w:t>
            </w:r>
          </w:p>
        </w:tc>
      </w:tr>
      <w:tr w14:paraId="06635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21" w:type="pct"/>
            <w:tcBorders>
              <w:tl2br w:val="nil"/>
              <w:tr2bl w:val="nil"/>
            </w:tcBorders>
            <w:noWrap w:val="0"/>
            <w:vAlign w:val="center"/>
          </w:tcPr>
          <w:p w14:paraId="513F18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spacing w:val="3"/>
                <w:sz w:val="21"/>
                <w:szCs w:val="21"/>
                <w:highlight w:val="none"/>
                <w:u w:val="none"/>
                <w:lang w:val="en-US" w:eastAsia="zh-CN"/>
              </w:rPr>
              <w:t>已建莫109转油站厂界西北侧</w:t>
            </w:r>
          </w:p>
        </w:tc>
        <w:tc>
          <w:tcPr>
            <w:tcW w:w="1116" w:type="pct"/>
            <w:vMerge w:val="continue"/>
            <w:tcBorders>
              <w:tl2br w:val="nil"/>
              <w:tr2bl w:val="nil"/>
            </w:tcBorders>
            <w:noWrap w:val="0"/>
            <w:vAlign w:val="center"/>
          </w:tcPr>
          <w:p w14:paraId="3AA56B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c>
          <w:tcPr>
            <w:tcW w:w="388" w:type="pct"/>
            <w:tcBorders>
              <w:tl2br w:val="nil"/>
              <w:tr2bl w:val="nil"/>
            </w:tcBorders>
            <w:noWrap w:val="0"/>
            <w:vAlign w:val="center"/>
          </w:tcPr>
          <w:p w14:paraId="70AB8D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47</w:t>
            </w:r>
          </w:p>
        </w:tc>
        <w:tc>
          <w:tcPr>
            <w:tcW w:w="364" w:type="pct"/>
            <w:tcBorders>
              <w:tl2br w:val="nil"/>
              <w:tr2bl w:val="nil"/>
            </w:tcBorders>
            <w:noWrap w:val="0"/>
            <w:vAlign w:val="center"/>
          </w:tcPr>
          <w:p w14:paraId="65BA8E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43</w:t>
            </w:r>
          </w:p>
        </w:tc>
        <w:tc>
          <w:tcPr>
            <w:tcW w:w="1019" w:type="pct"/>
            <w:vMerge w:val="continue"/>
            <w:tcBorders>
              <w:tl2br w:val="nil"/>
              <w:tr2bl w:val="nil"/>
            </w:tcBorders>
            <w:noWrap w:val="0"/>
            <w:vAlign w:val="center"/>
          </w:tcPr>
          <w:p w14:paraId="136B4C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c>
          <w:tcPr>
            <w:tcW w:w="364" w:type="pct"/>
            <w:tcBorders>
              <w:tl2br w:val="nil"/>
              <w:tr2bl w:val="nil"/>
            </w:tcBorders>
            <w:noWrap w:val="0"/>
            <w:vAlign w:val="center"/>
          </w:tcPr>
          <w:p w14:paraId="509FFC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46</w:t>
            </w:r>
          </w:p>
        </w:tc>
        <w:tc>
          <w:tcPr>
            <w:tcW w:w="363" w:type="pct"/>
            <w:tcBorders>
              <w:tl2br w:val="nil"/>
              <w:tr2bl w:val="nil"/>
            </w:tcBorders>
            <w:noWrap w:val="0"/>
            <w:vAlign w:val="center"/>
          </w:tcPr>
          <w:p w14:paraId="266EC9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42</w:t>
            </w:r>
          </w:p>
        </w:tc>
        <w:tc>
          <w:tcPr>
            <w:tcW w:w="362" w:type="pct"/>
            <w:tcBorders>
              <w:tl2br w:val="nil"/>
              <w:tr2bl w:val="nil"/>
            </w:tcBorders>
            <w:noWrap w:val="0"/>
            <w:vAlign w:val="center"/>
          </w:tcPr>
          <w:p w14:paraId="098EDC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lang w:val="en-US" w:eastAsia="zh-CN"/>
              </w:rPr>
              <w:t>达标</w:t>
            </w:r>
          </w:p>
        </w:tc>
      </w:tr>
      <w:tr w14:paraId="33483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21" w:type="pct"/>
            <w:tcBorders>
              <w:tl2br w:val="nil"/>
              <w:tr2bl w:val="nil"/>
            </w:tcBorders>
            <w:noWrap w:val="0"/>
            <w:vAlign w:val="center"/>
          </w:tcPr>
          <w:p w14:paraId="3BFE4A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spacing w:val="3"/>
                <w:sz w:val="21"/>
                <w:szCs w:val="21"/>
                <w:highlight w:val="none"/>
                <w:u w:val="none"/>
                <w:lang w:val="en-US" w:eastAsia="zh-CN"/>
              </w:rPr>
              <w:t>已建莫109转油站厂界西南侧</w:t>
            </w:r>
          </w:p>
        </w:tc>
        <w:tc>
          <w:tcPr>
            <w:tcW w:w="1116" w:type="pct"/>
            <w:vMerge w:val="continue"/>
            <w:tcBorders>
              <w:tl2br w:val="nil"/>
              <w:tr2bl w:val="nil"/>
            </w:tcBorders>
            <w:noWrap w:val="0"/>
            <w:vAlign w:val="center"/>
          </w:tcPr>
          <w:p w14:paraId="55BCC0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c>
          <w:tcPr>
            <w:tcW w:w="388" w:type="pct"/>
            <w:tcBorders>
              <w:tl2br w:val="nil"/>
              <w:tr2bl w:val="nil"/>
            </w:tcBorders>
            <w:noWrap w:val="0"/>
            <w:vAlign w:val="center"/>
          </w:tcPr>
          <w:p w14:paraId="5A3E79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44</w:t>
            </w:r>
          </w:p>
        </w:tc>
        <w:tc>
          <w:tcPr>
            <w:tcW w:w="364" w:type="pct"/>
            <w:tcBorders>
              <w:tl2br w:val="nil"/>
              <w:tr2bl w:val="nil"/>
            </w:tcBorders>
            <w:noWrap w:val="0"/>
            <w:vAlign w:val="center"/>
          </w:tcPr>
          <w:p w14:paraId="18E2EA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40</w:t>
            </w:r>
          </w:p>
        </w:tc>
        <w:tc>
          <w:tcPr>
            <w:tcW w:w="1019" w:type="pct"/>
            <w:vMerge w:val="continue"/>
            <w:tcBorders>
              <w:tl2br w:val="nil"/>
              <w:tr2bl w:val="nil"/>
            </w:tcBorders>
            <w:noWrap w:val="0"/>
            <w:vAlign w:val="center"/>
          </w:tcPr>
          <w:p w14:paraId="03D674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p>
        </w:tc>
        <w:tc>
          <w:tcPr>
            <w:tcW w:w="364" w:type="pct"/>
            <w:tcBorders>
              <w:tl2br w:val="nil"/>
              <w:tr2bl w:val="nil"/>
            </w:tcBorders>
            <w:noWrap w:val="0"/>
            <w:vAlign w:val="center"/>
          </w:tcPr>
          <w:p w14:paraId="14DF1A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45</w:t>
            </w:r>
          </w:p>
        </w:tc>
        <w:tc>
          <w:tcPr>
            <w:tcW w:w="363" w:type="pct"/>
            <w:tcBorders>
              <w:tl2br w:val="nil"/>
              <w:tr2bl w:val="nil"/>
            </w:tcBorders>
            <w:noWrap w:val="0"/>
            <w:vAlign w:val="center"/>
          </w:tcPr>
          <w:p w14:paraId="4A1364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u w:val="none"/>
                <w:lang w:val="en-US" w:eastAsia="zh-CN"/>
              </w:rPr>
            </w:pPr>
            <w:r>
              <w:rPr>
                <w:rFonts w:hint="eastAsia" w:cs="等线"/>
                <w:color w:val="auto"/>
                <w:kern w:val="2"/>
                <w:sz w:val="21"/>
                <w:szCs w:val="21"/>
                <w:highlight w:val="none"/>
                <w:u w:val="none"/>
                <w:lang w:val="en-US" w:eastAsia="zh-CN"/>
              </w:rPr>
              <w:t>42</w:t>
            </w:r>
          </w:p>
        </w:tc>
        <w:tc>
          <w:tcPr>
            <w:tcW w:w="362" w:type="pct"/>
            <w:tcBorders>
              <w:tl2br w:val="nil"/>
              <w:tr2bl w:val="nil"/>
            </w:tcBorders>
            <w:noWrap w:val="0"/>
            <w:vAlign w:val="center"/>
          </w:tcPr>
          <w:p w14:paraId="4312CB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highlight w:val="none"/>
                <w:u w:val="none"/>
              </w:rPr>
            </w:pPr>
            <w:r>
              <w:rPr>
                <w:rFonts w:hint="eastAsia" w:cs="等线"/>
                <w:color w:val="auto"/>
                <w:kern w:val="2"/>
                <w:sz w:val="21"/>
                <w:szCs w:val="21"/>
                <w:highlight w:val="none"/>
                <w:u w:val="none"/>
                <w:lang w:val="en-US" w:eastAsia="zh-CN"/>
              </w:rPr>
              <w:t>达标</w:t>
            </w:r>
          </w:p>
        </w:tc>
      </w:tr>
    </w:tbl>
    <w:p w14:paraId="4DBC38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u w:val="none"/>
        </w:rPr>
      </w:pPr>
      <w:r>
        <w:rPr>
          <w:rFonts w:hint="eastAsia" w:ascii="宋体" w:hAnsi="宋体" w:eastAsia="宋体" w:cs="宋体"/>
          <w:color w:val="auto"/>
          <w:sz w:val="24"/>
          <w:szCs w:val="24"/>
          <w:highlight w:val="none"/>
          <w:u w:val="none"/>
        </w:rPr>
        <w:t>由</w:t>
      </w:r>
      <w:r>
        <w:rPr>
          <w:rFonts w:hint="eastAsia" w:ascii="宋体" w:hAnsi="宋体" w:eastAsia="宋体" w:cs="宋体"/>
          <w:color w:val="auto"/>
          <w:sz w:val="24"/>
          <w:szCs w:val="24"/>
          <w:highlight w:val="none"/>
          <w:u w:val="none"/>
          <w:lang w:val="en-US" w:eastAsia="zh-CN"/>
        </w:rPr>
        <w:t>表4.</w:t>
      </w:r>
      <w:r>
        <w:rPr>
          <w:rFonts w:hint="eastAsia" w:ascii="宋体" w:hAnsi="宋体" w:cs="宋体"/>
          <w:color w:val="auto"/>
          <w:sz w:val="24"/>
          <w:szCs w:val="24"/>
          <w:highlight w:val="none"/>
          <w:u w:val="none"/>
          <w:lang w:val="en-US" w:eastAsia="zh-CN"/>
        </w:rPr>
        <w:t>7</w:t>
      </w:r>
      <w:r>
        <w:rPr>
          <w:rFonts w:hint="eastAsia" w:ascii="宋体" w:hAnsi="宋体" w:eastAsia="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rPr>
        <w:t>可知，监测期间已建莫109转油站厂界</w:t>
      </w:r>
      <w:r>
        <w:rPr>
          <w:rFonts w:hint="eastAsia" w:ascii="宋体" w:hAnsi="宋体" w:cs="宋体"/>
          <w:color w:val="auto"/>
          <w:sz w:val="24"/>
          <w:szCs w:val="24"/>
          <w:highlight w:val="none"/>
          <w:u w:val="none"/>
          <w:lang w:val="en-US" w:eastAsia="zh-CN"/>
        </w:rPr>
        <w:t>噪声满足《工业企业厂界环境噪声排放标准》（GB12348-2008）中2类标准</w:t>
      </w:r>
      <w:r>
        <w:rPr>
          <w:rFonts w:hint="default" w:ascii="宋体" w:hAnsi="宋体" w:eastAsia="宋体" w:cs="宋体"/>
          <w:color w:val="auto"/>
          <w:sz w:val="24"/>
          <w:szCs w:val="24"/>
          <w:u w:val="none"/>
        </w:rPr>
        <w:t>要求</w:t>
      </w:r>
      <w:r>
        <w:rPr>
          <w:rFonts w:hint="eastAsia" w:ascii="宋体" w:hAnsi="宋体" w:cs="宋体"/>
          <w:color w:val="auto"/>
          <w:sz w:val="24"/>
          <w:szCs w:val="24"/>
          <w:u w:val="none"/>
          <w:lang w:eastAsia="zh-CN"/>
        </w:rPr>
        <w:t>；</w:t>
      </w:r>
      <w:r>
        <w:rPr>
          <w:rFonts w:hint="eastAsia" w:ascii="宋体" w:hAnsi="宋体" w:cs="宋体"/>
          <w:color w:val="auto"/>
          <w:sz w:val="24"/>
          <w:szCs w:val="24"/>
          <w:u w:val="none"/>
          <w:lang w:val="en-US" w:eastAsia="zh-CN"/>
        </w:rPr>
        <w:t>拟建MBHW6009井场</w:t>
      </w:r>
      <w:r>
        <w:rPr>
          <w:rFonts w:hint="default" w:ascii="宋体" w:hAnsi="宋体" w:eastAsia="宋体" w:cs="宋体"/>
          <w:color w:val="auto"/>
          <w:sz w:val="24"/>
          <w:szCs w:val="24"/>
          <w:u w:val="none"/>
        </w:rPr>
        <w:t>声环境现状满足《声环境质量标准》（GB3096-2008）中2类标准要求。</w:t>
      </w:r>
    </w:p>
    <w:bookmarkEnd w:id="393"/>
    <w:bookmarkEnd w:id="394"/>
    <w:bookmarkEnd w:id="395"/>
    <w:p w14:paraId="11601A4B">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Style w:val="97"/>
          <w:rFonts w:hint="default" w:ascii="Times New Roman" w:hAnsi="Times New Roman" w:cs="Times New Roman"/>
          <w:color w:val="auto"/>
          <w:u w:val="none"/>
        </w:rPr>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0" w:num="1"/>
          <w:rtlGutter w:val="0"/>
          <w:docGrid w:type="lines" w:linePitch="326" w:charSpace="0"/>
        </w:sectPr>
      </w:pPr>
    </w:p>
    <w:p w14:paraId="78C4ADDD">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rPr>
          <w:rFonts w:hint="default" w:ascii="Times New Roman" w:hAnsi="Times New Roman" w:cs="Times New Roman"/>
          <w:color w:val="auto"/>
          <w:highlight w:val="none"/>
          <w:u w:val="none"/>
        </w:rPr>
      </w:pPr>
      <w:bookmarkStart w:id="396" w:name="_Toc22101"/>
      <w:bookmarkStart w:id="397" w:name="_Toc20313"/>
      <w:bookmarkStart w:id="398" w:name="_Toc20500"/>
      <w:bookmarkStart w:id="399" w:name="_Toc109382931"/>
      <w:r>
        <w:rPr>
          <w:rFonts w:hint="default" w:ascii="黑体" w:hAnsi="黑体" w:eastAsia="黑体" w:cs="黑体"/>
          <w:color w:val="auto"/>
          <w:sz w:val="32"/>
          <w:szCs w:val="32"/>
          <w:highlight w:val="none"/>
          <w:u w:val="none"/>
        </w:rPr>
        <w:t>5</w:t>
      </w:r>
      <w:r>
        <w:rPr>
          <w:rFonts w:hint="eastAsia" w:ascii="黑体" w:hAnsi="黑体" w:eastAsia="黑体" w:cs="黑体"/>
          <w:color w:val="auto"/>
          <w:sz w:val="32"/>
          <w:szCs w:val="32"/>
          <w:highlight w:val="none"/>
          <w:u w:val="none"/>
          <w:lang w:val="en-US" w:eastAsia="zh-CN"/>
        </w:rPr>
        <w:t xml:space="preserve"> </w:t>
      </w:r>
      <w:r>
        <w:rPr>
          <w:rFonts w:hint="default" w:ascii="黑体" w:hAnsi="黑体" w:eastAsia="黑体" w:cs="黑体"/>
          <w:color w:val="auto"/>
          <w:sz w:val="32"/>
          <w:szCs w:val="32"/>
          <w:highlight w:val="none"/>
          <w:u w:val="none"/>
        </w:rPr>
        <w:t>环境影响预测与评价</w:t>
      </w:r>
      <w:bookmarkEnd w:id="396"/>
      <w:bookmarkEnd w:id="397"/>
      <w:bookmarkEnd w:id="398"/>
      <w:bookmarkEnd w:id="399"/>
    </w:p>
    <w:p w14:paraId="1BB8927C">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400" w:name="_Toc29782"/>
      <w:bookmarkStart w:id="401" w:name="_Toc2922"/>
      <w:bookmarkStart w:id="402" w:name="_Toc77006755"/>
      <w:bookmarkStart w:id="403" w:name="_Toc374724190"/>
      <w:bookmarkStart w:id="404" w:name="_Toc280954995"/>
      <w:bookmarkStart w:id="405" w:name="_Toc353966745"/>
      <w:bookmarkStart w:id="406" w:name="_Toc547"/>
      <w:bookmarkStart w:id="407" w:name="_Toc1555"/>
      <w:bookmarkStart w:id="408" w:name="_Toc267479321"/>
      <w:bookmarkStart w:id="409" w:name="_Toc297590787"/>
      <w:bookmarkStart w:id="410" w:name="_Toc508291893"/>
      <w:bookmarkStart w:id="411" w:name="_Toc297590940"/>
      <w:bookmarkStart w:id="412" w:name="_Toc280954918"/>
      <w:bookmarkStart w:id="413" w:name="_Toc420492389"/>
      <w:r>
        <w:rPr>
          <w:rFonts w:hint="default" w:ascii="黑体" w:hAnsi="黑体" w:eastAsia="黑体" w:cs="黑体"/>
          <w:color w:val="auto"/>
          <w:sz w:val="28"/>
          <w:szCs w:val="28"/>
          <w:u w:val="none"/>
          <w:lang w:val="en-US" w:eastAsia="zh-CN"/>
        </w:rPr>
        <w:t>5.1</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生态影响分析</w:t>
      </w:r>
      <w:bookmarkEnd w:id="400"/>
      <w:bookmarkEnd w:id="401"/>
      <w:bookmarkEnd w:id="402"/>
      <w:bookmarkEnd w:id="403"/>
      <w:bookmarkEnd w:id="404"/>
      <w:bookmarkEnd w:id="405"/>
      <w:bookmarkEnd w:id="406"/>
      <w:bookmarkEnd w:id="407"/>
      <w:bookmarkEnd w:id="408"/>
      <w:bookmarkEnd w:id="409"/>
      <w:bookmarkEnd w:id="410"/>
      <w:bookmarkEnd w:id="411"/>
      <w:bookmarkEnd w:id="412"/>
    </w:p>
    <w:p w14:paraId="1E09E77D">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5.1.1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生态环境影响特征</w:t>
      </w:r>
    </w:p>
    <w:p w14:paraId="5E788143">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从本工程特点和所处区域的环境特征出发分析项目建设过程中和项目建成运营中对生态环境影响的特点。</w:t>
      </w:r>
    </w:p>
    <w:p w14:paraId="1B48555E">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（1）建设项目对生态环境影响具有区域性环境影响特征。</w:t>
      </w:r>
    </w:p>
    <w:p w14:paraId="553F858F">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2）在项目开发范围内各具体环境影响组份呈点块状（如井场等）和线状（如管线等）分布，在对生态各具体要素（如土壤、植被、野生动物等）产生影响的同时，也对区内原有景观结构和生态体系完整性产生一定影响。</w:t>
      </w:r>
    </w:p>
    <w:p w14:paraId="4CDFA6CF">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（3）影响方式主要发生在施工期，施工结束后可逐步恢复。</w:t>
      </w:r>
    </w:p>
    <w:p w14:paraId="04DFA362">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在干旱荒漠背景下，项目开发建设对区内生态体系稳定性影响的主要途径是地表扰动和植被破坏。</w:t>
      </w:r>
    </w:p>
    <w:p w14:paraId="5E886716">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5.1.2 生态环境影响</w:t>
      </w:r>
    </w:p>
    <w:p w14:paraId="6EFB84B8">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5.1.2.1</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占地影响分析</w:t>
      </w:r>
    </w:p>
    <w:p w14:paraId="63635C73">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本工程施工结束后，永久占地被永久性构筑物代替，这部分占地的土地利用类型将发生彻底的改变，永久占地使原先土壤</w:t>
      </w:r>
      <w:r>
        <w:rPr>
          <w:rStyle w:val="97"/>
          <w:rFonts w:hint="default" w:ascii="Times New Roman" w:hAnsi="Times New Roman" w:cs="Times New Roman"/>
          <w:color w:val="auto"/>
          <w:u w:val="none"/>
          <w:lang w:val="en-US" w:eastAsia="zh-CN"/>
        </w:rPr>
        <w:t>-</w:t>
      </w:r>
      <w:r>
        <w:rPr>
          <w:rStyle w:val="97"/>
          <w:rFonts w:hint="default" w:ascii="Times New Roman" w:hAnsi="Times New Roman" w:cs="Times New Roman"/>
          <w:color w:val="auto"/>
          <w:u w:val="none"/>
        </w:rPr>
        <w:t>植被复合体构成的自然地表被各类人工构造物长期取代；临时占地伴随着永久性占地的工程建设而发生，也不可避免地对原有地表造成破坏，使原有土壤</w:t>
      </w:r>
      <w:r>
        <w:rPr>
          <w:rStyle w:val="97"/>
          <w:rFonts w:hint="default" w:ascii="Times New Roman" w:hAnsi="Times New Roman" w:cs="Times New Roman"/>
          <w:color w:val="auto"/>
          <w:u w:val="none"/>
          <w:lang w:val="en-US" w:eastAsia="zh-CN"/>
        </w:rPr>
        <w:t>-</w:t>
      </w:r>
      <w:r>
        <w:rPr>
          <w:rStyle w:val="97"/>
          <w:rFonts w:hint="default" w:ascii="Times New Roman" w:hAnsi="Times New Roman" w:cs="Times New Roman"/>
          <w:color w:val="auto"/>
          <w:u w:val="none"/>
        </w:rPr>
        <w:t>植被自然体系受到影响或瓦解，在扰动结束后，临时占地影响区的土壤-植被体系的恢复能力与程度取决于临时占地影响程度的大小及原先的生态背景状况。施工活动和工程占地在油区范围内并呈点线状分布，对土壤、植物、野生动物等各生态要素产生不同程度的影响，同时也对原有景观结构和生态系统产生一定程度影响。</w:t>
      </w:r>
    </w:p>
    <w:p w14:paraId="2991A35F">
      <w:pPr>
        <w:pStyle w:val="54"/>
        <w:keepNext w:val="0"/>
        <w:keepLines w:val="0"/>
        <w:pageBreakBefore w:val="0"/>
        <w:widowControl w:val="0"/>
        <w:kinsoku/>
        <w:wordWrap/>
        <w:overflowPunct/>
        <w:topLinePunct w:val="0"/>
        <w:autoSpaceDE/>
        <w:autoSpaceDN/>
        <w:bidi w:val="0"/>
        <w:adjustRightInd/>
        <w:snapToGrid/>
        <w:spacing w:line="480" w:lineRule="exact"/>
        <w:textAlignment w:val="auto"/>
        <w:rPr>
          <w:rStyle w:val="97"/>
          <w:rFonts w:hint="default" w:ascii="Times New Roman" w:hAnsi="Times New Roman" w:cs="Times New Roman"/>
          <w:color w:val="auto"/>
          <w:u w:val="none"/>
        </w:rPr>
      </w:pPr>
      <w:r>
        <w:rPr>
          <w:rStyle w:val="97"/>
          <w:rFonts w:hint="default" w:ascii="Times New Roman" w:hAnsi="Times New Roman" w:cs="Times New Roman"/>
          <w:color w:val="auto"/>
          <w:u w:val="none"/>
        </w:rPr>
        <w:t>当工程转入正常运营期后，人群的活动范围缩小，受到破坏的临时占地逐渐地得到恢复，工程占地影响也会逐步减弱。</w:t>
      </w:r>
    </w:p>
    <w:p w14:paraId="2207CFFD">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5.1.2.2 项目实施对周边沙化土地的影响</w:t>
      </w:r>
    </w:p>
    <w:p w14:paraId="0471195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u w:val="none"/>
        </w:rPr>
      </w:pPr>
      <w:r>
        <w:rPr>
          <w:rFonts w:hint="eastAsia" w:ascii="宋体" w:hAnsi="宋体" w:cs="宋体"/>
          <w:color w:val="auto"/>
          <w:kern w:val="0"/>
          <w:sz w:val="24"/>
          <w:szCs w:val="24"/>
          <w:u w:val="none"/>
        </w:rPr>
        <w:t>本</w:t>
      </w:r>
      <w:r>
        <w:rPr>
          <w:rFonts w:hint="eastAsia" w:ascii="宋体" w:hAnsi="宋体" w:cs="宋体"/>
          <w:color w:val="auto"/>
          <w:kern w:val="0"/>
          <w:sz w:val="24"/>
          <w:szCs w:val="24"/>
          <w:u w:val="none"/>
          <w:lang w:val="en-US" w:eastAsia="zh-CN"/>
        </w:rPr>
        <w:t>工程井场建设</w:t>
      </w:r>
      <w:r>
        <w:rPr>
          <w:rFonts w:hint="eastAsia" w:ascii="宋体" w:hAnsi="宋体" w:cs="宋体"/>
          <w:color w:val="auto"/>
          <w:kern w:val="0"/>
          <w:sz w:val="24"/>
          <w:szCs w:val="24"/>
          <w:u w:val="none"/>
        </w:rPr>
        <w:t>的场地平整、管沟开挖作业时会产生土石方，产生的土石方全部用于回填，无弃方。项目建设过程中对原地貌的扰动将降低项目占地范围内的土壤抗侵蚀能力，造成土地沙化；此外，由于项目地处内陆地区，风沙较大，空气干燥，加上地表植被覆盖度低，若项目土石方堆存过程中未采取</w:t>
      </w:r>
      <w:r>
        <w:rPr>
          <w:rFonts w:hint="eastAsia" w:ascii="宋体" w:hAnsi="宋体" w:cs="宋体"/>
          <w:color w:val="auto"/>
          <w:kern w:val="0"/>
          <w:sz w:val="24"/>
          <w:szCs w:val="24"/>
          <w:u w:val="none"/>
          <w:lang w:eastAsia="zh-CN"/>
        </w:rPr>
        <w:t>：</w:t>
      </w:r>
      <w:r>
        <w:rPr>
          <w:rFonts w:hint="eastAsia" w:ascii="宋体" w:hAnsi="宋体" w:cs="宋体"/>
          <w:color w:val="auto"/>
          <w:kern w:val="0"/>
          <w:sz w:val="24"/>
          <w:szCs w:val="24"/>
          <w:u w:val="none"/>
        </w:rPr>
        <w:t>防尘网苫盖、洒水抑尘等措施，地表沙化的土壤及废土、废渣遇大风天气易产生严重的扬尘，形成沙尘天气。</w:t>
      </w:r>
    </w:p>
    <w:p w14:paraId="1CC1FD9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u w:val="none"/>
        </w:rPr>
      </w:pPr>
      <w:r>
        <w:rPr>
          <w:rFonts w:hint="default" w:ascii="Times New Roman" w:hAnsi="Times New Roman" w:cs="Times New Roman"/>
          <w:color w:val="auto"/>
          <w:kern w:val="0"/>
          <w:sz w:val="24"/>
          <w:szCs w:val="24"/>
          <w:highlight w:val="none"/>
          <w:u w:val="none"/>
        </w:rPr>
        <w:t>项目施工期主要包括</w:t>
      </w:r>
      <w:r>
        <w:rPr>
          <w:rFonts w:hint="eastAsia" w:cs="Times New Roman"/>
          <w:color w:val="auto"/>
          <w:kern w:val="0"/>
          <w:sz w:val="24"/>
          <w:szCs w:val="24"/>
          <w:highlight w:val="none"/>
          <w:u w:val="none"/>
          <w:lang w:val="en-US" w:eastAsia="zh-CN"/>
        </w:rPr>
        <w:t>钻井工程、地面</w:t>
      </w:r>
      <w:r>
        <w:rPr>
          <w:rFonts w:hint="default" w:ascii="Times New Roman" w:hAnsi="Times New Roman" w:cs="Times New Roman"/>
          <w:color w:val="auto"/>
          <w:kern w:val="0"/>
          <w:sz w:val="24"/>
          <w:szCs w:val="24"/>
          <w:highlight w:val="none"/>
          <w:u w:val="none"/>
        </w:rPr>
        <w:t>工程，工程建设工程中包括场地平整、管沟开挖等。在</w:t>
      </w:r>
      <w:r>
        <w:rPr>
          <w:rFonts w:hint="eastAsia" w:cs="Times New Roman"/>
          <w:color w:val="auto"/>
          <w:kern w:val="0"/>
          <w:sz w:val="24"/>
          <w:szCs w:val="24"/>
          <w:highlight w:val="none"/>
          <w:u w:val="none"/>
          <w:lang w:val="en-US" w:eastAsia="zh-CN"/>
        </w:rPr>
        <w:t>井场</w:t>
      </w:r>
      <w:r>
        <w:rPr>
          <w:rFonts w:hint="default" w:ascii="Times New Roman" w:hAnsi="Times New Roman" w:cs="Times New Roman"/>
          <w:color w:val="auto"/>
          <w:kern w:val="0"/>
          <w:sz w:val="24"/>
          <w:szCs w:val="24"/>
          <w:highlight w:val="none"/>
          <w:u w:val="none"/>
        </w:rPr>
        <w:t>场地平整、道路及管沟开挖施工过程中，对原有地表土壤造成扰动，造成地表原有结构的破坏。道路及管沟开挖导致土壤的蓄水保肥能力降低，影响区域植被生长，造成土壤逐渐沙化</w:t>
      </w:r>
      <w:r>
        <w:rPr>
          <w:rFonts w:hint="eastAsia" w:ascii="宋体" w:hAnsi="宋体" w:cs="宋体"/>
          <w:color w:val="auto"/>
          <w:kern w:val="0"/>
          <w:sz w:val="24"/>
          <w:szCs w:val="24"/>
          <w:u w:val="none"/>
        </w:rPr>
        <w:t>。</w:t>
      </w:r>
    </w:p>
    <w:p w14:paraId="519B340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cs="Times New Roman"/>
          <w:b/>
          <w:color w:val="auto"/>
          <w:kern w:val="0"/>
          <w:sz w:val="24"/>
          <w:szCs w:val="24"/>
          <w:u w:val="none"/>
        </w:rPr>
      </w:pPr>
      <w:r>
        <w:rPr>
          <w:rFonts w:hint="eastAsia" w:ascii="宋体" w:hAnsi="宋体" w:cs="宋体"/>
          <w:color w:val="auto"/>
          <w:kern w:val="0"/>
          <w:sz w:val="24"/>
          <w:szCs w:val="24"/>
          <w:u w:val="none"/>
        </w:rPr>
        <w:t>上述施工作业过程中，对原地貌的扰动大大降低了项目占地范围内的土壤抗侵蚀能力，若未采取相应的防护措施，遇大风天气，极易加重区域沙尘天气。</w:t>
      </w:r>
    </w:p>
    <w:p w14:paraId="59FB55CD">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5.1.2.3 对植被的影响分析</w:t>
      </w:r>
    </w:p>
    <w:p w14:paraId="03254DCB">
      <w:pPr>
        <w:keepNext w:val="0"/>
        <w:keepLines w:val="0"/>
        <w:pageBreakBefore w:val="0"/>
        <w:kinsoku/>
        <w:wordWrap/>
        <w:overflowPunct/>
        <w:topLinePunct w:val="0"/>
        <w:autoSpaceDE/>
        <w:autoSpaceDN/>
        <w:bidi w:val="0"/>
        <w:spacing w:line="480" w:lineRule="exact"/>
        <w:ind w:firstLine="540" w:firstLineChars="225"/>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color w:val="auto"/>
          <w:kern w:val="2"/>
          <w:sz w:val="24"/>
          <w:szCs w:val="24"/>
          <w:u w:val="none"/>
          <w:lang w:val="en-US" w:eastAsia="zh-CN" w:bidi="ar-SA"/>
        </w:rPr>
        <w:t>本工程施工期建设是造成植被破坏的主要原因，此外，施工人员活动也会对项目植被造成一定的影响。本工程对植被的影响主要影响形式是对土地的占用以及施工阶段清场过程中对地表植被的清理及施工过程中的</w:t>
      </w:r>
      <w:r>
        <w:rPr>
          <w:rFonts w:hint="eastAsia" w:cs="Times New Roman"/>
          <w:snapToGrid/>
          <w:color w:val="auto"/>
          <w:kern w:val="2"/>
          <w:sz w:val="24"/>
          <w:szCs w:val="24"/>
          <w:u w:val="none"/>
          <w:lang w:val="en-US" w:eastAsia="zh-CN" w:bidi="ar-SA"/>
        </w:rPr>
        <w:t>碾压</w:t>
      </w:r>
      <w:r>
        <w:rPr>
          <w:rFonts w:hint="eastAsia" w:ascii="Times New Roman" w:hAnsi="Times New Roman" w:eastAsia="宋体" w:cs="Times New Roman"/>
          <w:snapToGrid/>
          <w:color w:val="auto"/>
          <w:kern w:val="2"/>
          <w:sz w:val="24"/>
          <w:szCs w:val="24"/>
          <w:u w:val="none"/>
          <w:lang w:val="en-US" w:eastAsia="zh-CN" w:bidi="ar-SA"/>
        </w:rPr>
        <w:t>。</w:t>
      </w:r>
      <w:r>
        <w:rPr>
          <w:rFonts w:hint="eastAsia" w:cs="Times New Roman"/>
          <w:snapToGrid/>
          <w:color w:val="auto"/>
          <w:kern w:val="2"/>
          <w:sz w:val="24"/>
          <w:szCs w:val="24"/>
          <w:u w:val="none"/>
          <w:lang w:val="en-US" w:eastAsia="zh-CN" w:bidi="ar-SA"/>
        </w:rPr>
        <w:t>井场</w:t>
      </w:r>
      <w:r>
        <w:rPr>
          <w:rFonts w:hint="eastAsia" w:ascii="Times New Roman" w:hAnsi="Times New Roman" w:eastAsia="宋体" w:cs="Times New Roman"/>
          <w:snapToGrid/>
          <w:color w:val="auto"/>
          <w:kern w:val="2"/>
          <w:sz w:val="24"/>
          <w:szCs w:val="24"/>
          <w:u w:val="none"/>
          <w:lang w:val="en-US" w:eastAsia="zh-CN" w:bidi="ar-SA"/>
        </w:rPr>
        <w:t>施工过程中有部分地表土地被各种构筑物或砾石覆盖，工程结束后土地重新回到原来的自然状态，但地表植被及地表结构却发生了较大的变化。地表保护层被破坏后，其稳定性下降，防止</w:t>
      </w:r>
      <w:r>
        <w:rPr>
          <w:rFonts w:hint="eastAsia" w:ascii="Times New Roman" w:hAnsi="Times New Roman" w:eastAsia="宋体" w:cs="Times New Roman"/>
          <w:snapToGrid/>
          <w:color w:val="auto"/>
          <w:kern w:val="2"/>
          <w:sz w:val="24"/>
          <w:szCs w:val="24"/>
          <w:highlight w:val="none"/>
          <w:u w:val="none"/>
          <w:lang w:val="en-US" w:eastAsia="zh-CN" w:bidi="ar-SA"/>
        </w:rPr>
        <w:t>水土流失的能力也随之下降。</w:t>
      </w:r>
      <w:r>
        <w:rPr>
          <w:rFonts w:ascii="Times New Roman" w:hAnsi="Times New Roman" w:eastAsia="宋体" w:cs="Times New Roman"/>
          <w:snapToGrid w:val="0"/>
          <w:color w:val="auto"/>
          <w:kern w:val="2"/>
          <w:sz w:val="24"/>
          <w:szCs w:val="20"/>
          <w:highlight w:val="none"/>
          <w:u w:val="none"/>
          <w:lang w:val="en-US" w:eastAsia="zh-CN" w:bidi="ar-SA"/>
        </w:rPr>
        <w:t>在油田开发初期植被破坏后不易恢复</w:t>
      </w:r>
      <w:r>
        <w:rPr>
          <w:rFonts w:hint="eastAsia" w:ascii="Times New Roman" w:hAnsi="Times New Roman" w:eastAsia="宋体" w:cs="Times New Roman"/>
          <w:snapToGrid w:val="0"/>
          <w:color w:val="auto"/>
          <w:kern w:val="2"/>
          <w:sz w:val="24"/>
          <w:szCs w:val="20"/>
          <w:highlight w:val="none"/>
          <w:u w:val="none"/>
          <w:lang w:val="en-US" w:eastAsia="zh-CN" w:bidi="ar-SA"/>
        </w:rPr>
        <w:t>。</w:t>
      </w:r>
    </w:p>
    <w:p w14:paraId="46E1EA3E">
      <w:pPr>
        <w:keepNext w:val="0"/>
        <w:keepLines w:val="0"/>
        <w:pageBreakBefore w:val="0"/>
        <w:kinsoku/>
        <w:wordWrap/>
        <w:overflowPunct/>
        <w:topLinePunct w:val="0"/>
        <w:autoSpaceDE/>
        <w:autoSpaceDN/>
        <w:bidi w:val="0"/>
        <w:spacing w:line="480" w:lineRule="exact"/>
        <w:ind w:firstLine="540" w:firstLineChars="225"/>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本工程总占地面积约</w:t>
      </w:r>
      <w:r>
        <w:rPr>
          <w:rFonts w:hint="eastAsia" w:cs="Times New Roman"/>
          <w:snapToGrid w:val="0"/>
          <w:color w:val="auto"/>
          <w:kern w:val="2"/>
          <w:sz w:val="24"/>
          <w:szCs w:val="20"/>
          <w:highlight w:val="none"/>
          <w:u w:val="none"/>
          <w:lang w:val="en-US" w:eastAsia="zh-CN" w:bidi="ar-SA"/>
        </w:rPr>
        <w:t>16.15</w:t>
      </w:r>
      <w:r>
        <w:rPr>
          <w:rFonts w:hint="eastAsia" w:ascii="Times New Roman" w:hAnsi="Times New Roman" w:eastAsia="宋体" w:cs="Times New Roman"/>
          <w:snapToGrid w:val="0"/>
          <w:color w:val="auto"/>
          <w:kern w:val="2"/>
          <w:sz w:val="24"/>
          <w:szCs w:val="20"/>
          <w:highlight w:val="none"/>
          <w:u w:val="none"/>
          <w:lang w:val="en-US" w:eastAsia="zh-CN" w:bidi="ar-SA"/>
        </w:rPr>
        <w:t>hm</w:t>
      </w:r>
      <w:r>
        <w:rPr>
          <w:rFonts w:hint="eastAsia" w:ascii="Times New Roman" w:hAnsi="Times New Roman" w:eastAsia="宋体" w:cs="Times New Roman"/>
          <w:snapToGrid w:val="0"/>
          <w:color w:val="auto"/>
          <w:kern w:val="2"/>
          <w:sz w:val="24"/>
          <w:szCs w:val="20"/>
          <w:highlight w:val="none"/>
          <w:u w:val="none"/>
          <w:vertAlign w:val="superscript"/>
          <w:lang w:val="en-US" w:eastAsia="zh-CN" w:bidi="ar-SA"/>
        </w:rPr>
        <w:t>2</w:t>
      </w:r>
      <w:r>
        <w:rPr>
          <w:rFonts w:hint="eastAsia" w:ascii="Times New Roman" w:hAnsi="Times New Roman" w:eastAsia="宋体" w:cs="Times New Roman"/>
          <w:snapToGrid w:val="0"/>
          <w:color w:val="auto"/>
          <w:kern w:val="2"/>
          <w:sz w:val="24"/>
          <w:szCs w:val="20"/>
          <w:highlight w:val="none"/>
          <w:u w:val="none"/>
          <w:lang w:val="en-US" w:eastAsia="zh-CN" w:bidi="ar-SA"/>
        </w:rPr>
        <w:t>，其中永久性占地面积约</w:t>
      </w:r>
      <w:r>
        <w:rPr>
          <w:rFonts w:hint="eastAsia" w:cs="Times New Roman"/>
          <w:snapToGrid w:val="0"/>
          <w:color w:val="auto"/>
          <w:kern w:val="2"/>
          <w:sz w:val="24"/>
          <w:szCs w:val="20"/>
          <w:highlight w:val="none"/>
          <w:u w:val="none"/>
          <w:lang w:val="en-US" w:eastAsia="zh-CN" w:bidi="ar-SA"/>
        </w:rPr>
        <w:t>2.21</w:t>
      </w:r>
      <w:r>
        <w:rPr>
          <w:rFonts w:hint="eastAsia" w:ascii="Times New Roman" w:hAnsi="Times New Roman" w:eastAsia="宋体" w:cs="Times New Roman"/>
          <w:snapToGrid w:val="0"/>
          <w:color w:val="auto"/>
          <w:kern w:val="2"/>
          <w:sz w:val="24"/>
          <w:szCs w:val="20"/>
          <w:highlight w:val="none"/>
          <w:u w:val="none"/>
          <w:lang w:val="en-US" w:eastAsia="zh-CN" w:bidi="ar-SA"/>
        </w:rPr>
        <w:t>hm</w:t>
      </w:r>
      <w:r>
        <w:rPr>
          <w:rFonts w:hint="eastAsia" w:ascii="Times New Roman" w:hAnsi="Times New Roman" w:eastAsia="宋体" w:cs="Times New Roman"/>
          <w:snapToGrid w:val="0"/>
          <w:color w:val="auto"/>
          <w:kern w:val="2"/>
          <w:sz w:val="24"/>
          <w:szCs w:val="20"/>
          <w:highlight w:val="none"/>
          <w:u w:val="none"/>
          <w:vertAlign w:val="superscript"/>
          <w:lang w:val="en-US" w:eastAsia="zh-CN" w:bidi="ar-SA"/>
        </w:rPr>
        <w:t>2</w:t>
      </w:r>
      <w:r>
        <w:rPr>
          <w:rFonts w:hint="eastAsia" w:ascii="Times New Roman" w:hAnsi="Times New Roman" w:eastAsia="宋体" w:cs="Times New Roman"/>
          <w:snapToGrid w:val="0"/>
          <w:color w:val="auto"/>
          <w:kern w:val="2"/>
          <w:sz w:val="24"/>
          <w:szCs w:val="20"/>
          <w:highlight w:val="none"/>
          <w:u w:val="none"/>
          <w:lang w:val="en-US" w:eastAsia="zh-CN" w:bidi="ar-SA"/>
        </w:rPr>
        <w:t>，临时占地面积约</w:t>
      </w:r>
      <w:r>
        <w:rPr>
          <w:rFonts w:hint="eastAsia" w:cs="Times New Roman"/>
          <w:snapToGrid w:val="0"/>
          <w:color w:val="auto"/>
          <w:kern w:val="2"/>
          <w:sz w:val="24"/>
          <w:szCs w:val="20"/>
          <w:highlight w:val="none"/>
          <w:u w:val="none"/>
          <w:lang w:val="en-US" w:eastAsia="zh-CN" w:bidi="ar-SA"/>
        </w:rPr>
        <w:t>13.94</w:t>
      </w:r>
      <w:r>
        <w:rPr>
          <w:rFonts w:hint="eastAsia" w:ascii="Times New Roman" w:hAnsi="Times New Roman" w:eastAsia="宋体" w:cs="Times New Roman"/>
          <w:snapToGrid w:val="0"/>
          <w:color w:val="auto"/>
          <w:kern w:val="2"/>
          <w:sz w:val="24"/>
          <w:szCs w:val="20"/>
          <w:highlight w:val="none"/>
          <w:u w:val="none"/>
          <w:lang w:val="en-US" w:eastAsia="zh-CN" w:bidi="ar-SA"/>
        </w:rPr>
        <w:t>hm</w:t>
      </w:r>
      <w:r>
        <w:rPr>
          <w:rFonts w:hint="eastAsia" w:ascii="Times New Roman" w:hAnsi="Times New Roman" w:eastAsia="宋体" w:cs="Times New Roman"/>
          <w:snapToGrid w:val="0"/>
          <w:color w:val="auto"/>
          <w:kern w:val="2"/>
          <w:sz w:val="24"/>
          <w:szCs w:val="20"/>
          <w:highlight w:val="none"/>
          <w:u w:val="none"/>
          <w:vertAlign w:val="superscript"/>
          <w:lang w:val="en-US" w:eastAsia="zh-CN" w:bidi="ar-SA"/>
        </w:rPr>
        <w:t>2</w:t>
      </w:r>
      <w:r>
        <w:rPr>
          <w:rFonts w:hint="eastAsia" w:ascii="Times New Roman" w:hAnsi="Times New Roman" w:eastAsia="宋体" w:cs="Times New Roman"/>
          <w:snapToGrid w:val="0"/>
          <w:color w:val="auto"/>
          <w:kern w:val="2"/>
          <w:sz w:val="24"/>
          <w:szCs w:val="20"/>
          <w:highlight w:val="none"/>
          <w:u w:val="none"/>
          <w:lang w:val="en-US" w:eastAsia="zh-CN" w:bidi="ar-SA"/>
        </w:rPr>
        <w:t>。在油田开发初期的2～3年中，将影响占地范围之内的植被初级生产力。项目位于荒漠地区，属于强烈发展的荒漠化，按照生物生产量按照1.1t/(hm</w:t>
      </w:r>
      <w:r>
        <w:rPr>
          <w:rFonts w:hint="eastAsia" w:ascii="Times New Roman" w:hAnsi="Times New Roman" w:eastAsia="宋体" w:cs="Times New Roman"/>
          <w:snapToGrid w:val="0"/>
          <w:color w:val="auto"/>
          <w:kern w:val="2"/>
          <w:sz w:val="24"/>
          <w:szCs w:val="20"/>
          <w:highlight w:val="none"/>
          <w:u w:val="none"/>
          <w:vertAlign w:val="superscript"/>
          <w:lang w:val="en-US" w:eastAsia="zh-CN" w:bidi="ar-SA"/>
        </w:rPr>
        <w:t>2</w:t>
      </w:r>
      <w:r>
        <w:rPr>
          <w:rFonts w:hint="eastAsia" w:ascii="Times New Roman" w:hAnsi="Times New Roman" w:eastAsia="宋体" w:cs="Times New Roman"/>
          <w:snapToGrid w:val="0"/>
          <w:color w:val="auto"/>
          <w:kern w:val="2"/>
          <w:sz w:val="24"/>
          <w:szCs w:val="20"/>
          <w:highlight w:val="none"/>
          <w:u w:val="none"/>
          <w:lang w:val="en-US" w:eastAsia="zh-CN" w:bidi="ar-SA"/>
        </w:rPr>
        <w:t>·a)计算，永久占地生物损失量约为</w:t>
      </w:r>
      <w:r>
        <w:rPr>
          <w:rFonts w:hint="eastAsia" w:cs="Times New Roman"/>
          <w:snapToGrid w:val="0"/>
          <w:color w:val="auto"/>
          <w:kern w:val="2"/>
          <w:sz w:val="24"/>
          <w:szCs w:val="20"/>
          <w:highlight w:val="none"/>
          <w:u w:val="none"/>
          <w:lang w:val="en-US" w:eastAsia="zh-CN" w:bidi="ar-SA"/>
        </w:rPr>
        <w:t>2.43</w:t>
      </w:r>
      <w:r>
        <w:rPr>
          <w:rFonts w:hint="eastAsia" w:ascii="Times New Roman" w:hAnsi="Times New Roman" w:eastAsia="宋体" w:cs="Times New Roman"/>
          <w:snapToGrid w:val="0"/>
          <w:color w:val="auto"/>
          <w:kern w:val="2"/>
          <w:sz w:val="24"/>
          <w:szCs w:val="20"/>
          <w:highlight w:val="none"/>
          <w:u w:val="none"/>
          <w:lang w:val="en-US" w:eastAsia="zh-CN" w:bidi="ar-SA"/>
        </w:rPr>
        <w:t>t，临时占地生物损失量约为</w:t>
      </w:r>
      <w:r>
        <w:rPr>
          <w:rFonts w:hint="eastAsia" w:cs="Times New Roman"/>
          <w:snapToGrid w:val="0"/>
          <w:color w:val="auto"/>
          <w:kern w:val="2"/>
          <w:sz w:val="24"/>
          <w:szCs w:val="20"/>
          <w:highlight w:val="none"/>
          <w:u w:val="none"/>
          <w:lang w:val="en-US" w:eastAsia="zh-CN" w:bidi="ar-SA"/>
        </w:rPr>
        <w:t>15.33</w:t>
      </w:r>
      <w:r>
        <w:rPr>
          <w:rFonts w:hint="eastAsia" w:ascii="Times New Roman" w:hAnsi="Times New Roman" w:eastAsia="宋体" w:cs="Times New Roman"/>
          <w:snapToGrid w:val="0"/>
          <w:color w:val="auto"/>
          <w:kern w:val="2"/>
          <w:sz w:val="24"/>
          <w:szCs w:val="20"/>
          <w:highlight w:val="none"/>
          <w:u w:val="none"/>
          <w:lang w:val="en-US" w:eastAsia="zh-CN" w:bidi="ar-SA"/>
        </w:rPr>
        <w:t>t，当临时性占地的植被得到初步恢复后，这种损失将逐渐减少。</w:t>
      </w:r>
    </w:p>
    <w:p w14:paraId="6FE38197">
      <w:pPr>
        <w:keepNext w:val="0"/>
        <w:keepLines w:val="0"/>
        <w:pageBreakBefore w:val="0"/>
        <w:kinsoku/>
        <w:wordWrap/>
        <w:overflowPunct/>
        <w:topLinePunct w:val="0"/>
        <w:autoSpaceDE/>
        <w:autoSpaceDN/>
        <w:bidi w:val="0"/>
        <w:spacing w:line="480" w:lineRule="exact"/>
        <w:ind w:firstLine="540" w:firstLineChars="225"/>
        <w:textAlignment w:val="auto"/>
        <w:rPr>
          <w:rFonts w:ascii="Times New Roman" w:hAnsi="Times New Roman" w:eastAsia="宋体" w:cs="Times New Roman"/>
          <w:snapToGrid w:val="0"/>
          <w:color w:val="auto"/>
          <w:kern w:val="2"/>
          <w:sz w:val="24"/>
          <w:szCs w:val="20"/>
          <w:u w:val="none"/>
          <w:lang w:val="en-US" w:eastAsia="zh-CN" w:bidi="ar-SA"/>
        </w:rPr>
      </w:pPr>
      <w:r>
        <w:rPr>
          <w:rFonts w:ascii="Times New Roman" w:hAnsi="Times New Roman" w:eastAsia="宋体" w:cs="Times New Roman"/>
          <w:snapToGrid w:val="0"/>
          <w:color w:val="auto"/>
          <w:kern w:val="2"/>
          <w:sz w:val="24"/>
          <w:szCs w:val="20"/>
          <w:u w:val="none"/>
          <w:lang w:val="en-US" w:eastAsia="zh-CN" w:bidi="ar-SA"/>
        </w:rPr>
        <w:t>（1）扬尘对植被的影响</w:t>
      </w:r>
    </w:p>
    <w:p w14:paraId="54E855E2">
      <w:pPr>
        <w:keepNext w:val="0"/>
        <w:keepLines w:val="0"/>
        <w:pageBreakBefore w:val="0"/>
        <w:kinsoku/>
        <w:wordWrap/>
        <w:overflowPunct/>
        <w:topLinePunct w:val="0"/>
        <w:autoSpaceDE/>
        <w:autoSpaceDN/>
        <w:bidi w:val="0"/>
        <w:spacing w:line="480" w:lineRule="exact"/>
        <w:ind w:firstLine="540" w:firstLineChars="225"/>
        <w:textAlignment w:val="auto"/>
        <w:rPr>
          <w:rFonts w:ascii="Times New Roman" w:hAnsi="Times New Roman" w:eastAsia="宋体" w:cs="Times New Roman"/>
          <w:snapToGrid w:val="0"/>
          <w:color w:val="auto"/>
          <w:kern w:val="2"/>
          <w:sz w:val="24"/>
          <w:szCs w:val="20"/>
          <w:u w:val="none"/>
          <w:lang w:val="en-US" w:eastAsia="zh-CN" w:bidi="ar-SA"/>
        </w:rPr>
      </w:pPr>
      <w:r>
        <w:rPr>
          <w:rFonts w:hint="eastAsia" w:ascii="Times New Roman" w:hAnsi="Times New Roman" w:eastAsia="宋体" w:cs="Times New Roman"/>
          <w:snapToGrid w:val="0"/>
          <w:color w:val="auto"/>
          <w:kern w:val="2"/>
          <w:sz w:val="24"/>
          <w:szCs w:val="20"/>
          <w:u w:val="none"/>
          <w:lang w:val="en-US" w:eastAsia="zh-CN" w:bidi="ar-SA"/>
        </w:rPr>
        <w:t>工程</w:t>
      </w:r>
      <w:r>
        <w:rPr>
          <w:rFonts w:ascii="Times New Roman" w:hAnsi="Times New Roman" w:eastAsia="宋体" w:cs="Times New Roman"/>
          <w:snapToGrid w:val="0"/>
          <w:color w:val="auto"/>
          <w:kern w:val="2"/>
          <w:sz w:val="24"/>
          <w:szCs w:val="20"/>
          <w:u w:val="none"/>
          <w:lang w:val="en-US" w:eastAsia="zh-CN" w:bidi="ar-SA"/>
        </w:rPr>
        <w:t>开发建设中的扬尘是对植被生长产生影响的因素之一，扬尘产生的颗粒物质在植物地上器官(叶、茎、花和果实)沉降将对植物产生直接影响。沉降物在植物表面的扬尘以干粉尘、泥膜等形式累积，植物表面上的沉降物覆盖层阻塞气孔，导致气体交换减少，叶片温度升高，光合作用下降，叶片黄化干缩，植物的干物质生产受到影响。一般情况下，大范围内很低浓度的颗粒物慢性沉降不至于对自然生态系统产生不利影响，只有当颗粒物的沉降速率很高时才会造成生态问题。但对植物的伤害程度还取决于周围的环境及地形。</w:t>
      </w:r>
    </w:p>
    <w:p w14:paraId="7F529C9D">
      <w:pPr>
        <w:keepNext w:val="0"/>
        <w:keepLines w:val="0"/>
        <w:pageBreakBefore w:val="0"/>
        <w:kinsoku/>
        <w:wordWrap/>
        <w:overflowPunct/>
        <w:topLinePunct w:val="0"/>
        <w:autoSpaceDE/>
        <w:autoSpaceDN/>
        <w:bidi w:val="0"/>
        <w:spacing w:line="480" w:lineRule="exact"/>
        <w:ind w:firstLine="540" w:firstLineChars="225"/>
        <w:textAlignment w:val="auto"/>
        <w:rPr>
          <w:rFonts w:ascii="Times New Roman" w:hAnsi="Times New Roman" w:eastAsia="宋体" w:cs="Times New Roman"/>
          <w:snapToGrid w:val="0"/>
          <w:color w:val="auto"/>
          <w:kern w:val="2"/>
          <w:sz w:val="24"/>
          <w:szCs w:val="20"/>
          <w:u w:val="none"/>
          <w:lang w:val="en-US" w:eastAsia="zh-CN" w:bidi="ar-SA"/>
        </w:rPr>
      </w:pPr>
      <w:r>
        <w:rPr>
          <w:rFonts w:ascii="Times New Roman" w:hAnsi="Times New Roman" w:eastAsia="宋体" w:cs="Times New Roman"/>
          <w:snapToGrid w:val="0"/>
          <w:color w:val="auto"/>
          <w:kern w:val="2"/>
          <w:sz w:val="24"/>
          <w:szCs w:val="20"/>
          <w:u w:val="none"/>
          <w:lang w:val="en-US" w:eastAsia="zh-CN" w:bidi="ar-SA"/>
        </w:rPr>
        <w:t>结合</w:t>
      </w:r>
      <w:r>
        <w:rPr>
          <w:rFonts w:hint="eastAsia" w:ascii="Times New Roman" w:hAnsi="Times New Roman" w:eastAsia="宋体" w:cs="Times New Roman"/>
          <w:snapToGrid w:val="0"/>
          <w:color w:val="auto"/>
          <w:kern w:val="2"/>
          <w:sz w:val="24"/>
          <w:szCs w:val="20"/>
          <w:u w:val="none"/>
          <w:lang w:val="en-US" w:eastAsia="zh-CN" w:bidi="ar-SA"/>
        </w:rPr>
        <w:t>工程区</w:t>
      </w:r>
      <w:r>
        <w:rPr>
          <w:rFonts w:ascii="Times New Roman" w:hAnsi="Times New Roman" w:eastAsia="宋体" w:cs="Times New Roman"/>
          <w:snapToGrid w:val="0"/>
          <w:color w:val="auto"/>
          <w:kern w:val="2"/>
          <w:sz w:val="24"/>
          <w:szCs w:val="20"/>
          <w:u w:val="none"/>
          <w:lang w:val="en-US" w:eastAsia="zh-CN" w:bidi="ar-SA"/>
        </w:rPr>
        <w:t>域具体情况分析：该区域多风、少雨、干旱、地形开阔的自然条件使得大气中扬尘易扩散，加之工程施工阶段污染源分散，因此在正常情况下扬尘浓度低，工期短，对植被影响不大。</w:t>
      </w:r>
    </w:p>
    <w:p w14:paraId="401D1411">
      <w:pPr>
        <w:keepNext w:val="0"/>
        <w:keepLines w:val="0"/>
        <w:pageBreakBefore w:val="0"/>
        <w:kinsoku/>
        <w:wordWrap/>
        <w:overflowPunct/>
        <w:topLinePunct w:val="0"/>
        <w:autoSpaceDE/>
        <w:autoSpaceDN/>
        <w:bidi w:val="0"/>
        <w:spacing w:line="480" w:lineRule="exact"/>
        <w:ind w:firstLine="540" w:firstLineChars="225"/>
        <w:textAlignment w:val="auto"/>
        <w:rPr>
          <w:rFonts w:ascii="Times New Roman" w:hAnsi="Times New Roman" w:eastAsia="宋体" w:cs="Times New Roman"/>
          <w:snapToGrid w:val="0"/>
          <w:color w:val="auto"/>
          <w:kern w:val="2"/>
          <w:sz w:val="24"/>
          <w:szCs w:val="20"/>
          <w:u w:val="none"/>
          <w:lang w:val="en-US" w:eastAsia="zh-CN" w:bidi="ar-SA"/>
        </w:rPr>
      </w:pPr>
      <w:r>
        <w:rPr>
          <w:rFonts w:ascii="Times New Roman" w:hAnsi="Times New Roman" w:eastAsia="宋体" w:cs="Times New Roman"/>
          <w:snapToGrid w:val="0"/>
          <w:color w:val="auto"/>
          <w:kern w:val="2"/>
          <w:sz w:val="24"/>
          <w:szCs w:val="20"/>
          <w:u w:val="none"/>
          <w:lang w:val="en-US" w:eastAsia="zh-CN" w:bidi="ar-SA"/>
        </w:rPr>
        <w:t>（2）施工废物对植被的影响</w:t>
      </w:r>
    </w:p>
    <w:p w14:paraId="326528CA">
      <w:pPr>
        <w:keepNext w:val="0"/>
        <w:keepLines w:val="0"/>
        <w:pageBreakBefore w:val="0"/>
        <w:kinsoku/>
        <w:wordWrap/>
        <w:overflowPunct/>
        <w:topLinePunct w:val="0"/>
        <w:autoSpaceDE/>
        <w:autoSpaceDN/>
        <w:bidi w:val="0"/>
        <w:spacing w:line="480" w:lineRule="exact"/>
        <w:ind w:firstLine="540" w:firstLineChars="225"/>
        <w:textAlignment w:val="auto"/>
        <w:rPr>
          <w:rFonts w:hint="eastAsia" w:cs="Times New Roman"/>
          <w:snapToGrid w:val="0"/>
          <w:color w:val="auto"/>
          <w:kern w:val="2"/>
          <w:sz w:val="24"/>
          <w:szCs w:val="20"/>
          <w:u w:val="none"/>
          <w:lang w:val="en-US" w:eastAsia="zh-CN" w:bidi="ar-SA"/>
        </w:rPr>
      </w:pPr>
      <w:r>
        <w:rPr>
          <w:rFonts w:hint="eastAsia" w:cs="Times New Roman"/>
          <w:snapToGrid w:val="0"/>
          <w:color w:val="auto"/>
          <w:kern w:val="2"/>
          <w:sz w:val="24"/>
          <w:szCs w:val="20"/>
          <w:u w:val="none"/>
          <w:lang w:val="en-US" w:eastAsia="zh-CN" w:bidi="ar-SA"/>
        </w:rPr>
        <w:t>井场施工过程中产生的建筑垃圾，不及时清理，会压覆生长的植被；在管道工程中，管道防腐是不可缺少的一个重要工序，是防止事故发生的主要保护措施；在施工现场对管线进行防腐处理，不可避免地要有一些防腐材料散落在环境中，对土壤和植被产生一定的影响。其附着在植物体上会阻碍植物叶片呼吸及光合作用；施工废弃物、塑料袋、矿泉水瓶等生活垃圾的胡乱丢弃会造成白色污染而影响土壤，在大风季节塑料袋被吹挂在植物体上，这样不仅影响景观，亦影响植物的生长。但这种影响是有可能杜绝的，在施工中只要加强环保宣传，就会使这种影响降到最小程度甚至没有。</w:t>
      </w:r>
    </w:p>
    <w:p w14:paraId="352ECAF7">
      <w:pPr>
        <w:keepNext w:val="0"/>
        <w:keepLines w:val="0"/>
        <w:pageBreakBefore w:val="0"/>
        <w:kinsoku/>
        <w:wordWrap/>
        <w:overflowPunct/>
        <w:topLinePunct w:val="0"/>
        <w:autoSpaceDE/>
        <w:autoSpaceDN/>
        <w:bidi w:val="0"/>
        <w:spacing w:line="480" w:lineRule="exact"/>
        <w:ind w:firstLine="540" w:firstLineChars="225"/>
        <w:textAlignment w:val="auto"/>
        <w:rPr>
          <w:rFonts w:hint="default" w:ascii="Times New Roman" w:hAnsi="Times New Roman" w:eastAsia="宋体" w:cs="Times New Roman"/>
          <w:snapToGrid w:val="0"/>
          <w:color w:val="auto"/>
          <w:kern w:val="2"/>
          <w:sz w:val="24"/>
          <w:szCs w:val="20"/>
          <w:u w:val="none"/>
          <w:lang w:val="en-US" w:eastAsia="zh-CN" w:bidi="ar-SA"/>
        </w:rPr>
      </w:pPr>
      <w:r>
        <w:rPr>
          <w:rFonts w:hint="default" w:ascii="Times New Roman" w:hAnsi="Times New Roman" w:eastAsia="宋体" w:cs="Times New Roman"/>
          <w:snapToGrid w:val="0"/>
          <w:color w:val="auto"/>
          <w:kern w:val="2"/>
          <w:sz w:val="24"/>
          <w:szCs w:val="20"/>
          <w:u w:val="none"/>
          <w:lang w:val="en-US" w:eastAsia="zh-CN" w:bidi="ar-SA"/>
        </w:rPr>
        <w:t>（3）施工期人为活动对植被的影响</w:t>
      </w:r>
    </w:p>
    <w:p w14:paraId="2A894524">
      <w:pPr>
        <w:keepNext w:val="0"/>
        <w:keepLines w:val="0"/>
        <w:pageBreakBefore w:val="0"/>
        <w:kinsoku/>
        <w:wordWrap/>
        <w:overflowPunct/>
        <w:topLinePunct w:val="0"/>
        <w:autoSpaceDE/>
        <w:autoSpaceDN/>
        <w:bidi w:val="0"/>
        <w:spacing w:line="480" w:lineRule="exact"/>
        <w:ind w:firstLine="540" w:firstLineChars="225"/>
        <w:textAlignment w:val="auto"/>
        <w:rPr>
          <w:rFonts w:hint="default" w:ascii="Times New Roman" w:hAnsi="Times New Roman" w:eastAsia="宋体" w:cs="Times New Roman"/>
          <w:snapToGrid w:val="0"/>
          <w:color w:val="auto"/>
          <w:kern w:val="2"/>
          <w:sz w:val="24"/>
          <w:szCs w:val="20"/>
          <w:u w:val="none"/>
          <w:lang w:val="en-US" w:eastAsia="zh-CN" w:bidi="ar-SA"/>
        </w:rPr>
      </w:pPr>
      <w:r>
        <w:rPr>
          <w:rFonts w:hint="default" w:ascii="Times New Roman" w:hAnsi="Times New Roman" w:eastAsia="宋体" w:cs="Times New Roman"/>
          <w:snapToGrid w:val="0"/>
          <w:color w:val="auto"/>
          <w:kern w:val="2"/>
          <w:sz w:val="24"/>
          <w:szCs w:val="20"/>
          <w:u w:val="none"/>
          <w:lang w:val="en-US" w:eastAsia="zh-CN" w:bidi="ar-SA"/>
        </w:rPr>
        <w:t>人为活动对植被的影响主要表现为施工人员和作业机械对草本植物的践踏、</w:t>
      </w:r>
      <w:r>
        <w:rPr>
          <w:rFonts w:hint="eastAsia" w:cs="Times New Roman"/>
          <w:snapToGrid w:val="0"/>
          <w:color w:val="auto"/>
          <w:kern w:val="2"/>
          <w:sz w:val="24"/>
          <w:szCs w:val="20"/>
          <w:u w:val="none"/>
          <w:lang w:val="en-US" w:eastAsia="zh-CN" w:bidi="ar-SA"/>
        </w:rPr>
        <w:t>碾压</w:t>
      </w:r>
      <w:r>
        <w:rPr>
          <w:rFonts w:hint="default" w:ascii="Times New Roman" w:hAnsi="Times New Roman" w:eastAsia="宋体" w:cs="Times New Roman"/>
          <w:snapToGrid w:val="0"/>
          <w:color w:val="auto"/>
          <w:kern w:val="2"/>
          <w:sz w:val="24"/>
          <w:szCs w:val="20"/>
          <w:u w:val="none"/>
          <w:lang w:val="en-US" w:eastAsia="zh-CN" w:bidi="ar-SA"/>
        </w:rPr>
        <w:t>和灌木植物的砍伐等。从干旱荒漠生态系统的脆弱性角度考虑，原始环境中人类活动的介入，荒漠区单位面积上人口活动密度的增大，将导致荒漠区开发范围</w:t>
      </w:r>
      <w:r>
        <w:rPr>
          <w:rFonts w:hint="eastAsia" w:cs="Times New Roman"/>
          <w:snapToGrid w:val="0"/>
          <w:color w:val="auto"/>
          <w:kern w:val="2"/>
          <w:sz w:val="24"/>
          <w:szCs w:val="20"/>
          <w:u w:val="none"/>
          <w:lang w:val="en-US" w:eastAsia="zh-CN" w:bidi="ar-SA"/>
        </w:rPr>
        <w:t>（</w:t>
      </w:r>
      <w:r>
        <w:rPr>
          <w:rFonts w:hint="default" w:ascii="Times New Roman" w:hAnsi="Times New Roman" w:eastAsia="宋体" w:cs="Times New Roman"/>
          <w:snapToGrid w:val="0"/>
          <w:color w:val="auto"/>
          <w:kern w:val="2"/>
          <w:sz w:val="24"/>
          <w:szCs w:val="20"/>
          <w:u w:val="none"/>
          <w:lang w:val="en-US" w:eastAsia="zh-CN" w:bidi="ar-SA"/>
        </w:rPr>
        <w:t>施工范围</w:t>
      </w:r>
      <w:r>
        <w:rPr>
          <w:rFonts w:hint="eastAsia" w:cs="Times New Roman"/>
          <w:snapToGrid w:val="0"/>
          <w:color w:val="auto"/>
          <w:kern w:val="2"/>
          <w:sz w:val="24"/>
          <w:szCs w:val="20"/>
          <w:u w:val="none"/>
          <w:lang w:val="en-US" w:eastAsia="zh-CN" w:bidi="ar-SA"/>
        </w:rPr>
        <w:t>）</w:t>
      </w:r>
      <w:r>
        <w:rPr>
          <w:rFonts w:hint="default" w:ascii="Times New Roman" w:hAnsi="Times New Roman" w:eastAsia="宋体" w:cs="Times New Roman"/>
          <w:snapToGrid w:val="0"/>
          <w:color w:val="auto"/>
          <w:kern w:val="2"/>
          <w:sz w:val="24"/>
          <w:szCs w:val="20"/>
          <w:u w:val="none"/>
          <w:lang w:val="en-US" w:eastAsia="zh-CN" w:bidi="ar-SA"/>
        </w:rPr>
        <w:t>内及边缘区域地表土壤被践踏和自然植被覆盖度减少，初级生产力水平下降，使该区域的局部地带荒漠化的可能性增大，形成次生性沙漠化土地。其造成荒漠化的可能有以下几种途径。</w:t>
      </w:r>
    </w:p>
    <w:p w14:paraId="5E7ABE5D">
      <w:pPr>
        <w:keepNext w:val="0"/>
        <w:keepLines w:val="0"/>
        <w:pageBreakBefore w:val="0"/>
        <w:kinsoku/>
        <w:wordWrap/>
        <w:overflowPunct/>
        <w:topLinePunct w:val="0"/>
        <w:autoSpaceDE/>
        <w:autoSpaceDN/>
        <w:bidi w:val="0"/>
        <w:spacing w:line="480" w:lineRule="exact"/>
        <w:ind w:firstLine="540" w:firstLineChars="225"/>
        <w:textAlignment w:val="auto"/>
        <w:rPr>
          <w:rFonts w:hint="default" w:ascii="Times New Roman" w:hAnsi="Times New Roman" w:eastAsia="宋体" w:cs="Times New Roman"/>
          <w:snapToGrid w:val="0"/>
          <w:color w:val="auto"/>
          <w:kern w:val="2"/>
          <w:sz w:val="24"/>
          <w:szCs w:val="20"/>
          <w:u w:val="none"/>
          <w:lang w:val="en-US" w:eastAsia="zh-CN" w:bidi="ar-SA"/>
        </w:rPr>
      </w:pPr>
      <w:r>
        <w:rPr>
          <w:rFonts w:hint="eastAsia" w:cs="Times New Roman"/>
          <w:snapToGrid w:val="0"/>
          <w:color w:val="auto"/>
          <w:kern w:val="2"/>
          <w:sz w:val="24"/>
          <w:szCs w:val="20"/>
          <w:u w:val="none"/>
          <w:lang w:val="en-US" w:eastAsia="zh-CN" w:bidi="ar-SA"/>
        </w:rPr>
        <w:t>1）</w:t>
      </w:r>
      <w:r>
        <w:rPr>
          <w:rFonts w:hint="default" w:ascii="Times New Roman" w:hAnsi="Times New Roman" w:eastAsia="宋体" w:cs="Times New Roman"/>
          <w:snapToGrid w:val="0"/>
          <w:color w:val="auto"/>
          <w:kern w:val="2"/>
          <w:sz w:val="24"/>
          <w:szCs w:val="20"/>
          <w:u w:val="none"/>
          <w:lang w:val="en-US" w:eastAsia="zh-CN" w:bidi="ar-SA"/>
        </w:rPr>
        <w:t>由于开发及施工过程中人类践踏形成的小面积局部地段的次生裸地，从而增加产生沙化的可能性；其多集中在临时性占地外围50m范围内，这种影响一般为短期性影响，且强度不大，施工结束，这一影响也逐渐消除。</w:t>
      </w:r>
    </w:p>
    <w:p w14:paraId="2FA9035B">
      <w:pPr>
        <w:keepNext w:val="0"/>
        <w:keepLines w:val="0"/>
        <w:pageBreakBefore w:val="0"/>
        <w:kinsoku/>
        <w:wordWrap/>
        <w:overflowPunct/>
        <w:topLinePunct w:val="0"/>
        <w:autoSpaceDE/>
        <w:autoSpaceDN/>
        <w:bidi w:val="0"/>
        <w:spacing w:line="480" w:lineRule="exact"/>
        <w:ind w:firstLine="540" w:firstLineChars="225"/>
        <w:textAlignment w:val="auto"/>
        <w:rPr>
          <w:rFonts w:hint="default" w:ascii="Times New Roman" w:hAnsi="Times New Roman" w:eastAsia="宋体" w:cs="Times New Roman"/>
          <w:snapToGrid w:val="0"/>
          <w:color w:val="auto"/>
          <w:kern w:val="2"/>
          <w:sz w:val="24"/>
          <w:szCs w:val="20"/>
          <w:u w:val="none"/>
          <w:lang w:val="en-US" w:eastAsia="zh-CN" w:bidi="ar-SA"/>
        </w:rPr>
      </w:pPr>
      <w:r>
        <w:rPr>
          <w:rFonts w:hint="eastAsia" w:cs="Times New Roman"/>
          <w:snapToGrid w:val="0"/>
          <w:color w:val="auto"/>
          <w:kern w:val="2"/>
          <w:sz w:val="24"/>
          <w:szCs w:val="20"/>
          <w:u w:val="none"/>
          <w:lang w:val="en-US" w:eastAsia="zh-CN" w:bidi="ar-SA"/>
        </w:rPr>
        <w:t>2）</w:t>
      </w:r>
      <w:r>
        <w:rPr>
          <w:rFonts w:hint="default" w:ascii="Times New Roman" w:hAnsi="Times New Roman" w:eastAsia="宋体" w:cs="Times New Roman"/>
          <w:snapToGrid w:val="0"/>
          <w:color w:val="auto"/>
          <w:kern w:val="2"/>
          <w:sz w:val="24"/>
          <w:szCs w:val="20"/>
          <w:u w:val="none"/>
          <w:lang w:val="en-US" w:eastAsia="zh-CN" w:bidi="ar-SA"/>
        </w:rPr>
        <w:t>施工作业中大型机械大面积</w:t>
      </w:r>
      <w:r>
        <w:rPr>
          <w:rFonts w:hint="eastAsia" w:cs="Times New Roman"/>
          <w:snapToGrid w:val="0"/>
          <w:color w:val="auto"/>
          <w:kern w:val="2"/>
          <w:sz w:val="24"/>
          <w:szCs w:val="20"/>
          <w:u w:val="none"/>
          <w:lang w:val="en-US" w:eastAsia="zh-CN" w:bidi="ar-SA"/>
        </w:rPr>
        <w:t>碾压</w:t>
      </w:r>
      <w:r>
        <w:rPr>
          <w:rFonts w:hint="default" w:ascii="Times New Roman" w:hAnsi="Times New Roman" w:eastAsia="宋体" w:cs="Times New Roman"/>
          <w:snapToGrid w:val="0"/>
          <w:color w:val="auto"/>
          <w:kern w:val="2"/>
          <w:sz w:val="24"/>
          <w:szCs w:val="20"/>
          <w:u w:val="none"/>
          <w:lang w:val="en-US" w:eastAsia="zh-CN" w:bidi="ar-SA"/>
        </w:rPr>
        <w:t>和翻动地表土壤，造成地表原有结构的破坏，改变了十分脆弱的原有自然生态型，造成施工区外缘区域沙漠化。其影响范围同工程临时占地面积相同，这一破坏需经较长时段才能完全恢复。</w:t>
      </w:r>
    </w:p>
    <w:p w14:paraId="04FF6205">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5.1.2.4 对野生动物的影响分析</w:t>
      </w:r>
    </w:p>
    <w:p w14:paraId="40995DB7">
      <w:pPr>
        <w:keepNext w:val="0"/>
        <w:keepLines w:val="0"/>
        <w:pageBreakBefore w:val="0"/>
        <w:widowControl/>
        <w:kinsoku/>
        <w:wordWrap/>
        <w:overflowPunct/>
        <w:topLinePunct w:val="0"/>
        <w:autoSpaceDE/>
        <w:autoSpaceDN/>
        <w:bidi w:val="0"/>
        <w:spacing w:line="480" w:lineRule="exact"/>
        <w:ind w:firstLine="480"/>
        <w:jc w:val="left"/>
        <w:textAlignment w:val="auto"/>
        <w:rPr>
          <w:rFonts w:hint="eastAsia" w:ascii="Times New Roman" w:hAnsi="Times New Roman" w:eastAsia="宋体" w:cs="Times New Roman"/>
          <w:color w:val="auto"/>
          <w:kern w:val="0"/>
          <w:sz w:val="24"/>
          <w:szCs w:val="22"/>
          <w:highlight w:val="none"/>
          <w:u w:val="none"/>
          <w:lang w:val="en-US" w:eastAsia="zh-CN"/>
        </w:rPr>
      </w:pPr>
      <w:r>
        <w:rPr>
          <w:rFonts w:hint="eastAsia" w:ascii="Times New Roman" w:hAnsi="Times New Roman" w:eastAsia="宋体" w:cs="Times New Roman"/>
          <w:color w:val="auto"/>
          <w:kern w:val="0"/>
          <w:sz w:val="24"/>
          <w:szCs w:val="22"/>
          <w:highlight w:val="none"/>
          <w:u w:val="none"/>
          <w:lang w:val="en-US" w:eastAsia="zh-CN"/>
        </w:rPr>
        <w:t>评价范围内为</w:t>
      </w:r>
      <w:r>
        <w:rPr>
          <w:rFonts w:hint="default" w:ascii="Times New Roman" w:hAnsi="Times New Roman" w:eastAsia="宋体" w:cs="Times New Roman"/>
          <w:color w:val="auto"/>
          <w:kern w:val="0"/>
          <w:sz w:val="24"/>
          <w:szCs w:val="22"/>
          <w:highlight w:val="none"/>
          <w:u w:val="none"/>
          <w:lang w:val="en-US" w:eastAsia="zh-CN"/>
        </w:rPr>
        <w:t>沙漠区</w:t>
      </w:r>
      <w:r>
        <w:rPr>
          <w:rFonts w:hint="eastAsia" w:ascii="Times New Roman" w:hAnsi="Times New Roman" w:eastAsia="宋体" w:cs="Times New Roman"/>
          <w:color w:val="auto"/>
          <w:kern w:val="0"/>
          <w:sz w:val="24"/>
          <w:szCs w:val="22"/>
          <w:highlight w:val="none"/>
          <w:u w:val="none"/>
          <w:lang w:val="en-US" w:eastAsia="zh-CN"/>
        </w:rPr>
        <w:t>，</w:t>
      </w:r>
      <w:r>
        <w:rPr>
          <w:rFonts w:hint="default" w:ascii="Times New Roman" w:hAnsi="Times New Roman" w:eastAsia="宋体" w:cs="Times New Roman"/>
          <w:color w:val="auto"/>
          <w:kern w:val="0"/>
          <w:sz w:val="24"/>
          <w:szCs w:val="22"/>
          <w:highlight w:val="none"/>
          <w:u w:val="none"/>
          <w:lang w:val="en-US" w:eastAsia="zh-CN"/>
        </w:rPr>
        <w:t>自然条件十分恶劣，野生动物不易生存，动物极为罕见</w:t>
      </w:r>
      <w:r>
        <w:rPr>
          <w:rFonts w:hint="eastAsia" w:ascii="Times New Roman" w:hAnsi="Times New Roman" w:eastAsia="宋体" w:cs="Times New Roman"/>
          <w:color w:val="auto"/>
          <w:kern w:val="0"/>
          <w:sz w:val="24"/>
          <w:szCs w:val="22"/>
          <w:highlight w:val="none"/>
          <w:u w:val="none"/>
          <w:lang w:val="en-US" w:eastAsia="zh-CN"/>
        </w:rPr>
        <w:t>，</w:t>
      </w:r>
      <w:r>
        <w:rPr>
          <w:rFonts w:hint="eastAsia" w:ascii="Times New Roman" w:hAnsi="Times New Roman" w:eastAsia="宋体" w:cs="Times New Roman"/>
          <w:color w:val="auto"/>
          <w:kern w:val="0"/>
          <w:sz w:val="24"/>
          <w:szCs w:val="24"/>
          <w:highlight w:val="none"/>
          <w:u w:val="none"/>
        </w:rPr>
        <w:t>主要野生动物以各种昆虫居多，其次是蜥蜴、鼠类和一些雀类，</w:t>
      </w:r>
      <w:r>
        <w:rPr>
          <w:rFonts w:hint="eastAsia" w:ascii="Times New Roman" w:hAnsi="Times New Roman" w:eastAsia="宋体" w:cs="Times New Roman"/>
          <w:color w:val="auto"/>
          <w:kern w:val="0"/>
          <w:sz w:val="24"/>
          <w:szCs w:val="22"/>
          <w:highlight w:val="none"/>
          <w:u w:val="none"/>
          <w:lang w:val="en-US" w:eastAsia="zh-CN"/>
        </w:rPr>
        <w:t>没有国家和自治区级保护动物分布。</w:t>
      </w:r>
    </w:p>
    <w:p w14:paraId="3F3297BD">
      <w:pPr>
        <w:keepNext w:val="0"/>
        <w:keepLines w:val="0"/>
        <w:pageBreakBefore w:val="0"/>
        <w:widowControl w:val="0"/>
        <w:kinsoku/>
        <w:wordWrap/>
        <w:overflowPunct/>
        <w:topLinePunct w:val="0"/>
        <w:autoSpaceDE/>
        <w:autoSpaceDN/>
        <w:bidi w:val="0"/>
        <w:spacing w:line="480" w:lineRule="exact"/>
        <w:ind w:left="0" w:right="0" w:firstLine="480" w:firstLineChars="200"/>
        <w:textAlignment w:val="auto"/>
        <w:rPr>
          <w:rFonts w:hint="default" w:ascii="Times New Roman" w:hAnsi="Times New Roman" w:eastAsia="宋体" w:cs="Times New Roman"/>
          <w:bCs w:val="0"/>
          <w:color w:val="auto"/>
          <w:spacing w:val="0"/>
          <w:sz w:val="24"/>
          <w:szCs w:val="24"/>
          <w:highlight w:val="none"/>
          <w:u w:val="none"/>
          <w:lang w:val="en-US" w:eastAsia="zh-CN" w:bidi="ar-SA"/>
        </w:rPr>
      </w:pPr>
      <w:r>
        <w:rPr>
          <w:rFonts w:hint="eastAsia" w:ascii="Times New Roman" w:hAnsi="Times New Roman" w:eastAsia="宋体" w:cs="Times New Roman"/>
          <w:bCs/>
          <w:color w:val="auto"/>
          <w:sz w:val="24"/>
          <w:szCs w:val="24"/>
          <w:highlight w:val="none"/>
          <w:u w:val="none"/>
          <w:lang w:val="en-US" w:eastAsia="zh-CN" w:bidi="ar-SA"/>
        </w:rPr>
        <w:t>项目各工程</w:t>
      </w:r>
      <w:r>
        <w:rPr>
          <w:rFonts w:ascii="Times New Roman" w:hAnsi="Times New Roman" w:eastAsia="宋体" w:cs="Times New Roman"/>
          <w:bCs/>
          <w:color w:val="auto"/>
          <w:sz w:val="24"/>
          <w:szCs w:val="24"/>
          <w:highlight w:val="none"/>
          <w:u w:val="none"/>
          <w:lang w:val="en-US" w:eastAsia="zh-CN" w:bidi="ar-SA"/>
        </w:rPr>
        <w:t>呈点块状（如</w:t>
      </w:r>
      <w:r>
        <w:rPr>
          <w:rFonts w:hint="eastAsia" w:cs="Times New Roman"/>
          <w:bCs/>
          <w:color w:val="auto"/>
          <w:sz w:val="24"/>
          <w:szCs w:val="24"/>
          <w:highlight w:val="none"/>
          <w:u w:val="none"/>
          <w:lang w:val="en-US" w:eastAsia="zh-CN" w:bidi="ar-SA"/>
        </w:rPr>
        <w:t>：</w:t>
      </w:r>
      <w:r>
        <w:rPr>
          <w:rFonts w:ascii="Times New Roman" w:hAnsi="Times New Roman" w:eastAsia="宋体" w:cs="Times New Roman"/>
          <w:bCs/>
          <w:color w:val="auto"/>
          <w:sz w:val="24"/>
          <w:szCs w:val="24"/>
          <w:highlight w:val="none"/>
          <w:u w:val="none"/>
          <w:lang w:val="en-US" w:eastAsia="zh-CN" w:bidi="ar-SA"/>
        </w:rPr>
        <w:t>井场等）和线状（如</w:t>
      </w:r>
      <w:r>
        <w:rPr>
          <w:rFonts w:hint="eastAsia" w:cs="Times New Roman"/>
          <w:bCs/>
          <w:color w:val="auto"/>
          <w:sz w:val="24"/>
          <w:szCs w:val="24"/>
          <w:highlight w:val="none"/>
          <w:u w:val="none"/>
          <w:lang w:val="en-US" w:eastAsia="zh-CN" w:bidi="ar-SA"/>
        </w:rPr>
        <w:t>：</w:t>
      </w:r>
      <w:r>
        <w:rPr>
          <w:rFonts w:ascii="Times New Roman" w:hAnsi="Times New Roman" w:eastAsia="宋体" w:cs="Times New Roman"/>
          <w:bCs/>
          <w:color w:val="auto"/>
          <w:sz w:val="24"/>
          <w:szCs w:val="24"/>
          <w:highlight w:val="none"/>
          <w:u w:val="none"/>
          <w:lang w:val="en-US" w:eastAsia="zh-CN" w:bidi="ar-SA"/>
        </w:rPr>
        <w:t>管线</w:t>
      </w:r>
      <w:r>
        <w:rPr>
          <w:rFonts w:hint="eastAsia" w:ascii="Times New Roman" w:hAnsi="Times New Roman" w:eastAsia="宋体" w:cs="Times New Roman"/>
          <w:bCs/>
          <w:color w:val="auto"/>
          <w:sz w:val="24"/>
          <w:szCs w:val="24"/>
          <w:highlight w:val="none"/>
          <w:u w:val="none"/>
          <w:lang w:val="en-US" w:eastAsia="zh-CN" w:bidi="ar-SA"/>
        </w:rPr>
        <w:t>、输变电线路</w:t>
      </w:r>
      <w:r>
        <w:rPr>
          <w:rFonts w:ascii="Times New Roman" w:hAnsi="Times New Roman" w:eastAsia="宋体" w:cs="Times New Roman"/>
          <w:bCs/>
          <w:color w:val="auto"/>
          <w:sz w:val="24"/>
          <w:szCs w:val="24"/>
          <w:highlight w:val="none"/>
          <w:u w:val="none"/>
          <w:lang w:val="en-US" w:eastAsia="zh-CN" w:bidi="ar-SA"/>
        </w:rPr>
        <w:t>等）分布</w:t>
      </w:r>
      <w:r>
        <w:rPr>
          <w:rFonts w:hint="eastAsia" w:ascii="Times New Roman" w:hAnsi="Times New Roman" w:eastAsia="宋体" w:cs="Times New Roman"/>
          <w:bCs/>
          <w:color w:val="auto"/>
          <w:sz w:val="24"/>
          <w:szCs w:val="24"/>
          <w:highlight w:val="none"/>
          <w:u w:val="none"/>
          <w:lang w:val="en-US" w:eastAsia="zh-CN" w:bidi="ar-SA"/>
        </w:rPr>
        <w:t>在评价区范围内，施工可能会影响或缩小野生动物的栖息空间和生存环境；施工干扰会使野生动物受到惊吓，也将被迫离开施工区周围的栖息地或活动区域。</w:t>
      </w:r>
      <w:r>
        <w:rPr>
          <w:rFonts w:ascii="Times New Roman" w:hAnsi="Times New Roman" w:eastAsia="宋体" w:cs="Times New Roman"/>
          <w:bCs/>
          <w:color w:val="auto"/>
          <w:sz w:val="24"/>
          <w:szCs w:val="24"/>
          <w:highlight w:val="none"/>
          <w:u w:val="none"/>
          <w:lang w:val="en-US" w:eastAsia="zh-CN" w:bidi="ar-SA"/>
        </w:rPr>
        <w:t>施工结束后，随着人类活动和占地的减少，原有生境将逐步恢复，野生动物对新环境适应后其活动和分布范围亦将恢复</w:t>
      </w:r>
      <w:r>
        <w:rPr>
          <w:rFonts w:hint="default" w:ascii="Times New Roman" w:hAnsi="Times New Roman" w:eastAsia="宋体" w:cs="Times New Roman"/>
          <w:bCs w:val="0"/>
          <w:color w:val="auto"/>
          <w:spacing w:val="0"/>
          <w:sz w:val="24"/>
          <w:szCs w:val="24"/>
          <w:highlight w:val="none"/>
          <w:u w:val="none"/>
          <w:lang w:val="en-US" w:eastAsia="zh-CN" w:bidi="ar-SA"/>
        </w:rPr>
        <w:t>。</w:t>
      </w:r>
    </w:p>
    <w:p w14:paraId="3C7E1A76">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5.1.2.5 井场建设对生态环境的影响</w:t>
      </w:r>
    </w:p>
    <w:p w14:paraId="311C612F">
      <w:pPr>
        <w:keepNext w:val="0"/>
        <w:keepLines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2"/>
          <w:highlight w:val="none"/>
          <w:u w:val="none"/>
          <w:lang w:val="en-US" w:eastAsia="zh-CN"/>
        </w:rPr>
      </w:pPr>
      <w:r>
        <w:rPr>
          <w:rFonts w:hint="default" w:ascii="Times New Roman" w:hAnsi="Times New Roman" w:eastAsia="宋体" w:cs="Times New Roman"/>
          <w:color w:val="auto"/>
          <w:kern w:val="0"/>
          <w:sz w:val="24"/>
          <w:szCs w:val="22"/>
          <w:highlight w:val="none"/>
          <w:u w:val="none"/>
          <w:lang w:val="en-US" w:eastAsia="zh-CN"/>
        </w:rPr>
        <w:t>通过邻近区域已完钻井井场周围土壤环境质量类比调查，结果表明，距井场不同距离处土壤中石油类浓度明显高于井场外土壤石油类浓度，说明油田开采对土壤存在石油类污染；而井场外10m至200m处土壤石油类浓度值较接近，且与区域土壤环境质量对照点石油类浓度也接近，因此油田开采对土壤的污染主要集中在井场内部。从井场内土壤不同剖面深度的石油类浓度分布来看，10cm深度的石油类浓度最高，是表层土壤石油类浓度的2倍，是对照点土壤中石油类浓度的4倍，说明油田开采产生的落地油等污染物会向下渗透对深层土壤造成影响；20cm浓度的土壤中石油类浓度与表层土壤石油类浓度相近，说明井场石油类污染主要集中在表层至20cm深度处。</w:t>
      </w:r>
    </w:p>
    <w:p w14:paraId="5F6D1134">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5.1.2.6 管线建设对生态环境的影响</w:t>
      </w:r>
    </w:p>
    <w:p w14:paraId="7C46D6B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从管线途经区域两侧各200m评价范围的现状调查结果来看，本项目区地处沙漠腹地，绝大部分为连绵的流动沙丘，极端干旱的气候和稀疏的植被使得该区域的生物种类贫乏，沿线主要为裸地，地表基本无植被生长。在管道敷设过程中，开挖和回填对土壤的影响主要为：破坏土壤原有结构，混合土壤层次、改变土壤质地；影响土壤养分；影响土壤紧实度；土壤污染；影响土壤物理性质。</w:t>
      </w:r>
    </w:p>
    <w:p w14:paraId="2BA653A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5.1.</w:t>
      </w:r>
      <w:r>
        <w:rPr>
          <w:rFonts w:hint="eastAsia" w:ascii="黑体" w:hAnsi="黑体" w:eastAsia="黑体" w:cs="黑体"/>
          <w:b/>
          <w:color w:val="auto"/>
          <w:kern w:val="0"/>
          <w:sz w:val="24"/>
          <w:szCs w:val="24"/>
          <w:highlight w:val="none"/>
          <w:u w:val="none"/>
          <w:lang w:val="en-US" w:eastAsia="zh-CN"/>
        </w:rPr>
        <w:t xml:space="preserve">3 </w:t>
      </w:r>
      <w:r>
        <w:rPr>
          <w:rFonts w:hint="default" w:ascii="黑体" w:hAnsi="黑体" w:eastAsia="黑体" w:cs="黑体"/>
          <w:b/>
          <w:color w:val="auto"/>
          <w:kern w:val="0"/>
          <w:sz w:val="24"/>
          <w:szCs w:val="24"/>
          <w:highlight w:val="none"/>
          <w:u w:val="none"/>
          <w:lang w:val="en-US" w:eastAsia="zh-CN"/>
        </w:rPr>
        <w:t>水土流失的影响分析</w:t>
      </w:r>
    </w:p>
    <w:p w14:paraId="54DD66A7">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ascii="宋体" w:hAnsi="宋体" w:cs="宋体"/>
          <w:color w:val="auto"/>
          <w:kern w:val="0"/>
          <w:sz w:val="24"/>
          <w:szCs w:val="24"/>
          <w:u w:val="none"/>
        </w:rPr>
      </w:pPr>
      <w:r>
        <w:rPr>
          <w:rFonts w:hint="eastAsia" w:ascii="宋体" w:hAnsi="宋体" w:cs="宋体"/>
          <w:color w:val="auto"/>
          <w:kern w:val="0"/>
          <w:sz w:val="24"/>
          <w:szCs w:val="24"/>
          <w:u w:val="none"/>
        </w:rPr>
        <w:t>项目区地面建设工程实施中，会使施工带范围内的土体结构遭到破坏，其范围内的植被也会受到严重破坏甚至被彻底清除，导致风沙作用加剧，因此大规模的石油勘探开发可能促使生态环境进一步恶化。其影响主要表现在以下</w:t>
      </w:r>
      <w:r>
        <w:rPr>
          <w:rFonts w:hint="eastAsia" w:ascii="宋体" w:hAnsi="宋体" w:cs="宋体"/>
          <w:color w:val="auto"/>
          <w:kern w:val="0"/>
          <w:sz w:val="24"/>
          <w:szCs w:val="24"/>
          <w:u w:val="none"/>
          <w:lang w:val="en-US" w:eastAsia="zh-CN"/>
        </w:rPr>
        <w:t>几</w:t>
      </w:r>
      <w:r>
        <w:rPr>
          <w:rFonts w:hint="eastAsia" w:ascii="宋体" w:hAnsi="宋体" w:cs="宋体"/>
          <w:color w:val="auto"/>
          <w:kern w:val="0"/>
          <w:sz w:val="24"/>
          <w:szCs w:val="24"/>
          <w:u w:val="none"/>
        </w:rPr>
        <w:t>个方面。</w:t>
      </w:r>
    </w:p>
    <w:p w14:paraId="44CBE9F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u w:val="none"/>
        </w:rPr>
      </w:pPr>
      <w:r>
        <w:rPr>
          <w:rFonts w:hint="eastAsia" w:ascii="宋体" w:hAnsi="宋体" w:cs="宋体"/>
          <w:color w:val="auto"/>
          <w:kern w:val="0"/>
          <w:sz w:val="24"/>
          <w:szCs w:val="24"/>
          <w:u w:val="none"/>
        </w:rPr>
        <w:t>（1）土壤粗粒化</w:t>
      </w:r>
    </w:p>
    <w:p w14:paraId="6061714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u w:val="none"/>
        </w:rPr>
      </w:pPr>
      <w:r>
        <w:rPr>
          <w:rFonts w:hint="eastAsia" w:ascii="宋体" w:hAnsi="宋体" w:cs="宋体"/>
          <w:color w:val="auto"/>
          <w:kern w:val="0"/>
          <w:sz w:val="24"/>
          <w:szCs w:val="24"/>
          <w:u w:val="none"/>
        </w:rPr>
        <w:t>在土壤沙化过程中，当风力作用地表产生风蚀时，便产生风选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7D17FA7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u w:val="none"/>
        </w:rPr>
      </w:pPr>
      <w:r>
        <w:rPr>
          <w:rFonts w:hint="eastAsia" w:ascii="宋体" w:hAnsi="宋体" w:cs="宋体"/>
          <w:color w:val="auto"/>
          <w:kern w:val="0"/>
          <w:sz w:val="24"/>
          <w:szCs w:val="24"/>
          <w:u w:val="none"/>
        </w:rPr>
        <w:t>（</w:t>
      </w:r>
      <w:r>
        <w:rPr>
          <w:rFonts w:ascii="宋体" w:hAnsi="宋体" w:cs="宋体"/>
          <w:color w:val="auto"/>
          <w:kern w:val="0"/>
          <w:sz w:val="24"/>
          <w:szCs w:val="24"/>
          <w:u w:val="none"/>
        </w:rPr>
        <w:t>2</w:t>
      </w:r>
      <w:r>
        <w:rPr>
          <w:rFonts w:hint="eastAsia" w:ascii="宋体" w:hAnsi="宋体" w:cs="宋体"/>
          <w:color w:val="auto"/>
          <w:kern w:val="0"/>
          <w:sz w:val="24"/>
          <w:szCs w:val="24"/>
          <w:u w:val="none"/>
        </w:rPr>
        <w:t>）土壤贫瘠及含盐量变化</w:t>
      </w:r>
    </w:p>
    <w:p w14:paraId="18B2B3B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u w:val="none"/>
        </w:rPr>
      </w:pPr>
      <w:r>
        <w:rPr>
          <w:rFonts w:hint="eastAsia" w:ascii="宋体" w:hAnsi="宋体" w:cs="宋体"/>
          <w:color w:val="auto"/>
          <w:kern w:val="0"/>
          <w:sz w:val="24"/>
          <w:szCs w:val="24"/>
          <w:u w:val="none"/>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随沙化增强，盐分含量降低。</w:t>
      </w:r>
    </w:p>
    <w:p w14:paraId="65EF8FB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u w:val="none"/>
        </w:rPr>
      </w:pPr>
      <w:r>
        <w:rPr>
          <w:rFonts w:hint="eastAsia" w:ascii="宋体" w:hAnsi="宋体" w:cs="宋体"/>
          <w:color w:val="auto"/>
          <w:kern w:val="0"/>
          <w:sz w:val="24"/>
          <w:szCs w:val="24"/>
          <w:u w:val="none"/>
        </w:rPr>
        <w:t>（3）对油区公路、管线、井场的危害</w:t>
      </w:r>
    </w:p>
    <w:p w14:paraId="2409203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b w:val="0"/>
          <w:color w:val="auto"/>
          <w:kern w:val="2"/>
          <w:sz w:val="24"/>
          <w:szCs w:val="24"/>
          <w:u w:val="none"/>
          <w:lang w:val="en-US" w:eastAsia="zh-CN" w:bidi="ar-SA"/>
        </w:rPr>
      </w:pPr>
      <w:r>
        <w:rPr>
          <w:rFonts w:hint="eastAsia" w:ascii="宋体" w:hAnsi="宋体" w:cs="宋体"/>
          <w:color w:val="auto"/>
          <w:kern w:val="0"/>
          <w:sz w:val="24"/>
          <w:szCs w:val="24"/>
          <w:u w:val="none"/>
        </w:rPr>
        <w:t>评价区内春夏两季为多风季节，尤其是春季大风频繁，沙尘暴天气较多，而此时降水稀少，因而干旱沙质地表的沙层易被风力吹扬，风沙活动可以风蚀公路</w:t>
      </w:r>
      <w:r>
        <w:rPr>
          <w:rFonts w:hint="eastAsia" w:ascii="宋体" w:hAnsi="宋体" w:cs="宋体"/>
          <w:color w:val="auto"/>
          <w:kern w:val="0"/>
          <w:sz w:val="24"/>
          <w:szCs w:val="24"/>
          <w:u w:val="none"/>
          <w:lang w:eastAsia="zh-CN"/>
        </w:rPr>
        <w:t>。</w:t>
      </w:r>
      <w:r>
        <w:rPr>
          <w:rFonts w:hint="eastAsia" w:ascii="Times New Roman" w:hAnsi="Times New Roman" w:eastAsia="宋体" w:cs="Times New Roman"/>
          <w:b w:val="0"/>
          <w:color w:val="auto"/>
          <w:kern w:val="2"/>
          <w:sz w:val="24"/>
          <w:szCs w:val="24"/>
          <w:u w:val="none"/>
          <w:lang w:val="en-US" w:eastAsia="zh-CN" w:bidi="ar-SA"/>
        </w:rPr>
        <w:t>在敷设管线下管回填时，回填土高于原地表，由于土质疏松，易被春秋季的大风扬起的沙尘，从而造成水土流失。此外管线穿越冲沟处，水工防护设施设计不当或没有采取水工防护，可能在洪水季节由于水流的冲刷而剥蚀暴露出管线。</w:t>
      </w:r>
    </w:p>
    <w:p w14:paraId="5AA1D0CE">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5.1.4 运营期生态环境影响分析</w:t>
      </w:r>
    </w:p>
    <w:p w14:paraId="1B985382">
      <w:pPr>
        <w:widowControl/>
        <w:spacing w:line="360" w:lineRule="auto"/>
        <w:ind w:firstLine="480" w:firstLineChars="200"/>
        <w:jc w:val="both"/>
        <w:rPr>
          <w:rFonts w:hint="eastAsia" w:ascii="Times New Roman" w:hAnsi="Times New Roman" w:cs="Times New Roman"/>
          <w:color w:val="auto"/>
          <w:kern w:val="0"/>
          <w:sz w:val="24"/>
          <w:szCs w:val="24"/>
          <w:highlight w:val="none"/>
          <w:u w:val="none"/>
        </w:rPr>
      </w:pPr>
      <w:r>
        <w:rPr>
          <w:rFonts w:hint="eastAsia" w:ascii="Times New Roman" w:hAnsi="Times New Roman" w:cs="Times New Roman"/>
          <w:color w:val="auto"/>
          <w:kern w:val="0"/>
          <w:sz w:val="24"/>
          <w:szCs w:val="24"/>
          <w:highlight w:val="none"/>
          <w:u w:val="none"/>
        </w:rPr>
        <w:t>本</w:t>
      </w:r>
      <w:r>
        <w:rPr>
          <w:rFonts w:hint="eastAsia" w:ascii="Times New Roman" w:hAnsi="Times New Roman" w:cs="Times New Roman"/>
          <w:color w:val="auto"/>
          <w:kern w:val="0"/>
          <w:sz w:val="24"/>
          <w:szCs w:val="24"/>
          <w:highlight w:val="none"/>
          <w:u w:val="none"/>
          <w:lang w:val="en-US" w:eastAsia="zh-CN"/>
        </w:rPr>
        <w:t>工程</w:t>
      </w:r>
      <w:r>
        <w:rPr>
          <w:rFonts w:hint="eastAsia" w:ascii="Times New Roman" w:hAnsi="Times New Roman" w:cs="Times New Roman"/>
          <w:color w:val="auto"/>
          <w:kern w:val="0"/>
          <w:sz w:val="24"/>
          <w:szCs w:val="24"/>
          <w:highlight w:val="none"/>
          <w:u w:val="none"/>
        </w:rPr>
        <w:t>运营期对生态环境的影响主要表现在对野生动物、植被等的影响，生态系统完整性影响以及生态景观影响。</w:t>
      </w:r>
    </w:p>
    <w:p w14:paraId="6D561D01">
      <w:pPr>
        <w:widowControl/>
        <w:spacing w:line="360" w:lineRule="auto"/>
        <w:ind w:firstLine="480" w:firstLineChars="200"/>
        <w:jc w:val="both"/>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lang w:val="en-US" w:eastAsia="zh-CN"/>
        </w:rPr>
        <w:t>1</w:t>
      </w:r>
      <w:r>
        <w:rPr>
          <w:rFonts w:hint="eastAsia" w:ascii="Times New Roman" w:hAnsi="Times New Roman" w:cs="Times New Roman"/>
          <w:color w:val="auto"/>
          <w:kern w:val="0"/>
          <w:sz w:val="24"/>
          <w:szCs w:val="24"/>
          <w:highlight w:val="none"/>
          <w:u w:val="none"/>
          <w:lang w:eastAsia="zh-CN"/>
        </w:rPr>
        <w:t>）对土地利用的影响</w:t>
      </w:r>
    </w:p>
    <w:p w14:paraId="501D59F2">
      <w:pPr>
        <w:widowControl/>
        <w:spacing w:line="360" w:lineRule="auto"/>
        <w:ind w:firstLine="480" w:firstLineChars="200"/>
        <w:jc w:val="both"/>
        <w:rPr>
          <w:rFonts w:hint="eastAsia" w:ascii="Times New Roman" w:hAnsi="Times New Roman" w:eastAsia="宋体" w:cs="Times New Roman"/>
          <w:color w:val="auto"/>
          <w:kern w:val="0"/>
          <w:sz w:val="24"/>
          <w:szCs w:val="24"/>
          <w:highlight w:val="none"/>
          <w:u w:val="none"/>
          <w:lang w:eastAsia="zh-CN"/>
        </w:rPr>
      </w:pPr>
      <w:r>
        <w:rPr>
          <w:rFonts w:ascii="宋体" w:hAnsi="宋体" w:cs="宋体"/>
          <w:color w:val="auto"/>
          <w:kern w:val="0"/>
          <w:sz w:val="24"/>
          <w:szCs w:val="24"/>
          <w:highlight w:val="none"/>
          <w:u w:val="none"/>
        </w:rPr>
        <w:t>对于永久占地，由于改变了原有土地和利用性质，</w:t>
      </w:r>
      <w:r>
        <w:rPr>
          <w:rFonts w:hint="eastAsia" w:ascii="宋体" w:hAnsi="宋体" w:cs="宋体"/>
          <w:color w:val="auto"/>
          <w:kern w:val="0"/>
          <w:sz w:val="24"/>
          <w:szCs w:val="24"/>
          <w:highlight w:val="none"/>
          <w:u w:val="none"/>
        </w:rPr>
        <w:t>沙地等</w:t>
      </w:r>
      <w:r>
        <w:rPr>
          <w:rFonts w:ascii="宋体" w:hAnsi="宋体" w:cs="宋体"/>
          <w:color w:val="auto"/>
          <w:kern w:val="0"/>
          <w:sz w:val="24"/>
          <w:szCs w:val="24"/>
          <w:highlight w:val="none"/>
          <w:u w:val="none"/>
        </w:rPr>
        <w:t>区域被构筑物代替。地面基础设施建设完成后，井场</w:t>
      </w:r>
      <w:r>
        <w:rPr>
          <w:rFonts w:hint="eastAsia" w:ascii="宋体" w:hAnsi="宋体" w:cs="宋体"/>
          <w:color w:val="auto"/>
          <w:kern w:val="0"/>
          <w:sz w:val="24"/>
          <w:szCs w:val="24"/>
          <w:highlight w:val="none"/>
          <w:u w:val="none"/>
          <w:lang w:eastAsia="zh-CN"/>
        </w:rPr>
        <w:t>、</w:t>
      </w:r>
      <w:r>
        <w:rPr>
          <w:rFonts w:ascii="宋体" w:hAnsi="宋体" w:cs="宋体"/>
          <w:color w:val="auto"/>
          <w:kern w:val="0"/>
          <w:sz w:val="24"/>
          <w:szCs w:val="24"/>
          <w:highlight w:val="none"/>
          <w:u w:val="none"/>
        </w:rPr>
        <w:t>各类集输管道处于正常运营状况，不再进一步对环境产生明显的干扰和影响</w:t>
      </w:r>
      <w:r>
        <w:rPr>
          <w:rFonts w:hint="eastAsia" w:ascii="宋体" w:hAnsi="宋体" w:cs="宋体"/>
          <w:color w:val="auto"/>
          <w:kern w:val="0"/>
          <w:sz w:val="24"/>
          <w:szCs w:val="24"/>
          <w:highlight w:val="none"/>
          <w:u w:val="none"/>
          <w:lang w:eastAsia="zh-CN"/>
        </w:rPr>
        <w:t>。</w:t>
      </w:r>
    </w:p>
    <w:p w14:paraId="7C43A894">
      <w:pPr>
        <w:widowControl/>
        <w:numPr>
          <w:ilvl w:val="0"/>
          <w:numId w:val="0"/>
        </w:numPr>
        <w:spacing w:line="360" w:lineRule="auto"/>
        <w:ind w:leftChars="200"/>
        <w:jc w:val="both"/>
        <w:rPr>
          <w:rFonts w:hint="eastAsia"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2</w:t>
      </w:r>
      <w:r>
        <w:rPr>
          <w:rFonts w:hint="eastAsia"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对野生动物的影响分析</w:t>
      </w:r>
    </w:p>
    <w:p w14:paraId="54E0B1DB">
      <w:pPr>
        <w:widowControl/>
        <w:numPr>
          <w:ilvl w:val="0"/>
          <w:numId w:val="0"/>
        </w:numPr>
        <w:spacing w:line="360" w:lineRule="auto"/>
        <w:ind w:firstLine="480" w:firstLineChars="200"/>
        <w:jc w:val="both"/>
        <w:rPr>
          <w:rFonts w:hint="eastAsia" w:ascii="Times New Roman" w:hAnsi="Times New Roman" w:cs="Times New Roman"/>
          <w:color w:val="auto"/>
          <w:kern w:val="0"/>
          <w:sz w:val="24"/>
          <w:szCs w:val="24"/>
          <w:highlight w:val="none"/>
          <w:u w:val="none"/>
        </w:rPr>
      </w:pPr>
      <w:r>
        <w:rPr>
          <w:rFonts w:hint="eastAsia" w:ascii="Times New Roman" w:hAnsi="Times New Roman" w:cs="Times New Roman"/>
          <w:color w:val="auto"/>
          <w:kern w:val="0"/>
          <w:sz w:val="24"/>
          <w:szCs w:val="24"/>
          <w:highlight w:val="none"/>
          <w:u w:val="none"/>
        </w:rPr>
        <w:t>运营期车辆运输和机械噪声相对施工期有所减小，人为活动相对施工也有所减少，通过加强管理禁止</w:t>
      </w:r>
      <w:r>
        <w:rPr>
          <w:rFonts w:hint="eastAsia" w:ascii="Times New Roman" w:hAnsi="Times New Roman" w:cs="Times New Roman"/>
          <w:color w:val="auto"/>
          <w:kern w:val="0"/>
          <w:sz w:val="24"/>
          <w:szCs w:val="24"/>
          <w:highlight w:val="none"/>
          <w:u w:val="none"/>
          <w:lang w:eastAsia="zh-CN"/>
        </w:rPr>
        <w:t>油田</w:t>
      </w:r>
      <w:r>
        <w:rPr>
          <w:rFonts w:hint="eastAsia" w:ascii="Times New Roman" w:hAnsi="Times New Roman" w:cs="Times New Roman"/>
          <w:color w:val="auto"/>
          <w:kern w:val="0"/>
          <w:sz w:val="24"/>
          <w:szCs w:val="24"/>
          <w:highlight w:val="none"/>
          <w:u w:val="none"/>
        </w:rPr>
        <w:t>职工对野生动物的猎杀，</w:t>
      </w:r>
      <w:r>
        <w:rPr>
          <w:rFonts w:hint="eastAsia" w:ascii="Times New Roman" w:hAnsi="Times New Roman" w:cs="Times New Roman"/>
          <w:color w:val="auto"/>
          <w:kern w:val="0"/>
          <w:sz w:val="24"/>
          <w:szCs w:val="24"/>
          <w:highlight w:val="none"/>
          <w:u w:val="none"/>
          <w:lang w:eastAsia="zh-CN"/>
        </w:rPr>
        <w:t>本工程</w:t>
      </w:r>
      <w:r>
        <w:rPr>
          <w:rFonts w:hint="eastAsia" w:ascii="Times New Roman" w:hAnsi="Times New Roman" w:cs="Times New Roman"/>
          <w:color w:val="auto"/>
          <w:kern w:val="0"/>
          <w:sz w:val="24"/>
          <w:szCs w:val="24"/>
          <w:highlight w:val="none"/>
          <w:u w:val="none"/>
        </w:rPr>
        <w:t>运营期的噪声和人为活动对野生动物的影响也相对减小。</w:t>
      </w:r>
    </w:p>
    <w:p w14:paraId="3E0A0BBB">
      <w:pPr>
        <w:widowControl/>
        <w:spacing w:line="360" w:lineRule="auto"/>
        <w:ind w:firstLine="480" w:firstLineChars="200"/>
        <w:jc w:val="both"/>
        <w:rPr>
          <w:rFonts w:hint="eastAsia" w:ascii="Times New Roman" w:hAnsi="Times New Roman" w:cs="Times New Roman"/>
          <w:color w:val="auto"/>
          <w:kern w:val="0"/>
          <w:sz w:val="24"/>
          <w:szCs w:val="24"/>
          <w:highlight w:val="none"/>
          <w:u w:val="none"/>
        </w:rPr>
      </w:pPr>
      <w:r>
        <w:rPr>
          <w:rFonts w:hint="eastAsia" w:ascii="Times New Roman" w:hAnsi="Times New Roman" w:cs="Times New Roman"/>
          <w:color w:val="auto"/>
          <w:kern w:val="0"/>
          <w:sz w:val="24"/>
          <w:szCs w:val="24"/>
          <w:highlight w:val="none"/>
          <w:u w:val="none"/>
        </w:rPr>
        <w:t>运营期道路行车主要是</w:t>
      </w:r>
      <w:r>
        <w:rPr>
          <w:rFonts w:hint="eastAsia" w:ascii="Times New Roman" w:hAnsi="Times New Roman" w:cs="Times New Roman"/>
          <w:color w:val="auto"/>
          <w:kern w:val="0"/>
          <w:sz w:val="24"/>
          <w:szCs w:val="24"/>
          <w:highlight w:val="none"/>
          <w:u w:val="none"/>
          <w:lang w:eastAsia="zh-CN"/>
        </w:rPr>
        <w:t>油田</w:t>
      </w:r>
      <w:r>
        <w:rPr>
          <w:rFonts w:hint="eastAsia" w:ascii="Times New Roman" w:hAnsi="Times New Roman" w:cs="Times New Roman"/>
          <w:color w:val="auto"/>
          <w:kern w:val="0"/>
          <w:sz w:val="24"/>
          <w:szCs w:val="24"/>
          <w:highlight w:val="none"/>
          <w:u w:val="none"/>
        </w:rPr>
        <w:t>巡线的自备车辆，车流量很小，夜间无车行驶，一般情况下，野生动物会自行规避或适应，不会对野生动物产生明显影响。</w:t>
      </w:r>
    </w:p>
    <w:p w14:paraId="5C3554F9">
      <w:pPr>
        <w:widowControl/>
        <w:spacing w:line="360" w:lineRule="auto"/>
        <w:ind w:firstLine="480" w:firstLineChars="200"/>
        <w:jc w:val="both"/>
        <w:rPr>
          <w:rFonts w:hint="eastAsia" w:ascii="Times New Roman" w:hAnsi="Times New Roman" w:cs="Times New Roman"/>
          <w:color w:val="auto"/>
          <w:kern w:val="0"/>
          <w:sz w:val="24"/>
          <w:szCs w:val="24"/>
          <w:highlight w:val="none"/>
          <w:u w:val="none"/>
        </w:rPr>
      </w:pPr>
      <w:r>
        <w:rPr>
          <w:rFonts w:hint="eastAsia" w:ascii="Times New Roman" w:hAnsi="Times New Roman" w:cs="Times New Roman"/>
          <w:color w:val="auto"/>
          <w:kern w:val="0"/>
          <w:sz w:val="24"/>
          <w:szCs w:val="24"/>
          <w:highlight w:val="none"/>
          <w:u w:val="none"/>
        </w:rPr>
        <w:t>（</w:t>
      </w:r>
      <w:r>
        <w:rPr>
          <w:rFonts w:hint="eastAsia" w:ascii="Times New Roman" w:hAnsi="Times New Roman" w:cs="Times New Roman"/>
          <w:color w:val="auto"/>
          <w:kern w:val="0"/>
          <w:sz w:val="24"/>
          <w:szCs w:val="24"/>
          <w:highlight w:val="none"/>
          <w:u w:val="none"/>
          <w:lang w:val="en-US" w:eastAsia="zh-CN"/>
        </w:rPr>
        <w:t>3</w:t>
      </w:r>
      <w:r>
        <w:rPr>
          <w:rFonts w:hint="eastAsia" w:ascii="Times New Roman" w:hAnsi="Times New Roman" w:cs="Times New Roman"/>
          <w:color w:val="auto"/>
          <w:kern w:val="0"/>
          <w:sz w:val="24"/>
          <w:szCs w:val="24"/>
          <w:highlight w:val="none"/>
          <w:u w:val="none"/>
        </w:rPr>
        <w:t>）植被影响分析</w:t>
      </w:r>
    </w:p>
    <w:p w14:paraId="3C583AF8">
      <w:pPr>
        <w:widowControl/>
        <w:spacing w:line="360" w:lineRule="auto"/>
        <w:ind w:firstLine="480" w:firstLineChars="200"/>
        <w:jc w:val="both"/>
        <w:rPr>
          <w:rFonts w:ascii="Times New Roman" w:hAnsi="Times New Roman" w:cs="Times New Roman"/>
          <w:b/>
          <w:color w:val="auto"/>
          <w:kern w:val="0"/>
          <w:sz w:val="28"/>
          <w:szCs w:val="24"/>
          <w:highlight w:val="none"/>
          <w:u w:val="none"/>
        </w:rPr>
      </w:pPr>
      <w:r>
        <w:rPr>
          <w:rFonts w:hint="eastAsia" w:ascii="Times New Roman" w:hAnsi="Times New Roman" w:cs="Times New Roman"/>
          <w:color w:val="auto"/>
          <w:kern w:val="0"/>
          <w:sz w:val="24"/>
          <w:szCs w:val="24"/>
          <w:highlight w:val="none"/>
          <w:u w:val="none"/>
        </w:rPr>
        <w:t>运营期由于占地活动的结束，工程基本不会对植被产生影响，临时占地的植被开始自然恢复，一般在2～3年内开始发生向原生植被群落演替，并逐渐得到恢复。但事故状态如管线泄漏或火灾均会致使泄漏或火灾处局部范围内植被死亡。但事故造成的植被破坏是小范围的，在荒漠地带植被损失量很小。</w:t>
      </w:r>
    </w:p>
    <w:p w14:paraId="4FAC318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5.1.5 退役期生态环境影响分析</w:t>
      </w:r>
    </w:p>
    <w:p w14:paraId="1A6F9290">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ascii="宋体" w:hAnsi="宋体" w:cs="宋体"/>
          <w:color w:val="auto"/>
          <w:kern w:val="0"/>
          <w:sz w:val="24"/>
          <w:szCs w:val="24"/>
          <w:highlight w:val="none"/>
          <w:u w:val="none"/>
        </w:rPr>
      </w:pPr>
      <w:r>
        <w:rPr>
          <w:rFonts w:hint="eastAsia" w:ascii="宋体" w:hAnsi="宋体" w:cs="宋体"/>
          <w:color w:val="auto"/>
          <w:kern w:val="0"/>
          <w:sz w:val="24"/>
          <w:szCs w:val="24"/>
          <w:highlight w:val="none"/>
          <w:u w:val="none"/>
        </w:rPr>
        <w:t>随着</w:t>
      </w:r>
      <w:r>
        <w:rPr>
          <w:rFonts w:hint="eastAsia" w:ascii="宋体" w:hAnsi="宋体" w:cs="宋体"/>
          <w:color w:val="auto"/>
          <w:kern w:val="0"/>
          <w:sz w:val="24"/>
          <w:szCs w:val="24"/>
          <w:highlight w:val="none"/>
          <w:u w:val="none"/>
          <w:lang w:eastAsia="zh-CN"/>
        </w:rPr>
        <w:t>油</w:t>
      </w:r>
      <w:r>
        <w:rPr>
          <w:rFonts w:hint="eastAsia" w:ascii="宋体" w:hAnsi="宋体" w:cs="宋体"/>
          <w:color w:val="auto"/>
          <w:kern w:val="0"/>
          <w:sz w:val="24"/>
          <w:szCs w:val="24"/>
          <w:highlight w:val="none"/>
          <w:u w:val="none"/>
          <w:lang w:val="en-US" w:eastAsia="zh-CN"/>
        </w:rPr>
        <w:t>气</w:t>
      </w:r>
      <w:r>
        <w:rPr>
          <w:rFonts w:hint="eastAsia" w:ascii="宋体" w:hAnsi="宋体" w:cs="宋体"/>
          <w:color w:val="auto"/>
          <w:kern w:val="0"/>
          <w:sz w:val="24"/>
          <w:szCs w:val="24"/>
          <w:highlight w:val="none"/>
          <w:u w:val="none"/>
          <w:lang w:eastAsia="zh-CN"/>
        </w:rPr>
        <w:t>田</w:t>
      </w:r>
      <w:r>
        <w:rPr>
          <w:rFonts w:hint="eastAsia" w:ascii="宋体" w:hAnsi="宋体" w:cs="宋体"/>
          <w:color w:val="auto"/>
          <w:kern w:val="0"/>
          <w:sz w:val="24"/>
          <w:szCs w:val="24"/>
          <w:highlight w:val="none"/>
          <w:u w:val="none"/>
        </w:rPr>
        <w:t>开采的不断进行，其储量逐渐下降，最终井区将进入</w:t>
      </w:r>
      <w:r>
        <w:rPr>
          <w:rFonts w:hint="eastAsia" w:ascii="宋体" w:hAnsi="宋体" w:cs="宋体"/>
          <w:color w:val="auto"/>
          <w:kern w:val="0"/>
          <w:sz w:val="24"/>
          <w:szCs w:val="24"/>
          <w:highlight w:val="none"/>
          <w:u w:val="none"/>
          <w:lang w:eastAsia="zh-CN"/>
        </w:rPr>
        <w:t>退役期</w:t>
      </w:r>
      <w:r>
        <w:rPr>
          <w:rFonts w:hint="eastAsia" w:ascii="宋体" w:hAnsi="宋体" w:cs="宋体"/>
          <w:color w:val="auto"/>
          <w:kern w:val="0"/>
          <w:sz w:val="24"/>
          <w:szCs w:val="24"/>
          <w:highlight w:val="none"/>
          <w:u w:val="none"/>
        </w:rPr>
        <w:t>。当</w:t>
      </w:r>
      <w:r>
        <w:rPr>
          <w:rFonts w:hint="eastAsia" w:ascii="宋体" w:hAnsi="宋体" w:cs="宋体"/>
          <w:color w:val="auto"/>
          <w:kern w:val="0"/>
          <w:sz w:val="24"/>
          <w:szCs w:val="24"/>
          <w:highlight w:val="none"/>
          <w:u w:val="none"/>
          <w:lang w:eastAsia="zh-CN"/>
        </w:rPr>
        <w:t>油</w:t>
      </w:r>
      <w:r>
        <w:rPr>
          <w:rFonts w:hint="eastAsia" w:ascii="宋体" w:hAnsi="宋体" w:cs="宋体"/>
          <w:color w:val="auto"/>
          <w:kern w:val="0"/>
          <w:sz w:val="24"/>
          <w:szCs w:val="24"/>
          <w:highlight w:val="none"/>
          <w:u w:val="none"/>
          <w:lang w:val="en-US" w:eastAsia="zh-CN"/>
        </w:rPr>
        <w:t>气</w:t>
      </w:r>
      <w:r>
        <w:rPr>
          <w:rFonts w:hint="eastAsia" w:ascii="宋体" w:hAnsi="宋体" w:cs="宋体"/>
          <w:color w:val="auto"/>
          <w:kern w:val="0"/>
          <w:sz w:val="24"/>
          <w:szCs w:val="24"/>
          <w:highlight w:val="none"/>
          <w:u w:val="none"/>
          <w:lang w:eastAsia="zh-CN"/>
        </w:rPr>
        <w:t>田</w:t>
      </w:r>
      <w:r>
        <w:rPr>
          <w:rFonts w:hint="eastAsia" w:ascii="宋体" w:hAnsi="宋体" w:cs="宋体"/>
          <w:color w:val="auto"/>
          <w:kern w:val="0"/>
          <w:sz w:val="24"/>
          <w:szCs w:val="24"/>
          <w:highlight w:val="none"/>
          <w:u w:val="none"/>
        </w:rPr>
        <w:t>开发接近尾声时，各种机械设备将停止使用，进驻其中的</w:t>
      </w:r>
      <w:r>
        <w:rPr>
          <w:rFonts w:hint="eastAsia" w:ascii="宋体" w:hAnsi="宋体" w:cs="宋体"/>
          <w:color w:val="auto"/>
          <w:kern w:val="0"/>
          <w:sz w:val="24"/>
          <w:szCs w:val="24"/>
          <w:highlight w:val="none"/>
          <w:u w:val="none"/>
          <w:lang w:eastAsia="zh-CN"/>
        </w:rPr>
        <w:t>油</w:t>
      </w:r>
      <w:r>
        <w:rPr>
          <w:rFonts w:hint="eastAsia" w:ascii="宋体" w:hAnsi="宋体" w:cs="宋体"/>
          <w:color w:val="auto"/>
          <w:kern w:val="0"/>
          <w:sz w:val="24"/>
          <w:szCs w:val="24"/>
          <w:highlight w:val="none"/>
          <w:u w:val="none"/>
          <w:lang w:val="en-US" w:eastAsia="zh-CN"/>
        </w:rPr>
        <w:t>气</w:t>
      </w:r>
      <w:r>
        <w:rPr>
          <w:rFonts w:hint="eastAsia" w:ascii="宋体" w:hAnsi="宋体" w:cs="宋体"/>
          <w:color w:val="auto"/>
          <w:kern w:val="0"/>
          <w:sz w:val="24"/>
          <w:szCs w:val="24"/>
          <w:highlight w:val="none"/>
          <w:u w:val="none"/>
          <w:lang w:eastAsia="zh-CN"/>
        </w:rPr>
        <w:t>田</w:t>
      </w:r>
      <w:r>
        <w:rPr>
          <w:rFonts w:hint="eastAsia" w:ascii="宋体" w:hAnsi="宋体" w:cs="宋体"/>
          <w:color w:val="auto"/>
          <w:kern w:val="0"/>
          <w:sz w:val="24"/>
          <w:szCs w:val="24"/>
          <w:highlight w:val="none"/>
          <w:u w:val="none"/>
        </w:rPr>
        <w:t>开发工作人员将陆续撤离</w:t>
      </w:r>
      <w:r>
        <w:rPr>
          <w:rFonts w:hint="eastAsia" w:ascii="宋体" w:hAnsi="宋体" w:cs="宋体"/>
          <w:color w:val="auto"/>
          <w:kern w:val="0"/>
          <w:sz w:val="24"/>
          <w:szCs w:val="24"/>
          <w:highlight w:val="none"/>
          <w:u w:val="none"/>
          <w:lang w:eastAsia="zh-CN"/>
        </w:rPr>
        <w:t>油</w:t>
      </w:r>
      <w:r>
        <w:rPr>
          <w:rFonts w:hint="eastAsia" w:ascii="宋体" w:hAnsi="宋体" w:cs="宋体"/>
          <w:color w:val="auto"/>
          <w:kern w:val="0"/>
          <w:sz w:val="24"/>
          <w:szCs w:val="24"/>
          <w:highlight w:val="none"/>
          <w:u w:val="none"/>
          <w:lang w:val="en-US" w:eastAsia="zh-CN"/>
        </w:rPr>
        <w:t>气</w:t>
      </w:r>
      <w:r>
        <w:rPr>
          <w:rFonts w:hint="eastAsia" w:ascii="宋体" w:hAnsi="宋体" w:cs="宋体"/>
          <w:color w:val="auto"/>
          <w:kern w:val="0"/>
          <w:sz w:val="24"/>
          <w:szCs w:val="24"/>
          <w:highlight w:val="none"/>
          <w:u w:val="none"/>
          <w:lang w:eastAsia="zh-CN"/>
        </w:rPr>
        <w:t>田</w:t>
      </w:r>
      <w:r>
        <w:rPr>
          <w:rFonts w:hint="eastAsia" w:ascii="宋体" w:hAnsi="宋体" w:cs="宋体"/>
          <w:color w:val="auto"/>
          <w:kern w:val="0"/>
          <w:sz w:val="24"/>
          <w:szCs w:val="24"/>
          <w:highlight w:val="none"/>
          <w:u w:val="none"/>
        </w:rPr>
        <w:t>区域，由此带来的大气污染物、生产废水、噪声及固体废物等对环境的影响将会消失。</w:t>
      </w:r>
    </w:p>
    <w:p w14:paraId="7E7B777B">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ascii="宋体" w:hAnsi="宋体" w:cs="宋体"/>
          <w:color w:val="auto"/>
          <w:kern w:val="0"/>
          <w:sz w:val="24"/>
          <w:szCs w:val="24"/>
          <w:highlight w:val="none"/>
          <w:u w:val="none"/>
        </w:rPr>
      </w:pPr>
      <w:r>
        <w:rPr>
          <w:rFonts w:hint="eastAsia" w:ascii="宋体" w:hAnsi="宋体" w:cs="宋体"/>
          <w:color w:val="auto"/>
          <w:kern w:val="0"/>
          <w:sz w:val="24"/>
          <w:szCs w:val="24"/>
          <w:highlight w:val="none"/>
          <w:u w:val="none"/>
          <w:lang w:eastAsia="zh-CN"/>
        </w:rPr>
        <w:t>退役期</w:t>
      </w:r>
      <w:r>
        <w:rPr>
          <w:rFonts w:hint="eastAsia" w:ascii="宋体" w:hAnsi="宋体" w:cs="宋体"/>
          <w:color w:val="auto"/>
          <w:kern w:val="0"/>
          <w:sz w:val="24"/>
          <w:szCs w:val="24"/>
          <w:highlight w:val="none"/>
          <w:u w:val="none"/>
        </w:rPr>
        <w:t>的环境影响以生态环境的恢复为主，同时封井和井场清理也会产生少量扬尘和建筑垃圾，会对周围的环境造成一定影响。</w:t>
      </w:r>
      <w:r>
        <w:rPr>
          <w:rFonts w:hint="eastAsia" w:ascii="宋体" w:hAnsi="宋体" w:cs="宋体"/>
          <w:color w:val="auto"/>
          <w:kern w:val="0"/>
          <w:sz w:val="24"/>
          <w:szCs w:val="24"/>
          <w:highlight w:val="none"/>
          <w:u w:val="none"/>
          <w:lang w:eastAsia="zh-CN"/>
        </w:rPr>
        <w:t>油</w:t>
      </w:r>
      <w:r>
        <w:rPr>
          <w:rFonts w:hint="eastAsia" w:ascii="宋体" w:hAnsi="宋体" w:cs="宋体"/>
          <w:color w:val="auto"/>
          <w:kern w:val="0"/>
          <w:sz w:val="24"/>
          <w:szCs w:val="24"/>
          <w:highlight w:val="none"/>
          <w:u w:val="none"/>
          <w:lang w:val="en-US" w:eastAsia="zh-CN"/>
        </w:rPr>
        <w:t>气井</w:t>
      </w:r>
      <w:r>
        <w:rPr>
          <w:rFonts w:hint="eastAsia" w:ascii="宋体" w:hAnsi="宋体" w:cs="宋体"/>
          <w:color w:val="auto"/>
          <w:kern w:val="0"/>
          <w:sz w:val="24"/>
          <w:szCs w:val="24"/>
          <w:highlight w:val="none"/>
          <w:u w:val="none"/>
        </w:rPr>
        <w:t>停采后将进行一系列清理工作，包括</w:t>
      </w:r>
      <w:r>
        <w:rPr>
          <w:rFonts w:hint="eastAsia" w:ascii="宋体" w:hAnsi="宋体" w:cs="宋体"/>
          <w:color w:val="auto"/>
          <w:kern w:val="0"/>
          <w:sz w:val="24"/>
          <w:szCs w:val="24"/>
          <w:highlight w:val="none"/>
          <w:u w:val="none"/>
          <w:lang w:eastAsia="zh-CN"/>
        </w:rPr>
        <w:t>：</w:t>
      </w:r>
      <w:r>
        <w:rPr>
          <w:rFonts w:hint="eastAsia" w:ascii="宋体" w:hAnsi="宋体" w:cs="宋体"/>
          <w:color w:val="auto"/>
          <w:kern w:val="0"/>
          <w:sz w:val="24"/>
          <w:szCs w:val="24"/>
          <w:highlight w:val="none"/>
          <w:u w:val="none"/>
        </w:rPr>
        <w:t>地面设施拆除、地下截去至少1m的井筒并用水泥灌注封井、井场清理等。在这期间，将会产生少量扬尘和固体废物。在闭井施工操作中应注意采取降尘措施，文明施工，防止水泥等的洒落与飘散，同时在清理井场时防止飞灰、扬尘的产生，尽可能降低对周边大气环境的影响。</w:t>
      </w:r>
    </w:p>
    <w:p w14:paraId="68969113">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ascii="宋体" w:hAnsi="宋体" w:cs="宋体"/>
          <w:color w:val="auto"/>
          <w:kern w:val="0"/>
          <w:sz w:val="24"/>
          <w:szCs w:val="24"/>
          <w:highlight w:val="none"/>
          <w:u w:val="none"/>
        </w:rPr>
      </w:pPr>
      <w:r>
        <w:rPr>
          <w:rFonts w:hint="eastAsia" w:ascii="宋体" w:hAnsi="宋体" w:cs="宋体"/>
          <w:color w:val="auto"/>
          <w:kern w:val="0"/>
          <w:sz w:val="24"/>
          <w:szCs w:val="24"/>
          <w:highlight w:val="none"/>
          <w:u w:val="none"/>
        </w:rPr>
        <w:t>另外，井场清理等工作还会产生部分废弃管线、废弃建筑残渣等固体废物，对这些废弃管线、残渣等进行集中清理收集，管线外运经清洗后可回收再利用，废弃建筑残渣外运至指定处理场填埋处理。固体废物的妥善处理，可以有效控制对区域环境的影响。</w:t>
      </w:r>
    </w:p>
    <w:p w14:paraId="03A5636C">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ascii="宋体" w:hAnsi="宋体" w:cs="宋体"/>
          <w:color w:val="auto"/>
          <w:kern w:val="0"/>
          <w:sz w:val="24"/>
          <w:szCs w:val="24"/>
          <w:highlight w:val="none"/>
          <w:u w:val="none"/>
        </w:rPr>
      </w:pPr>
      <w:r>
        <w:rPr>
          <w:rFonts w:hint="eastAsia" w:ascii="宋体" w:hAnsi="宋体" w:cs="宋体"/>
          <w:color w:val="auto"/>
          <w:kern w:val="0"/>
          <w:sz w:val="24"/>
          <w:szCs w:val="24"/>
          <w:highlight w:val="none"/>
          <w:u w:val="none"/>
        </w:rPr>
        <w:t>井场经过清理后，永久性占地范围内的水泥平台或砂砾石铺垫被清理，随后根据周边区域的自然现状对其进行恢复，使井场恢复到相对自然的一种状态。</w:t>
      </w:r>
      <w:r>
        <w:rPr>
          <w:rFonts w:hint="eastAsia" w:ascii="宋体" w:hAnsi="宋体" w:cs="宋体"/>
          <w:color w:val="auto"/>
          <w:kern w:val="0"/>
          <w:sz w:val="24"/>
          <w:szCs w:val="24"/>
          <w:highlight w:val="none"/>
          <w:u w:val="none"/>
          <w:lang w:eastAsia="zh-CN"/>
        </w:rPr>
        <w:t>油田</w:t>
      </w:r>
      <w:r>
        <w:rPr>
          <w:rFonts w:hint="eastAsia" w:ascii="宋体" w:hAnsi="宋体" w:cs="宋体"/>
          <w:color w:val="auto"/>
          <w:kern w:val="0"/>
          <w:sz w:val="24"/>
          <w:szCs w:val="24"/>
          <w:highlight w:val="none"/>
          <w:u w:val="none"/>
        </w:rPr>
        <w:t>设施退役后，人员撤离，区域内没有人为扰动，井场范围内的自然植被会逐渐得以恢复，有助于区域生态环境的改善。</w:t>
      </w:r>
    </w:p>
    <w:p w14:paraId="4E120005">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5.1.6 小结</w:t>
      </w:r>
    </w:p>
    <w:p w14:paraId="169BDAA9">
      <w:pPr>
        <w:keepNext w:val="0"/>
        <w:keepLines w:val="0"/>
        <w:pageBreakBefore w:val="0"/>
        <w:kinsoku/>
        <w:wordWrap/>
        <w:overflowPunct/>
        <w:topLinePunct w:val="0"/>
        <w:autoSpaceDE/>
        <w:autoSpaceDN/>
        <w:bidi w:val="0"/>
        <w:adjustRightInd/>
        <w:snapToGrid/>
        <w:spacing w:line="480" w:lineRule="exact"/>
        <w:ind w:firstLine="540" w:firstLineChars="225"/>
        <w:textAlignment w:val="auto"/>
        <w:rPr>
          <w:rFonts w:ascii="Times New Roman" w:hAnsi="Times New Roman" w:eastAsia="宋体" w:cs="Times New Roman"/>
          <w:snapToGrid w:val="0"/>
          <w:color w:val="auto"/>
          <w:kern w:val="2"/>
          <w:sz w:val="24"/>
          <w:szCs w:val="20"/>
          <w:u w:val="none"/>
          <w:lang w:val="en-US" w:eastAsia="zh-CN" w:bidi="ar-SA"/>
        </w:rPr>
      </w:pPr>
      <w:r>
        <w:rPr>
          <w:rFonts w:hint="eastAsia" w:ascii="Times New Roman" w:hAnsi="Times New Roman" w:eastAsia="宋体" w:cs="Times New Roman"/>
          <w:snapToGrid w:val="0"/>
          <w:color w:val="auto"/>
          <w:kern w:val="2"/>
          <w:sz w:val="24"/>
          <w:szCs w:val="20"/>
          <w:u w:val="none"/>
          <w:lang w:val="en-US" w:eastAsia="zh-CN" w:bidi="ar-SA"/>
        </w:rPr>
        <w:t>本工程所在区域的野生动物种类少，工程位于</w:t>
      </w:r>
      <w:r>
        <w:rPr>
          <w:rFonts w:hint="eastAsia" w:ascii="宋体" w:hAnsi="宋体" w:cs="宋体"/>
          <w:color w:val="auto"/>
          <w:kern w:val="0"/>
          <w:sz w:val="24"/>
          <w:szCs w:val="24"/>
          <w:highlight w:val="none"/>
          <w:u w:val="none"/>
          <w:lang w:eastAsia="zh-CN"/>
        </w:rPr>
        <w:t>油</w:t>
      </w:r>
      <w:r>
        <w:rPr>
          <w:rFonts w:hint="eastAsia" w:ascii="宋体" w:hAnsi="宋体" w:cs="宋体"/>
          <w:color w:val="auto"/>
          <w:kern w:val="0"/>
          <w:sz w:val="24"/>
          <w:szCs w:val="24"/>
          <w:highlight w:val="none"/>
          <w:u w:val="none"/>
          <w:lang w:val="en-US" w:eastAsia="zh-CN"/>
        </w:rPr>
        <w:t>气</w:t>
      </w:r>
      <w:r>
        <w:rPr>
          <w:rFonts w:hint="eastAsia" w:ascii="宋体" w:hAnsi="宋体" w:cs="宋体"/>
          <w:color w:val="auto"/>
          <w:kern w:val="0"/>
          <w:sz w:val="24"/>
          <w:szCs w:val="24"/>
          <w:highlight w:val="none"/>
          <w:u w:val="none"/>
          <w:lang w:eastAsia="zh-CN"/>
        </w:rPr>
        <w:t>田</w:t>
      </w:r>
      <w:r>
        <w:rPr>
          <w:rFonts w:hint="eastAsia" w:ascii="Times New Roman" w:hAnsi="Times New Roman" w:eastAsia="宋体" w:cs="Times New Roman"/>
          <w:snapToGrid w:val="0"/>
          <w:color w:val="auto"/>
          <w:kern w:val="2"/>
          <w:sz w:val="24"/>
          <w:szCs w:val="20"/>
          <w:u w:val="none"/>
          <w:lang w:val="en-US" w:eastAsia="zh-CN" w:bidi="ar-SA"/>
        </w:rPr>
        <w:t>开发区域，因</w:t>
      </w:r>
      <w:r>
        <w:rPr>
          <w:rFonts w:hint="eastAsia" w:ascii="宋体" w:hAnsi="宋体" w:cs="宋体"/>
          <w:color w:val="auto"/>
          <w:kern w:val="0"/>
          <w:sz w:val="24"/>
          <w:szCs w:val="24"/>
          <w:highlight w:val="none"/>
          <w:u w:val="none"/>
          <w:lang w:eastAsia="zh-CN"/>
        </w:rPr>
        <w:t>油</w:t>
      </w:r>
      <w:r>
        <w:rPr>
          <w:rFonts w:hint="eastAsia" w:ascii="宋体" w:hAnsi="宋体" w:cs="宋体"/>
          <w:color w:val="auto"/>
          <w:kern w:val="0"/>
          <w:sz w:val="24"/>
          <w:szCs w:val="24"/>
          <w:highlight w:val="none"/>
          <w:u w:val="none"/>
          <w:lang w:val="en-US" w:eastAsia="zh-CN"/>
        </w:rPr>
        <w:t>气</w:t>
      </w:r>
      <w:r>
        <w:rPr>
          <w:rFonts w:hint="eastAsia" w:ascii="Times New Roman" w:hAnsi="Times New Roman" w:eastAsia="宋体" w:cs="Times New Roman"/>
          <w:snapToGrid w:val="0"/>
          <w:color w:val="auto"/>
          <w:kern w:val="2"/>
          <w:sz w:val="24"/>
          <w:szCs w:val="20"/>
          <w:u w:val="none"/>
          <w:lang w:val="en-US" w:eastAsia="zh-CN" w:bidi="ar-SA"/>
        </w:rPr>
        <w:t>开发建设活动早已开展，人类活动频繁，工程区内对人类活动敏感的野生动物较少，调查期间未见到大中型野生动物，项目对野生动植物影响不大。工程所在区域不涉及天然林，占地区域基本无植被</w:t>
      </w:r>
      <w:r>
        <w:rPr>
          <w:rFonts w:hint="eastAsia" w:cs="Times New Roman"/>
          <w:snapToGrid w:val="0"/>
          <w:color w:val="auto"/>
          <w:kern w:val="2"/>
          <w:sz w:val="24"/>
          <w:szCs w:val="20"/>
          <w:u w:val="none"/>
          <w:lang w:val="en-US" w:eastAsia="zh-CN" w:bidi="ar-SA"/>
        </w:rPr>
        <w:t>。</w:t>
      </w:r>
      <w:r>
        <w:rPr>
          <w:rFonts w:hint="eastAsia" w:ascii="Times New Roman" w:hAnsi="Times New Roman" w:eastAsia="宋体" w:cs="Times New Roman"/>
          <w:snapToGrid w:val="0"/>
          <w:color w:val="auto"/>
          <w:kern w:val="2"/>
          <w:sz w:val="24"/>
          <w:szCs w:val="20"/>
          <w:u w:val="none"/>
          <w:lang w:val="en-US" w:eastAsia="zh-CN" w:bidi="ar-SA"/>
        </w:rPr>
        <w:t>工程对区域生态的影响主要为施工期的扬尘及相关施工活动，其影响范围同工程临时占地面积相同，这一破坏需经较长时段才能完全恢复。工程区属于水土流失重点预防区，但占地面积较小，采取环评提出的水土流失防治措施后，对环境的影响可以接受。</w:t>
      </w:r>
    </w:p>
    <w:p w14:paraId="269BF406">
      <w:pPr>
        <w:keepNext w:val="0"/>
        <w:keepLines w:val="0"/>
        <w:pageBreakBefore w:val="0"/>
        <w:kinsoku/>
        <w:wordWrap/>
        <w:overflowPunct/>
        <w:topLinePunct w:val="0"/>
        <w:autoSpaceDE/>
        <w:autoSpaceDN/>
        <w:bidi w:val="0"/>
        <w:adjustRightInd/>
        <w:snapToGrid/>
        <w:spacing w:line="480" w:lineRule="exact"/>
        <w:ind w:firstLine="540" w:firstLineChars="225"/>
        <w:textAlignment w:val="auto"/>
        <w:rPr>
          <w:rFonts w:hint="eastAsia" w:ascii="Times New Roman" w:hAnsi="Times New Roman" w:eastAsia="宋体" w:cs="Times New Roman"/>
          <w:snapToGrid w:val="0"/>
          <w:color w:val="auto"/>
          <w:kern w:val="2"/>
          <w:sz w:val="24"/>
          <w:szCs w:val="20"/>
          <w:u w:val="none"/>
          <w:lang w:val="en-US" w:eastAsia="zh-CN" w:bidi="ar-SA"/>
        </w:rPr>
      </w:pPr>
      <w:r>
        <w:rPr>
          <w:rFonts w:hint="eastAsia" w:ascii="Times New Roman" w:hAnsi="Times New Roman" w:eastAsia="宋体" w:cs="Times New Roman"/>
          <w:snapToGrid w:val="0"/>
          <w:color w:val="auto"/>
          <w:kern w:val="2"/>
          <w:sz w:val="24"/>
          <w:szCs w:val="20"/>
          <w:u w:val="none"/>
          <w:lang w:val="en-US" w:eastAsia="zh-CN" w:bidi="ar-SA"/>
        </w:rPr>
        <w:t>因此总体上看本工程建设对生态环境影响可以接受。</w:t>
      </w:r>
    </w:p>
    <w:p w14:paraId="07000434">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b/>
          <w:color w:val="auto"/>
          <w:kern w:val="0"/>
          <w:sz w:val="21"/>
          <w:szCs w:val="21"/>
          <w:highlight w:val="none"/>
          <w:u w:val="none"/>
        </w:rPr>
      </w:pPr>
      <w:r>
        <w:rPr>
          <w:rFonts w:hint="default" w:ascii="Times New Roman" w:hAnsi="Times New Roman" w:cs="Times New Roman"/>
          <w:color w:val="auto"/>
          <w:kern w:val="0"/>
          <w:sz w:val="24"/>
          <w:szCs w:val="24"/>
          <w:highlight w:val="none"/>
          <w:u w:val="none"/>
        </w:rPr>
        <w:t>本工程生态环境影响评价自查表</w:t>
      </w:r>
      <w:r>
        <w:rPr>
          <w:rFonts w:hint="eastAsia"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见表5.1-</w:t>
      </w:r>
      <w:r>
        <w:rPr>
          <w:rFonts w:hint="eastAsia" w:cs="Times New Roman"/>
          <w:color w:val="auto"/>
          <w:kern w:val="0"/>
          <w:sz w:val="24"/>
          <w:szCs w:val="24"/>
          <w:highlight w:val="none"/>
          <w:u w:val="none"/>
          <w:lang w:val="en-US" w:eastAsia="zh-CN"/>
        </w:rPr>
        <w:t>1</w:t>
      </w:r>
      <w:r>
        <w:rPr>
          <w:rFonts w:hint="default" w:ascii="Times New Roman" w:hAnsi="Times New Roman" w:cs="Times New Roman"/>
          <w:color w:val="auto"/>
          <w:kern w:val="0"/>
          <w:sz w:val="24"/>
          <w:szCs w:val="24"/>
          <w:highlight w:val="none"/>
          <w:u w:val="none"/>
        </w:rPr>
        <w:t>。</w:t>
      </w:r>
    </w:p>
    <w:p w14:paraId="26BA8CAE">
      <w:pPr>
        <w:rPr>
          <w:rFonts w:hint="default" w:ascii="Times New Roman" w:hAnsi="Times New Roman" w:cs="Times New Roman"/>
          <w:b/>
          <w:color w:val="auto"/>
          <w:kern w:val="0"/>
          <w:sz w:val="21"/>
          <w:szCs w:val="21"/>
          <w:highlight w:val="none"/>
          <w:u w:val="none"/>
        </w:rPr>
      </w:pPr>
      <w:r>
        <w:rPr>
          <w:rFonts w:hint="default" w:ascii="Times New Roman" w:hAnsi="Times New Roman" w:cs="Times New Roman"/>
          <w:b/>
          <w:color w:val="auto"/>
          <w:kern w:val="0"/>
          <w:sz w:val="21"/>
          <w:szCs w:val="21"/>
          <w:highlight w:val="none"/>
          <w:u w:val="none"/>
        </w:rPr>
        <w:br w:type="page"/>
      </w:r>
    </w:p>
    <w:p w14:paraId="643AAF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color w:val="auto"/>
          <w:kern w:val="0"/>
          <w:sz w:val="21"/>
          <w:szCs w:val="21"/>
          <w:highlight w:val="none"/>
          <w:u w:val="none"/>
        </w:rPr>
      </w:pPr>
      <w:r>
        <w:rPr>
          <w:rFonts w:hint="eastAsia" w:ascii="黑体" w:hAnsi="黑体" w:eastAsia="黑体" w:cs="黑体"/>
          <w:b w:val="0"/>
          <w:bCs/>
          <w:color w:val="auto"/>
          <w:kern w:val="2"/>
          <w:sz w:val="24"/>
          <w:szCs w:val="24"/>
          <w:u w:val="none"/>
          <w:lang w:val="en-US" w:eastAsia="zh-CN" w:bidi="ar-SA"/>
        </w:rPr>
        <w:t>表5.1-1  生态影响评价自查表</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28" w:type="dxa"/>
          <w:bottom w:w="0" w:type="dxa"/>
          <w:right w:w="28" w:type="dxa"/>
        </w:tblCellMar>
      </w:tblPr>
      <w:tblGrid>
        <w:gridCol w:w="914"/>
        <w:gridCol w:w="246"/>
        <w:gridCol w:w="1474"/>
        <w:gridCol w:w="6038"/>
      </w:tblGrid>
      <w:tr w14:paraId="7759BFB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426" w:hRule="atLeast"/>
          <w:jc w:val="center"/>
        </w:trPr>
        <w:tc>
          <w:tcPr>
            <w:tcW w:w="1519" w:type="pct"/>
            <w:gridSpan w:val="3"/>
            <w:tcBorders>
              <w:tl2br w:val="nil"/>
              <w:tr2bl w:val="nil"/>
            </w:tcBorders>
            <w:noWrap w:val="0"/>
            <w:vAlign w:val="center"/>
          </w:tcPr>
          <w:p w14:paraId="686DB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工作内容</w:t>
            </w:r>
          </w:p>
        </w:tc>
        <w:tc>
          <w:tcPr>
            <w:tcW w:w="3480" w:type="pct"/>
            <w:tcBorders>
              <w:tl2br w:val="nil"/>
              <w:tr2bl w:val="nil"/>
            </w:tcBorders>
            <w:noWrap w:val="0"/>
            <w:vAlign w:val="center"/>
          </w:tcPr>
          <w:p w14:paraId="0ACE3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自查项目</w:t>
            </w:r>
          </w:p>
        </w:tc>
      </w:tr>
      <w:tr w14:paraId="4EB6CA7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992" w:hRule="atLeast"/>
          <w:jc w:val="center"/>
        </w:trPr>
        <w:tc>
          <w:tcPr>
            <w:tcW w:w="527" w:type="pct"/>
            <w:vMerge w:val="restart"/>
            <w:tcBorders>
              <w:tl2br w:val="nil"/>
              <w:tr2bl w:val="nil"/>
            </w:tcBorders>
            <w:noWrap w:val="0"/>
            <w:vAlign w:val="center"/>
          </w:tcPr>
          <w:p w14:paraId="50D1B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生态影响识别</w:t>
            </w:r>
          </w:p>
        </w:tc>
        <w:tc>
          <w:tcPr>
            <w:tcW w:w="992" w:type="pct"/>
            <w:gridSpan w:val="2"/>
            <w:tcBorders>
              <w:tl2br w:val="nil"/>
              <w:tr2bl w:val="nil"/>
            </w:tcBorders>
            <w:noWrap w:val="0"/>
            <w:vAlign w:val="center"/>
          </w:tcPr>
          <w:p w14:paraId="3F2D9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生态保护目标</w:t>
            </w:r>
          </w:p>
        </w:tc>
        <w:tc>
          <w:tcPr>
            <w:tcW w:w="3480" w:type="pct"/>
            <w:tcBorders>
              <w:tl2br w:val="nil"/>
              <w:tr2bl w:val="nil"/>
            </w:tcBorders>
            <w:noWrap w:val="0"/>
            <w:vAlign w:val="center"/>
          </w:tcPr>
          <w:p w14:paraId="30B4D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重要物种□；国家公园□；自然保护区□；自然公园□；世界自然遗产□；生态保护红线□；重要生境□；其他具有重要生态功能、对保护生物多样性具有重要意义的区域□；其他</w:t>
            </w:r>
            <w:r>
              <w:rPr>
                <w:rFonts w:hint="eastAsia" w:ascii="宋体" w:hAnsi="宋体" w:eastAsia="宋体" w:cs="宋体"/>
                <w:color w:val="auto"/>
                <w:spacing w:val="0"/>
                <w:kern w:val="0"/>
                <w:sz w:val="21"/>
                <w:szCs w:val="21"/>
                <w:highlight w:val="none"/>
                <w:u w:val="none"/>
                <w:lang w:eastAsia="zh-CN"/>
              </w:rPr>
              <w:t>☑</w:t>
            </w:r>
          </w:p>
        </w:tc>
      </w:tr>
      <w:tr w14:paraId="664DF12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416" w:hRule="atLeast"/>
          <w:jc w:val="center"/>
        </w:trPr>
        <w:tc>
          <w:tcPr>
            <w:tcW w:w="527" w:type="pct"/>
            <w:vMerge w:val="continue"/>
            <w:tcBorders>
              <w:tl2br w:val="nil"/>
              <w:tr2bl w:val="nil"/>
            </w:tcBorders>
            <w:noWrap w:val="0"/>
            <w:vAlign w:val="center"/>
          </w:tcPr>
          <w:p w14:paraId="0C0A8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pacing w:val="0"/>
                <w:kern w:val="0"/>
                <w:sz w:val="21"/>
                <w:szCs w:val="21"/>
                <w:highlight w:val="none"/>
                <w:u w:val="none"/>
              </w:rPr>
            </w:pPr>
          </w:p>
        </w:tc>
        <w:tc>
          <w:tcPr>
            <w:tcW w:w="992" w:type="pct"/>
            <w:gridSpan w:val="2"/>
            <w:tcBorders>
              <w:tl2br w:val="nil"/>
              <w:tr2bl w:val="nil"/>
            </w:tcBorders>
            <w:noWrap w:val="0"/>
            <w:vAlign w:val="center"/>
          </w:tcPr>
          <w:p w14:paraId="15345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影响方式</w:t>
            </w:r>
          </w:p>
        </w:tc>
        <w:tc>
          <w:tcPr>
            <w:tcW w:w="3480" w:type="pct"/>
            <w:tcBorders>
              <w:tl2br w:val="nil"/>
              <w:tr2bl w:val="nil"/>
            </w:tcBorders>
            <w:noWrap w:val="0"/>
            <w:vAlign w:val="center"/>
          </w:tcPr>
          <w:p w14:paraId="700EBC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工程占用</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；施工活动干扰</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；改变环境条件□；其他□</w:t>
            </w:r>
          </w:p>
        </w:tc>
      </w:tr>
      <w:tr w14:paraId="0D26E97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2956" w:hRule="atLeast"/>
          <w:jc w:val="center"/>
        </w:trPr>
        <w:tc>
          <w:tcPr>
            <w:tcW w:w="527" w:type="pct"/>
            <w:vMerge w:val="continue"/>
            <w:tcBorders>
              <w:tl2br w:val="nil"/>
              <w:tr2bl w:val="nil"/>
            </w:tcBorders>
            <w:noWrap w:val="0"/>
            <w:vAlign w:val="center"/>
          </w:tcPr>
          <w:p w14:paraId="2EF91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pacing w:val="0"/>
                <w:kern w:val="0"/>
                <w:sz w:val="21"/>
                <w:szCs w:val="21"/>
                <w:highlight w:val="none"/>
                <w:u w:val="none"/>
              </w:rPr>
            </w:pPr>
          </w:p>
        </w:tc>
        <w:tc>
          <w:tcPr>
            <w:tcW w:w="992" w:type="pct"/>
            <w:gridSpan w:val="2"/>
            <w:tcBorders>
              <w:tl2br w:val="nil"/>
              <w:tr2bl w:val="nil"/>
            </w:tcBorders>
            <w:noWrap w:val="0"/>
            <w:vAlign w:val="center"/>
          </w:tcPr>
          <w:p w14:paraId="44EE6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评价因子</w:t>
            </w:r>
          </w:p>
        </w:tc>
        <w:tc>
          <w:tcPr>
            <w:tcW w:w="3480" w:type="pct"/>
            <w:tcBorders>
              <w:tl2br w:val="nil"/>
              <w:tr2bl w:val="nil"/>
            </w:tcBorders>
            <w:noWrap w:val="0"/>
            <w:vAlign w:val="bottom"/>
          </w:tcPr>
          <w:p w14:paraId="027B2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mc:AlternateContent>
                <mc:Choice Requires="wps">
                  <w:drawing>
                    <wp:anchor distT="0" distB="0" distL="114300" distR="114300" simplePos="0" relativeHeight="251669504" behindDoc="0" locked="0" layoutInCell="1" allowOverlap="1">
                      <wp:simplePos x="0" y="0"/>
                      <wp:positionH relativeFrom="page">
                        <wp:posOffset>4193540</wp:posOffset>
                      </wp:positionH>
                      <wp:positionV relativeFrom="page">
                        <wp:posOffset>1538605</wp:posOffset>
                      </wp:positionV>
                      <wp:extent cx="6350" cy="6350"/>
                      <wp:effectExtent l="0" t="0" r="0" b="0"/>
                      <wp:wrapNone/>
                      <wp:docPr id="197" name="矩形 19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a:effectLst/>
                            </wps:spPr>
                            <wps:txbx>
                              <w:txbxContent>
                                <w:p w14:paraId="1FC817EC">
                                  <w:pPr>
                                    <w:widowControl/>
                                    <w:jc w:val="left"/>
                                    <w:rPr>
                                      <w:rFonts w:ascii="宋体" w:hAnsi="宋体" w:cs="宋体"/>
                                      <w:kern w:val="0"/>
                                      <w:sz w:val="24"/>
                                      <w:szCs w:val="24"/>
                                    </w:rPr>
                                  </w:pPr>
                                </w:p>
                              </w:txbxContent>
                            </wps:txbx>
                            <wps:bodyPr upright="1"/>
                          </wps:wsp>
                        </a:graphicData>
                      </a:graphic>
                    </wp:anchor>
                  </w:drawing>
                </mc:Choice>
                <mc:Fallback>
                  <w:pict>
                    <v:rect id="_x0000_s1026" o:spid="_x0000_s1026" o:spt="1" style="position:absolute;left:0pt;margin-left:330.2pt;margin-top:121.15pt;height:0.5pt;width:0.5pt;mso-position-horizontal-relative:page;mso-position-vertical-relative:page;z-index:251669504;mso-width-relative:page;mso-height-relative:page;" fillcolor="#000000" filled="t" stroked="f" coordsize="21600,21600" o:gfxdata="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tVbGvZAAAACwEAAA8AAAAAAAAAAQAgAAAAIgAAAGRycy9kb3ducmV2LnhtbFBLAQIUABQA&#10;AAAIAIdO4kBOTGTrtgEAAHcDAAAOAAAAAAAAAAEAIAAAACgBAABkcnMvZTJvRG9jLnhtbFBLBQYA&#10;AAAABgAGAFkBAABQBQAAAAA=&#10;">
                      <v:fill on="t" focussize="0,0"/>
                      <v:stroke on="f"/>
                      <v:imagedata o:title=""/>
                      <o:lock v:ext="edit" aspectratio="f"/>
                      <v:textbox>
                        <w:txbxContent>
                          <w:p w14:paraId="1FC817EC">
                            <w:pPr>
                              <w:widowControl/>
                              <w:jc w:val="left"/>
                              <w:rPr>
                                <w:rFonts w:ascii="宋体" w:hAnsi="宋体" w:cs="宋体"/>
                                <w:kern w:val="0"/>
                                <w:sz w:val="24"/>
                                <w:szCs w:val="24"/>
                              </w:rPr>
                            </w:pPr>
                          </w:p>
                        </w:txbxContent>
                      </v:textbox>
                    </v:rect>
                  </w:pict>
                </mc:Fallback>
              </mc:AlternateContent>
            </w:r>
            <w:r>
              <w:rPr>
                <w:rFonts w:hint="eastAsia" w:ascii="宋体" w:hAnsi="宋体" w:eastAsia="宋体" w:cs="宋体"/>
                <w:color w:val="auto"/>
                <w:spacing w:val="0"/>
                <w:kern w:val="0"/>
                <w:sz w:val="21"/>
                <w:szCs w:val="21"/>
                <w:highlight w:val="none"/>
                <w:u w:val="none"/>
              </w:rPr>
              <w:t>物种</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w:t>
            </w:r>
            <w:r>
              <w:rPr>
                <w:rFonts w:hint="eastAsia" w:ascii="宋体" w:hAnsi="宋体" w:eastAsia="宋体" w:cs="宋体"/>
                <w:color w:val="auto"/>
                <w:spacing w:val="0"/>
                <w:kern w:val="0"/>
                <w:sz w:val="21"/>
                <w:szCs w:val="21"/>
                <w:highlight w:val="none"/>
                <w:u w:val="none"/>
                <w:lang w:val="en-US" w:eastAsia="zh-CN"/>
              </w:rPr>
              <w:t>分</w:t>
            </w:r>
            <w:r>
              <w:rPr>
                <w:rFonts w:hint="eastAsia" w:ascii="宋体" w:hAnsi="宋体" w:eastAsia="宋体" w:cs="宋体"/>
                <w:color w:val="auto"/>
                <w:spacing w:val="0"/>
                <w:kern w:val="0"/>
                <w:sz w:val="21"/>
                <w:szCs w:val="21"/>
                <w:highlight w:val="none"/>
                <w:u w:val="none"/>
              </w:rPr>
              <w:t>布范围、种群梳理、种群结构、行为</w:t>
            </w:r>
            <w:r>
              <w:rPr>
                <w:rFonts w:hint="eastAsia" w:ascii="宋体" w:hAnsi="宋体" w:eastAsia="宋体" w:cs="宋体"/>
                <w:color w:val="auto"/>
                <w:spacing w:val="0"/>
                <w:kern w:val="0"/>
                <w:sz w:val="21"/>
                <w:szCs w:val="21"/>
                <w:highlight w:val="none"/>
                <w:u w:val="none"/>
                <w:lang w:val="en-US" w:eastAsia="zh-CN"/>
              </w:rPr>
              <w:t>等</w:t>
            </w:r>
            <w:r>
              <w:rPr>
                <w:rFonts w:hint="eastAsia" w:ascii="宋体" w:hAnsi="宋体" w:eastAsia="宋体" w:cs="宋体"/>
                <w:color w:val="auto"/>
                <w:spacing w:val="0"/>
                <w:kern w:val="0"/>
                <w:sz w:val="21"/>
                <w:szCs w:val="21"/>
                <w:highlight w:val="none"/>
                <w:u w:val="none"/>
              </w:rPr>
              <w:t>）</w:t>
            </w:r>
          </w:p>
          <w:p w14:paraId="379A2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生境</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（生境面积、质量、连通性）</w:t>
            </w:r>
          </w:p>
          <w:p w14:paraId="4D23C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生物群落</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（物种组成、群落结构等）</w:t>
            </w:r>
          </w:p>
          <w:p w14:paraId="76BA4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生态系统</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（植被覆盖力、</w:t>
            </w:r>
            <w:r>
              <w:rPr>
                <w:rFonts w:hint="eastAsia" w:ascii="宋体" w:hAnsi="宋体" w:eastAsia="宋体" w:cs="宋体"/>
                <w:color w:val="auto"/>
                <w:spacing w:val="0"/>
                <w:kern w:val="0"/>
                <w:sz w:val="21"/>
                <w:szCs w:val="21"/>
                <w:highlight w:val="none"/>
                <w:u w:val="none"/>
                <w:lang w:val="en-US" w:eastAsia="zh-CN"/>
              </w:rPr>
              <w:t>生产力</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生物量、生态系统功能</w:t>
            </w:r>
            <w:r>
              <w:rPr>
                <w:rFonts w:hint="eastAsia" w:ascii="宋体" w:hAnsi="宋体" w:eastAsia="宋体" w:cs="宋体"/>
                <w:color w:val="auto"/>
                <w:spacing w:val="0"/>
                <w:kern w:val="0"/>
                <w:sz w:val="21"/>
                <w:szCs w:val="21"/>
                <w:highlight w:val="none"/>
                <w:u w:val="none"/>
                <w:lang w:val="en-US" w:eastAsia="zh-CN"/>
              </w:rPr>
              <w:t>等</w:t>
            </w:r>
            <w:r>
              <w:rPr>
                <w:rFonts w:hint="eastAsia" w:ascii="宋体" w:hAnsi="宋体" w:eastAsia="宋体" w:cs="宋体"/>
                <w:color w:val="auto"/>
                <w:spacing w:val="0"/>
                <w:kern w:val="0"/>
                <w:sz w:val="21"/>
                <w:szCs w:val="21"/>
                <w:highlight w:val="none"/>
                <w:u w:val="none"/>
              </w:rPr>
              <w:t>）</w:t>
            </w:r>
          </w:p>
          <w:p w14:paraId="7BAE1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生物多样性</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w:t>
            </w:r>
            <w:r>
              <w:rPr>
                <w:rFonts w:hint="eastAsia" w:ascii="宋体" w:hAnsi="宋体" w:eastAsia="宋体" w:cs="宋体"/>
                <w:color w:val="auto"/>
                <w:spacing w:val="0"/>
                <w:kern w:val="0"/>
                <w:sz w:val="21"/>
                <w:szCs w:val="21"/>
                <w:highlight w:val="none"/>
                <w:u w:val="none"/>
                <w:lang w:val="en-US" w:eastAsia="zh-CN"/>
              </w:rPr>
              <w:t>物种丰富度、均匀度、优势度等</w:t>
            </w:r>
            <w:r>
              <w:rPr>
                <w:rFonts w:hint="eastAsia" w:ascii="宋体" w:hAnsi="宋体" w:eastAsia="宋体" w:cs="宋体"/>
                <w:color w:val="auto"/>
                <w:spacing w:val="0"/>
                <w:kern w:val="0"/>
                <w:sz w:val="21"/>
                <w:szCs w:val="21"/>
                <w:highlight w:val="none"/>
                <w:u w:val="none"/>
              </w:rPr>
              <w:t>）</w:t>
            </w:r>
          </w:p>
          <w:p w14:paraId="3C3F41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生态敏感区</w:t>
            </w:r>
            <w:r>
              <w:rPr>
                <w:rFonts w:hint="eastAsia" w:ascii="宋体" w:hAnsi="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（主要保护对象、生态功能等）</w:t>
            </w:r>
          </w:p>
          <w:p w14:paraId="534B4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自然景观</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（景观多样性、完整性）</w:t>
            </w:r>
          </w:p>
          <w:p w14:paraId="692BC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自然遗迹□（</w:t>
            </w:r>
            <w:r>
              <w:rPr>
                <w:rFonts w:hint="eastAsia" w:ascii="宋体" w:hAnsi="宋体" w:eastAsia="宋体" w:cs="宋体"/>
                <w:color w:val="auto"/>
                <w:spacing w:val="0"/>
                <w:kern w:val="0"/>
                <w:sz w:val="21"/>
                <w:szCs w:val="21"/>
                <w:highlight w:val="none"/>
                <w:u w:val="none"/>
                <w:lang w:val="en-US" w:eastAsia="zh-CN"/>
              </w:rPr>
              <w:t>遗迹多样性、完整性等</w:t>
            </w:r>
            <w:r>
              <w:rPr>
                <w:rFonts w:hint="eastAsia" w:ascii="宋体" w:hAnsi="宋体" w:eastAsia="宋体" w:cs="宋体"/>
                <w:color w:val="auto"/>
                <w:spacing w:val="0"/>
                <w:kern w:val="0"/>
                <w:sz w:val="21"/>
                <w:szCs w:val="21"/>
                <w:highlight w:val="none"/>
                <w:u w:val="none"/>
              </w:rPr>
              <w:t>）</w:t>
            </w:r>
          </w:p>
          <w:p w14:paraId="50C0F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其他</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w:t>
            </w:r>
          </w:p>
        </w:tc>
      </w:tr>
      <w:tr w14:paraId="761E1E1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416" w:hRule="atLeast"/>
          <w:jc w:val="center"/>
        </w:trPr>
        <w:tc>
          <w:tcPr>
            <w:tcW w:w="1519" w:type="pct"/>
            <w:gridSpan w:val="3"/>
            <w:tcBorders>
              <w:tl2br w:val="nil"/>
              <w:tr2bl w:val="nil"/>
            </w:tcBorders>
            <w:noWrap w:val="0"/>
            <w:vAlign w:val="center"/>
          </w:tcPr>
          <w:p w14:paraId="18637B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评价等级</w:t>
            </w:r>
          </w:p>
        </w:tc>
        <w:tc>
          <w:tcPr>
            <w:tcW w:w="3480" w:type="pct"/>
            <w:tcBorders>
              <w:tl2br w:val="nil"/>
              <w:tr2bl w:val="nil"/>
            </w:tcBorders>
            <w:noWrap w:val="0"/>
            <w:vAlign w:val="center"/>
          </w:tcPr>
          <w:p w14:paraId="40C27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一级□二级□三级</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生态影响简单分析□</w:t>
            </w:r>
          </w:p>
        </w:tc>
      </w:tr>
      <w:tr w14:paraId="7C4AF58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416" w:hRule="atLeast"/>
          <w:jc w:val="center"/>
        </w:trPr>
        <w:tc>
          <w:tcPr>
            <w:tcW w:w="1519" w:type="pct"/>
            <w:gridSpan w:val="3"/>
            <w:tcBorders>
              <w:tl2br w:val="nil"/>
              <w:tr2bl w:val="nil"/>
            </w:tcBorders>
            <w:noWrap w:val="0"/>
            <w:vAlign w:val="center"/>
          </w:tcPr>
          <w:p w14:paraId="2BD9DB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评价范围</w:t>
            </w:r>
          </w:p>
        </w:tc>
        <w:tc>
          <w:tcPr>
            <w:tcW w:w="3480" w:type="pct"/>
            <w:tcBorders>
              <w:tl2br w:val="nil"/>
              <w:tr2bl w:val="nil"/>
            </w:tcBorders>
            <w:noWrap w:val="0"/>
            <w:vAlign w:val="center"/>
          </w:tcPr>
          <w:p w14:paraId="34FD07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陆域面积：（</w:t>
            </w:r>
            <w:r>
              <w:rPr>
                <w:rFonts w:hint="eastAsia" w:ascii="宋体" w:hAnsi="宋体" w:cs="宋体"/>
                <w:color w:val="auto"/>
                <w:spacing w:val="0"/>
                <w:kern w:val="0"/>
                <w:sz w:val="21"/>
                <w:szCs w:val="21"/>
                <w:highlight w:val="none"/>
                <w:u w:val="none"/>
                <w:lang w:val="en-US" w:eastAsia="zh-CN"/>
              </w:rPr>
              <w:t>2.76</w:t>
            </w:r>
            <w:r>
              <w:rPr>
                <w:rFonts w:hint="eastAsia" w:ascii="宋体" w:hAnsi="宋体" w:eastAsia="宋体" w:cs="宋体"/>
                <w:color w:val="auto"/>
                <w:spacing w:val="0"/>
                <w:kern w:val="0"/>
                <w:sz w:val="21"/>
                <w:szCs w:val="21"/>
                <w:highlight w:val="none"/>
                <w:u w:val="none"/>
              </w:rPr>
              <w:t>）km</w:t>
            </w:r>
            <w:r>
              <w:rPr>
                <w:rFonts w:hint="eastAsia" w:ascii="宋体" w:hAnsi="宋体" w:eastAsia="宋体" w:cs="宋体"/>
                <w:color w:val="auto"/>
                <w:spacing w:val="0"/>
                <w:kern w:val="0"/>
                <w:sz w:val="21"/>
                <w:szCs w:val="21"/>
                <w:highlight w:val="none"/>
                <w:u w:val="none"/>
                <w:vertAlign w:val="superscript"/>
              </w:rPr>
              <w:t>2</w:t>
            </w:r>
            <w:r>
              <w:rPr>
                <w:rFonts w:hint="eastAsia" w:ascii="宋体" w:hAnsi="宋体" w:eastAsia="宋体" w:cs="宋体"/>
                <w:color w:val="auto"/>
                <w:spacing w:val="0"/>
                <w:kern w:val="0"/>
                <w:sz w:val="21"/>
                <w:szCs w:val="21"/>
                <w:highlight w:val="none"/>
                <w:u w:val="none"/>
              </w:rPr>
              <w:t>；水域面积：（）km</w:t>
            </w:r>
            <w:r>
              <w:rPr>
                <w:rFonts w:hint="eastAsia" w:ascii="宋体" w:hAnsi="宋体" w:eastAsia="宋体" w:cs="宋体"/>
                <w:color w:val="auto"/>
                <w:spacing w:val="0"/>
                <w:kern w:val="0"/>
                <w:sz w:val="21"/>
                <w:szCs w:val="21"/>
                <w:highlight w:val="none"/>
                <w:u w:val="none"/>
                <w:vertAlign w:val="superscript"/>
              </w:rPr>
              <w:t>2</w:t>
            </w:r>
          </w:p>
        </w:tc>
      </w:tr>
      <w:tr w14:paraId="2B0C67D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664" w:hRule="atLeast"/>
          <w:jc w:val="center"/>
        </w:trPr>
        <w:tc>
          <w:tcPr>
            <w:tcW w:w="669" w:type="pct"/>
            <w:gridSpan w:val="2"/>
            <w:vMerge w:val="restart"/>
            <w:tcBorders>
              <w:tl2br w:val="nil"/>
              <w:tr2bl w:val="nil"/>
            </w:tcBorders>
            <w:noWrap w:val="0"/>
            <w:vAlign w:val="center"/>
          </w:tcPr>
          <w:p w14:paraId="4E9AF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生态现状调查与评价</w:t>
            </w:r>
          </w:p>
        </w:tc>
        <w:tc>
          <w:tcPr>
            <w:tcW w:w="849" w:type="pct"/>
            <w:tcBorders>
              <w:tl2br w:val="nil"/>
              <w:tr2bl w:val="nil"/>
            </w:tcBorders>
            <w:noWrap w:val="0"/>
            <w:vAlign w:val="center"/>
          </w:tcPr>
          <w:p w14:paraId="2A5AE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调查方法</w:t>
            </w:r>
          </w:p>
        </w:tc>
        <w:tc>
          <w:tcPr>
            <w:tcW w:w="3480" w:type="pct"/>
            <w:tcBorders>
              <w:tl2br w:val="nil"/>
              <w:tr2bl w:val="nil"/>
            </w:tcBorders>
            <w:noWrap w:val="0"/>
            <w:vAlign w:val="center"/>
          </w:tcPr>
          <w:p w14:paraId="319FF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资料收集</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；遥感调查</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；调查样方、样线</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；调查点位、断面□；专家和公众咨询法</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；其他</w:t>
            </w:r>
            <w:r>
              <w:rPr>
                <w:rFonts w:hint="eastAsia" w:ascii="宋体" w:hAnsi="宋体" w:eastAsia="宋体" w:cs="宋体"/>
                <w:color w:val="auto"/>
                <w:spacing w:val="0"/>
                <w:kern w:val="0"/>
                <w:sz w:val="21"/>
                <w:szCs w:val="21"/>
                <w:highlight w:val="none"/>
                <w:u w:val="none"/>
                <w:lang w:eastAsia="zh-CN"/>
              </w:rPr>
              <w:t>☑</w:t>
            </w:r>
          </w:p>
        </w:tc>
      </w:tr>
      <w:tr w14:paraId="725BFB0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5ADE82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pacing w:val="0"/>
                <w:kern w:val="0"/>
                <w:sz w:val="21"/>
                <w:szCs w:val="21"/>
                <w:highlight w:val="none"/>
                <w:u w:val="none"/>
              </w:rPr>
            </w:pPr>
          </w:p>
        </w:tc>
        <w:tc>
          <w:tcPr>
            <w:tcW w:w="849" w:type="pct"/>
            <w:tcBorders>
              <w:tl2br w:val="nil"/>
              <w:tr2bl w:val="nil"/>
            </w:tcBorders>
            <w:noWrap w:val="0"/>
            <w:vAlign w:val="center"/>
          </w:tcPr>
          <w:p w14:paraId="30100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调查时间</w:t>
            </w:r>
          </w:p>
        </w:tc>
        <w:tc>
          <w:tcPr>
            <w:tcW w:w="3480" w:type="pct"/>
            <w:tcBorders>
              <w:tl2br w:val="nil"/>
              <w:tr2bl w:val="nil"/>
            </w:tcBorders>
            <w:noWrap w:val="0"/>
            <w:vAlign w:val="center"/>
          </w:tcPr>
          <w:p w14:paraId="14268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春季</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；夏季</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；秋季</w:t>
            </w:r>
            <w:r>
              <w:rPr>
                <w:rFonts w:hint="eastAsia" w:ascii="宋体" w:hAnsi="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；冬季</w:t>
            </w:r>
            <w:r>
              <w:rPr>
                <w:rFonts w:hint="eastAsia" w:ascii="宋体" w:hAnsi="宋体" w:cs="宋体"/>
                <w:color w:val="auto"/>
                <w:spacing w:val="0"/>
                <w:kern w:val="0"/>
                <w:sz w:val="21"/>
                <w:szCs w:val="21"/>
                <w:highlight w:val="none"/>
                <w:u w:val="none"/>
                <w:lang w:eastAsia="zh-CN"/>
              </w:rPr>
              <w:t>☑</w:t>
            </w:r>
          </w:p>
          <w:p w14:paraId="4DD41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丰水期□；枯水期□；平水期□</w:t>
            </w:r>
          </w:p>
        </w:tc>
      </w:tr>
      <w:tr w14:paraId="77DB9BB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5460B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pacing w:val="0"/>
                <w:kern w:val="0"/>
                <w:sz w:val="21"/>
                <w:szCs w:val="21"/>
                <w:highlight w:val="none"/>
                <w:u w:val="none"/>
              </w:rPr>
            </w:pPr>
          </w:p>
        </w:tc>
        <w:tc>
          <w:tcPr>
            <w:tcW w:w="849" w:type="pct"/>
            <w:tcBorders>
              <w:tl2br w:val="nil"/>
              <w:tr2bl w:val="nil"/>
            </w:tcBorders>
            <w:noWrap w:val="0"/>
            <w:vAlign w:val="center"/>
          </w:tcPr>
          <w:p w14:paraId="6C9EA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所在区域的生态问题</w:t>
            </w:r>
          </w:p>
        </w:tc>
        <w:tc>
          <w:tcPr>
            <w:tcW w:w="3480" w:type="pct"/>
            <w:tcBorders>
              <w:tl2br w:val="nil"/>
              <w:tr2bl w:val="nil"/>
            </w:tcBorders>
            <w:noWrap w:val="0"/>
            <w:vAlign w:val="center"/>
          </w:tcPr>
          <w:p w14:paraId="0470B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水土流失</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；沙漠化</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；石漠化□；盐渍化</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；生物入侵□；污染危害□；其他</w:t>
            </w:r>
            <w:r>
              <w:rPr>
                <w:rFonts w:hint="eastAsia" w:ascii="宋体" w:hAnsi="宋体" w:eastAsia="宋体" w:cs="宋体"/>
                <w:color w:val="auto"/>
                <w:spacing w:val="0"/>
                <w:kern w:val="0"/>
                <w:sz w:val="21"/>
                <w:szCs w:val="21"/>
                <w:highlight w:val="none"/>
                <w:u w:val="none"/>
                <w:lang w:eastAsia="zh-CN"/>
              </w:rPr>
              <w:t>☑</w:t>
            </w:r>
          </w:p>
        </w:tc>
      </w:tr>
      <w:tr w14:paraId="1DC186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798725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pacing w:val="0"/>
                <w:kern w:val="0"/>
                <w:sz w:val="21"/>
                <w:szCs w:val="21"/>
                <w:highlight w:val="none"/>
                <w:u w:val="none"/>
              </w:rPr>
            </w:pPr>
          </w:p>
        </w:tc>
        <w:tc>
          <w:tcPr>
            <w:tcW w:w="849" w:type="pct"/>
            <w:tcBorders>
              <w:tl2br w:val="nil"/>
              <w:tr2bl w:val="nil"/>
            </w:tcBorders>
            <w:noWrap w:val="0"/>
            <w:vAlign w:val="center"/>
          </w:tcPr>
          <w:p w14:paraId="058B7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评价内容</w:t>
            </w:r>
          </w:p>
        </w:tc>
        <w:tc>
          <w:tcPr>
            <w:tcW w:w="3480" w:type="pct"/>
            <w:tcBorders>
              <w:tl2br w:val="nil"/>
              <w:tr2bl w:val="nil"/>
            </w:tcBorders>
            <w:noWrap w:val="0"/>
            <w:vAlign w:val="center"/>
          </w:tcPr>
          <w:p w14:paraId="5BE7C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植被/植物群落</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；土地利用</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；生态系统</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；生物多样性</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；重要物种□；生态敏感区</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；其他</w:t>
            </w:r>
            <w:r>
              <w:rPr>
                <w:rFonts w:hint="eastAsia" w:ascii="宋体" w:hAnsi="宋体" w:eastAsia="宋体" w:cs="宋体"/>
                <w:color w:val="auto"/>
                <w:spacing w:val="0"/>
                <w:kern w:val="0"/>
                <w:sz w:val="21"/>
                <w:szCs w:val="21"/>
                <w:highlight w:val="none"/>
                <w:u w:val="none"/>
                <w:lang w:eastAsia="zh-CN"/>
              </w:rPr>
              <w:t>☑</w:t>
            </w:r>
          </w:p>
        </w:tc>
      </w:tr>
      <w:tr w14:paraId="4B7B693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416" w:hRule="atLeast"/>
          <w:jc w:val="center"/>
        </w:trPr>
        <w:tc>
          <w:tcPr>
            <w:tcW w:w="669" w:type="pct"/>
            <w:gridSpan w:val="2"/>
            <w:vMerge w:val="restart"/>
            <w:tcBorders>
              <w:tl2br w:val="nil"/>
              <w:tr2bl w:val="nil"/>
            </w:tcBorders>
            <w:noWrap w:val="0"/>
            <w:vAlign w:val="center"/>
          </w:tcPr>
          <w:p w14:paraId="7B6F7C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生态影响预测与评价</w:t>
            </w:r>
          </w:p>
        </w:tc>
        <w:tc>
          <w:tcPr>
            <w:tcW w:w="849" w:type="pct"/>
            <w:tcBorders>
              <w:tl2br w:val="nil"/>
              <w:tr2bl w:val="nil"/>
            </w:tcBorders>
            <w:noWrap w:val="0"/>
            <w:vAlign w:val="center"/>
          </w:tcPr>
          <w:p w14:paraId="08BE3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评价方法</w:t>
            </w:r>
          </w:p>
        </w:tc>
        <w:tc>
          <w:tcPr>
            <w:tcW w:w="3480" w:type="pct"/>
            <w:tcBorders>
              <w:tl2br w:val="nil"/>
              <w:tr2bl w:val="nil"/>
            </w:tcBorders>
            <w:noWrap w:val="0"/>
            <w:vAlign w:val="center"/>
          </w:tcPr>
          <w:p w14:paraId="3E261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定性</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；定性和定量</w:t>
            </w:r>
            <w:r>
              <w:rPr>
                <w:rFonts w:hint="eastAsia" w:ascii="宋体" w:hAnsi="宋体" w:eastAsia="宋体" w:cs="宋体"/>
                <w:color w:val="auto"/>
                <w:spacing w:val="0"/>
                <w:kern w:val="0"/>
                <w:sz w:val="21"/>
                <w:szCs w:val="21"/>
                <w:highlight w:val="none"/>
                <w:u w:val="none"/>
                <w:lang w:eastAsia="zh-CN"/>
              </w:rPr>
              <w:t>□</w:t>
            </w:r>
          </w:p>
        </w:tc>
      </w:tr>
      <w:tr w14:paraId="27FE5E2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20205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pacing w:val="0"/>
                <w:kern w:val="0"/>
                <w:sz w:val="21"/>
                <w:szCs w:val="21"/>
                <w:highlight w:val="none"/>
                <w:u w:val="none"/>
              </w:rPr>
            </w:pPr>
          </w:p>
        </w:tc>
        <w:tc>
          <w:tcPr>
            <w:tcW w:w="849" w:type="pct"/>
            <w:tcBorders>
              <w:tl2br w:val="nil"/>
              <w:tr2bl w:val="nil"/>
            </w:tcBorders>
            <w:noWrap w:val="0"/>
            <w:vAlign w:val="center"/>
          </w:tcPr>
          <w:p w14:paraId="414D5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评价内容</w:t>
            </w:r>
          </w:p>
        </w:tc>
        <w:tc>
          <w:tcPr>
            <w:tcW w:w="3480" w:type="pct"/>
            <w:tcBorders>
              <w:tl2br w:val="nil"/>
              <w:tr2bl w:val="nil"/>
            </w:tcBorders>
            <w:noWrap w:val="0"/>
            <w:vAlign w:val="center"/>
          </w:tcPr>
          <w:p w14:paraId="40FC1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植被/植物群落</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；土地利用</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；生态系统</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；生物多样性</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；重要物种□；生态敏感区□；生物入侵风险□；其他</w:t>
            </w:r>
            <w:r>
              <w:rPr>
                <w:rFonts w:hint="eastAsia" w:ascii="宋体" w:hAnsi="宋体" w:eastAsia="宋体" w:cs="宋体"/>
                <w:color w:val="auto"/>
                <w:spacing w:val="0"/>
                <w:kern w:val="0"/>
                <w:sz w:val="21"/>
                <w:szCs w:val="21"/>
                <w:highlight w:val="none"/>
                <w:u w:val="none"/>
                <w:lang w:eastAsia="zh-CN"/>
              </w:rPr>
              <w:t>☑</w:t>
            </w:r>
          </w:p>
        </w:tc>
      </w:tr>
      <w:tr w14:paraId="4285C66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416" w:hRule="atLeast"/>
          <w:jc w:val="center"/>
        </w:trPr>
        <w:tc>
          <w:tcPr>
            <w:tcW w:w="669" w:type="pct"/>
            <w:gridSpan w:val="2"/>
            <w:vMerge w:val="restart"/>
            <w:tcBorders>
              <w:tl2br w:val="nil"/>
              <w:tr2bl w:val="nil"/>
            </w:tcBorders>
            <w:noWrap w:val="0"/>
            <w:vAlign w:val="center"/>
          </w:tcPr>
          <w:p w14:paraId="3D627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生态保护对策措施</w:t>
            </w:r>
          </w:p>
        </w:tc>
        <w:tc>
          <w:tcPr>
            <w:tcW w:w="849" w:type="pct"/>
            <w:tcBorders>
              <w:tl2br w:val="nil"/>
              <w:tr2bl w:val="nil"/>
            </w:tcBorders>
            <w:noWrap w:val="0"/>
            <w:vAlign w:val="center"/>
          </w:tcPr>
          <w:p w14:paraId="2CFC9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对策措施</w:t>
            </w:r>
          </w:p>
        </w:tc>
        <w:tc>
          <w:tcPr>
            <w:tcW w:w="3480" w:type="pct"/>
            <w:tcBorders>
              <w:tl2br w:val="nil"/>
              <w:tr2bl w:val="nil"/>
            </w:tcBorders>
            <w:noWrap w:val="0"/>
            <w:vAlign w:val="center"/>
          </w:tcPr>
          <w:p w14:paraId="559349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避让</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；减缓</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；生态修复</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；生态补偿</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；科研□；其他</w:t>
            </w:r>
            <w:r>
              <w:rPr>
                <w:rFonts w:hint="eastAsia" w:ascii="宋体" w:hAnsi="宋体" w:eastAsia="宋体" w:cs="宋体"/>
                <w:color w:val="auto"/>
                <w:spacing w:val="0"/>
                <w:kern w:val="0"/>
                <w:sz w:val="21"/>
                <w:szCs w:val="21"/>
                <w:highlight w:val="none"/>
                <w:u w:val="none"/>
                <w:lang w:eastAsia="zh-CN"/>
              </w:rPr>
              <w:t>☑</w:t>
            </w:r>
          </w:p>
        </w:tc>
      </w:tr>
      <w:tr w14:paraId="3C7A846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5042F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pacing w:val="0"/>
                <w:kern w:val="0"/>
                <w:sz w:val="21"/>
                <w:szCs w:val="21"/>
                <w:highlight w:val="none"/>
                <w:u w:val="none"/>
              </w:rPr>
            </w:pPr>
          </w:p>
        </w:tc>
        <w:tc>
          <w:tcPr>
            <w:tcW w:w="849" w:type="pct"/>
            <w:tcBorders>
              <w:tl2br w:val="nil"/>
              <w:tr2bl w:val="nil"/>
            </w:tcBorders>
            <w:noWrap w:val="0"/>
            <w:vAlign w:val="center"/>
          </w:tcPr>
          <w:p w14:paraId="7FA00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生态监测计划</w:t>
            </w:r>
          </w:p>
        </w:tc>
        <w:tc>
          <w:tcPr>
            <w:tcW w:w="3480" w:type="pct"/>
            <w:tcBorders>
              <w:tl2br w:val="nil"/>
              <w:tr2bl w:val="nil"/>
            </w:tcBorders>
            <w:noWrap w:val="0"/>
            <w:vAlign w:val="center"/>
          </w:tcPr>
          <w:p w14:paraId="794B05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全生命周期□；长期跟踪□；常规</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；无□</w:t>
            </w:r>
          </w:p>
        </w:tc>
      </w:tr>
      <w:tr w14:paraId="0860CFF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416" w:hRule="atLeast"/>
          <w:jc w:val="center"/>
        </w:trPr>
        <w:tc>
          <w:tcPr>
            <w:tcW w:w="669" w:type="pct"/>
            <w:gridSpan w:val="2"/>
            <w:vMerge w:val="continue"/>
            <w:tcBorders>
              <w:tl2br w:val="nil"/>
              <w:tr2bl w:val="nil"/>
            </w:tcBorders>
            <w:noWrap w:val="0"/>
            <w:vAlign w:val="center"/>
          </w:tcPr>
          <w:p w14:paraId="76DFB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spacing w:val="0"/>
                <w:kern w:val="0"/>
                <w:sz w:val="21"/>
                <w:szCs w:val="21"/>
                <w:highlight w:val="none"/>
                <w:u w:val="none"/>
              </w:rPr>
            </w:pPr>
          </w:p>
        </w:tc>
        <w:tc>
          <w:tcPr>
            <w:tcW w:w="849" w:type="pct"/>
            <w:tcBorders>
              <w:tl2br w:val="nil"/>
              <w:tr2bl w:val="nil"/>
            </w:tcBorders>
            <w:noWrap w:val="0"/>
            <w:vAlign w:val="center"/>
          </w:tcPr>
          <w:p w14:paraId="2A2C63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环境管理</w:t>
            </w:r>
          </w:p>
        </w:tc>
        <w:tc>
          <w:tcPr>
            <w:tcW w:w="3480" w:type="pct"/>
            <w:tcBorders>
              <w:tl2br w:val="nil"/>
              <w:tr2bl w:val="nil"/>
            </w:tcBorders>
            <w:noWrap w:val="0"/>
            <w:vAlign w:val="center"/>
          </w:tcPr>
          <w:p w14:paraId="22DD4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环境监理</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；环境影响后评价</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；其他</w:t>
            </w:r>
            <w:r>
              <w:rPr>
                <w:rFonts w:hint="eastAsia" w:ascii="宋体" w:hAnsi="宋体" w:eastAsia="宋体" w:cs="宋体"/>
                <w:color w:val="auto"/>
                <w:spacing w:val="0"/>
                <w:kern w:val="0"/>
                <w:sz w:val="21"/>
                <w:szCs w:val="21"/>
                <w:highlight w:val="none"/>
                <w:u w:val="none"/>
                <w:lang w:eastAsia="zh-CN"/>
              </w:rPr>
              <w:t>☑</w:t>
            </w:r>
          </w:p>
        </w:tc>
      </w:tr>
      <w:tr w14:paraId="1126041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416" w:hRule="atLeast"/>
          <w:jc w:val="center"/>
        </w:trPr>
        <w:tc>
          <w:tcPr>
            <w:tcW w:w="669" w:type="pct"/>
            <w:gridSpan w:val="2"/>
            <w:tcBorders>
              <w:tl2br w:val="nil"/>
              <w:tr2bl w:val="nil"/>
            </w:tcBorders>
            <w:noWrap w:val="0"/>
            <w:vAlign w:val="center"/>
          </w:tcPr>
          <w:p w14:paraId="36C2D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评价结论</w:t>
            </w:r>
          </w:p>
        </w:tc>
        <w:tc>
          <w:tcPr>
            <w:tcW w:w="849" w:type="pct"/>
            <w:tcBorders>
              <w:tl2br w:val="nil"/>
              <w:tr2bl w:val="nil"/>
            </w:tcBorders>
            <w:noWrap w:val="0"/>
            <w:vAlign w:val="center"/>
          </w:tcPr>
          <w:p w14:paraId="2C641E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生态影响</w:t>
            </w:r>
          </w:p>
        </w:tc>
        <w:tc>
          <w:tcPr>
            <w:tcW w:w="3480" w:type="pct"/>
            <w:tcBorders>
              <w:tl2br w:val="nil"/>
              <w:tr2bl w:val="nil"/>
            </w:tcBorders>
            <w:noWrap w:val="0"/>
            <w:vAlign w:val="center"/>
          </w:tcPr>
          <w:p w14:paraId="39267D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可行</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；不可行</w:t>
            </w:r>
            <w:r>
              <w:rPr>
                <w:rFonts w:hint="eastAsia" w:ascii="宋体" w:hAnsi="宋体" w:eastAsia="宋体" w:cs="宋体"/>
                <w:color w:val="auto"/>
                <w:spacing w:val="0"/>
                <w:kern w:val="0"/>
                <w:sz w:val="21"/>
                <w:szCs w:val="21"/>
                <w:highlight w:val="none"/>
                <w:u w:val="none"/>
                <w:lang w:eastAsia="zh-CN"/>
              </w:rPr>
              <w:t>□</w:t>
            </w:r>
          </w:p>
        </w:tc>
      </w:tr>
      <w:tr w14:paraId="2D9FD3C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8" w:type="dxa"/>
            <w:bottom w:w="0" w:type="dxa"/>
            <w:right w:w="28" w:type="dxa"/>
          </w:tblCellMar>
        </w:tblPrEx>
        <w:trPr>
          <w:trHeight w:val="436" w:hRule="atLeast"/>
          <w:jc w:val="center"/>
        </w:trPr>
        <w:tc>
          <w:tcPr>
            <w:tcW w:w="5000" w:type="pct"/>
            <w:gridSpan w:val="4"/>
            <w:tcBorders>
              <w:tl2br w:val="nil"/>
              <w:tr2bl w:val="nil"/>
            </w:tcBorders>
            <w:noWrap w:val="0"/>
            <w:vAlign w:val="center"/>
          </w:tcPr>
          <w:p w14:paraId="011CF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val="en-US" w:eastAsia="zh-CN"/>
              </w:rPr>
              <w:t>注：</w:t>
            </w:r>
            <w:r>
              <w:rPr>
                <w:rFonts w:hint="eastAsia" w:ascii="宋体" w:hAnsi="宋体" w:eastAsia="宋体" w:cs="宋体"/>
                <w:color w:val="auto"/>
                <w:spacing w:val="0"/>
                <w:kern w:val="0"/>
                <w:sz w:val="21"/>
                <w:szCs w:val="21"/>
                <w:highlight w:val="none"/>
                <w:u w:val="none"/>
              </w:rPr>
              <w:t>“□”为勾选项，可√；“（）”为内容填写项。</w:t>
            </w:r>
          </w:p>
        </w:tc>
      </w:tr>
    </w:tbl>
    <w:p w14:paraId="59AB2AE1">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414" w:name="_Toc5466"/>
      <w:bookmarkStart w:id="415" w:name="_Toc31183"/>
      <w:bookmarkStart w:id="416" w:name="_Toc31353"/>
      <w:bookmarkStart w:id="417" w:name="_Toc119915023"/>
      <w:bookmarkStart w:id="418" w:name="_Toc5739"/>
      <w:bookmarkStart w:id="419" w:name="_Toc10578"/>
      <w:bookmarkStart w:id="420" w:name="_Toc2718"/>
      <w:bookmarkStart w:id="421" w:name="_Toc101275987"/>
      <w:bookmarkStart w:id="422" w:name="_Toc23776"/>
      <w:bookmarkStart w:id="423" w:name="_Toc13851"/>
      <w:bookmarkStart w:id="424" w:name="_Toc814"/>
      <w:bookmarkStart w:id="425" w:name="_Toc31818"/>
      <w:bookmarkStart w:id="426" w:name="_Toc16847"/>
      <w:r>
        <w:rPr>
          <w:rFonts w:hint="default" w:ascii="黑体" w:hAnsi="黑体" w:eastAsia="黑体" w:cs="黑体"/>
          <w:color w:val="auto"/>
          <w:sz w:val="28"/>
          <w:szCs w:val="28"/>
          <w:u w:val="none"/>
          <w:lang w:val="en-US" w:eastAsia="zh-CN"/>
        </w:rPr>
        <w:t>5.</w:t>
      </w:r>
      <w:r>
        <w:rPr>
          <w:rFonts w:hint="eastAsia" w:ascii="黑体" w:hAnsi="黑体" w:eastAsia="黑体" w:cs="黑体"/>
          <w:color w:val="auto"/>
          <w:sz w:val="28"/>
          <w:szCs w:val="28"/>
          <w:u w:val="none"/>
          <w:lang w:val="en-US" w:eastAsia="zh-CN"/>
        </w:rPr>
        <w:t xml:space="preserve">2 </w:t>
      </w:r>
      <w:r>
        <w:rPr>
          <w:rFonts w:hint="default" w:ascii="黑体" w:hAnsi="黑体" w:eastAsia="黑体" w:cs="黑体"/>
          <w:color w:val="auto"/>
          <w:sz w:val="28"/>
          <w:szCs w:val="28"/>
          <w:u w:val="none"/>
          <w:lang w:val="en-US" w:eastAsia="zh-CN"/>
        </w:rPr>
        <w:t>地下水环境影响评价</w:t>
      </w:r>
      <w:bookmarkEnd w:id="414"/>
      <w:bookmarkEnd w:id="415"/>
      <w:bookmarkEnd w:id="416"/>
      <w:bookmarkEnd w:id="417"/>
      <w:bookmarkEnd w:id="418"/>
      <w:bookmarkEnd w:id="419"/>
      <w:bookmarkEnd w:id="420"/>
    </w:p>
    <w:p w14:paraId="0ACAEF2D">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2</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水文地质</w:t>
      </w:r>
      <w:r>
        <w:rPr>
          <w:rFonts w:hint="eastAsia" w:ascii="黑体" w:hAnsi="黑体" w:eastAsia="黑体" w:cs="黑体"/>
          <w:b/>
          <w:color w:val="auto"/>
          <w:kern w:val="0"/>
          <w:sz w:val="24"/>
          <w:szCs w:val="24"/>
          <w:highlight w:val="none"/>
          <w:u w:val="none"/>
          <w:lang w:val="en-US" w:eastAsia="zh-CN"/>
        </w:rPr>
        <w:t>条件</w:t>
      </w:r>
    </w:p>
    <w:p w14:paraId="7EBD3972">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5.</w:t>
      </w:r>
      <w:r>
        <w:rPr>
          <w:rFonts w:hint="eastAsia" w:ascii="宋体" w:hAnsi="宋体" w:cs="宋体"/>
          <w:color w:val="auto"/>
          <w:u w:val="none"/>
          <w:lang w:val="en-US" w:eastAsia="zh-CN"/>
        </w:rPr>
        <w:t>2</w:t>
      </w:r>
      <w:r>
        <w:rPr>
          <w:rFonts w:hint="default" w:ascii="宋体" w:hAnsi="宋体" w:eastAsia="宋体" w:cs="宋体"/>
          <w:color w:val="auto"/>
          <w:u w:val="none"/>
          <w:lang w:val="en-US" w:eastAsia="zh-CN"/>
        </w:rPr>
        <w:t>.1.1</w:t>
      </w:r>
      <w:r>
        <w:rPr>
          <w:rFonts w:hint="eastAsia" w:ascii="宋体" w:hAnsi="宋体" w:eastAsia="宋体" w:cs="宋体"/>
          <w:color w:val="auto"/>
          <w:u w:val="none"/>
          <w:lang w:val="en-US" w:eastAsia="zh-CN"/>
        </w:rPr>
        <w:t xml:space="preserve"> </w:t>
      </w:r>
      <w:r>
        <w:rPr>
          <w:rFonts w:hint="default" w:ascii="宋体" w:hAnsi="宋体" w:eastAsia="宋体" w:cs="宋体"/>
          <w:color w:val="auto"/>
          <w:u w:val="none"/>
          <w:lang w:val="en-US" w:eastAsia="zh-CN"/>
        </w:rPr>
        <w:t>地质条件</w:t>
      </w:r>
    </w:p>
    <w:p w14:paraId="754CB978">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项目区无天然地表水体，与该地区有补给关系的准噶尔盆地边缘发育多条河流。其中南部有呼图壁河、塔西河、玛纳斯河；北部有乌伦古河、和布克河和白杨河。这些河流的径流特点均由盆地外围水资源形成的山区河流经盆地边缘汇流至盆地中心—玛纳斯湖。而实际上，由于各流域灌区的大量引水灌溉，加上沿程河道渗漏和蒸发，现已无地表水流入玛纳斯湖，基本上是以地下径流的方式汇入盆地，最终流向盆地的最低处—玛纳斯湖。</w:t>
      </w:r>
    </w:p>
    <w:p w14:paraId="6BC27D13">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评价区水文地质图，见图5.</w:t>
      </w:r>
      <w:r>
        <w:rPr>
          <w:rFonts w:hint="eastAsia" w:cs="Times New Roman"/>
          <w:color w:val="auto"/>
          <w:kern w:val="0"/>
          <w:sz w:val="24"/>
          <w:szCs w:val="24"/>
          <w:highlight w:val="none"/>
          <w:u w:val="none"/>
          <w:lang w:val="en-US" w:eastAsia="zh-CN"/>
        </w:rPr>
        <w:t>2</w:t>
      </w:r>
      <w:r>
        <w:rPr>
          <w:rFonts w:hint="default" w:ascii="Times New Roman" w:hAnsi="Times New Roman" w:eastAsia="宋体" w:cs="Times New Roman"/>
          <w:color w:val="auto"/>
          <w:kern w:val="0"/>
          <w:sz w:val="24"/>
          <w:szCs w:val="24"/>
          <w:highlight w:val="none"/>
          <w:u w:val="none"/>
          <w:lang w:eastAsia="zh-CN"/>
        </w:rPr>
        <w:t>-1。</w:t>
      </w:r>
    </w:p>
    <w:p w14:paraId="06596A9B">
      <w:pPr>
        <w:keepNext w:val="0"/>
        <w:keepLines w:val="0"/>
        <w:pageBreakBefore w:val="0"/>
        <w:widowControl/>
        <w:kinsoku/>
        <w:wordWrap/>
        <w:overflowPunct/>
        <w:topLinePunct w:val="0"/>
        <w:autoSpaceDE/>
        <w:autoSpaceDN/>
        <w:bidi w:val="0"/>
        <w:adjustRightInd w:val="0"/>
        <w:snapToGrid w:val="0"/>
        <w:spacing w:after="157" w:afterLines="50" w:line="240" w:lineRule="auto"/>
        <w:ind w:firstLine="0"/>
        <w:jc w:val="center"/>
        <w:textAlignment w:val="auto"/>
        <w:rPr>
          <w:rFonts w:hint="default" w:asciiTheme="majorEastAsia" w:hAnsiTheme="majorEastAsia" w:eastAsiaTheme="majorEastAsia" w:cstheme="majorEastAsia"/>
          <w:b/>
          <w:bCs w:val="0"/>
          <w:color w:val="auto"/>
          <w:kern w:val="2"/>
          <w:sz w:val="24"/>
          <w:szCs w:val="24"/>
          <w:highlight w:val="none"/>
          <w:u w:val="none"/>
          <w:lang w:val="en-US" w:eastAsia="zh-CN" w:bidi="ar-SA"/>
        </w:rPr>
      </w:pPr>
      <w:r>
        <w:rPr>
          <w:rFonts w:hint="default" w:asciiTheme="majorEastAsia" w:hAnsiTheme="majorEastAsia" w:eastAsiaTheme="majorEastAsia" w:cstheme="majorEastAsia"/>
          <w:b/>
          <w:bCs w:val="0"/>
          <w:color w:val="auto"/>
          <w:kern w:val="2"/>
          <w:sz w:val="24"/>
          <w:szCs w:val="24"/>
          <w:highlight w:val="none"/>
          <w:u w:val="none"/>
          <w:lang w:val="en-US" w:eastAsia="zh-CN" w:bidi="ar-SA"/>
        </w:rPr>
        <w:drawing>
          <wp:inline distT="0" distB="0" distL="114300" distR="114300">
            <wp:extent cx="5273675" cy="3262630"/>
            <wp:effectExtent l="0" t="0" r="3175" b="13970"/>
            <wp:docPr id="52" name="图片 52" descr="水文地质图（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水文地质图（东北-西南）"/>
                    <pic:cNvPicPr>
                      <a:picLocks noChangeAspect="1"/>
                    </pic:cNvPicPr>
                  </pic:nvPicPr>
                  <pic:blipFill>
                    <a:blip r:embed="rId64"/>
                    <a:stretch>
                      <a:fillRect/>
                    </a:stretch>
                  </pic:blipFill>
                  <pic:spPr>
                    <a:xfrm>
                      <a:off x="0" y="0"/>
                      <a:ext cx="5273675" cy="3262630"/>
                    </a:xfrm>
                    <a:prstGeom prst="rect">
                      <a:avLst/>
                    </a:prstGeom>
                  </pic:spPr>
                </pic:pic>
              </a:graphicData>
            </a:graphic>
          </wp:inline>
        </w:drawing>
      </w:r>
    </w:p>
    <w:p w14:paraId="1C746BF6">
      <w:pPr>
        <w:keepNext w:val="0"/>
        <w:keepLines w:val="0"/>
        <w:pageBreakBefore w:val="0"/>
        <w:widowControl/>
        <w:kinsoku/>
        <w:wordWrap/>
        <w:overflowPunct/>
        <w:topLinePunct w:val="0"/>
        <w:autoSpaceDE/>
        <w:autoSpaceDN/>
        <w:bidi w:val="0"/>
        <w:adjustRightInd w:val="0"/>
        <w:snapToGrid w:val="0"/>
        <w:spacing w:after="157" w:afterLines="50" w:line="240" w:lineRule="auto"/>
        <w:ind w:firstLine="0"/>
        <w:jc w:val="center"/>
        <w:textAlignment w:val="auto"/>
        <w:rPr>
          <w:rFonts w:hint="default" w:ascii="Times New Roman" w:hAnsi="Times New Roman" w:eastAsia="宋体" w:cs="Times New Roman"/>
          <w:b/>
          <w:color w:val="auto"/>
          <w:kern w:val="2"/>
          <w:sz w:val="24"/>
          <w:szCs w:val="24"/>
          <w:highlight w:val="none"/>
          <w:u w:val="none"/>
          <w:lang w:val="en-US" w:eastAsia="zh-CN" w:bidi="ar-SA"/>
        </w:rPr>
      </w:pPr>
      <w:r>
        <w:rPr>
          <w:rFonts w:hint="default" w:ascii="黑体" w:hAnsi="黑体" w:eastAsia="黑体" w:cs="黑体"/>
          <w:b w:val="0"/>
          <w:bCs/>
          <w:color w:val="auto"/>
          <w:kern w:val="2"/>
          <w:sz w:val="24"/>
          <w:szCs w:val="24"/>
          <w:u w:val="none"/>
          <w:lang w:val="en-US" w:eastAsia="zh-CN" w:bidi="ar-SA"/>
        </w:rPr>
        <w:t>图5.</w:t>
      </w:r>
      <w:r>
        <w:rPr>
          <w:rFonts w:hint="eastAsia" w:ascii="黑体" w:hAnsi="黑体" w:eastAsia="黑体" w:cs="黑体"/>
          <w:b w:val="0"/>
          <w:bCs/>
          <w:color w:val="auto"/>
          <w:kern w:val="2"/>
          <w:sz w:val="24"/>
          <w:szCs w:val="24"/>
          <w:u w:val="none"/>
          <w:lang w:val="en-US" w:eastAsia="zh-CN" w:bidi="ar-SA"/>
        </w:rPr>
        <w:t>2-1 评价区</w:t>
      </w:r>
      <w:r>
        <w:rPr>
          <w:rFonts w:hint="default" w:ascii="黑体" w:hAnsi="黑体" w:eastAsia="黑体" w:cs="黑体"/>
          <w:b w:val="0"/>
          <w:bCs/>
          <w:color w:val="auto"/>
          <w:kern w:val="2"/>
          <w:sz w:val="24"/>
          <w:szCs w:val="24"/>
          <w:u w:val="none"/>
          <w:lang w:val="en-US" w:eastAsia="zh-CN" w:bidi="ar-SA"/>
        </w:rPr>
        <w:t>水文地质图</w:t>
      </w:r>
    </w:p>
    <w:p w14:paraId="2F51B185">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5.</w:t>
      </w:r>
      <w:r>
        <w:rPr>
          <w:rFonts w:hint="eastAsia" w:ascii="宋体" w:hAnsi="宋体" w:cs="宋体"/>
          <w:color w:val="auto"/>
          <w:u w:val="none"/>
          <w:lang w:val="en-US" w:eastAsia="zh-CN"/>
        </w:rPr>
        <w:t>2</w:t>
      </w:r>
      <w:r>
        <w:rPr>
          <w:rFonts w:hint="default" w:ascii="宋体" w:hAnsi="宋体" w:eastAsia="宋体" w:cs="宋体"/>
          <w:color w:val="auto"/>
          <w:u w:val="none"/>
          <w:lang w:val="en-US" w:eastAsia="zh-CN"/>
        </w:rPr>
        <w:t>.1.2地下水类型，含水层及富水特征</w:t>
      </w:r>
    </w:p>
    <w:p w14:paraId="48DF7799">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eastAsia" w:ascii="Times New Roman" w:hAnsi="Times New Roman" w:eastAsia="宋体" w:cs="宋体"/>
          <w:color w:val="auto"/>
          <w:kern w:val="0"/>
          <w:sz w:val="24"/>
          <w:szCs w:val="24"/>
          <w:highlight w:val="none"/>
          <w:u w:val="none"/>
        </w:rPr>
      </w:pPr>
      <w:r>
        <w:rPr>
          <w:rFonts w:hint="eastAsia" w:ascii="Times New Roman" w:hAnsi="Times New Roman" w:eastAsia="宋体" w:cs="宋体"/>
          <w:color w:val="auto"/>
          <w:kern w:val="0"/>
          <w:sz w:val="24"/>
          <w:szCs w:val="24"/>
          <w:highlight w:val="none"/>
          <w:u w:val="none"/>
        </w:rPr>
        <w:t>根据水文地质勘探资料表明，项目区域埋藏有两种类型的地下水，即第四系松散岩类孔隙水和第三系碎屑岩类孔隙-裂隙水。</w:t>
      </w:r>
    </w:p>
    <w:p w14:paraId="74DDC13F">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eastAsia" w:ascii="Times New Roman" w:hAnsi="Times New Roman" w:eastAsia="宋体" w:cs="宋体"/>
          <w:color w:val="auto"/>
          <w:kern w:val="0"/>
          <w:sz w:val="24"/>
          <w:szCs w:val="24"/>
          <w:highlight w:val="none"/>
          <w:u w:val="none"/>
        </w:rPr>
      </w:pPr>
      <w:r>
        <w:rPr>
          <w:rFonts w:hint="eastAsia" w:cs="宋体"/>
          <w:color w:val="auto"/>
          <w:kern w:val="0"/>
          <w:sz w:val="24"/>
          <w:szCs w:val="24"/>
          <w:highlight w:val="none"/>
          <w:u w:val="none"/>
          <w:lang w:eastAsia="zh-CN"/>
        </w:rPr>
        <w:t>（</w:t>
      </w:r>
      <w:r>
        <w:rPr>
          <w:rFonts w:hint="eastAsia" w:cs="宋体"/>
          <w:color w:val="auto"/>
          <w:kern w:val="0"/>
          <w:sz w:val="24"/>
          <w:szCs w:val="24"/>
          <w:highlight w:val="none"/>
          <w:u w:val="none"/>
          <w:lang w:val="en-US" w:eastAsia="zh-CN"/>
        </w:rPr>
        <w:t>1</w:t>
      </w:r>
      <w:r>
        <w:rPr>
          <w:rFonts w:hint="eastAsia" w:cs="宋体"/>
          <w:color w:val="auto"/>
          <w:kern w:val="0"/>
          <w:sz w:val="24"/>
          <w:szCs w:val="24"/>
          <w:highlight w:val="none"/>
          <w:u w:val="none"/>
          <w:lang w:eastAsia="zh-CN"/>
        </w:rPr>
        <w:t>）</w:t>
      </w:r>
      <w:r>
        <w:rPr>
          <w:rFonts w:hint="eastAsia" w:ascii="Times New Roman" w:hAnsi="Times New Roman" w:eastAsia="宋体" w:cs="宋体"/>
          <w:color w:val="auto"/>
          <w:kern w:val="0"/>
          <w:sz w:val="24"/>
          <w:szCs w:val="24"/>
          <w:highlight w:val="none"/>
          <w:u w:val="none"/>
        </w:rPr>
        <w:t>第四系松散岩类孔隙水</w:t>
      </w:r>
    </w:p>
    <w:p w14:paraId="591B0745">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eastAsia" w:ascii="Times New Roman" w:hAnsi="Times New Roman" w:eastAsia="宋体" w:cs="宋体"/>
          <w:color w:val="auto"/>
          <w:kern w:val="0"/>
          <w:sz w:val="24"/>
          <w:szCs w:val="24"/>
          <w:highlight w:val="none"/>
          <w:u w:val="none"/>
        </w:rPr>
      </w:pPr>
      <w:r>
        <w:rPr>
          <w:rFonts w:hint="eastAsia" w:ascii="Times New Roman" w:hAnsi="Times New Roman" w:eastAsia="宋体" w:cs="宋体"/>
          <w:color w:val="auto"/>
          <w:kern w:val="0"/>
          <w:sz w:val="24"/>
          <w:szCs w:val="24"/>
          <w:highlight w:val="none"/>
          <w:u w:val="none"/>
        </w:rPr>
        <w:t>第四系松散沉积物厚度数十米至上百米不等，含水层为一套冲积-湖积的双层结构，上部为潜水，下部为承压水，含水层岩性以粗砂为主，承压水含水层顶板埋深多大于60m。潜水位埋深为10m-15m，为微咸水；而且该层采水量一般小于50m</w:t>
      </w:r>
      <w:r>
        <w:rPr>
          <w:rFonts w:hint="eastAsia" w:ascii="Times New Roman" w:hAnsi="Times New Roman" w:eastAsia="宋体" w:cs="宋体"/>
          <w:color w:val="auto"/>
          <w:kern w:val="0"/>
          <w:sz w:val="24"/>
          <w:szCs w:val="24"/>
          <w:highlight w:val="none"/>
          <w:u w:val="none"/>
          <w:vertAlign w:val="superscript"/>
        </w:rPr>
        <w:t>3</w:t>
      </w:r>
      <w:r>
        <w:rPr>
          <w:rFonts w:hint="eastAsia" w:ascii="Times New Roman" w:hAnsi="Times New Roman" w:eastAsia="宋体" w:cs="宋体"/>
          <w:color w:val="auto"/>
          <w:kern w:val="0"/>
          <w:sz w:val="24"/>
          <w:szCs w:val="24"/>
          <w:highlight w:val="none"/>
          <w:u w:val="none"/>
        </w:rPr>
        <w:t>/d。矿化度1-3g/L，水化学类型主要以Cl-SO</w:t>
      </w:r>
      <w:r>
        <w:rPr>
          <w:rFonts w:hint="eastAsia" w:ascii="Times New Roman" w:hAnsi="Times New Roman" w:eastAsia="宋体" w:cs="宋体"/>
          <w:color w:val="auto"/>
          <w:kern w:val="0"/>
          <w:sz w:val="24"/>
          <w:szCs w:val="24"/>
          <w:highlight w:val="none"/>
          <w:u w:val="none"/>
          <w:vertAlign w:val="subscript"/>
        </w:rPr>
        <w:t>4</w:t>
      </w:r>
      <w:r>
        <w:rPr>
          <w:rFonts w:hint="eastAsia" w:ascii="Times New Roman" w:hAnsi="Times New Roman" w:eastAsia="宋体" w:cs="宋体"/>
          <w:color w:val="auto"/>
          <w:kern w:val="0"/>
          <w:sz w:val="24"/>
          <w:szCs w:val="24"/>
          <w:highlight w:val="none"/>
          <w:u w:val="none"/>
        </w:rPr>
        <w:t>-Na型和Cl-Na型为主。</w:t>
      </w:r>
    </w:p>
    <w:p w14:paraId="559CCB2E">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eastAsia" w:ascii="Times New Roman" w:hAnsi="Times New Roman" w:eastAsia="宋体" w:cs="宋体"/>
          <w:color w:val="auto"/>
          <w:kern w:val="0"/>
          <w:sz w:val="24"/>
          <w:szCs w:val="24"/>
          <w:highlight w:val="none"/>
          <w:u w:val="none"/>
        </w:rPr>
      </w:pPr>
      <w:r>
        <w:rPr>
          <w:rFonts w:hint="eastAsia" w:ascii="Times New Roman" w:hAnsi="Times New Roman" w:eastAsia="宋体" w:cs="宋体"/>
          <w:color w:val="auto"/>
          <w:kern w:val="0"/>
          <w:sz w:val="24"/>
          <w:szCs w:val="24"/>
          <w:highlight w:val="none"/>
          <w:u w:val="none"/>
        </w:rPr>
        <w:t>根据现有资料分析，评价区内的第四系沉积物基本不含水或含少量水，地下水埋深浅则十数米，深则数十米，其水质较差，不适于工农业开发利用。另一方面，大部分地区，地下水位以上，降水入渗后被包气带地层阻隔，短期内形成局部上层滞水，地下水或以毛细水、结合水形式存在，正是这些主要接受少量、不定期降水补给的少量重力水、毛细水甚至结合水的存在，成为当地植被得以维系的前提和关键。</w:t>
      </w:r>
    </w:p>
    <w:p w14:paraId="49EA782A">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eastAsia" w:ascii="Times New Roman" w:hAnsi="Times New Roman" w:eastAsia="宋体" w:cs="宋体"/>
          <w:color w:val="auto"/>
          <w:kern w:val="0"/>
          <w:sz w:val="24"/>
          <w:szCs w:val="24"/>
          <w:highlight w:val="none"/>
          <w:u w:val="none"/>
        </w:rPr>
      </w:pPr>
      <w:r>
        <w:rPr>
          <w:rFonts w:hint="eastAsia" w:cs="宋体"/>
          <w:color w:val="auto"/>
          <w:kern w:val="0"/>
          <w:sz w:val="24"/>
          <w:szCs w:val="24"/>
          <w:highlight w:val="none"/>
          <w:u w:val="none"/>
          <w:lang w:eastAsia="zh-CN"/>
        </w:rPr>
        <w:t>（</w:t>
      </w:r>
      <w:r>
        <w:rPr>
          <w:rFonts w:hint="eastAsia" w:cs="宋体"/>
          <w:color w:val="auto"/>
          <w:kern w:val="0"/>
          <w:sz w:val="24"/>
          <w:szCs w:val="24"/>
          <w:highlight w:val="none"/>
          <w:u w:val="none"/>
          <w:lang w:val="en-US" w:eastAsia="zh-CN"/>
        </w:rPr>
        <w:t>2</w:t>
      </w:r>
      <w:r>
        <w:rPr>
          <w:rFonts w:hint="eastAsia" w:cs="宋体"/>
          <w:color w:val="auto"/>
          <w:kern w:val="0"/>
          <w:sz w:val="24"/>
          <w:szCs w:val="24"/>
          <w:highlight w:val="none"/>
          <w:u w:val="none"/>
          <w:lang w:eastAsia="zh-CN"/>
        </w:rPr>
        <w:t>）</w:t>
      </w:r>
      <w:r>
        <w:rPr>
          <w:rFonts w:hint="eastAsia" w:ascii="Times New Roman" w:hAnsi="Times New Roman" w:eastAsia="宋体" w:cs="宋体"/>
          <w:color w:val="auto"/>
          <w:kern w:val="0"/>
          <w:sz w:val="24"/>
          <w:szCs w:val="24"/>
          <w:highlight w:val="none"/>
          <w:u w:val="none"/>
        </w:rPr>
        <w:t>第三系碎屑岩类孔隙-裂隙水</w:t>
      </w:r>
    </w:p>
    <w:p w14:paraId="5EDDDD60">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eastAsia" w:ascii="Times New Roman" w:hAnsi="Times New Roman" w:eastAsia="宋体" w:cs="宋体"/>
          <w:color w:val="auto"/>
          <w:kern w:val="0"/>
          <w:sz w:val="24"/>
          <w:szCs w:val="24"/>
          <w:highlight w:val="none"/>
          <w:u w:val="none"/>
        </w:rPr>
      </w:pPr>
      <w:r>
        <w:rPr>
          <w:rFonts w:hint="eastAsia" w:ascii="Times New Roman" w:hAnsi="Times New Roman" w:eastAsia="宋体" w:cs="宋体"/>
          <w:color w:val="auto"/>
          <w:kern w:val="0"/>
          <w:sz w:val="24"/>
          <w:szCs w:val="24"/>
          <w:highlight w:val="none"/>
          <w:u w:val="none"/>
        </w:rPr>
        <w:t>第三系碎屑岩类孔隙-裂隙水顶板埋深50-100m，承压水岩性主要是砂岩和泥质砂岩，地下水单井涌水量122.89m</w:t>
      </w:r>
      <w:r>
        <w:rPr>
          <w:rFonts w:hint="eastAsia" w:ascii="Times New Roman" w:hAnsi="Times New Roman" w:eastAsia="宋体" w:cs="宋体"/>
          <w:color w:val="auto"/>
          <w:kern w:val="0"/>
          <w:sz w:val="24"/>
          <w:szCs w:val="24"/>
          <w:highlight w:val="none"/>
          <w:u w:val="none"/>
          <w:vertAlign w:val="superscript"/>
        </w:rPr>
        <w:t>3</w:t>
      </w:r>
      <w:r>
        <w:rPr>
          <w:rFonts w:hint="eastAsia" w:ascii="Times New Roman" w:hAnsi="Times New Roman" w:eastAsia="宋体" w:cs="宋体"/>
          <w:color w:val="auto"/>
          <w:kern w:val="0"/>
          <w:sz w:val="24"/>
          <w:szCs w:val="24"/>
          <w:highlight w:val="none"/>
          <w:u w:val="none"/>
        </w:rPr>
        <w:t>/d-345.4m</w:t>
      </w:r>
      <w:r>
        <w:rPr>
          <w:rFonts w:hint="eastAsia" w:ascii="Times New Roman" w:hAnsi="Times New Roman" w:eastAsia="宋体" w:cs="宋体"/>
          <w:color w:val="auto"/>
          <w:kern w:val="0"/>
          <w:sz w:val="24"/>
          <w:szCs w:val="24"/>
          <w:highlight w:val="none"/>
          <w:u w:val="none"/>
          <w:vertAlign w:val="superscript"/>
        </w:rPr>
        <w:t>3</w:t>
      </w:r>
      <w:r>
        <w:rPr>
          <w:rFonts w:hint="eastAsia" w:ascii="Times New Roman" w:hAnsi="Times New Roman" w:eastAsia="宋体" w:cs="宋体"/>
          <w:color w:val="auto"/>
          <w:kern w:val="0"/>
          <w:sz w:val="24"/>
          <w:szCs w:val="24"/>
          <w:highlight w:val="none"/>
          <w:u w:val="none"/>
        </w:rPr>
        <w:t>/d，矿化度3-10g/L，水化学类型以Cl-Na型和Cl-SO</w:t>
      </w:r>
      <w:r>
        <w:rPr>
          <w:rFonts w:hint="eastAsia" w:ascii="Times New Roman" w:hAnsi="Times New Roman" w:eastAsia="宋体" w:cs="宋体"/>
          <w:color w:val="auto"/>
          <w:kern w:val="0"/>
          <w:sz w:val="24"/>
          <w:szCs w:val="24"/>
          <w:highlight w:val="none"/>
          <w:u w:val="none"/>
          <w:vertAlign w:val="subscript"/>
        </w:rPr>
        <w:t>4</w:t>
      </w:r>
      <w:r>
        <w:rPr>
          <w:rFonts w:hint="eastAsia" w:ascii="Times New Roman" w:hAnsi="Times New Roman" w:eastAsia="宋体" w:cs="宋体"/>
          <w:color w:val="auto"/>
          <w:kern w:val="0"/>
          <w:sz w:val="24"/>
          <w:szCs w:val="24"/>
          <w:highlight w:val="none"/>
          <w:u w:val="none"/>
        </w:rPr>
        <w:t>-Na型为主。</w:t>
      </w:r>
    </w:p>
    <w:p w14:paraId="7368F6D5">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eastAsia" w:ascii="Times New Roman" w:hAnsi="Times New Roman" w:eastAsia="宋体" w:cs="宋体"/>
          <w:color w:val="auto"/>
          <w:kern w:val="0"/>
          <w:sz w:val="24"/>
          <w:szCs w:val="24"/>
          <w:highlight w:val="none"/>
          <w:u w:val="none"/>
        </w:rPr>
      </w:pPr>
      <w:r>
        <w:rPr>
          <w:rFonts w:hint="eastAsia" w:ascii="Times New Roman" w:hAnsi="Times New Roman" w:eastAsia="宋体" w:cs="宋体"/>
          <w:color w:val="auto"/>
          <w:kern w:val="0"/>
          <w:sz w:val="24"/>
          <w:szCs w:val="24"/>
          <w:highlight w:val="none"/>
          <w:u w:val="none"/>
        </w:rPr>
        <w:t>根据建设单位提供的莫水4号井水文地质钻井试水资料（井深450m），该井取深层基岩裂隙水，地下水顶板大于100m。根据抽水试验，抽水层位为第三系，地下水涌水量达768m</w:t>
      </w:r>
      <w:r>
        <w:rPr>
          <w:rFonts w:hint="eastAsia" w:ascii="Times New Roman" w:hAnsi="Times New Roman" w:eastAsia="宋体" w:cs="宋体"/>
          <w:color w:val="auto"/>
          <w:kern w:val="0"/>
          <w:sz w:val="24"/>
          <w:szCs w:val="24"/>
          <w:highlight w:val="none"/>
          <w:u w:val="none"/>
          <w:vertAlign w:val="superscript"/>
        </w:rPr>
        <w:t>3</w:t>
      </w:r>
      <w:r>
        <w:rPr>
          <w:rFonts w:hint="eastAsia" w:ascii="Times New Roman" w:hAnsi="Times New Roman" w:eastAsia="宋体" w:cs="宋体"/>
          <w:color w:val="auto"/>
          <w:kern w:val="0"/>
          <w:sz w:val="24"/>
          <w:szCs w:val="24"/>
          <w:highlight w:val="none"/>
          <w:u w:val="none"/>
        </w:rPr>
        <w:t>/d，换算口径10时降深5m的涌水量为459.45m</w:t>
      </w:r>
      <w:r>
        <w:rPr>
          <w:rFonts w:hint="eastAsia" w:ascii="Times New Roman" w:hAnsi="Times New Roman" w:eastAsia="宋体" w:cs="宋体"/>
          <w:color w:val="auto"/>
          <w:kern w:val="0"/>
          <w:sz w:val="24"/>
          <w:szCs w:val="24"/>
          <w:highlight w:val="none"/>
          <w:u w:val="none"/>
          <w:vertAlign w:val="superscript"/>
        </w:rPr>
        <w:t>3</w:t>
      </w:r>
      <w:r>
        <w:rPr>
          <w:rFonts w:hint="eastAsia" w:ascii="Times New Roman" w:hAnsi="Times New Roman" w:eastAsia="宋体" w:cs="宋体"/>
          <w:color w:val="auto"/>
          <w:kern w:val="0"/>
          <w:sz w:val="24"/>
          <w:szCs w:val="24"/>
          <w:highlight w:val="none"/>
          <w:u w:val="none"/>
        </w:rPr>
        <w:t>/d，含水层渗透系数为0.95m/d，地下水类型为SO</w:t>
      </w:r>
      <w:r>
        <w:rPr>
          <w:rFonts w:hint="eastAsia" w:ascii="Times New Roman" w:hAnsi="Times New Roman" w:eastAsia="宋体" w:cs="宋体"/>
          <w:color w:val="auto"/>
          <w:kern w:val="0"/>
          <w:sz w:val="24"/>
          <w:szCs w:val="24"/>
          <w:highlight w:val="none"/>
          <w:u w:val="none"/>
          <w:vertAlign w:val="subscript"/>
        </w:rPr>
        <w:t>4</w:t>
      </w:r>
      <w:r>
        <w:rPr>
          <w:rFonts w:hint="eastAsia" w:ascii="Times New Roman" w:hAnsi="Times New Roman" w:eastAsia="宋体" w:cs="宋体"/>
          <w:color w:val="auto"/>
          <w:kern w:val="0"/>
          <w:sz w:val="24"/>
          <w:szCs w:val="24"/>
          <w:highlight w:val="none"/>
          <w:u w:val="none"/>
        </w:rPr>
        <w:t>·Cl·HCO</w:t>
      </w:r>
      <w:r>
        <w:rPr>
          <w:rFonts w:hint="eastAsia" w:ascii="Times New Roman" w:hAnsi="Times New Roman" w:eastAsia="宋体" w:cs="宋体"/>
          <w:color w:val="auto"/>
          <w:kern w:val="0"/>
          <w:sz w:val="24"/>
          <w:szCs w:val="24"/>
          <w:highlight w:val="none"/>
          <w:u w:val="none"/>
          <w:vertAlign w:val="subscript"/>
        </w:rPr>
        <w:t>3</w:t>
      </w:r>
      <w:r>
        <w:rPr>
          <w:rFonts w:hint="eastAsia" w:ascii="Times New Roman" w:hAnsi="Times New Roman" w:eastAsia="宋体" w:cs="宋体"/>
          <w:color w:val="auto"/>
          <w:kern w:val="0"/>
          <w:sz w:val="24"/>
          <w:szCs w:val="24"/>
          <w:highlight w:val="none"/>
          <w:u w:val="none"/>
        </w:rPr>
        <w:t>-Na·Mg，地下水矿化度为2.14g/L。</w:t>
      </w:r>
    </w:p>
    <w:p w14:paraId="13CDB525">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5.</w:t>
      </w:r>
      <w:r>
        <w:rPr>
          <w:rFonts w:hint="eastAsia" w:ascii="宋体" w:hAnsi="宋体" w:cs="宋体"/>
          <w:color w:val="auto"/>
          <w:u w:val="none"/>
          <w:lang w:val="en-US" w:eastAsia="zh-CN"/>
        </w:rPr>
        <w:t>2</w:t>
      </w:r>
      <w:r>
        <w:rPr>
          <w:rFonts w:hint="eastAsia" w:ascii="宋体" w:hAnsi="宋体" w:eastAsia="宋体" w:cs="宋体"/>
          <w:color w:val="auto"/>
          <w:u w:val="none"/>
          <w:lang w:val="en-US" w:eastAsia="zh-CN"/>
        </w:rPr>
        <w:t>.</w:t>
      </w:r>
      <w:r>
        <w:rPr>
          <w:rFonts w:hint="default" w:ascii="宋体" w:hAnsi="宋体" w:eastAsia="宋体" w:cs="宋体"/>
          <w:color w:val="auto"/>
          <w:u w:val="none"/>
          <w:lang w:val="en-US" w:eastAsia="zh-CN"/>
        </w:rPr>
        <w:t>1.</w:t>
      </w:r>
      <w:r>
        <w:rPr>
          <w:rFonts w:hint="eastAsia" w:ascii="宋体" w:hAnsi="宋体" w:eastAsia="宋体" w:cs="宋体"/>
          <w:color w:val="auto"/>
          <w:u w:val="none"/>
          <w:lang w:val="en-US" w:eastAsia="zh-CN"/>
        </w:rPr>
        <w:t xml:space="preserve">3 </w:t>
      </w:r>
      <w:r>
        <w:rPr>
          <w:rFonts w:hint="default" w:ascii="宋体" w:hAnsi="宋体" w:eastAsia="宋体" w:cs="宋体"/>
          <w:color w:val="auto"/>
          <w:u w:val="none"/>
          <w:lang w:val="en-US" w:eastAsia="zh-CN"/>
        </w:rPr>
        <w:t>地下水补给、径流、排泄条件</w:t>
      </w:r>
    </w:p>
    <w:p w14:paraId="77A03CBC">
      <w:pPr>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eastAsia" w:ascii="Times New Roman" w:hAnsi="Times New Roman" w:eastAsia="宋体" w:cs="宋体"/>
          <w:color w:val="auto"/>
          <w:kern w:val="0"/>
          <w:sz w:val="24"/>
          <w:szCs w:val="24"/>
          <w:highlight w:val="none"/>
          <w:u w:val="none"/>
        </w:rPr>
      </w:pPr>
      <w:r>
        <w:rPr>
          <w:rFonts w:hint="default" w:ascii="Times New Roman" w:hAnsi="Times New Roman" w:cs="Times New Roman"/>
          <w:color w:val="auto"/>
          <w:kern w:val="0"/>
          <w:sz w:val="24"/>
          <w:szCs w:val="24"/>
          <w:highlight w:val="none"/>
          <w:u w:val="none"/>
        </w:rPr>
        <w:t>受区域水文地质条件控制，评价区位于准噶尔盆地腹地，</w:t>
      </w:r>
      <w:r>
        <w:rPr>
          <w:rFonts w:hint="eastAsia" w:ascii="Times New Roman" w:hAnsi="Times New Roman" w:cs="Times New Roman"/>
          <w:color w:val="auto"/>
          <w:kern w:val="0"/>
          <w:sz w:val="24"/>
          <w:szCs w:val="24"/>
          <w:highlight w:val="none"/>
          <w:u w:val="none"/>
          <w:lang w:val="en-US" w:eastAsia="zh-CN"/>
        </w:rPr>
        <w:t>地</w:t>
      </w:r>
      <w:r>
        <w:rPr>
          <w:rFonts w:hint="default" w:ascii="Times New Roman" w:hAnsi="Times New Roman" w:cs="Times New Roman"/>
          <w:color w:val="auto"/>
          <w:kern w:val="0"/>
          <w:sz w:val="24"/>
          <w:szCs w:val="24"/>
          <w:highlight w:val="none"/>
          <w:u w:val="none"/>
        </w:rPr>
        <w:t>下水补给来源较少， 浅层承压水主要接受盆地北部山区</w:t>
      </w:r>
      <w:r>
        <w:rPr>
          <w:rFonts w:hint="eastAsia" w:cs="Times New Roman"/>
          <w:color w:val="auto"/>
          <w:kern w:val="0"/>
          <w:sz w:val="24"/>
          <w:szCs w:val="24"/>
          <w:highlight w:val="none"/>
          <w:u w:val="none"/>
          <w:lang w:eastAsia="zh-CN"/>
        </w:rPr>
        <w:t>以及</w:t>
      </w:r>
      <w:r>
        <w:rPr>
          <w:rFonts w:hint="default" w:ascii="Times New Roman" w:hAnsi="Times New Roman" w:cs="Times New Roman"/>
          <w:color w:val="auto"/>
          <w:kern w:val="0"/>
          <w:sz w:val="24"/>
          <w:szCs w:val="24"/>
          <w:highlight w:val="none"/>
          <w:u w:val="none"/>
        </w:rPr>
        <w:t>上游玛纳斯湖等地表径流垂向渗漏补给， 同时向深部承压水进行径流补给。浅层地下水的总体径流方向</w:t>
      </w:r>
      <w:r>
        <w:rPr>
          <w:rFonts w:hint="eastAsia" w:cs="Times New Roman"/>
          <w:color w:val="auto"/>
          <w:kern w:val="0"/>
          <w:sz w:val="24"/>
          <w:szCs w:val="24"/>
          <w:highlight w:val="none"/>
          <w:u w:val="none"/>
          <w:lang w:val="en-US" w:eastAsia="zh-CN"/>
        </w:rPr>
        <w:t>自东北向西南</w:t>
      </w:r>
      <w:r>
        <w:rPr>
          <w:rFonts w:hint="default" w:ascii="Times New Roman" w:hAnsi="Times New Roman" w:cs="Times New Roman"/>
          <w:color w:val="auto"/>
          <w:kern w:val="0"/>
          <w:sz w:val="24"/>
          <w:szCs w:val="24"/>
          <w:highlight w:val="none"/>
          <w:u w:val="none"/>
        </w:rPr>
        <w:t>进行径流，径流速度缓慢，浅层承压水的径流强度比深部地下承压水的径流强度要大。深部承压水除主要接受北部以及浅层承压水还可能接受盆地南部补给，无论是来自北部和南部的补给，汇集于此的深部承压水径流速度缓慢，几乎处于滞缓状态。由于气候干燥，浅层的地下水由水平运动转化为垂直运动，大量的消耗、蒸发排泄。</w:t>
      </w:r>
    </w:p>
    <w:p w14:paraId="606675E9">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5.</w:t>
      </w:r>
      <w:r>
        <w:rPr>
          <w:rFonts w:hint="eastAsia" w:ascii="宋体" w:hAnsi="宋体" w:cs="宋体"/>
          <w:color w:val="auto"/>
          <w:u w:val="none"/>
          <w:lang w:val="en-US" w:eastAsia="zh-CN"/>
        </w:rPr>
        <w:t>2</w:t>
      </w:r>
      <w:r>
        <w:rPr>
          <w:rFonts w:hint="default" w:ascii="宋体" w:hAnsi="宋体" w:eastAsia="宋体" w:cs="宋体"/>
          <w:color w:val="auto"/>
          <w:u w:val="none"/>
          <w:lang w:val="en-US" w:eastAsia="zh-CN"/>
        </w:rPr>
        <w:t>.1.</w:t>
      </w:r>
      <w:r>
        <w:rPr>
          <w:rFonts w:hint="eastAsia" w:ascii="宋体" w:hAnsi="宋体" w:eastAsia="宋体" w:cs="宋体"/>
          <w:color w:val="auto"/>
          <w:u w:val="none"/>
          <w:lang w:val="en-US" w:eastAsia="zh-CN"/>
        </w:rPr>
        <w:t xml:space="preserve">4 </w:t>
      </w:r>
      <w:r>
        <w:rPr>
          <w:rFonts w:hint="default" w:ascii="宋体" w:hAnsi="宋体" w:eastAsia="宋体" w:cs="宋体"/>
          <w:color w:val="auto"/>
          <w:u w:val="none"/>
          <w:lang w:val="en-US" w:eastAsia="zh-CN"/>
        </w:rPr>
        <w:t>地下水化学特征</w:t>
      </w:r>
    </w:p>
    <w:p w14:paraId="336859F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宋体"/>
          <w:color w:val="auto"/>
          <w:kern w:val="0"/>
          <w:sz w:val="24"/>
          <w:szCs w:val="24"/>
          <w:highlight w:val="none"/>
          <w:u w:val="none"/>
          <w:lang w:eastAsia="zh-CN"/>
        </w:rPr>
      </w:pPr>
      <w:r>
        <w:rPr>
          <w:rFonts w:hint="eastAsia" w:ascii="Times New Roman" w:hAnsi="Times New Roman" w:eastAsia="宋体" w:cs="宋体"/>
          <w:color w:val="auto"/>
          <w:kern w:val="0"/>
          <w:sz w:val="24"/>
          <w:szCs w:val="24"/>
          <w:highlight w:val="none"/>
          <w:u w:val="none"/>
          <w:lang w:eastAsia="zh-CN"/>
        </w:rPr>
        <w:t>由于评价区位于准噶尔盆地腹地，气候干燥，地下水补给总体上来源匮乏，蒸发浓缩作用强烈，加之径流速度也缓慢，导致其矿化度逐渐升高、地下水质逐渐变差，地下水多为半咸水及咸水。区内地下水水化学特征水平方向上变化很小，但在垂向上，无论是矿化度还是水化学类型均存在一定的变化。在垂向上，地下水化学类型由浅部的 Cl-Na型过渡到 Cl·SO</w:t>
      </w:r>
      <w:r>
        <w:rPr>
          <w:rFonts w:hint="eastAsia" w:ascii="Times New Roman" w:hAnsi="Times New Roman" w:eastAsia="宋体" w:cs="宋体"/>
          <w:color w:val="auto"/>
          <w:kern w:val="0"/>
          <w:sz w:val="24"/>
          <w:szCs w:val="24"/>
          <w:highlight w:val="none"/>
          <w:u w:val="none"/>
          <w:vertAlign w:val="subscript"/>
          <w:lang w:eastAsia="zh-CN"/>
        </w:rPr>
        <w:t>4</w:t>
      </w:r>
      <w:r>
        <w:rPr>
          <w:rFonts w:hint="eastAsia" w:ascii="Times New Roman" w:hAnsi="Times New Roman" w:eastAsia="宋体" w:cs="宋体"/>
          <w:color w:val="auto"/>
          <w:kern w:val="0"/>
          <w:sz w:val="24"/>
          <w:szCs w:val="24"/>
          <w:highlight w:val="none"/>
          <w:u w:val="none"/>
          <w:lang w:eastAsia="zh-CN"/>
        </w:rPr>
        <w:t>-Na（Ca）型；浅层承压水矿化度向深层承压水的矿化度逐渐减，地下水矿化度从大于10g/L 变化到5-10g/L左右。承压水水化学类型由浅层的 Cl-Na 型过渡到至深部的 Cl×SO</w:t>
      </w:r>
      <w:r>
        <w:rPr>
          <w:rFonts w:hint="eastAsia" w:ascii="Times New Roman" w:hAnsi="Times New Roman" w:eastAsia="宋体" w:cs="宋体"/>
          <w:color w:val="auto"/>
          <w:kern w:val="0"/>
          <w:sz w:val="24"/>
          <w:szCs w:val="24"/>
          <w:highlight w:val="none"/>
          <w:u w:val="none"/>
          <w:vertAlign w:val="subscript"/>
          <w:lang w:eastAsia="zh-CN"/>
        </w:rPr>
        <w:t>4</w:t>
      </w:r>
      <w:r>
        <w:rPr>
          <w:rFonts w:hint="eastAsia" w:ascii="Times New Roman" w:hAnsi="Times New Roman" w:eastAsia="宋体" w:cs="宋体"/>
          <w:color w:val="auto"/>
          <w:kern w:val="0"/>
          <w:sz w:val="24"/>
          <w:szCs w:val="24"/>
          <w:highlight w:val="none"/>
          <w:u w:val="none"/>
          <w:lang w:eastAsia="zh-CN"/>
        </w:rPr>
        <w:t>-Na（Ca）型，矿化度由浅层 19.06g/L过渡到至深部的5.44g/L。</w:t>
      </w:r>
    </w:p>
    <w:p w14:paraId="32C00B13">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2</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2 地下</w:t>
      </w:r>
      <w:r>
        <w:rPr>
          <w:rFonts w:hint="default" w:ascii="黑体" w:hAnsi="黑体" w:eastAsia="黑体" w:cs="黑体"/>
          <w:b/>
          <w:color w:val="auto"/>
          <w:kern w:val="0"/>
          <w:sz w:val="24"/>
          <w:szCs w:val="24"/>
          <w:highlight w:val="none"/>
          <w:u w:val="none"/>
          <w:lang w:val="en-US" w:eastAsia="zh-CN"/>
        </w:rPr>
        <w:t>水环境影响分析</w:t>
      </w:r>
    </w:p>
    <w:p w14:paraId="1EC5F3F8">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2</w:t>
      </w:r>
      <w:r>
        <w:rPr>
          <w:rFonts w:hint="eastAsia" w:ascii="宋体" w:hAnsi="宋体" w:eastAsia="宋体" w:cs="宋体"/>
          <w:color w:val="auto"/>
          <w:u w:val="none"/>
          <w:lang w:val="en-US" w:eastAsia="zh-CN"/>
        </w:rPr>
        <w:t>.2.1 施工期水环境影响分析</w:t>
      </w:r>
    </w:p>
    <w:p w14:paraId="04388AA3">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snapToGrid w:val="0"/>
          <w:color w:val="auto"/>
          <w:kern w:val="0"/>
          <w:sz w:val="24"/>
          <w:szCs w:val="20"/>
          <w:highlight w:val="none"/>
          <w:u w:val="none"/>
          <w:lang w:val="en-US" w:eastAsia="zh-CN"/>
        </w:rPr>
      </w:pPr>
      <w:r>
        <w:rPr>
          <w:rFonts w:hint="eastAsia" w:ascii="Times New Roman" w:hAnsi="Times New Roman" w:eastAsia="宋体" w:cs="宋体"/>
          <w:snapToGrid w:val="0"/>
          <w:color w:val="auto"/>
          <w:kern w:val="0"/>
          <w:sz w:val="24"/>
          <w:szCs w:val="20"/>
          <w:highlight w:val="none"/>
          <w:u w:val="none"/>
          <w:lang w:val="en-US" w:eastAsia="zh-CN"/>
        </w:rPr>
        <w:t>（1）</w:t>
      </w:r>
      <w:r>
        <w:rPr>
          <w:rFonts w:hint="eastAsia" w:cs="宋体"/>
          <w:snapToGrid w:val="0"/>
          <w:color w:val="auto"/>
          <w:kern w:val="0"/>
          <w:sz w:val="24"/>
          <w:szCs w:val="20"/>
          <w:highlight w:val="none"/>
          <w:u w:val="none"/>
          <w:lang w:val="en-US" w:eastAsia="zh-CN"/>
        </w:rPr>
        <w:t>施工期</w:t>
      </w:r>
      <w:r>
        <w:rPr>
          <w:rFonts w:hint="eastAsia" w:ascii="Times New Roman" w:hAnsi="Times New Roman" w:eastAsia="宋体" w:cs="宋体"/>
          <w:snapToGrid w:val="0"/>
          <w:color w:val="auto"/>
          <w:kern w:val="0"/>
          <w:sz w:val="24"/>
          <w:szCs w:val="20"/>
          <w:highlight w:val="none"/>
          <w:u w:val="none"/>
          <w:lang w:val="en-US" w:eastAsia="zh-CN"/>
        </w:rPr>
        <w:t>地下水影响分析</w:t>
      </w:r>
    </w:p>
    <w:p w14:paraId="3F546EE8">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宋体"/>
          <w:snapToGrid w:val="0"/>
          <w:color w:val="auto"/>
          <w:kern w:val="0"/>
          <w:sz w:val="24"/>
          <w:szCs w:val="20"/>
          <w:highlight w:val="none"/>
          <w:u w:val="none"/>
          <w:lang w:val="en-US" w:eastAsia="zh-CN"/>
        </w:rPr>
      </w:pPr>
      <w:r>
        <w:rPr>
          <w:rFonts w:hint="eastAsia" w:cs="宋体"/>
          <w:snapToGrid w:val="0"/>
          <w:color w:val="auto"/>
          <w:kern w:val="0"/>
          <w:sz w:val="24"/>
          <w:szCs w:val="20"/>
          <w:highlight w:val="none"/>
          <w:u w:val="none"/>
          <w:lang w:val="en-US" w:eastAsia="zh-CN"/>
        </w:rPr>
        <w:t>1）施工期水污染物</w:t>
      </w:r>
    </w:p>
    <w:p w14:paraId="08C8BF7C">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snapToGrid w:val="0"/>
          <w:color w:val="auto"/>
          <w:kern w:val="0"/>
          <w:sz w:val="24"/>
          <w:szCs w:val="20"/>
          <w:highlight w:val="none"/>
          <w:u w:val="none"/>
          <w:lang w:val="en-US" w:eastAsia="zh-CN"/>
        </w:rPr>
        <w:t>本工程施工期钻井废水与钻井泥浆、岩屑一同进入不落地系统进行分离处理，分离后的液相回用于钻井液配制，不外排</w:t>
      </w:r>
      <w:r>
        <w:rPr>
          <w:rFonts w:hint="eastAsia" w:cs="宋体"/>
          <w:snapToGrid w:val="0"/>
          <w:color w:val="auto"/>
          <w:kern w:val="0"/>
          <w:sz w:val="24"/>
          <w:szCs w:val="20"/>
          <w:highlight w:val="none"/>
          <w:u w:val="none"/>
          <w:lang w:val="en-US" w:eastAsia="zh-CN"/>
        </w:rPr>
        <w:t>，</w:t>
      </w:r>
      <w:r>
        <w:rPr>
          <w:rFonts w:hint="eastAsia" w:ascii="Times New Roman" w:hAnsi="Times New Roman" w:eastAsia="宋体" w:cs="宋体"/>
          <w:snapToGrid w:val="0"/>
          <w:color w:val="auto"/>
          <w:kern w:val="0"/>
          <w:sz w:val="24"/>
          <w:szCs w:val="20"/>
          <w:highlight w:val="none"/>
          <w:u w:val="none"/>
          <w:lang w:val="en-US" w:eastAsia="zh-CN"/>
        </w:rPr>
        <w:t>工程结束由钻井队回收</w:t>
      </w:r>
      <w:r>
        <w:rPr>
          <w:rFonts w:hint="eastAsia" w:cs="宋体"/>
          <w:snapToGrid w:val="0"/>
          <w:color w:val="auto"/>
          <w:kern w:val="0"/>
          <w:sz w:val="24"/>
          <w:szCs w:val="20"/>
          <w:highlight w:val="none"/>
          <w:u w:val="none"/>
          <w:lang w:val="en-US" w:eastAsia="zh-CN"/>
        </w:rPr>
        <w:t>；施工人员</w:t>
      </w:r>
      <w:r>
        <w:rPr>
          <w:rFonts w:hint="eastAsia" w:ascii="Times New Roman" w:hAnsi="Times New Roman" w:eastAsia="宋体" w:cs="宋体"/>
          <w:snapToGrid w:val="0"/>
          <w:color w:val="auto"/>
          <w:kern w:val="0"/>
          <w:sz w:val="24"/>
          <w:szCs w:val="20"/>
          <w:highlight w:val="none"/>
          <w:u w:val="none"/>
          <w:lang w:val="en-US" w:eastAsia="zh-CN"/>
        </w:rPr>
        <w:t>生活污水排入生活营地内防渗收集池，定期清运至乌尔禾区生活污水处理厂处理。粪便排入环保厕所内</w:t>
      </w:r>
      <w:r>
        <w:rPr>
          <w:rFonts w:hint="eastAsia" w:ascii="Times New Roman" w:hAnsi="Times New Roman" w:cs="宋体"/>
          <w:snapToGrid w:val="0"/>
          <w:color w:val="auto"/>
          <w:kern w:val="0"/>
          <w:sz w:val="24"/>
          <w:szCs w:val="20"/>
          <w:highlight w:val="none"/>
          <w:u w:val="none"/>
          <w:lang w:val="en-US" w:eastAsia="zh-CN"/>
        </w:rPr>
        <w:t>；</w:t>
      </w:r>
      <w:r>
        <w:rPr>
          <w:rFonts w:hint="eastAsia" w:ascii="Times New Roman" w:hAnsi="Times New Roman" w:eastAsia="宋体" w:cs="宋体"/>
          <w:snapToGrid w:val="0"/>
          <w:color w:val="auto"/>
          <w:kern w:val="0"/>
          <w:sz w:val="24"/>
          <w:szCs w:val="20"/>
          <w:highlight w:val="none"/>
          <w:u w:val="none"/>
          <w:lang w:val="en-US" w:eastAsia="zh-CN"/>
        </w:rPr>
        <w:t>新建管道试压采用洁净水，管道试压废水中主要污染物为SS，试压废水可用作场地降尘用水或区域绿化用水。故施工期对地下水环境的影响很小。在严格执行环境保护措施的前提下，项目施工期废水不会对周围水环境产生明显影响。</w:t>
      </w:r>
    </w:p>
    <w:p w14:paraId="2A82BB40">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cs="宋体"/>
          <w:color w:val="auto"/>
          <w:kern w:val="0"/>
          <w:sz w:val="24"/>
          <w:szCs w:val="20"/>
          <w:highlight w:val="none"/>
          <w:u w:val="none"/>
          <w:lang w:val="en-US" w:eastAsia="zh-CN"/>
        </w:rPr>
        <w:t>2）</w:t>
      </w:r>
      <w:r>
        <w:rPr>
          <w:rFonts w:hint="eastAsia" w:ascii="Times New Roman" w:hAnsi="Times New Roman" w:eastAsia="宋体" w:cs="宋体"/>
          <w:color w:val="auto"/>
          <w:kern w:val="0"/>
          <w:sz w:val="24"/>
          <w:szCs w:val="20"/>
          <w:highlight w:val="none"/>
          <w:u w:val="none"/>
        </w:rPr>
        <w:t>钻井工程对地下水环境影响分析</w:t>
      </w:r>
    </w:p>
    <w:p w14:paraId="2CFBD8C4">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cs="Times New Roman"/>
          <w:color w:val="auto"/>
          <w:kern w:val="2"/>
          <w:sz w:val="24"/>
          <w:szCs w:val="24"/>
          <w:highlight w:val="none"/>
          <w:u w:val="none"/>
          <w:lang w:val="en-US" w:eastAsia="zh-CN" w:bidi="ar-SA"/>
        </w:rPr>
      </w:pPr>
      <w:r>
        <w:rPr>
          <w:rFonts w:hint="eastAsia" w:ascii="Times New Roman" w:hAnsi="Times New Roman" w:eastAsia="宋体" w:cs="宋体"/>
          <w:color w:val="auto"/>
          <w:kern w:val="0"/>
          <w:sz w:val="24"/>
          <w:szCs w:val="20"/>
          <w:highlight w:val="none"/>
          <w:u w:val="none"/>
        </w:rPr>
        <w:t>项目钻井过程中采用套管与土壤隔离，并在套管与地层之间注入水泥进行固井，水泥浆返至地面，封隔疏松地层和水层；</w:t>
      </w:r>
      <w:r>
        <w:rPr>
          <w:rFonts w:hint="eastAsia" w:cs="Times New Roman"/>
          <w:color w:val="auto"/>
          <w:kern w:val="2"/>
          <w:sz w:val="24"/>
          <w:szCs w:val="24"/>
          <w:highlight w:val="none"/>
          <w:u w:val="none"/>
          <w:lang w:val="en-US" w:eastAsia="zh-CN" w:bidi="ar-SA"/>
        </w:rPr>
        <w:t>项目区域埋藏有两种类型的地下水，即第四系松散岩类孔隙水和第三系碎屑岩类孔隙-裂隙水。第四系松散沉积物厚度数十米至上百米不等，含水层为一套冲积-湖积的双层结构，上部为潜水，下部为承压水，含水层岩性以粗砂为主，承压水含水层顶板埋深多大于60m。潜水位埋深为10m-15m。第三系碎屑岩类孔隙-裂隙水顶板埋深50-100m。</w:t>
      </w:r>
    </w:p>
    <w:p w14:paraId="6F2A845D">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color w:val="auto"/>
          <w:kern w:val="0"/>
          <w:sz w:val="24"/>
          <w:szCs w:val="20"/>
          <w:highlight w:val="none"/>
          <w:u w:val="none"/>
        </w:rPr>
        <w:t>本项目表层套管的下入深度为</w:t>
      </w:r>
      <w:r>
        <w:rPr>
          <w:rFonts w:hint="eastAsia" w:cs="宋体"/>
          <w:color w:val="auto"/>
          <w:kern w:val="0"/>
          <w:sz w:val="24"/>
          <w:szCs w:val="20"/>
          <w:highlight w:val="none"/>
          <w:u w:val="none"/>
          <w:lang w:val="en-US" w:eastAsia="zh-CN"/>
        </w:rPr>
        <w:t>5</w:t>
      </w:r>
      <w:r>
        <w:rPr>
          <w:rFonts w:hint="eastAsia" w:ascii="Times New Roman" w:hAnsi="Times New Roman" w:eastAsia="宋体" w:cs="宋体"/>
          <w:color w:val="auto"/>
          <w:kern w:val="0"/>
          <w:sz w:val="24"/>
          <w:szCs w:val="20"/>
          <w:highlight w:val="none"/>
          <w:u w:val="none"/>
        </w:rPr>
        <w:t>00m，采用水泥浆进行固井，水泥浆返至地面，可满足本项目的地下水保护需要，可有效的保护地下水环境不受污染。由于本项目开采目的层与地下水处于不同层系，远远超出本区域地下水含水层深度，在施工过程中采用下套管注水泥固井、完井方式进行水泥固井，对含水层进行了固封处理，有效保护地下水层。项目在钻井过程中产生的废水不与当地水体发生水力联系，同时对产生的废水排放进行严格管理，因此基本不会对所在区域地下水产生影响。</w:t>
      </w:r>
    </w:p>
    <w:p w14:paraId="0BBED704">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color w:val="auto"/>
          <w:kern w:val="0"/>
          <w:sz w:val="24"/>
          <w:szCs w:val="20"/>
          <w:highlight w:val="none"/>
          <w:u w:val="none"/>
        </w:rPr>
        <w:t>施工期间钻井井场内的柴油机、发电机房、材料堆场、柴油罐、废油桶、岩屑收集罐存放处均铺设HDPE防渗膜，可对土壤及包气带起到良好的防护。此外，施工过程中产生的废水和固体废物均得到妥善处理，且项目区气候干旱少雨，不存在大量降水的淋滤作用。</w:t>
      </w:r>
    </w:p>
    <w:p w14:paraId="69318376">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cs="宋体"/>
          <w:color w:val="auto"/>
          <w:kern w:val="0"/>
          <w:sz w:val="24"/>
          <w:szCs w:val="20"/>
          <w:highlight w:val="none"/>
          <w:u w:val="none"/>
          <w:lang w:val="en-US" w:eastAsia="zh-CN"/>
        </w:rPr>
        <w:t>3）</w:t>
      </w:r>
      <w:r>
        <w:rPr>
          <w:rFonts w:hint="eastAsia" w:ascii="Times New Roman" w:hAnsi="Times New Roman" w:eastAsia="宋体" w:cs="宋体"/>
          <w:color w:val="auto"/>
          <w:kern w:val="0"/>
          <w:sz w:val="24"/>
          <w:szCs w:val="20"/>
          <w:highlight w:val="none"/>
          <w:u w:val="none"/>
        </w:rPr>
        <w:t>管线施工对地下水环境影响分析</w:t>
      </w:r>
    </w:p>
    <w:p w14:paraId="436B4F68">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color w:val="auto"/>
          <w:kern w:val="0"/>
          <w:sz w:val="24"/>
          <w:szCs w:val="20"/>
          <w:highlight w:val="none"/>
          <w:u w:val="none"/>
        </w:rPr>
        <w:t>本项目管道敷设埋深为-1.</w:t>
      </w:r>
      <w:r>
        <w:rPr>
          <w:rFonts w:hint="eastAsia" w:cs="宋体"/>
          <w:color w:val="auto"/>
          <w:kern w:val="0"/>
          <w:sz w:val="24"/>
          <w:szCs w:val="20"/>
          <w:highlight w:val="none"/>
          <w:u w:val="none"/>
          <w:lang w:val="en-US" w:eastAsia="zh-CN"/>
        </w:rPr>
        <w:t>8</w:t>
      </w:r>
      <w:r>
        <w:rPr>
          <w:rFonts w:hint="eastAsia" w:ascii="Times New Roman" w:hAnsi="Times New Roman" w:eastAsia="宋体" w:cs="宋体"/>
          <w:color w:val="auto"/>
          <w:kern w:val="0"/>
          <w:sz w:val="24"/>
          <w:szCs w:val="20"/>
          <w:highlight w:val="none"/>
          <w:u w:val="none"/>
        </w:rPr>
        <w:t>m，在施工过程中的辅料、废料等在降水的淋滤作用下产生的浸出液进入地下含水层，将对地下水造成不同程度的影响，其影响程度决定于下渗量及其饱和地带的厚度、岩性和对污染物的阻滞、吸附分解等自然净化能力。由于本区域降水少，且管道沿线表层土壤有一定的自然净化能力，管线施工对地下水的影响很小。因此，正常的管线埋设不会对地下水造成不利影响。</w:t>
      </w:r>
    </w:p>
    <w:p w14:paraId="5BF087F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2</w:t>
      </w:r>
      <w:r>
        <w:rPr>
          <w:rFonts w:hint="eastAsia" w:ascii="宋体" w:hAnsi="宋体" w:eastAsia="宋体" w:cs="宋体"/>
          <w:color w:val="auto"/>
          <w:u w:val="none"/>
          <w:lang w:val="en-US" w:eastAsia="zh-CN"/>
        </w:rPr>
        <w:t>.2.2 运营期对水环境影响分析</w:t>
      </w:r>
    </w:p>
    <w:p w14:paraId="3463CAE6">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cs="宋体"/>
          <w:color w:val="auto"/>
          <w:kern w:val="0"/>
          <w:sz w:val="24"/>
          <w:szCs w:val="20"/>
          <w:highlight w:val="none"/>
          <w:u w:val="none"/>
          <w:lang w:val="en-US" w:eastAsia="zh-CN"/>
        </w:rPr>
        <w:t>1）</w:t>
      </w:r>
      <w:r>
        <w:rPr>
          <w:rFonts w:hint="eastAsia" w:ascii="Times New Roman" w:hAnsi="Times New Roman" w:eastAsia="宋体" w:cs="宋体"/>
          <w:color w:val="auto"/>
          <w:kern w:val="0"/>
          <w:sz w:val="24"/>
          <w:szCs w:val="20"/>
          <w:highlight w:val="none"/>
          <w:u w:val="none"/>
        </w:rPr>
        <w:t>正常工况对地下水环境影响分析</w:t>
      </w:r>
    </w:p>
    <w:p w14:paraId="2A128C4B">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color w:val="auto"/>
          <w:kern w:val="0"/>
          <w:sz w:val="24"/>
          <w:szCs w:val="20"/>
          <w:highlight w:val="none"/>
          <w:u w:val="none"/>
        </w:rPr>
        <w:t>井下作业带罐作业，井下作业废水和井下作业废液集中收集至专用收集罐中，最终由罐车拉运至石西集中处理站采出水处理系统处理，处理达标后回注油藏，不外排。</w:t>
      </w:r>
    </w:p>
    <w:p w14:paraId="72F4D7ED">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color w:val="auto"/>
          <w:kern w:val="0"/>
          <w:sz w:val="24"/>
          <w:szCs w:val="20"/>
          <w:highlight w:val="none"/>
          <w:u w:val="none"/>
        </w:rPr>
        <w:t>井下作业废水和井下作业废液处理达标后回注层位为开采油</w:t>
      </w:r>
      <w:r>
        <w:rPr>
          <w:rFonts w:hint="eastAsia" w:cs="宋体"/>
          <w:color w:val="auto"/>
          <w:kern w:val="0"/>
          <w:sz w:val="24"/>
          <w:szCs w:val="20"/>
          <w:highlight w:val="none"/>
          <w:u w:val="none"/>
          <w:lang w:val="en-US" w:eastAsia="zh-CN"/>
        </w:rPr>
        <w:t>气</w:t>
      </w:r>
      <w:r>
        <w:rPr>
          <w:rFonts w:hint="eastAsia" w:ascii="Times New Roman" w:hAnsi="Times New Roman" w:eastAsia="宋体" w:cs="宋体"/>
          <w:color w:val="auto"/>
          <w:kern w:val="0"/>
          <w:sz w:val="24"/>
          <w:szCs w:val="20"/>
          <w:highlight w:val="none"/>
          <w:u w:val="none"/>
        </w:rPr>
        <w:t>层，回注层位与地下水处于不同层系，远远超出区域地下水含水层的深度，且回注井在钻井过程中对潜水所在的地层进行了水泥浆固井，在固井质量良好的情况下可以确保井壁不会发生侧漏，且固井深度远远超过了含水层埋深，有效隔离含水层与井内回注水的交换，有效保护地下水层。因此，正常工况下，运营期废水不会对地下水产生不利影响。</w:t>
      </w:r>
    </w:p>
    <w:p w14:paraId="5CCE0832">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cs="宋体"/>
          <w:color w:val="auto"/>
          <w:kern w:val="0"/>
          <w:sz w:val="24"/>
          <w:szCs w:val="20"/>
          <w:highlight w:val="none"/>
          <w:u w:val="none"/>
          <w:lang w:val="en-US" w:eastAsia="zh-CN"/>
        </w:rPr>
        <w:t>2）</w:t>
      </w:r>
      <w:r>
        <w:rPr>
          <w:rFonts w:hint="eastAsia" w:ascii="Times New Roman" w:hAnsi="Times New Roman" w:eastAsia="宋体" w:cs="宋体"/>
          <w:color w:val="auto"/>
          <w:kern w:val="0"/>
          <w:sz w:val="24"/>
          <w:szCs w:val="20"/>
          <w:highlight w:val="none"/>
          <w:u w:val="none"/>
        </w:rPr>
        <w:t>事故状态下对地下水环境影响预测与评价</w:t>
      </w:r>
    </w:p>
    <w:p w14:paraId="33004612">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color w:val="auto"/>
          <w:kern w:val="0"/>
          <w:sz w:val="24"/>
          <w:szCs w:val="20"/>
          <w:highlight w:val="none"/>
          <w:u w:val="none"/>
        </w:rPr>
        <w:t>本项目地下水环境影响评价等级为三级，根据《环境影响评价技术导则  地下水环境》（HJ610-2016）9.7.2章节可知，三级评价地下水环境影响预测方法可采用解析法或者类比分析法。</w:t>
      </w:r>
    </w:p>
    <w:p w14:paraId="6765D6FC">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color w:val="auto"/>
          <w:kern w:val="0"/>
          <w:sz w:val="24"/>
          <w:szCs w:val="20"/>
          <w:highlight w:val="none"/>
          <w:u w:val="none"/>
        </w:rPr>
        <w:t>非正常工况下，采气管线破损泄漏导致凝析油外泄以及井下作业时发生井漏事故时，均有可能导致石油类等污染物通过包气带土层渗漏进入地下含水层，对地下水造成污染影响。</w:t>
      </w:r>
    </w:p>
    <w:p w14:paraId="23EC4CF6">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color w:val="auto"/>
          <w:kern w:val="0"/>
          <w:sz w:val="24"/>
          <w:szCs w:val="20"/>
          <w:highlight w:val="none"/>
          <w:u w:val="none"/>
        </w:rPr>
        <w:t>本次评价采用类比分析法，来进行地下水环境影响预测与评价，具体如下：</w:t>
      </w:r>
    </w:p>
    <w:p w14:paraId="14FD8711">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eastAsia" w:ascii="Times New Roman" w:hAnsi="Times New Roman" w:eastAsia="宋体" w:cs="宋体"/>
          <w:color w:val="auto"/>
          <w:kern w:val="0"/>
          <w:sz w:val="24"/>
          <w:szCs w:val="20"/>
          <w:highlight w:val="none"/>
          <w:u w:val="none"/>
        </w:rPr>
      </w:pPr>
      <w:r>
        <w:rPr>
          <w:rFonts w:hint="eastAsia" w:ascii="Times New Roman" w:hAnsi="Times New Roman" w:eastAsia="宋体" w:cs="宋体"/>
          <w:color w:val="auto"/>
          <w:kern w:val="0"/>
          <w:sz w:val="24"/>
          <w:szCs w:val="20"/>
          <w:highlight w:val="none"/>
          <w:u w:val="none"/>
        </w:rPr>
        <w:t>类比</w:t>
      </w:r>
      <w:r>
        <w:rPr>
          <w:rFonts w:hint="eastAsia" w:cs="宋体"/>
          <w:color w:val="auto"/>
          <w:kern w:val="0"/>
          <w:sz w:val="24"/>
          <w:szCs w:val="20"/>
          <w:highlight w:val="none"/>
          <w:u w:val="none"/>
          <w:lang w:val="en-US" w:eastAsia="zh-CN"/>
        </w:rPr>
        <w:t>莫北116井区</w:t>
      </w:r>
      <w:r>
        <w:rPr>
          <w:rFonts w:hint="eastAsia" w:ascii="Times New Roman" w:hAnsi="Times New Roman" w:eastAsia="宋体" w:cs="宋体"/>
          <w:color w:val="auto"/>
          <w:kern w:val="0"/>
          <w:sz w:val="24"/>
          <w:szCs w:val="20"/>
          <w:highlight w:val="none"/>
          <w:u w:val="none"/>
        </w:rPr>
        <w:t>在产采气井的运行情况可知，在运营期环境管理措施落实到位的情况下，采气管线发生泄漏事故可通过管线压力变化及时发现，</w:t>
      </w:r>
      <w:r>
        <w:rPr>
          <w:rFonts w:hint="eastAsia" w:cs="宋体"/>
          <w:color w:val="auto"/>
          <w:kern w:val="0"/>
          <w:sz w:val="24"/>
          <w:szCs w:val="20"/>
          <w:highlight w:val="none"/>
          <w:u w:val="none"/>
          <w:lang w:eastAsia="zh-CN"/>
        </w:rPr>
        <w:t>截至目前</w:t>
      </w:r>
      <w:r>
        <w:rPr>
          <w:rFonts w:hint="eastAsia" w:ascii="Times New Roman" w:hAnsi="Times New Roman" w:eastAsia="宋体" w:cs="宋体"/>
          <w:color w:val="auto"/>
          <w:kern w:val="0"/>
          <w:sz w:val="24"/>
          <w:szCs w:val="20"/>
          <w:highlight w:val="none"/>
          <w:u w:val="none"/>
        </w:rPr>
        <w:t>尚未发生过因采气管线泄漏而导致污染地下水的事故的发生。土壤在消除土体裂隙和根孔影响的试验条件下，石油类下渗下移的深度不会超过30cm，项目区潜水位埋深为10m-15m，泄漏的凝析油进入地下水的可能性很小，通过定期对管线进行检查检修，可将事故发生的概率将至最低。加之风险应急体系完备，发生泄漏后做到及时发现、及时处理，彻底清除泄漏油品及被污染的土壤。因此，发生泄漏后采取相应的措施后不会对地下水环境产生大的影响。</w:t>
      </w:r>
    </w:p>
    <w:p w14:paraId="132F95F4">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2</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3 退役</w:t>
      </w:r>
      <w:r>
        <w:rPr>
          <w:rFonts w:hint="default" w:ascii="黑体" w:hAnsi="黑体" w:eastAsia="黑体" w:cs="黑体"/>
          <w:b/>
          <w:color w:val="auto"/>
          <w:kern w:val="0"/>
          <w:sz w:val="24"/>
          <w:szCs w:val="24"/>
          <w:highlight w:val="none"/>
          <w:u w:val="none"/>
          <w:lang w:val="en-US" w:eastAsia="zh-CN"/>
        </w:rPr>
        <w:t>期水环境影响分析</w:t>
      </w:r>
    </w:p>
    <w:p w14:paraId="4B1005BD">
      <w:pPr>
        <w:spacing w:line="360" w:lineRule="auto"/>
        <w:ind w:firstLine="540" w:firstLineChars="225"/>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当油</w:t>
      </w:r>
      <w:r>
        <w:rPr>
          <w:rFonts w:hint="eastAsia" w:cs="Times New Roman"/>
          <w:snapToGrid w:val="0"/>
          <w:color w:val="auto"/>
          <w:kern w:val="2"/>
          <w:sz w:val="24"/>
          <w:szCs w:val="20"/>
          <w:highlight w:val="none"/>
          <w:u w:val="none"/>
          <w:lang w:val="en-US" w:eastAsia="zh-CN" w:bidi="ar-SA"/>
        </w:rPr>
        <w:t>气</w:t>
      </w:r>
      <w:r>
        <w:rPr>
          <w:rFonts w:ascii="Times New Roman" w:hAnsi="Times New Roman" w:eastAsia="宋体" w:cs="Times New Roman"/>
          <w:snapToGrid w:val="0"/>
          <w:color w:val="auto"/>
          <w:kern w:val="2"/>
          <w:sz w:val="24"/>
          <w:szCs w:val="20"/>
          <w:highlight w:val="none"/>
          <w:u w:val="none"/>
          <w:lang w:val="en-US" w:eastAsia="zh-CN" w:bidi="ar-SA"/>
        </w:rPr>
        <w:t>井开发接近尾声时，各种机械设备将停止使用，进驻其中的油</w:t>
      </w:r>
      <w:r>
        <w:rPr>
          <w:rFonts w:hint="eastAsia" w:cs="Times New Roman"/>
          <w:snapToGrid w:val="0"/>
          <w:color w:val="auto"/>
          <w:kern w:val="2"/>
          <w:sz w:val="24"/>
          <w:szCs w:val="20"/>
          <w:highlight w:val="none"/>
          <w:u w:val="none"/>
          <w:lang w:val="en-US" w:eastAsia="zh-CN" w:bidi="ar-SA"/>
        </w:rPr>
        <w:t>气</w:t>
      </w:r>
      <w:r>
        <w:rPr>
          <w:rFonts w:ascii="Times New Roman" w:hAnsi="Times New Roman" w:eastAsia="宋体" w:cs="Times New Roman"/>
          <w:snapToGrid w:val="0"/>
          <w:color w:val="auto"/>
          <w:kern w:val="2"/>
          <w:sz w:val="24"/>
          <w:szCs w:val="20"/>
          <w:highlight w:val="none"/>
          <w:u w:val="none"/>
          <w:lang w:val="en-US" w:eastAsia="zh-CN" w:bidi="ar-SA"/>
        </w:rPr>
        <w:t>田开发工作人员将陆续撤离油田区域。油</w:t>
      </w:r>
      <w:r>
        <w:rPr>
          <w:rFonts w:hint="eastAsia" w:cs="Times New Roman"/>
          <w:snapToGrid w:val="0"/>
          <w:color w:val="auto"/>
          <w:kern w:val="2"/>
          <w:sz w:val="24"/>
          <w:szCs w:val="20"/>
          <w:highlight w:val="none"/>
          <w:u w:val="none"/>
          <w:lang w:val="en-US" w:eastAsia="zh-CN" w:bidi="ar-SA"/>
        </w:rPr>
        <w:t>气</w:t>
      </w:r>
      <w:r>
        <w:rPr>
          <w:rFonts w:ascii="Times New Roman" w:hAnsi="Times New Roman" w:eastAsia="宋体" w:cs="Times New Roman"/>
          <w:snapToGrid w:val="0"/>
          <w:color w:val="auto"/>
          <w:kern w:val="2"/>
          <w:sz w:val="24"/>
          <w:szCs w:val="20"/>
          <w:highlight w:val="none"/>
          <w:u w:val="none"/>
          <w:lang w:val="en-US" w:eastAsia="zh-CN" w:bidi="ar-SA"/>
        </w:rPr>
        <w:t>井停采后将进行一系列清理工作，包括地面设施拆除、封井、井场清理等。</w:t>
      </w:r>
    </w:p>
    <w:p w14:paraId="23C6D4CA">
      <w:pPr>
        <w:spacing w:line="360" w:lineRule="auto"/>
        <w:ind w:firstLine="540" w:firstLineChars="225"/>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在按照《废弃井封井回填技术指南</w:t>
      </w:r>
      <w:r>
        <w:rPr>
          <w:rFonts w:ascii="Times New Roman" w:hAnsi="Times New Roman" w:eastAsia="宋体" w:cs="Times New Roman"/>
          <w:snapToGrid w:val="0"/>
          <w:color w:val="auto"/>
          <w:kern w:val="2"/>
          <w:sz w:val="24"/>
          <w:szCs w:val="20"/>
          <w:highlight w:val="none"/>
          <w:u w:val="none"/>
          <w:lang w:val="en-US" w:eastAsia="zh-CN" w:bidi="ar-SA"/>
        </w:rPr>
        <w:t>(试行)》</w:t>
      </w:r>
      <w:r>
        <w:rPr>
          <w:rFonts w:hint="eastAsia" w:ascii="Times New Roman" w:hAnsi="Times New Roman" w:eastAsia="宋体" w:cs="Times New Roman"/>
          <w:snapToGrid w:val="0"/>
          <w:color w:val="auto"/>
          <w:kern w:val="2"/>
          <w:sz w:val="24"/>
          <w:szCs w:val="20"/>
          <w:highlight w:val="none"/>
          <w:u w:val="none"/>
          <w:lang w:val="en-US" w:eastAsia="zh-CN" w:bidi="ar-SA"/>
        </w:rPr>
        <w:t>《废弃井及长停井处置指南》等相关要求做好封井工作，防止串层，并按照相关部门要求做好场地清理，对</w:t>
      </w:r>
      <w:r>
        <w:rPr>
          <w:rFonts w:hint="eastAsia" w:cs="Times New Roman"/>
          <w:snapToGrid w:val="0"/>
          <w:color w:val="auto"/>
          <w:kern w:val="2"/>
          <w:sz w:val="24"/>
          <w:szCs w:val="20"/>
          <w:highlight w:val="none"/>
          <w:u w:val="none"/>
          <w:lang w:val="en-US" w:eastAsia="zh-CN" w:bidi="ar-SA"/>
        </w:rPr>
        <w:t>固体废物</w:t>
      </w:r>
      <w:r>
        <w:rPr>
          <w:rFonts w:hint="eastAsia" w:ascii="Times New Roman" w:hAnsi="Times New Roman" w:eastAsia="宋体" w:cs="Times New Roman"/>
          <w:snapToGrid w:val="0"/>
          <w:color w:val="auto"/>
          <w:kern w:val="2"/>
          <w:sz w:val="24"/>
          <w:szCs w:val="20"/>
          <w:highlight w:val="none"/>
          <w:u w:val="none"/>
          <w:lang w:val="en-US" w:eastAsia="zh-CN" w:bidi="ar-SA"/>
        </w:rPr>
        <w:t xml:space="preserve">进行妥善处置，对水环境的影响很小。 </w:t>
      </w:r>
    </w:p>
    <w:p w14:paraId="4E8FEEA2">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2</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4 </w:t>
      </w:r>
      <w:r>
        <w:rPr>
          <w:rFonts w:hint="default" w:ascii="黑体" w:hAnsi="黑体" w:eastAsia="黑体" w:cs="黑体"/>
          <w:b/>
          <w:color w:val="auto"/>
          <w:kern w:val="0"/>
          <w:sz w:val="24"/>
          <w:szCs w:val="24"/>
          <w:highlight w:val="none"/>
          <w:u w:val="none"/>
          <w:lang w:val="en-US" w:eastAsia="zh-CN"/>
        </w:rPr>
        <w:t>地下水环境评价结论</w:t>
      </w:r>
    </w:p>
    <w:p w14:paraId="2C04A4E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宋体"/>
          <w:snapToGrid w:val="0"/>
          <w:color w:val="auto"/>
          <w:kern w:val="0"/>
          <w:sz w:val="24"/>
          <w:szCs w:val="20"/>
          <w:highlight w:val="none"/>
          <w:u w:val="none"/>
          <w:lang w:val="en-US" w:eastAsia="zh-CN"/>
        </w:rPr>
      </w:pPr>
      <w:r>
        <w:rPr>
          <w:rFonts w:hint="eastAsia" w:ascii="Times New Roman" w:hAnsi="Times New Roman" w:eastAsia="宋体" w:cs="宋体"/>
          <w:snapToGrid w:val="0"/>
          <w:color w:val="auto"/>
          <w:kern w:val="0"/>
          <w:sz w:val="24"/>
          <w:szCs w:val="20"/>
          <w:highlight w:val="none"/>
          <w:u w:val="none"/>
          <w:lang w:val="en-US" w:eastAsia="zh-CN"/>
        </w:rPr>
        <w:t>本工程施工期钻井废水与钻井泥浆、岩屑一同进入不落地系统进行分离处理，分离后的液相回用于钻井液配制，不外排</w:t>
      </w:r>
      <w:r>
        <w:rPr>
          <w:rFonts w:hint="eastAsia" w:cs="宋体"/>
          <w:snapToGrid w:val="0"/>
          <w:color w:val="auto"/>
          <w:kern w:val="0"/>
          <w:sz w:val="24"/>
          <w:szCs w:val="20"/>
          <w:highlight w:val="none"/>
          <w:u w:val="none"/>
          <w:lang w:val="en-US" w:eastAsia="zh-CN"/>
        </w:rPr>
        <w:t>，</w:t>
      </w:r>
      <w:r>
        <w:rPr>
          <w:rFonts w:hint="eastAsia" w:ascii="Times New Roman" w:hAnsi="Times New Roman" w:eastAsia="宋体" w:cs="宋体"/>
          <w:snapToGrid w:val="0"/>
          <w:color w:val="auto"/>
          <w:kern w:val="0"/>
          <w:sz w:val="24"/>
          <w:szCs w:val="20"/>
          <w:highlight w:val="none"/>
          <w:u w:val="none"/>
          <w:lang w:val="en-US" w:eastAsia="zh-CN"/>
        </w:rPr>
        <w:t>工程结束由钻井队回收</w:t>
      </w:r>
      <w:r>
        <w:rPr>
          <w:rFonts w:hint="eastAsia" w:cs="宋体"/>
          <w:snapToGrid w:val="0"/>
          <w:color w:val="auto"/>
          <w:kern w:val="0"/>
          <w:sz w:val="24"/>
          <w:szCs w:val="20"/>
          <w:highlight w:val="none"/>
          <w:u w:val="none"/>
          <w:lang w:val="en-US" w:eastAsia="zh-CN"/>
        </w:rPr>
        <w:t>；施工人员</w:t>
      </w:r>
      <w:r>
        <w:rPr>
          <w:rFonts w:hint="eastAsia" w:ascii="Times New Roman" w:hAnsi="Times New Roman" w:eastAsia="宋体" w:cs="宋体"/>
          <w:snapToGrid w:val="0"/>
          <w:color w:val="auto"/>
          <w:kern w:val="0"/>
          <w:sz w:val="24"/>
          <w:szCs w:val="20"/>
          <w:highlight w:val="none"/>
          <w:u w:val="none"/>
          <w:lang w:val="en-US" w:eastAsia="zh-CN"/>
        </w:rPr>
        <w:t>生活污水排入生活营地内防渗收集池，定期清运至乌尔禾区生活污水处理厂处理。粪便排入环保厕所内</w:t>
      </w:r>
      <w:r>
        <w:rPr>
          <w:rFonts w:hint="eastAsia" w:ascii="Times New Roman" w:hAnsi="Times New Roman" w:cs="宋体"/>
          <w:snapToGrid w:val="0"/>
          <w:color w:val="auto"/>
          <w:kern w:val="0"/>
          <w:sz w:val="24"/>
          <w:szCs w:val="20"/>
          <w:highlight w:val="none"/>
          <w:u w:val="none"/>
          <w:lang w:val="en-US" w:eastAsia="zh-CN"/>
        </w:rPr>
        <w:t>；</w:t>
      </w:r>
      <w:r>
        <w:rPr>
          <w:rFonts w:hint="eastAsia" w:ascii="Times New Roman" w:hAnsi="Times New Roman" w:eastAsia="宋体" w:cs="宋体"/>
          <w:snapToGrid w:val="0"/>
          <w:color w:val="auto"/>
          <w:kern w:val="0"/>
          <w:sz w:val="24"/>
          <w:szCs w:val="20"/>
          <w:highlight w:val="none"/>
          <w:u w:val="none"/>
          <w:lang w:val="en-US" w:eastAsia="zh-CN"/>
        </w:rPr>
        <w:t>新建管道试压采用洁净水，管道试压废水中主要污染物为SS，试压废水可用作场地降尘用水</w:t>
      </w:r>
      <w:r>
        <w:rPr>
          <w:rFonts w:hint="eastAsia" w:cs="宋体"/>
          <w:snapToGrid w:val="0"/>
          <w:color w:val="auto"/>
          <w:kern w:val="0"/>
          <w:sz w:val="24"/>
          <w:szCs w:val="20"/>
          <w:highlight w:val="none"/>
          <w:u w:val="none"/>
          <w:lang w:val="en-US" w:eastAsia="zh-CN"/>
        </w:rPr>
        <w:t>或区域绿化用水</w:t>
      </w:r>
      <w:r>
        <w:rPr>
          <w:rFonts w:hint="eastAsia" w:ascii="Times New Roman" w:hAnsi="Times New Roman" w:eastAsia="宋体" w:cs="宋体"/>
          <w:snapToGrid w:val="0"/>
          <w:color w:val="auto"/>
          <w:kern w:val="0"/>
          <w:sz w:val="24"/>
          <w:szCs w:val="20"/>
          <w:highlight w:val="none"/>
          <w:u w:val="none"/>
          <w:lang w:val="en-US" w:eastAsia="zh-CN"/>
        </w:rPr>
        <w:t>。施工期对地下水环境的影响很小。在严格执行环境保护措施的前提下，项目施工期废水不会对周围水环境产生明显影响。</w:t>
      </w:r>
    </w:p>
    <w:p w14:paraId="504039F3">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rFonts w:hint="eastAsia" w:ascii="宋体" w:hAnsi="宋体" w:eastAsia="宋体" w:cs="宋体"/>
          <w:color w:val="auto"/>
          <w:spacing w:val="-6"/>
          <w:sz w:val="24"/>
          <w:szCs w:val="24"/>
          <w:u w:val="none"/>
        </w:rPr>
      </w:pPr>
      <w:r>
        <w:rPr>
          <w:rFonts w:hint="eastAsia" w:ascii="宋体" w:hAnsi="宋体" w:cs="宋体"/>
          <w:color w:val="auto"/>
          <w:spacing w:val="-6"/>
          <w:sz w:val="24"/>
          <w:szCs w:val="24"/>
          <w:u w:val="none"/>
          <w:lang w:val="en-US" w:eastAsia="zh-CN"/>
        </w:rPr>
        <w:t>运营期</w:t>
      </w:r>
      <w:r>
        <w:rPr>
          <w:rFonts w:hint="eastAsia" w:ascii="宋体" w:hAnsi="宋体" w:eastAsia="宋体" w:cs="宋体"/>
          <w:color w:val="auto"/>
          <w:spacing w:val="-6"/>
          <w:sz w:val="24"/>
          <w:szCs w:val="24"/>
          <w:u w:val="none"/>
        </w:rPr>
        <w:t>正常状况下，污染源从源头上可以得到控制；非正常状况下，通过定期对管线进行检查检修，可将事故发生的概率</w:t>
      </w:r>
      <w:r>
        <w:rPr>
          <w:rFonts w:hint="eastAsia" w:ascii="宋体" w:hAnsi="宋体" w:cs="宋体"/>
          <w:color w:val="auto"/>
          <w:spacing w:val="-6"/>
          <w:sz w:val="24"/>
          <w:szCs w:val="24"/>
          <w:u w:val="none"/>
          <w:lang w:eastAsia="zh-CN"/>
        </w:rPr>
        <w:t>降</w:t>
      </w:r>
      <w:r>
        <w:rPr>
          <w:rFonts w:hint="eastAsia" w:ascii="宋体" w:hAnsi="宋体" w:eastAsia="宋体" w:cs="宋体"/>
          <w:color w:val="auto"/>
          <w:spacing w:val="-6"/>
          <w:sz w:val="24"/>
          <w:szCs w:val="24"/>
          <w:u w:val="none"/>
        </w:rPr>
        <w:t>至最低。加之风险应急体系完备，发生泄漏后做到及时发现、及时处理，彻底清除泄漏油品及被污染的土壤。因此，发生泄漏后采取相应的措施后不会对地下水环境产生大的影响。</w:t>
      </w:r>
    </w:p>
    <w:bookmarkEnd w:id="421"/>
    <w:bookmarkEnd w:id="422"/>
    <w:bookmarkEnd w:id="423"/>
    <w:bookmarkEnd w:id="424"/>
    <w:p w14:paraId="73F0D336">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427" w:name="_Toc22802"/>
      <w:r>
        <w:rPr>
          <w:rFonts w:hint="default" w:ascii="黑体" w:hAnsi="黑体" w:eastAsia="黑体" w:cs="黑体"/>
          <w:color w:val="auto"/>
          <w:sz w:val="28"/>
          <w:szCs w:val="28"/>
          <w:u w:val="none"/>
          <w:lang w:val="en-US" w:eastAsia="zh-CN"/>
        </w:rPr>
        <w:t>5.</w:t>
      </w:r>
      <w:r>
        <w:rPr>
          <w:rFonts w:hint="eastAsia" w:ascii="黑体" w:hAnsi="黑体" w:eastAsia="黑体" w:cs="黑体"/>
          <w:color w:val="auto"/>
          <w:sz w:val="28"/>
          <w:szCs w:val="28"/>
          <w:u w:val="none"/>
          <w:lang w:val="en-US" w:eastAsia="zh-CN"/>
        </w:rPr>
        <w:t>3</w:t>
      </w:r>
      <w:r>
        <w:rPr>
          <w:rFonts w:hint="default" w:ascii="黑体" w:hAnsi="黑体" w:eastAsia="黑体" w:cs="黑体"/>
          <w:color w:val="auto"/>
          <w:sz w:val="28"/>
          <w:szCs w:val="28"/>
          <w:u w:val="none"/>
          <w:lang w:val="en-US" w:eastAsia="zh-CN"/>
        </w:rPr>
        <w:t xml:space="preserve"> </w:t>
      </w:r>
      <w:r>
        <w:rPr>
          <w:rFonts w:hint="eastAsia" w:ascii="黑体" w:hAnsi="黑体" w:eastAsia="黑体" w:cs="黑体"/>
          <w:color w:val="auto"/>
          <w:sz w:val="28"/>
          <w:szCs w:val="28"/>
          <w:u w:val="none"/>
          <w:lang w:val="en-US" w:eastAsia="zh-CN"/>
        </w:rPr>
        <w:t>地表水</w:t>
      </w:r>
      <w:r>
        <w:rPr>
          <w:rFonts w:hint="default" w:ascii="黑体" w:hAnsi="黑体" w:eastAsia="黑体" w:cs="黑体"/>
          <w:color w:val="auto"/>
          <w:sz w:val="28"/>
          <w:szCs w:val="28"/>
          <w:u w:val="none"/>
          <w:lang w:val="en-US" w:eastAsia="zh-CN"/>
        </w:rPr>
        <w:t>环境影响</w:t>
      </w:r>
      <w:r>
        <w:rPr>
          <w:rFonts w:hint="eastAsia" w:ascii="黑体" w:hAnsi="黑体" w:eastAsia="黑体" w:cs="黑体"/>
          <w:color w:val="auto"/>
          <w:sz w:val="28"/>
          <w:szCs w:val="28"/>
          <w:u w:val="none"/>
          <w:lang w:val="en-US" w:eastAsia="zh-CN"/>
        </w:rPr>
        <w:t>评价</w:t>
      </w:r>
      <w:bookmarkEnd w:id="427"/>
    </w:p>
    <w:p w14:paraId="6FCDE703">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ascii="Times New Roman" w:hAnsi="Times New Roman" w:eastAsia="宋体" w:cs="Times New Roman"/>
          <w:b/>
          <w:color w:val="auto"/>
          <w:kern w:val="44"/>
          <w:sz w:val="30"/>
          <w:szCs w:val="20"/>
          <w:highlight w:val="none"/>
          <w:u w:val="none"/>
          <w:lang w:val="en-US" w:eastAsia="zh-CN" w:bidi="ar-SA"/>
        </w:rPr>
      </w:pPr>
      <w:r>
        <w:rPr>
          <w:rFonts w:hint="eastAsia" w:ascii="Times New Roman" w:hAnsi="Times New Roman" w:cs="Times New Roman"/>
          <w:color w:val="auto"/>
          <w:kern w:val="0"/>
          <w:sz w:val="24"/>
          <w:szCs w:val="24"/>
          <w:highlight w:val="none"/>
          <w:u w:val="none"/>
          <w:lang w:val="en-US" w:eastAsia="zh-CN"/>
        </w:rPr>
        <w:t>项目区周边无天然地表水体，运营阶段正常情况无废水排放。</w:t>
      </w:r>
    </w:p>
    <w:p w14:paraId="342352FB">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eastAsia" w:ascii="黑体" w:hAnsi="黑体" w:eastAsia="黑体" w:cs="黑体"/>
          <w:color w:val="auto"/>
          <w:sz w:val="28"/>
          <w:szCs w:val="28"/>
          <w:u w:val="none"/>
          <w:lang w:val="en-US" w:eastAsia="zh-CN"/>
        </w:rPr>
      </w:pPr>
      <w:bookmarkStart w:id="428" w:name="_Toc30167"/>
      <w:r>
        <w:rPr>
          <w:rFonts w:hint="default" w:ascii="黑体" w:hAnsi="黑体" w:eastAsia="黑体" w:cs="黑体"/>
          <w:color w:val="auto"/>
          <w:sz w:val="28"/>
          <w:szCs w:val="28"/>
          <w:u w:val="none"/>
          <w:lang w:val="en-US" w:eastAsia="zh-CN"/>
        </w:rPr>
        <w:t>5.</w:t>
      </w:r>
      <w:r>
        <w:rPr>
          <w:rFonts w:hint="eastAsia" w:ascii="黑体" w:hAnsi="黑体" w:eastAsia="黑体" w:cs="黑体"/>
          <w:color w:val="auto"/>
          <w:sz w:val="28"/>
          <w:szCs w:val="28"/>
          <w:u w:val="none"/>
          <w:lang w:val="en-US" w:eastAsia="zh-CN"/>
        </w:rPr>
        <w:t xml:space="preserve">4 </w:t>
      </w:r>
      <w:r>
        <w:rPr>
          <w:rFonts w:hint="default" w:ascii="黑体" w:hAnsi="黑体" w:eastAsia="黑体" w:cs="黑体"/>
          <w:color w:val="auto"/>
          <w:sz w:val="28"/>
          <w:szCs w:val="28"/>
          <w:u w:val="none"/>
          <w:lang w:val="en-US" w:eastAsia="zh-CN"/>
        </w:rPr>
        <w:t>土壤环境影响</w:t>
      </w:r>
      <w:r>
        <w:rPr>
          <w:rFonts w:hint="eastAsia" w:ascii="黑体" w:hAnsi="黑体" w:eastAsia="黑体" w:cs="黑体"/>
          <w:color w:val="auto"/>
          <w:sz w:val="28"/>
          <w:szCs w:val="28"/>
          <w:u w:val="none"/>
          <w:lang w:val="en-US" w:eastAsia="zh-CN"/>
        </w:rPr>
        <w:t>评价</w:t>
      </w:r>
      <w:bookmarkEnd w:id="428"/>
    </w:p>
    <w:p w14:paraId="1C67833D">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施工期土壤环境影响分析</w:t>
      </w:r>
    </w:p>
    <w:p w14:paraId="58D32306">
      <w:pPr>
        <w:keepNext w:val="0"/>
        <w:keepLines w:val="0"/>
        <w:pageBreakBefore w:val="0"/>
        <w:widowControl/>
        <w:kinsoku/>
        <w:wordWrap/>
        <w:overflowPunct/>
        <w:topLinePunct w:val="0"/>
        <w:autoSpaceDE/>
        <w:autoSpaceDN/>
        <w:bidi w:val="0"/>
        <w:adjustRightInd/>
        <w:snapToGrid/>
        <w:spacing w:line="480" w:lineRule="exact"/>
        <w:ind w:firstLine="496"/>
        <w:jc w:val="left"/>
        <w:textAlignment w:val="auto"/>
        <w:rPr>
          <w:rFonts w:ascii="Times New Roman" w:hAnsi="Times New Roman" w:cs="Times New Roman"/>
          <w:color w:val="auto"/>
          <w:spacing w:val="4"/>
          <w:kern w:val="24"/>
          <w:sz w:val="24"/>
          <w:szCs w:val="22"/>
          <w:highlight w:val="none"/>
          <w:u w:val="none"/>
        </w:rPr>
      </w:pPr>
      <w:r>
        <w:rPr>
          <w:rFonts w:ascii="Times New Roman" w:hAnsi="Times New Roman" w:cs="Times New Roman"/>
          <w:color w:val="auto"/>
          <w:spacing w:val="4"/>
          <w:kern w:val="24"/>
          <w:sz w:val="24"/>
          <w:szCs w:val="22"/>
          <w:highlight w:val="none"/>
          <w:u w:val="none"/>
        </w:rPr>
        <w:t>施工期对土壤质量的影响主要为</w:t>
      </w:r>
      <w:r>
        <w:rPr>
          <w:rFonts w:hint="eastAsia" w:cs="Times New Roman"/>
          <w:color w:val="auto"/>
          <w:spacing w:val="4"/>
          <w:kern w:val="24"/>
          <w:sz w:val="24"/>
          <w:szCs w:val="22"/>
          <w:highlight w:val="none"/>
          <w:u w:val="none"/>
          <w:lang w:eastAsia="zh-CN"/>
        </w:rPr>
        <w:t>：</w:t>
      </w:r>
      <w:r>
        <w:rPr>
          <w:rFonts w:ascii="Times New Roman" w:hAnsi="Times New Roman" w:cs="Times New Roman"/>
          <w:color w:val="auto"/>
          <w:spacing w:val="4"/>
          <w:kern w:val="24"/>
          <w:sz w:val="24"/>
          <w:szCs w:val="22"/>
          <w:highlight w:val="none"/>
          <w:u w:val="none"/>
        </w:rPr>
        <w:t>人为扰动、车辆行驶和机械施工、各种废弃物污染影响。</w:t>
      </w:r>
    </w:p>
    <w:p w14:paraId="77174652">
      <w:pPr>
        <w:keepNext w:val="0"/>
        <w:keepLines w:val="0"/>
        <w:pageBreakBefore w:val="0"/>
        <w:widowControl/>
        <w:kinsoku/>
        <w:wordWrap/>
        <w:overflowPunct/>
        <w:topLinePunct w:val="0"/>
        <w:autoSpaceDE/>
        <w:autoSpaceDN/>
        <w:bidi w:val="0"/>
        <w:adjustRightInd/>
        <w:snapToGrid/>
        <w:spacing w:line="480" w:lineRule="exact"/>
        <w:ind w:firstLine="496"/>
        <w:jc w:val="left"/>
        <w:textAlignment w:val="auto"/>
        <w:rPr>
          <w:rFonts w:ascii="Times New Roman" w:hAnsi="Times New Roman" w:cs="Times New Roman"/>
          <w:color w:val="auto"/>
          <w:spacing w:val="4"/>
          <w:kern w:val="24"/>
          <w:sz w:val="24"/>
          <w:szCs w:val="22"/>
          <w:highlight w:val="none"/>
          <w:u w:val="none"/>
        </w:rPr>
      </w:pPr>
      <w:r>
        <w:rPr>
          <w:rFonts w:ascii="Times New Roman" w:hAnsi="Times New Roman" w:cs="Times New Roman"/>
          <w:color w:val="auto"/>
          <w:spacing w:val="4"/>
          <w:kern w:val="24"/>
          <w:sz w:val="24"/>
          <w:szCs w:val="22"/>
          <w:highlight w:val="none"/>
          <w:u w:val="none"/>
        </w:rPr>
        <w:t>（1）</w:t>
      </w:r>
      <w:r>
        <w:rPr>
          <w:rFonts w:hint="eastAsia" w:ascii="宋体" w:hAnsi="宋体" w:cs="宋体"/>
          <w:color w:val="auto"/>
          <w:kern w:val="0"/>
          <w:sz w:val="24"/>
          <w:szCs w:val="24"/>
          <w:highlight w:val="none"/>
          <w:u w:val="none"/>
        </w:rPr>
        <w:t>人为扰动对土壤的影响</w:t>
      </w:r>
    </w:p>
    <w:p w14:paraId="12B4512C">
      <w:pPr>
        <w:keepNext w:val="0"/>
        <w:keepLines w:val="0"/>
        <w:pageBreakBefore w:val="0"/>
        <w:widowControl/>
        <w:kinsoku/>
        <w:wordWrap/>
        <w:overflowPunct/>
        <w:topLinePunct w:val="0"/>
        <w:autoSpaceDE/>
        <w:autoSpaceDN/>
        <w:bidi w:val="0"/>
        <w:adjustRightInd/>
        <w:snapToGrid/>
        <w:spacing w:line="480" w:lineRule="exact"/>
        <w:ind w:firstLine="496"/>
        <w:jc w:val="left"/>
        <w:textAlignment w:val="auto"/>
        <w:rPr>
          <w:rFonts w:hint="eastAsia" w:ascii="Times New Roman" w:hAnsi="Times New Roman" w:cs="Times New Roman"/>
          <w:color w:val="auto"/>
          <w:spacing w:val="4"/>
          <w:kern w:val="24"/>
          <w:sz w:val="24"/>
          <w:szCs w:val="22"/>
          <w:highlight w:val="none"/>
          <w:u w:val="none"/>
          <w:lang w:eastAsia="zh-CN"/>
        </w:rPr>
      </w:pPr>
      <w:r>
        <w:rPr>
          <w:rFonts w:hint="eastAsia" w:ascii="Times New Roman" w:hAnsi="Times New Roman" w:cs="Times New Roman"/>
          <w:color w:val="auto"/>
          <w:spacing w:val="4"/>
          <w:kern w:val="24"/>
          <w:sz w:val="24"/>
          <w:szCs w:val="22"/>
          <w:highlight w:val="none"/>
          <w:u w:val="none"/>
          <w:lang w:eastAsia="zh-CN"/>
        </w:rPr>
        <w:t>油</w:t>
      </w:r>
      <w:r>
        <w:rPr>
          <w:rFonts w:hint="eastAsia" w:cs="Times New Roman"/>
          <w:color w:val="auto"/>
          <w:spacing w:val="4"/>
          <w:kern w:val="24"/>
          <w:sz w:val="24"/>
          <w:szCs w:val="22"/>
          <w:highlight w:val="none"/>
          <w:u w:val="none"/>
          <w:lang w:val="en-US" w:eastAsia="zh-CN"/>
        </w:rPr>
        <w:t>气</w:t>
      </w:r>
      <w:r>
        <w:rPr>
          <w:rFonts w:hint="eastAsia" w:ascii="Times New Roman" w:hAnsi="Times New Roman" w:cs="Times New Roman"/>
          <w:color w:val="auto"/>
          <w:spacing w:val="4"/>
          <w:kern w:val="24"/>
          <w:sz w:val="24"/>
          <w:szCs w:val="22"/>
          <w:highlight w:val="none"/>
          <w:u w:val="none"/>
          <w:lang w:eastAsia="zh-CN"/>
        </w:rPr>
        <w:t>田开发过程中，不可避免地要对土壤进行人为扰动，主要是井场建设、管道敷设建设过程中，车辆行驶、机械施工碾压和踩踏破坏土壤结构。</w:t>
      </w:r>
    </w:p>
    <w:p w14:paraId="422DFD92">
      <w:pPr>
        <w:keepNext w:val="0"/>
        <w:keepLines w:val="0"/>
        <w:pageBreakBefore w:val="0"/>
        <w:widowControl/>
        <w:kinsoku/>
        <w:wordWrap/>
        <w:overflowPunct/>
        <w:topLinePunct w:val="0"/>
        <w:autoSpaceDE/>
        <w:autoSpaceDN/>
        <w:bidi w:val="0"/>
        <w:adjustRightInd/>
        <w:snapToGrid/>
        <w:spacing w:line="480" w:lineRule="exact"/>
        <w:ind w:firstLine="496"/>
        <w:jc w:val="left"/>
        <w:textAlignment w:val="auto"/>
        <w:rPr>
          <w:rFonts w:ascii="Times New Roman" w:hAnsi="Times New Roman" w:cs="Times New Roman"/>
          <w:color w:val="auto"/>
          <w:spacing w:val="4"/>
          <w:kern w:val="24"/>
          <w:sz w:val="24"/>
          <w:szCs w:val="22"/>
          <w:highlight w:val="none"/>
          <w:u w:val="none"/>
        </w:rPr>
      </w:pPr>
      <w:r>
        <w:rPr>
          <w:rFonts w:hint="eastAsia" w:ascii="Times New Roman" w:hAnsi="Times New Roman" w:cs="Times New Roman"/>
          <w:color w:val="auto"/>
          <w:spacing w:val="4"/>
          <w:kern w:val="24"/>
          <w:sz w:val="24"/>
          <w:szCs w:val="22"/>
          <w:highlight w:val="none"/>
          <w:u w:val="none"/>
          <w:lang w:eastAsia="zh-CN"/>
        </w:rPr>
        <w:t>在施工中，车辆行驶和机械作业时机械设备的碾压、施工人员的踩踏等都会对土壤的紧实度产生影响。机械碾压的结果使土壤紧实度增高，地表水入渗减少，土壤团粒结构遭到破坏，土壤养分流失，不利于植物生长。各种车辆（尤其是重型卡车）在地表上行驶将使经过的土壤变紧实，严重的经过多次碾压后植物很难再生长，甚至退化。本工程评价区域内土壤类型主要是风沙土，植被覆盖度较低，油气开发工程占地开辟了土地利用的途径，井场和管道的施工场地、临时施工营地等产生的这种影响非常轻微。</w:t>
      </w:r>
    </w:p>
    <w:p w14:paraId="6699907A">
      <w:pPr>
        <w:keepNext w:val="0"/>
        <w:keepLines w:val="0"/>
        <w:pageBreakBefore w:val="0"/>
        <w:kinsoku/>
        <w:wordWrap/>
        <w:overflowPunct/>
        <w:topLinePunct w:val="0"/>
        <w:autoSpaceDE/>
        <w:autoSpaceDN/>
        <w:bidi w:val="0"/>
        <w:adjustRightInd/>
        <w:snapToGrid/>
        <w:spacing w:line="480" w:lineRule="exact"/>
        <w:ind w:firstLine="600" w:firstLineChars="25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（2）钻井作业对土壤环境的影响</w:t>
      </w:r>
    </w:p>
    <w:p w14:paraId="1B061D7E">
      <w:pPr>
        <w:keepNext w:val="0"/>
        <w:keepLines w:val="0"/>
        <w:pageBreakBefore w:val="0"/>
        <w:kinsoku/>
        <w:wordWrap/>
        <w:overflowPunct/>
        <w:topLinePunct w:val="0"/>
        <w:autoSpaceDE/>
        <w:autoSpaceDN/>
        <w:bidi w:val="0"/>
        <w:adjustRightInd/>
        <w:snapToGrid/>
        <w:spacing w:line="480" w:lineRule="exact"/>
        <w:ind w:firstLine="600" w:firstLineChars="25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本工程开发建设期施工占地，将对地表土壤产生破坏性影响，如钻井井场等占地，以及堆积、挖掘、辗压、践踏等均改变原有的土壤结构。油</w:t>
      </w:r>
      <w:r>
        <w:rPr>
          <w:rFonts w:hint="eastAsia" w:cs="Times New Roman"/>
          <w:color w:val="auto"/>
          <w:kern w:val="2"/>
          <w:sz w:val="24"/>
          <w:szCs w:val="24"/>
          <w:highlight w:val="none"/>
          <w:u w:val="none"/>
          <w:lang w:val="en-US" w:eastAsia="zh-CN" w:bidi="ar-SA"/>
        </w:rPr>
        <w:t>气</w:t>
      </w:r>
      <w:r>
        <w:rPr>
          <w:rFonts w:hint="eastAsia" w:ascii="Times New Roman" w:hAnsi="Times New Roman" w:eastAsia="宋体" w:cs="Times New Roman"/>
          <w:color w:val="auto"/>
          <w:kern w:val="2"/>
          <w:sz w:val="24"/>
          <w:szCs w:val="24"/>
          <w:highlight w:val="none"/>
          <w:u w:val="none"/>
          <w:lang w:val="en-US" w:eastAsia="zh-CN" w:bidi="ar-SA"/>
        </w:rPr>
        <w:t>田开发期间，占地都将改变原有土壤的理化性质和土壤结构，使原有土壤结构和性状难以恢复。但是施工期对土壤的影响程度轻，影响特征是部分可逆，影响时间为短期。</w:t>
      </w:r>
    </w:p>
    <w:p w14:paraId="05298986">
      <w:pPr>
        <w:keepNext w:val="0"/>
        <w:keepLines w:val="0"/>
        <w:pageBreakBefore w:val="0"/>
        <w:kinsoku/>
        <w:wordWrap/>
        <w:overflowPunct/>
        <w:topLinePunct w:val="0"/>
        <w:autoSpaceDE/>
        <w:autoSpaceDN/>
        <w:bidi w:val="0"/>
        <w:adjustRightInd/>
        <w:snapToGrid/>
        <w:spacing w:line="480" w:lineRule="exact"/>
        <w:ind w:firstLine="600" w:firstLineChars="25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①钻井作业对土壤环境的影响</w:t>
      </w:r>
    </w:p>
    <w:p w14:paraId="053177A7">
      <w:pPr>
        <w:keepNext w:val="0"/>
        <w:keepLines w:val="0"/>
        <w:pageBreakBefore w:val="0"/>
        <w:kinsoku/>
        <w:wordWrap/>
        <w:overflowPunct/>
        <w:topLinePunct w:val="0"/>
        <w:autoSpaceDE/>
        <w:autoSpaceDN/>
        <w:bidi w:val="0"/>
        <w:adjustRightInd/>
        <w:snapToGrid/>
        <w:spacing w:line="480" w:lineRule="exact"/>
        <w:ind w:firstLine="600" w:firstLineChars="25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本工程钻井作业均采用“泥浆不落地系统”对废弃泥浆和岩屑进行收集处置，对土壤的环境影响轻微。</w:t>
      </w:r>
    </w:p>
    <w:p w14:paraId="0D346EB0">
      <w:pPr>
        <w:keepNext w:val="0"/>
        <w:keepLines w:val="0"/>
        <w:pageBreakBefore w:val="0"/>
        <w:kinsoku/>
        <w:wordWrap/>
        <w:overflowPunct/>
        <w:topLinePunct w:val="0"/>
        <w:autoSpaceDE/>
        <w:autoSpaceDN/>
        <w:bidi w:val="0"/>
        <w:adjustRightInd/>
        <w:snapToGrid/>
        <w:spacing w:line="480" w:lineRule="exact"/>
        <w:ind w:firstLine="600" w:firstLineChars="25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②固体废物对土壤的影响</w:t>
      </w:r>
    </w:p>
    <w:p w14:paraId="59E549CC">
      <w:pPr>
        <w:keepNext w:val="0"/>
        <w:keepLines w:val="0"/>
        <w:pageBreakBefore w:val="0"/>
        <w:kinsoku/>
        <w:wordWrap/>
        <w:overflowPunct/>
        <w:topLinePunct w:val="0"/>
        <w:autoSpaceDE/>
        <w:autoSpaceDN/>
        <w:bidi w:val="0"/>
        <w:adjustRightInd/>
        <w:snapToGrid/>
        <w:spacing w:line="480" w:lineRule="exact"/>
        <w:ind w:firstLine="600" w:firstLineChars="25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本次钻井施工作业采用“钻井废弃物不落地达标处理技术”，钻井过程中的钻井液采用不落地技术处理，分离出的液相继续回用于钻井，无废水及废弃钻井液外排；</w:t>
      </w:r>
      <w:r>
        <w:rPr>
          <w:rFonts w:hint="eastAsia" w:cs="Times New Roman"/>
          <w:color w:val="auto"/>
          <w:kern w:val="2"/>
          <w:sz w:val="24"/>
          <w:szCs w:val="24"/>
          <w:highlight w:val="none"/>
          <w:u w:val="none"/>
          <w:lang w:val="en-US" w:eastAsia="zh-CN" w:bidi="ar-SA"/>
        </w:rPr>
        <w:t>水基</w:t>
      </w:r>
      <w:r>
        <w:rPr>
          <w:rFonts w:hint="eastAsia" w:ascii="Times New Roman" w:hAnsi="Times New Roman" w:eastAsia="宋体" w:cs="Times New Roman"/>
          <w:color w:val="auto"/>
          <w:kern w:val="2"/>
          <w:sz w:val="24"/>
          <w:szCs w:val="24"/>
          <w:highlight w:val="none"/>
          <w:u w:val="none"/>
          <w:lang w:val="en-US" w:eastAsia="zh-CN" w:bidi="ar-SA"/>
        </w:rPr>
        <w:t>岩屑采用不落地系统进行处理，处理后的岩屑满足《油气田钻井固体废物综合利用污染控制要求》（DB65/T3997-2017）</w:t>
      </w:r>
      <w:r>
        <w:rPr>
          <w:rFonts w:hint="eastAsia" w:cs="Times New Roman"/>
          <w:color w:val="auto"/>
          <w:kern w:val="2"/>
          <w:sz w:val="24"/>
          <w:szCs w:val="24"/>
          <w:highlight w:val="none"/>
          <w:u w:val="none"/>
          <w:lang w:val="en-US" w:eastAsia="zh-CN" w:bidi="ar-SA"/>
        </w:rPr>
        <w:t>中相关标准后综合利用</w:t>
      </w:r>
      <w:r>
        <w:rPr>
          <w:rFonts w:hint="eastAsia" w:ascii="Times New Roman" w:hAnsi="Times New Roman" w:eastAsia="宋体" w:cs="Times New Roman"/>
          <w:color w:val="auto"/>
          <w:kern w:val="2"/>
          <w:sz w:val="24"/>
          <w:szCs w:val="24"/>
          <w:highlight w:val="none"/>
          <w:u w:val="none"/>
          <w:lang w:val="en-US" w:eastAsia="zh-CN" w:bidi="ar-SA"/>
        </w:rPr>
        <w:t>。</w:t>
      </w:r>
      <w:r>
        <w:rPr>
          <w:rFonts w:hint="eastAsia" w:ascii="Times New Roman" w:hAnsi="Times New Roman" w:eastAsia="宋体" w:cs="Times New Roman"/>
          <w:bCs/>
          <w:color w:val="auto"/>
          <w:kern w:val="2"/>
          <w:sz w:val="24"/>
          <w:szCs w:val="22"/>
          <w:highlight w:val="none"/>
          <w:u w:val="none"/>
          <w:lang w:val="zh-CN" w:eastAsia="zh-CN" w:bidi="ar-SA"/>
        </w:rPr>
        <w:t>油基钻井液产生的岩屑为HW08含油危废（废物代码：072-001-08），在井场方罐暂存，定期委托具有相应危废处置资质的单位处置。</w:t>
      </w:r>
    </w:p>
    <w:p w14:paraId="1E4E7AB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（2）井场建设</w:t>
      </w:r>
    </w:p>
    <w:p w14:paraId="56A79F0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Calibri" w:hAnsi="Calibri"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本工程开发建设期施工占地，将对地表土壤产生破坏性影响，如井场占地，以及堆积、挖掘、碾压、践踏等均改变原有的土壤结构。油</w:t>
      </w:r>
      <w:r>
        <w:rPr>
          <w:rFonts w:hint="eastAsia" w:cs="Times New Roman"/>
          <w:color w:val="auto"/>
          <w:kern w:val="2"/>
          <w:sz w:val="24"/>
          <w:szCs w:val="24"/>
          <w:highlight w:val="none"/>
          <w:u w:val="none"/>
          <w:lang w:val="en-US" w:eastAsia="zh-CN" w:bidi="ar-SA"/>
        </w:rPr>
        <w:t>气</w:t>
      </w:r>
      <w:r>
        <w:rPr>
          <w:rFonts w:hint="eastAsia" w:ascii="Times New Roman" w:hAnsi="Times New Roman" w:eastAsia="宋体" w:cs="Times New Roman"/>
          <w:color w:val="auto"/>
          <w:kern w:val="2"/>
          <w:sz w:val="24"/>
          <w:szCs w:val="24"/>
          <w:highlight w:val="none"/>
          <w:u w:val="none"/>
          <w:lang w:val="en-US" w:eastAsia="zh-CN" w:bidi="ar-SA"/>
        </w:rPr>
        <w:t>田施工期间，占地都将改变原有土壤的理化性质和土壤结构，使原有土壤结构和性状难以恢复。但是施工期对土壤的影响程度轻，影响特征是部分可逆，影响时间为短期。</w:t>
      </w:r>
    </w:p>
    <w:p w14:paraId="20B1D771">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w:t>
      </w:r>
      <w:r>
        <w:rPr>
          <w:rFonts w:hint="eastAsia" w:cs="Times New Roman"/>
          <w:color w:val="auto"/>
          <w:kern w:val="2"/>
          <w:sz w:val="24"/>
          <w:szCs w:val="24"/>
          <w:highlight w:val="none"/>
          <w:u w:val="none"/>
          <w:lang w:val="en-US" w:eastAsia="zh-CN" w:bidi="ar-SA"/>
        </w:rPr>
        <w:t>3</w:t>
      </w:r>
      <w:r>
        <w:rPr>
          <w:rFonts w:hint="eastAsia" w:ascii="Times New Roman" w:hAnsi="Times New Roman" w:eastAsia="宋体" w:cs="Times New Roman"/>
          <w:color w:val="auto"/>
          <w:kern w:val="2"/>
          <w:sz w:val="24"/>
          <w:szCs w:val="24"/>
          <w:highlight w:val="none"/>
          <w:u w:val="none"/>
          <w:lang w:val="en-US" w:eastAsia="zh-CN" w:bidi="ar-SA"/>
        </w:rPr>
        <w:t>）管线施工对土壤环境的影响</w:t>
      </w:r>
    </w:p>
    <w:p w14:paraId="76F5F337">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本工程管线施工作业带宽</w:t>
      </w:r>
      <w:r>
        <w:rPr>
          <w:rFonts w:hint="eastAsia" w:cs="Times New Roman"/>
          <w:color w:val="auto"/>
          <w:kern w:val="2"/>
          <w:sz w:val="24"/>
          <w:szCs w:val="24"/>
          <w:highlight w:val="none"/>
          <w:u w:val="none"/>
          <w:lang w:val="en-US" w:eastAsia="zh-CN" w:bidi="ar-SA"/>
        </w:rPr>
        <w:t>12</w:t>
      </w:r>
      <w:r>
        <w:rPr>
          <w:rFonts w:hint="eastAsia" w:ascii="Times New Roman" w:hAnsi="Times New Roman" w:eastAsia="宋体" w:cs="Times New Roman"/>
          <w:color w:val="auto"/>
          <w:kern w:val="2"/>
          <w:sz w:val="24"/>
          <w:szCs w:val="24"/>
          <w:highlight w:val="none"/>
          <w:u w:val="none"/>
          <w:lang w:val="en-US" w:eastAsia="zh-CN" w:bidi="ar-SA"/>
        </w:rPr>
        <w:t>m内的土壤均会受到严重扰动和破坏。在施工作业带以外的直接影响区域表现为施工活动中施工机械、车辆碾压、施工人员践踏等对土壤的扰动，改变土壤的紧密度和坚实度，可能造成土壤板结。由于植被被毁，土壤表面压实，土壤板结，通透性差，使土壤水量降低，同时加剧了土壤的蒸发作用，导致盐碱化加重。</w:t>
      </w:r>
    </w:p>
    <w:p w14:paraId="738D5567">
      <w:pPr>
        <w:keepNext w:val="0"/>
        <w:keepLines w:val="0"/>
        <w:pageBreakBefore w:val="0"/>
        <w:widowControl/>
        <w:kinsoku/>
        <w:wordWrap/>
        <w:overflowPunct/>
        <w:topLinePunct w:val="0"/>
        <w:autoSpaceDE/>
        <w:autoSpaceDN/>
        <w:bidi w:val="0"/>
        <w:adjustRightInd/>
        <w:snapToGrid/>
        <w:spacing w:line="480" w:lineRule="exact"/>
        <w:ind w:firstLine="496"/>
        <w:jc w:val="left"/>
        <w:textAlignment w:val="auto"/>
        <w:rPr>
          <w:rFonts w:ascii="Times New Roman" w:hAnsi="Times New Roman" w:cs="Times New Roman"/>
          <w:color w:val="auto"/>
          <w:spacing w:val="4"/>
          <w:kern w:val="24"/>
          <w:sz w:val="24"/>
          <w:szCs w:val="22"/>
          <w:highlight w:val="none"/>
          <w:u w:val="none"/>
        </w:rPr>
      </w:pPr>
      <w:r>
        <w:rPr>
          <w:rFonts w:hint="eastAsia" w:ascii="Times New Roman" w:hAnsi="Times New Roman" w:cs="Times New Roman"/>
          <w:color w:val="auto"/>
          <w:spacing w:val="4"/>
          <w:kern w:val="24"/>
          <w:sz w:val="24"/>
          <w:szCs w:val="22"/>
          <w:highlight w:val="none"/>
          <w:u w:val="none"/>
        </w:rPr>
        <w:t>（</w:t>
      </w:r>
      <w:r>
        <w:rPr>
          <w:rFonts w:hint="eastAsia" w:cs="Times New Roman"/>
          <w:color w:val="auto"/>
          <w:spacing w:val="4"/>
          <w:kern w:val="24"/>
          <w:sz w:val="24"/>
          <w:szCs w:val="22"/>
          <w:highlight w:val="none"/>
          <w:u w:val="none"/>
          <w:lang w:val="en-US" w:eastAsia="zh-CN"/>
        </w:rPr>
        <w:t>4</w:t>
      </w:r>
      <w:r>
        <w:rPr>
          <w:rFonts w:hint="eastAsia" w:ascii="Times New Roman" w:hAnsi="Times New Roman" w:cs="Times New Roman"/>
          <w:color w:val="auto"/>
          <w:spacing w:val="4"/>
          <w:kern w:val="24"/>
          <w:sz w:val="24"/>
          <w:szCs w:val="22"/>
          <w:highlight w:val="none"/>
          <w:u w:val="none"/>
        </w:rPr>
        <w:t>）水土流失及沙化影响分析</w:t>
      </w:r>
    </w:p>
    <w:p w14:paraId="5CDF2E82">
      <w:pPr>
        <w:keepNext w:val="0"/>
        <w:keepLines w:val="0"/>
        <w:pageBreakBefore w:val="0"/>
        <w:kinsoku/>
        <w:wordWrap/>
        <w:overflowPunct/>
        <w:topLinePunct w:val="0"/>
        <w:autoSpaceDE/>
        <w:autoSpaceDN/>
        <w:bidi w:val="0"/>
        <w:adjustRightInd/>
        <w:snapToGrid/>
        <w:spacing w:line="480" w:lineRule="exact"/>
        <w:ind w:firstLine="496" w:firstLineChars="200"/>
        <w:textAlignment w:val="auto"/>
        <w:rPr>
          <w:rFonts w:hint="eastAsia" w:ascii="Times New Roman" w:hAnsi="Times New Roman" w:cs="Times New Roman"/>
          <w:color w:val="auto"/>
          <w:spacing w:val="4"/>
          <w:kern w:val="24"/>
          <w:sz w:val="24"/>
          <w:szCs w:val="22"/>
          <w:highlight w:val="none"/>
          <w:u w:val="none"/>
          <w:lang w:eastAsia="zh-CN"/>
        </w:rPr>
      </w:pPr>
      <w:r>
        <w:rPr>
          <w:rFonts w:hint="eastAsia" w:ascii="Times New Roman" w:hAnsi="Times New Roman" w:cs="Times New Roman"/>
          <w:color w:val="auto"/>
          <w:spacing w:val="4"/>
          <w:kern w:val="24"/>
          <w:sz w:val="24"/>
          <w:szCs w:val="22"/>
          <w:highlight w:val="none"/>
          <w:u w:val="none"/>
          <w:lang w:eastAsia="zh-CN"/>
        </w:rPr>
        <w:t>油</w:t>
      </w:r>
      <w:r>
        <w:rPr>
          <w:rFonts w:hint="eastAsia" w:cs="Times New Roman"/>
          <w:color w:val="auto"/>
          <w:spacing w:val="4"/>
          <w:kern w:val="24"/>
          <w:sz w:val="24"/>
          <w:szCs w:val="22"/>
          <w:highlight w:val="none"/>
          <w:u w:val="none"/>
          <w:lang w:val="en-US" w:eastAsia="zh-CN"/>
        </w:rPr>
        <w:t>气</w:t>
      </w:r>
      <w:r>
        <w:rPr>
          <w:rFonts w:hint="eastAsia" w:ascii="Times New Roman" w:hAnsi="Times New Roman" w:cs="Times New Roman"/>
          <w:color w:val="auto"/>
          <w:spacing w:val="4"/>
          <w:kern w:val="24"/>
          <w:sz w:val="24"/>
          <w:szCs w:val="22"/>
          <w:highlight w:val="none"/>
          <w:u w:val="none"/>
          <w:lang w:eastAsia="zh-CN"/>
        </w:rPr>
        <w:t>田工程建设对当地水土流失影响的方式包括扰动、损坏、开挖及破坏原地貌、地表土壤结构及植被。工程施工及占地呈线状分布，所造成的水土流失因管线所经过的区域不同而不同。施工期间，开挖管沟、土方排放、机械作业人员活动等都会加剧水土流失。</w:t>
      </w:r>
    </w:p>
    <w:p w14:paraId="44AEE713">
      <w:pPr>
        <w:keepNext w:val="0"/>
        <w:keepLines w:val="0"/>
        <w:pageBreakBefore w:val="0"/>
        <w:kinsoku/>
        <w:wordWrap/>
        <w:overflowPunct/>
        <w:topLinePunct w:val="0"/>
        <w:autoSpaceDE/>
        <w:autoSpaceDN/>
        <w:bidi w:val="0"/>
        <w:adjustRightInd/>
        <w:snapToGrid/>
        <w:spacing w:line="480" w:lineRule="exact"/>
        <w:ind w:firstLine="496" w:firstLineChars="200"/>
        <w:textAlignment w:val="auto"/>
        <w:rPr>
          <w:rFonts w:hint="eastAsia" w:ascii="Times New Roman" w:hAnsi="Times New Roman" w:cs="Times New Roman"/>
          <w:color w:val="auto"/>
          <w:spacing w:val="4"/>
          <w:kern w:val="24"/>
          <w:sz w:val="24"/>
          <w:szCs w:val="22"/>
          <w:highlight w:val="none"/>
          <w:u w:val="none"/>
          <w:lang w:eastAsia="zh-CN"/>
        </w:rPr>
      </w:pPr>
      <w:r>
        <w:rPr>
          <w:rFonts w:hint="eastAsia" w:ascii="Times New Roman" w:hAnsi="Times New Roman" w:cs="Times New Roman"/>
          <w:color w:val="auto"/>
          <w:spacing w:val="4"/>
          <w:kern w:val="24"/>
          <w:sz w:val="24"/>
          <w:szCs w:val="22"/>
          <w:highlight w:val="none"/>
          <w:u w:val="none"/>
          <w:lang w:eastAsia="zh-CN"/>
        </w:rPr>
        <w:t>施工车辆对地表的大面积碾压，使所经过地段的植被和地表结构遭到不同程度的破坏，使风蚀荒漠化的过程加剧，从而造成水土流失，严重时会导致沙化，这种影响在短时间内不会完全恢复；在地面构筑物建设中，最直接而且易引起水土流失的是施工过程中使影响范围内的地表保护层变得松散，增加风蚀量。本工程地面建设的内容主要包括井场的建设、管线的敷设等，临时占地范围内的土壤地表表层遭到破坏，下层的粉细物质暴露在地层表面，在风力的作用下，风蚀量会明显加大，这种影响在短时间内不会完全恢复。但随着时间的推移，风蚀量会随着地表新保护层的逐渐形成而减弱。油</w:t>
      </w:r>
      <w:r>
        <w:rPr>
          <w:rFonts w:hint="eastAsia" w:cs="Times New Roman"/>
          <w:color w:val="auto"/>
          <w:spacing w:val="4"/>
          <w:kern w:val="24"/>
          <w:sz w:val="24"/>
          <w:szCs w:val="22"/>
          <w:highlight w:val="none"/>
          <w:u w:val="none"/>
          <w:lang w:val="en-US" w:eastAsia="zh-CN"/>
        </w:rPr>
        <w:t>气</w:t>
      </w:r>
      <w:r>
        <w:rPr>
          <w:rFonts w:hint="eastAsia" w:ascii="Times New Roman" w:hAnsi="Times New Roman" w:cs="Times New Roman"/>
          <w:color w:val="auto"/>
          <w:spacing w:val="4"/>
          <w:kern w:val="24"/>
          <w:sz w:val="24"/>
          <w:szCs w:val="22"/>
          <w:highlight w:val="none"/>
          <w:u w:val="none"/>
          <w:lang w:eastAsia="zh-CN"/>
        </w:rPr>
        <w:t>田各种管道的敷设均采用明沟开挖方式，管沟开挖土方在管道一侧临时堆放。施工期内，管沟边堆起一道临时土垄，在大风状态下易发生风力侵蚀，即使在堆土回填后风蚀量会有所减少，但地表仍为疏松地带，需要一个较长的恢复阶段。</w:t>
      </w:r>
    </w:p>
    <w:p w14:paraId="32096CF5">
      <w:pPr>
        <w:keepNext w:val="0"/>
        <w:keepLines w:val="0"/>
        <w:pageBreakBefore w:val="0"/>
        <w:kinsoku/>
        <w:wordWrap/>
        <w:overflowPunct/>
        <w:topLinePunct w:val="0"/>
        <w:autoSpaceDE/>
        <w:autoSpaceDN/>
        <w:bidi w:val="0"/>
        <w:adjustRightInd/>
        <w:snapToGrid/>
        <w:spacing w:line="480" w:lineRule="exact"/>
        <w:ind w:firstLine="496" w:firstLineChars="200"/>
        <w:textAlignment w:val="auto"/>
        <w:rPr>
          <w:rFonts w:hint="eastAsia" w:ascii="Times New Roman" w:hAnsi="Times New Roman" w:eastAsia="宋体" w:cs="Times New Roman"/>
          <w:color w:val="auto"/>
          <w:spacing w:val="4"/>
          <w:kern w:val="24"/>
          <w:sz w:val="24"/>
          <w:szCs w:val="22"/>
          <w:highlight w:val="none"/>
          <w:u w:val="none"/>
          <w:lang w:val="en-US" w:eastAsia="zh-CN" w:bidi="ar-SA"/>
        </w:rPr>
      </w:pPr>
      <w:r>
        <w:rPr>
          <w:rFonts w:hint="eastAsia" w:ascii="Times New Roman" w:hAnsi="Times New Roman" w:cs="Times New Roman"/>
          <w:color w:val="auto"/>
          <w:spacing w:val="4"/>
          <w:kern w:val="24"/>
          <w:sz w:val="24"/>
          <w:szCs w:val="22"/>
          <w:highlight w:val="none"/>
          <w:u w:val="none"/>
          <w:lang w:eastAsia="zh-CN"/>
        </w:rPr>
        <w:t>综上所述，施工期对项目区土壤环境影响不大。</w:t>
      </w:r>
    </w:p>
    <w:p w14:paraId="5F1EE694">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4</w:t>
      </w: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运营期土壤环境影响分析</w:t>
      </w:r>
    </w:p>
    <w:p w14:paraId="4909E318">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4</w:t>
      </w:r>
      <w:r>
        <w:rPr>
          <w:rFonts w:hint="eastAsia" w:ascii="宋体" w:hAnsi="宋体" w:eastAsia="宋体" w:cs="宋体"/>
          <w:color w:val="auto"/>
          <w:u w:val="none"/>
          <w:lang w:val="en-US" w:eastAsia="zh-CN"/>
        </w:rPr>
        <w:t>.2.1 土壤污染途径</w:t>
      </w:r>
    </w:p>
    <w:p w14:paraId="339D3FB5">
      <w:pPr>
        <w:pStyle w:val="162"/>
        <w:keepNext w:val="0"/>
        <w:keepLines w:val="0"/>
        <w:pageBreakBefore w:val="0"/>
        <w:widowControl w:val="0"/>
        <w:kinsoku/>
        <w:wordWrap/>
        <w:overflowPunct/>
        <w:topLinePunct w:val="0"/>
        <w:autoSpaceDE/>
        <w:autoSpaceDN/>
        <w:bidi w:val="0"/>
        <w:adjustRightInd/>
        <w:snapToGrid/>
        <w:spacing w:line="480" w:lineRule="exact"/>
        <w:textAlignment w:val="auto"/>
        <w:rPr>
          <w:color w:val="auto"/>
          <w:highlight w:val="none"/>
          <w:u w:val="none"/>
        </w:rPr>
      </w:pPr>
      <w:r>
        <w:rPr>
          <w:rFonts w:hint="eastAsia"/>
          <w:color w:val="auto"/>
          <w:highlight w:val="none"/>
          <w:u w:val="none"/>
          <w:lang w:eastAsia="zh-CN"/>
        </w:rPr>
        <w:t>本工程</w:t>
      </w:r>
      <w:r>
        <w:rPr>
          <w:color w:val="auto"/>
          <w:highlight w:val="none"/>
          <w:u w:val="none"/>
        </w:rPr>
        <w:t>为</w:t>
      </w:r>
      <w:r>
        <w:rPr>
          <w:rFonts w:hint="eastAsia"/>
          <w:color w:val="auto"/>
          <w:highlight w:val="none"/>
          <w:u w:val="none"/>
          <w:lang w:val="en-US" w:eastAsia="zh-CN"/>
        </w:rPr>
        <w:t>油气</w:t>
      </w:r>
      <w:r>
        <w:rPr>
          <w:color w:val="auto"/>
          <w:highlight w:val="none"/>
          <w:u w:val="none"/>
        </w:rPr>
        <w:t>开采项目，</w:t>
      </w:r>
      <w:r>
        <w:rPr>
          <w:rFonts w:hint="eastAsia"/>
          <w:color w:val="auto"/>
          <w:highlight w:val="none"/>
          <w:u w:val="none"/>
          <w:lang w:val="en-US" w:eastAsia="zh-CN"/>
        </w:rPr>
        <w:t>运营期主要以</w:t>
      </w:r>
      <w:r>
        <w:rPr>
          <w:color w:val="auto"/>
          <w:highlight w:val="none"/>
          <w:u w:val="none"/>
        </w:rPr>
        <w:t>污染影响为</w:t>
      </w:r>
      <w:r>
        <w:rPr>
          <w:rFonts w:hint="eastAsia"/>
          <w:color w:val="auto"/>
          <w:highlight w:val="none"/>
          <w:u w:val="none"/>
          <w:lang w:val="en-US" w:eastAsia="zh-CN"/>
        </w:rPr>
        <w:t>主</w:t>
      </w:r>
      <w:r>
        <w:rPr>
          <w:color w:val="auto"/>
          <w:highlight w:val="none"/>
          <w:u w:val="none"/>
        </w:rPr>
        <w:t>。</w:t>
      </w:r>
      <w:r>
        <w:rPr>
          <w:rFonts w:hint="eastAsia"/>
          <w:color w:val="auto"/>
          <w:highlight w:val="none"/>
          <w:u w:val="none"/>
          <w:lang w:eastAsia="zh-CN"/>
        </w:rPr>
        <w:t>本工程</w:t>
      </w:r>
      <w:r>
        <w:rPr>
          <w:color w:val="auto"/>
          <w:highlight w:val="none"/>
          <w:u w:val="none"/>
        </w:rPr>
        <w:t>运营期采用密闭集输系统进行</w:t>
      </w:r>
      <w:r>
        <w:rPr>
          <w:rFonts w:hint="eastAsia"/>
          <w:color w:val="auto"/>
          <w:highlight w:val="none"/>
          <w:u w:val="none"/>
          <w:lang w:val="en-US" w:eastAsia="zh-CN"/>
        </w:rPr>
        <w:t>油气</w:t>
      </w:r>
      <w:r>
        <w:rPr>
          <w:color w:val="auto"/>
          <w:highlight w:val="none"/>
          <w:u w:val="none"/>
        </w:rPr>
        <w:t>集输，正常情况下不会对土壤环境造成污染。非正常情况下含油污水泄漏可能会对土壤环境造成污染。结合项目特点，本节主要分析非正常状况下泄漏对土壤环境的污染影响，以及对土壤理化性质的影响和</w:t>
      </w:r>
      <w:r>
        <w:rPr>
          <w:rFonts w:hint="eastAsia"/>
          <w:color w:val="auto"/>
          <w:highlight w:val="none"/>
          <w:u w:val="none"/>
          <w:lang w:eastAsia="zh-CN"/>
        </w:rPr>
        <w:t>累积</w:t>
      </w:r>
      <w:r>
        <w:rPr>
          <w:color w:val="auto"/>
          <w:highlight w:val="none"/>
          <w:u w:val="none"/>
        </w:rPr>
        <w:t>影响。</w:t>
      </w:r>
    </w:p>
    <w:p w14:paraId="529F2853">
      <w:pPr>
        <w:pStyle w:val="162"/>
        <w:keepNext w:val="0"/>
        <w:keepLines w:val="0"/>
        <w:pageBreakBefore w:val="0"/>
        <w:widowControl w:val="0"/>
        <w:kinsoku/>
        <w:wordWrap/>
        <w:overflowPunct/>
        <w:topLinePunct w:val="0"/>
        <w:autoSpaceDE/>
        <w:autoSpaceDN/>
        <w:bidi w:val="0"/>
        <w:adjustRightInd/>
        <w:snapToGrid/>
        <w:spacing w:line="480" w:lineRule="exact"/>
        <w:textAlignment w:val="auto"/>
        <w:rPr>
          <w:color w:val="auto"/>
          <w:highlight w:val="none"/>
          <w:u w:val="none"/>
        </w:rPr>
      </w:pPr>
      <w:r>
        <w:rPr>
          <w:rFonts w:hint="eastAsia"/>
          <w:color w:val="auto"/>
          <w:highlight w:val="none"/>
          <w:u w:val="none"/>
          <w:lang w:eastAsia="zh-CN"/>
        </w:rPr>
        <w:t>油</w:t>
      </w:r>
      <w:r>
        <w:rPr>
          <w:rFonts w:hint="eastAsia"/>
          <w:color w:val="auto"/>
          <w:highlight w:val="none"/>
          <w:u w:val="none"/>
          <w:lang w:val="en-US" w:eastAsia="zh-CN"/>
        </w:rPr>
        <w:t>气</w:t>
      </w:r>
      <w:r>
        <w:rPr>
          <w:rFonts w:hint="eastAsia"/>
          <w:color w:val="auto"/>
          <w:highlight w:val="none"/>
          <w:u w:val="none"/>
          <w:lang w:eastAsia="zh-CN"/>
        </w:rPr>
        <w:t>田</w:t>
      </w:r>
      <w:r>
        <w:rPr>
          <w:color w:val="auto"/>
          <w:highlight w:val="none"/>
          <w:u w:val="none"/>
        </w:rPr>
        <w:t>土壤环境污染的分布为：污染物主要集中在</w:t>
      </w:r>
      <w:r>
        <w:rPr>
          <w:rFonts w:hint="eastAsia"/>
          <w:color w:val="auto"/>
          <w:highlight w:val="none"/>
          <w:u w:val="none"/>
          <w:lang w:val="en-US" w:eastAsia="zh-CN"/>
        </w:rPr>
        <w:t>井场</w:t>
      </w:r>
      <w:r>
        <w:rPr>
          <w:color w:val="auto"/>
          <w:highlight w:val="none"/>
          <w:u w:val="none"/>
        </w:rPr>
        <w:t>永久占地内，各种污染物尤其是石油烃污染物主要集中在土壤表层，迁移深度较浅。</w:t>
      </w:r>
    </w:p>
    <w:p w14:paraId="7C2AC3D8">
      <w:pPr>
        <w:pStyle w:val="162"/>
        <w:keepNext w:val="0"/>
        <w:keepLines w:val="0"/>
        <w:pageBreakBefore w:val="0"/>
        <w:widowControl w:val="0"/>
        <w:kinsoku/>
        <w:wordWrap/>
        <w:overflowPunct/>
        <w:topLinePunct w:val="0"/>
        <w:autoSpaceDE/>
        <w:autoSpaceDN/>
        <w:bidi w:val="0"/>
        <w:adjustRightInd/>
        <w:snapToGrid/>
        <w:spacing w:line="480" w:lineRule="exact"/>
        <w:textAlignment w:val="auto"/>
        <w:rPr>
          <w:color w:val="auto"/>
          <w:kern w:val="0"/>
          <w:highlight w:val="none"/>
          <w:u w:val="none"/>
        </w:rPr>
      </w:pPr>
      <w:r>
        <w:rPr>
          <w:color w:val="auto"/>
          <w:kern w:val="0"/>
          <w:highlight w:val="none"/>
          <w:u w:val="none"/>
        </w:rPr>
        <w:t>事故时排放的含油污水，其危害主要表现为降低土壤透气、透水性，改变土壤微生物种群结构，消耗土壤氮素，使植物生长受阻，体内残留量增加，恶化土壤-植物及土壤-食物链系统的环境质量。因此，</w:t>
      </w:r>
      <w:r>
        <w:rPr>
          <w:rFonts w:hint="eastAsia"/>
          <w:color w:val="auto"/>
          <w:kern w:val="0"/>
          <w:highlight w:val="none"/>
          <w:u w:val="none"/>
          <w:lang w:eastAsia="zh-CN"/>
        </w:rPr>
        <w:t>油</w:t>
      </w:r>
      <w:r>
        <w:rPr>
          <w:rFonts w:hint="eastAsia"/>
          <w:color w:val="auto"/>
          <w:kern w:val="0"/>
          <w:highlight w:val="none"/>
          <w:u w:val="none"/>
          <w:lang w:val="en-US" w:eastAsia="zh-CN"/>
        </w:rPr>
        <w:t>气</w:t>
      </w:r>
      <w:r>
        <w:rPr>
          <w:rFonts w:hint="eastAsia"/>
          <w:color w:val="auto"/>
          <w:kern w:val="0"/>
          <w:highlight w:val="none"/>
          <w:u w:val="none"/>
          <w:lang w:eastAsia="zh-CN"/>
        </w:rPr>
        <w:t>田</w:t>
      </w:r>
      <w:r>
        <w:rPr>
          <w:color w:val="auto"/>
          <w:kern w:val="0"/>
          <w:highlight w:val="none"/>
          <w:u w:val="none"/>
        </w:rPr>
        <w:t>生产中一定要严防采出</w:t>
      </w:r>
      <w:r>
        <w:rPr>
          <w:rFonts w:hint="eastAsia"/>
          <w:color w:val="auto"/>
          <w:kern w:val="0"/>
          <w:highlight w:val="none"/>
          <w:u w:val="none"/>
        </w:rPr>
        <w:t>液</w:t>
      </w:r>
      <w:r>
        <w:rPr>
          <w:color w:val="auto"/>
          <w:kern w:val="0"/>
          <w:highlight w:val="none"/>
          <w:u w:val="none"/>
        </w:rPr>
        <w:t>泄漏事故的发生，一旦发生事故，应立即采取事故应急措施，及时对含油污水进行回收，最大限度地恢复地表原貌，为利用土壤的自净作用创造条件，在尽可能短的时间使土壤环境得到恢复。</w:t>
      </w:r>
    </w:p>
    <w:p w14:paraId="401D08CE">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4</w:t>
      </w:r>
      <w:r>
        <w:rPr>
          <w:rFonts w:hint="eastAsia" w:ascii="宋体" w:hAnsi="宋体" w:eastAsia="宋体" w:cs="宋体"/>
          <w:color w:val="auto"/>
          <w:u w:val="none"/>
          <w:lang w:val="en-US" w:eastAsia="zh-CN"/>
        </w:rPr>
        <w:t>.2.2 正常状况下对土壤环境的影响分析</w:t>
      </w:r>
    </w:p>
    <w:p w14:paraId="563EF48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Style w:val="164"/>
          <w:rFonts w:ascii="Times New Roman" w:hAnsi="Times New Roman" w:eastAsia="宋体" w:cs="Times New Roman"/>
          <w:color w:val="auto"/>
          <w:sz w:val="24"/>
          <w:szCs w:val="20"/>
          <w:highlight w:val="none"/>
          <w:u w:val="none"/>
          <w:lang w:val="en-US" w:eastAsia="zh-CN" w:bidi="ar-SA"/>
        </w:rPr>
      </w:pPr>
      <w:r>
        <w:rPr>
          <w:rStyle w:val="164"/>
          <w:rFonts w:hint="eastAsia" w:ascii="Times New Roman" w:hAnsi="Times New Roman" w:eastAsia="宋体" w:cs="Times New Roman"/>
          <w:color w:val="auto"/>
          <w:szCs w:val="20"/>
          <w:highlight w:val="none"/>
          <w:u w:val="none"/>
          <w:lang w:val="en-US" w:eastAsia="zh-CN" w:bidi="ar-SA"/>
        </w:rPr>
        <w:t>本工程</w:t>
      </w:r>
      <w:r>
        <w:rPr>
          <w:rStyle w:val="164"/>
          <w:rFonts w:ascii="Times New Roman" w:hAnsi="Times New Roman" w:eastAsia="宋体" w:cs="Times New Roman"/>
          <w:color w:val="auto"/>
          <w:szCs w:val="20"/>
          <w:highlight w:val="none"/>
          <w:u w:val="none"/>
          <w:lang w:val="en-US" w:eastAsia="zh-CN" w:bidi="ar-SA"/>
        </w:rPr>
        <w:t>污染土壤的途径主要为采出</w:t>
      </w:r>
      <w:r>
        <w:rPr>
          <w:rStyle w:val="164"/>
          <w:rFonts w:hint="eastAsia" w:cs="Times New Roman"/>
          <w:color w:val="auto"/>
          <w:szCs w:val="20"/>
          <w:highlight w:val="none"/>
          <w:u w:val="none"/>
          <w:lang w:val="en-US" w:eastAsia="zh-CN" w:bidi="ar-SA"/>
        </w:rPr>
        <w:t>物</w:t>
      </w:r>
      <w:r>
        <w:rPr>
          <w:rStyle w:val="164"/>
          <w:rFonts w:ascii="Times New Roman" w:hAnsi="Times New Roman" w:eastAsia="宋体" w:cs="Times New Roman"/>
          <w:color w:val="auto"/>
          <w:szCs w:val="20"/>
          <w:highlight w:val="none"/>
          <w:u w:val="none"/>
          <w:lang w:val="en-US" w:eastAsia="zh-CN" w:bidi="ar-SA"/>
        </w:rPr>
        <w:t>输送及处理过程中发生跑冒滴漏，渗入土壤对土壤产生影响。</w:t>
      </w:r>
    </w:p>
    <w:p w14:paraId="29B4070C">
      <w:pPr>
        <w:keepNext w:val="0"/>
        <w:keepLines w:val="0"/>
        <w:pageBreakBefore w:val="0"/>
        <w:widowControl w:val="0"/>
        <w:kinsoku/>
        <w:wordWrap/>
        <w:overflowPunct/>
        <w:topLinePunct w:val="0"/>
        <w:autoSpaceDE/>
        <w:autoSpaceDN/>
        <w:bidi w:val="0"/>
        <w:adjustRightInd/>
        <w:snapToGrid/>
        <w:spacing w:line="480" w:lineRule="exact"/>
        <w:ind w:firstLine="456" w:firstLineChars="200"/>
        <w:jc w:val="both"/>
        <w:textAlignment w:val="auto"/>
        <w:rPr>
          <w:rFonts w:ascii="Times New Roman" w:hAnsi="Times New Roman" w:eastAsia="宋体" w:cs="Times New Roman"/>
          <w:color w:val="auto"/>
          <w:sz w:val="24"/>
          <w:szCs w:val="20"/>
          <w:highlight w:val="none"/>
          <w:u w:val="none"/>
          <w:lang w:val="en-US" w:eastAsia="zh-CN" w:bidi="ar-SA"/>
        </w:rPr>
      </w:pPr>
      <w:r>
        <w:rPr>
          <w:rFonts w:hint="eastAsia" w:ascii="Calibri" w:hAnsi="Calibri" w:eastAsia="宋体" w:cs="Times New Roman"/>
          <w:color w:val="auto"/>
          <w:spacing w:val="-6"/>
          <w:kern w:val="24"/>
          <w:sz w:val="24"/>
          <w:szCs w:val="24"/>
          <w:highlight w:val="none"/>
          <w:u w:val="none"/>
          <w:lang w:val="en-US" w:eastAsia="zh-CN" w:bidi="ar-SA"/>
        </w:rPr>
        <w:t>运营期正常工况下，</w:t>
      </w:r>
      <w:r>
        <w:rPr>
          <w:rStyle w:val="164"/>
          <w:rFonts w:hint="eastAsia" w:ascii="Times New Roman" w:hAnsi="Times New Roman" w:eastAsia="宋体" w:cs="Times New Roman"/>
          <w:color w:val="auto"/>
          <w:spacing w:val="-6"/>
          <w:sz w:val="24"/>
          <w:szCs w:val="20"/>
          <w:highlight w:val="none"/>
          <w:u w:val="none"/>
          <w:lang w:val="en-US" w:eastAsia="zh-CN" w:bidi="ar-SA"/>
        </w:rPr>
        <w:t>本工程</w:t>
      </w:r>
      <w:r>
        <w:rPr>
          <w:rFonts w:hint="eastAsia" w:ascii="Calibri" w:hAnsi="Calibri" w:eastAsia="宋体" w:cs="Times New Roman"/>
          <w:color w:val="auto"/>
          <w:spacing w:val="-6"/>
          <w:kern w:val="24"/>
          <w:sz w:val="24"/>
          <w:szCs w:val="24"/>
          <w:highlight w:val="none"/>
          <w:u w:val="none"/>
          <w:lang w:val="en-US" w:eastAsia="zh-CN" w:bidi="ar-SA"/>
        </w:rPr>
        <w:t>采出水和井下作业废水均得到妥善处置；</w:t>
      </w:r>
      <w:r>
        <w:rPr>
          <w:rStyle w:val="164"/>
          <w:rFonts w:ascii="Times New Roman" w:hAnsi="Times New Roman" w:eastAsia="宋体" w:cs="Times New Roman"/>
          <w:color w:val="auto"/>
          <w:spacing w:val="-6"/>
          <w:sz w:val="24"/>
          <w:szCs w:val="20"/>
          <w:highlight w:val="none"/>
          <w:u w:val="none"/>
          <w:lang w:val="en-US" w:eastAsia="zh-CN" w:bidi="ar-SA"/>
        </w:rPr>
        <w:t>生产过程中液体物料配置过程中均为全密闭管路连接，不会出现溢出和</w:t>
      </w:r>
      <w:r>
        <w:rPr>
          <w:rStyle w:val="164"/>
          <w:rFonts w:hint="eastAsia" w:ascii="Times New Roman" w:hAnsi="Times New Roman" w:eastAsia="宋体" w:cs="Times New Roman"/>
          <w:color w:val="auto"/>
          <w:spacing w:val="-6"/>
          <w:sz w:val="24"/>
          <w:szCs w:val="20"/>
          <w:highlight w:val="none"/>
          <w:u w:val="none"/>
          <w:lang w:val="en-US" w:eastAsia="zh-CN" w:bidi="ar-SA"/>
        </w:rPr>
        <w:t>泄漏</w:t>
      </w:r>
      <w:r>
        <w:rPr>
          <w:rStyle w:val="164"/>
          <w:rFonts w:ascii="Times New Roman" w:hAnsi="Times New Roman" w:eastAsia="宋体" w:cs="Times New Roman"/>
          <w:color w:val="auto"/>
          <w:spacing w:val="-6"/>
          <w:sz w:val="24"/>
          <w:szCs w:val="20"/>
          <w:highlight w:val="none"/>
          <w:u w:val="none"/>
          <w:lang w:val="en-US" w:eastAsia="zh-CN" w:bidi="ar-SA"/>
        </w:rPr>
        <w:t>情况，实现可视可控，且在管线上做好标识，如若出现</w:t>
      </w:r>
      <w:r>
        <w:rPr>
          <w:rStyle w:val="164"/>
          <w:rFonts w:hint="eastAsia" w:ascii="Times New Roman" w:hAnsi="Times New Roman" w:eastAsia="宋体" w:cs="Times New Roman"/>
          <w:color w:val="auto"/>
          <w:spacing w:val="-6"/>
          <w:sz w:val="24"/>
          <w:szCs w:val="20"/>
          <w:highlight w:val="none"/>
          <w:u w:val="none"/>
          <w:lang w:val="en-US" w:eastAsia="zh-CN" w:bidi="ar-SA"/>
        </w:rPr>
        <w:t>泄漏</w:t>
      </w:r>
      <w:r>
        <w:rPr>
          <w:rStyle w:val="164"/>
          <w:rFonts w:ascii="Times New Roman" w:hAnsi="Times New Roman" w:eastAsia="宋体" w:cs="Times New Roman"/>
          <w:color w:val="auto"/>
          <w:spacing w:val="-6"/>
          <w:sz w:val="24"/>
          <w:szCs w:val="20"/>
          <w:highlight w:val="none"/>
          <w:u w:val="none"/>
          <w:lang w:val="en-US" w:eastAsia="zh-CN" w:bidi="ar-SA"/>
        </w:rPr>
        <w:t>等事故情况，可及时发现，及时处理。</w:t>
      </w:r>
    </w:p>
    <w:p w14:paraId="6894C3C2">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4</w:t>
      </w:r>
      <w:r>
        <w:rPr>
          <w:rFonts w:hint="eastAsia" w:ascii="宋体" w:hAnsi="宋体" w:eastAsia="宋体" w:cs="宋体"/>
          <w:color w:val="auto"/>
          <w:u w:val="none"/>
          <w:lang w:val="en-US" w:eastAsia="zh-CN"/>
        </w:rPr>
        <w:t>.2.3 非正常状况下对土壤环境的影响预测分析</w:t>
      </w:r>
    </w:p>
    <w:p w14:paraId="1E24E8D8">
      <w:pPr>
        <w:pStyle w:val="98"/>
        <w:keepNext/>
        <w:keepLines/>
        <w:pageBreakBefore w:val="0"/>
        <w:widowControl/>
        <w:numPr>
          <w:ilvl w:val="2"/>
          <w:numId w:val="0"/>
        </w:numPr>
        <w:kinsoku/>
        <w:wordWrap/>
        <w:overflowPunct/>
        <w:topLinePunct w:val="0"/>
        <w:autoSpaceDE/>
        <w:autoSpaceDN/>
        <w:bidi w:val="0"/>
        <w:adjustRightInd/>
        <w:snapToGrid/>
        <w:spacing w:before="0" w:after="0" w:line="480" w:lineRule="exact"/>
        <w:ind w:leftChars="0" w:firstLine="480" w:firstLineChars="200"/>
        <w:jc w:val="both"/>
        <w:textAlignment w:val="auto"/>
        <w:outlineLvl w:val="9"/>
        <w:rPr>
          <w:rFonts w:hint="eastAsia" w:ascii="Times New Roman" w:hAnsi="Times New Roman" w:eastAsia="宋体" w:cs="Times New Roman"/>
          <w:b w:val="0"/>
          <w:bCs w:val="0"/>
          <w:color w:val="auto"/>
          <w:sz w:val="24"/>
          <w:szCs w:val="24"/>
          <w:highlight w:val="none"/>
          <w:u w:val="none"/>
        </w:rPr>
      </w:pPr>
      <w:r>
        <w:rPr>
          <w:rFonts w:hint="eastAsia" w:ascii="Times New Roman" w:hAnsi="Times New Roman" w:eastAsia="宋体" w:cs="Times New Roman"/>
          <w:b w:val="0"/>
          <w:bCs w:val="0"/>
          <w:color w:val="auto"/>
          <w:sz w:val="24"/>
          <w:szCs w:val="24"/>
          <w:highlight w:val="none"/>
          <w:u w:val="none"/>
          <w:lang w:eastAsia="zh-CN"/>
        </w:rPr>
        <w:t>（</w:t>
      </w:r>
      <w:r>
        <w:rPr>
          <w:rFonts w:hint="eastAsia" w:ascii="Times New Roman" w:hAnsi="Times New Roman" w:eastAsia="宋体" w:cs="Times New Roman"/>
          <w:b w:val="0"/>
          <w:bCs w:val="0"/>
          <w:color w:val="auto"/>
          <w:sz w:val="24"/>
          <w:szCs w:val="24"/>
          <w:highlight w:val="none"/>
          <w:u w:val="none"/>
          <w:lang w:val="en-US" w:eastAsia="zh-CN"/>
        </w:rPr>
        <w:t>1</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生态影响</w:t>
      </w:r>
    </w:p>
    <w:p w14:paraId="55894935">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auto"/>
          <w:spacing w:val="0"/>
          <w:kern w:val="24"/>
          <w:sz w:val="24"/>
          <w:szCs w:val="24"/>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考虑事故状态下，</w:t>
      </w:r>
      <w:r>
        <w:rPr>
          <w:rFonts w:hint="default" w:ascii="Times New Roman" w:hAnsi="Times New Roman" w:eastAsia="宋体" w:cs="Times New Roman"/>
          <w:snapToGrid w:val="0"/>
          <w:color w:val="auto"/>
          <w:spacing w:val="0"/>
          <w:kern w:val="2"/>
          <w:sz w:val="24"/>
          <w:highlight w:val="none"/>
          <w:u w:val="none"/>
          <w:lang w:val="en-US" w:eastAsia="zh-CN" w:bidi="ar-SA"/>
        </w:rPr>
        <w:t>井口与</w:t>
      </w:r>
      <w:r>
        <w:rPr>
          <w:rFonts w:hint="default" w:ascii="Times New Roman" w:hAnsi="Times New Roman" w:eastAsia="宋体" w:cs="Times New Roman"/>
          <w:color w:val="auto"/>
          <w:spacing w:val="0"/>
          <w:kern w:val="24"/>
          <w:sz w:val="24"/>
          <w:szCs w:val="22"/>
          <w:highlight w:val="none"/>
          <w:u w:val="none"/>
          <w:lang w:val="en-US" w:eastAsia="zh-CN" w:bidi="ar-SA"/>
        </w:rPr>
        <w:t>单井集输管道连接处破裂后，</w:t>
      </w:r>
      <w:r>
        <w:rPr>
          <w:rFonts w:hint="default" w:ascii="Times New Roman" w:hAnsi="Times New Roman" w:cs="Times New Roman"/>
          <w:color w:val="auto"/>
          <w:spacing w:val="0"/>
          <w:kern w:val="24"/>
          <w:sz w:val="24"/>
          <w:szCs w:val="22"/>
          <w:highlight w:val="none"/>
          <w:u w:val="none"/>
          <w:lang w:val="en-US" w:eastAsia="zh-CN" w:bidi="ar-SA"/>
        </w:rPr>
        <w:t>采出液或回注水</w:t>
      </w:r>
      <w:r>
        <w:rPr>
          <w:rFonts w:hint="default" w:ascii="Times New Roman" w:hAnsi="Times New Roman" w:eastAsia="宋体" w:cs="Times New Roman"/>
          <w:color w:val="auto"/>
          <w:spacing w:val="0"/>
          <w:kern w:val="24"/>
          <w:sz w:val="24"/>
          <w:szCs w:val="22"/>
          <w:highlight w:val="none"/>
          <w:u w:val="none"/>
          <w:lang w:val="en-US" w:eastAsia="zh-CN" w:bidi="ar-SA"/>
        </w:rPr>
        <w:t>进入表层土壤</w:t>
      </w:r>
      <w:r>
        <w:rPr>
          <w:rFonts w:hint="default" w:ascii="Times New Roman" w:hAnsi="Times New Roman" w:eastAsia="宋体" w:cs="Times New Roman"/>
          <w:color w:val="auto"/>
          <w:spacing w:val="0"/>
          <w:kern w:val="24"/>
          <w:sz w:val="24"/>
          <w:szCs w:val="24"/>
          <w:highlight w:val="none"/>
          <w:u w:val="none"/>
          <w:lang w:val="en-US" w:eastAsia="zh-CN" w:bidi="ar-SA"/>
        </w:rPr>
        <w:t>中，单井集输管道在井场设置有压力和远传信号，当发生管道破裂时，可远程关闭井场，并在1h内排查到泄漏点并进行紧急封堵。初步估算，发生泄漏到封堵，预计从</w:t>
      </w:r>
      <w:r>
        <w:rPr>
          <w:rFonts w:hint="eastAsia" w:cs="Times New Roman"/>
          <w:color w:val="auto"/>
          <w:spacing w:val="0"/>
          <w:kern w:val="24"/>
          <w:sz w:val="24"/>
          <w:szCs w:val="24"/>
          <w:highlight w:val="none"/>
          <w:u w:val="none"/>
          <w:lang w:val="en-US" w:eastAsia="zh-CN" w:bidi="ar-SA"/>
        </w:rPr>
        <w:t>集输管线</w:t>
      </w:r>
      <w:r>
        <w:rPr>
          <w:rFonts w:hint="default" w:ascii="Times New Roman" w:hAnsi="Times New Roman" w:eastAsia="宋体" w:cs="Times New Roman"/>
          <w:color w:val="auto"/>
          <w:spacing w:val="0"/>
          <w:kern w:val="24"/>
          <w:sz w:val="24"/>
          <w:szCs w:val="24"/>
          <w:highlight w:val="none"/>
          <w:u w:val="none"/>
          <w:lang w:val="en-US" w:eastAsia="zh-CN" w:bidi="ar-SA"/>
        </w:rPr>
        <w:t>中泄漏的</w:t>
      </w:r>
      <w:r>
        <w:rPr>
          <w:rFonts w:hint="default" w:ascii="Times New Roman" w:hAnsi="Times New Roman" w:cs="Times New Roman"/>
          <w:color w:val="auto"/>
          <w:spacing w:val="0"/>
          <w:kern w:val="24"/>
          <w:sz w:val="24"/>
          <w:szCs w:val="24"/>
          <w:highlight w:val="none"/>
          <w:u w:val="none"/>
          <w:lang w:val="en-US" w:eastAsia="zh-CN" w:bidi="ar-SA"/>
        </w:rPr>
        <w:t>采出水</w:t>
      </w:r>
      <w:r>
        <w:rPr>
          <w:rFonts w:hint="default" w:ascii="Times New Roman" w:hAnsi="Times New Roman" w:eastAsia="宋体" w:cs="Times New Roman"/>
          <w:color w:val="auto"/>
          <w:spacing w:val="0"/>
          <w:kern w:val="24"/>
          <w:sz w:val="24"/>
          <w:szCs w:val="24"/>
          <w:highlight w:val="none"/>
          <w:u w:val="none"/>
          <w:lang w:val="en-US" w:eastAsia="zh-CN" w:bidi="ar-SA"/>
        </w:rPr>
        <w:t>量为</w:t>
      </w:r>
      <w:r>
        <w:rPr>
          <w:rFonts w:hint="eastAsia" w:ascii="Times New Roman" w:hAnsi="Times New Roman" w:cs="Times New Roman"/>
          <w:color w:val="auto"/>
          <w:spacing w:val="0"/>
          <w:kern w:val="24"/>
          <w:sz w:val="24"/>
          <w:szCs w:val="24"/>
          <w:highlight w:val="none"/>
          <w:u w:val="none"/>
          <w:lang w:val="en-US" w:eastAsia="zh-CN" w:bidi="ar-SA"/>
        </w:rPr>
        <w:t>3.5</w:t>
      </w:r>
      <w:r>
        <w:rPr>
          <w:rFonts w:hint="default" w:ascii="Times New Roman" w:hAnsi="Times New Roman" w:eastAsia="宋体" w:cs="Times New Roman"/>
          <w:color w:val="auto"/>
          <w:sz w:val="24"/>
          <w:szCs w:val="24"/>
          <w:highlight w:val="none"/>
          <w:u w:val="none"/>
        </w:rPr>
        <w:t>m</w:t>
      </w:r>
      <w:r>
        <w:rPr>
          <w:rFonts w:hint="default" w:ascii="Times New Roman" w:hAnsi="Times New Roman" w:eastAsia="宋体" w:cs="Times New Roman"/>
          <w:color w:val="auto"/>
          <w:sz w:val="24"/>
          <w:szCs w:val="24"/>
          <w:highlight w:val="none"/>
          <w:u w:val="none"/>
          <w:vertAlign w:val="superscript"/>
        </w:rPr>
        <w:t>3</w:t>
      </w:r>
      <w:r>
        <w:rPr>
          <w:rFonts w:hint="default" w:ascii="Times New Roman" w:hAnsi="Times New Roman" w:eastAsia="宋体" w:cs="Times New Roman"/>
          <w:color w:val="auto"/>
          <w:spacing w:val="0"/>
          <w:kern w:val="24"/>
          <w:sz w:val="24"/>
          <w:szCs w:val="24"/>
          <w:highlight w:val="none"/>
          <w:u w:val="none"/>
          <w:lang w:val="en-US" w:eastAsia="zh-CN" w:bidi="ar-SA"/>
        </w:rPr>
        <w:t>。</w:t>
      </w:r>
      <w:r>
        <w:rPr>
          <w:rFonts w:hint="default" w:ascii="Times New Roman" w:hAnsi="Times New Roman" w:cs="Times New Roman"/>
          <w:color w:val="auto"/>
          <w:spacing w:val="0"/>
          <w:kern w:val="0"/>
          <w:sz w:val="24"/>
          <w:szCs w:val="24"/>
          <w:highlight w:val="none"/>
          <w:u w:val="none"/>
          <w:lang w:val="en-US" w:eastAsia="zh-CN" w:bidi="ar"/>
        </w:rPr>
        <w:t>采出水中矿化度</w:t>
      </w:r>
      <w:r>
        <w:rPr>
          <w:rFonts w:hint="eastAsia" w:ascii="Times New Roman" w:hAnsi="Times New Roman" w:cs="Times New Roman"/>
          <w:color w:val="auto"/>
          <w:spacing w:val="0"/>
          <w:kern w:val="0"/>
          <w:sz w:val="24"/>
          <w:szCs w:val="24"/>
          <w:highlight w:val="none"/>
          <w:u w:val="none"/>
          <w:lang w:val="en-US" w:eastAsia="zh-CN" w:bidi="ar"/>
        </w:rPr>
        <w:t>取28856.03</w:t>
      </w:r>
      <w:r>
        <w:rPr>
          <w:rFonts w:hint="eastAsia" w:ascii="Times New Roman" w:hAnsi="Times New Roman"/>
          <w:color w:val="auto"/>
          <w:sz w:val="24"/>
          <w:highlight w:val="none"/>
          <w:u w:val="none"/>
        </w:rPr>
        <w:t>mg/L</w:t>
      </w:r>
      <w:r>
        <w:rPr>
          <w:rFonts w:hint="default" w:ascii="Times New Roman" w:hAnsi="Times New Roman" w:eastAsia="宋体" w:cs="Times New Roman"/>
          <w:color w:val="auto"/>
          <w:spacing w:val="0"/>
          <w:kern w:val="24"/>
          <w:sz w:val="24"/>
          <w:szCs w:val="24"/>
          <w:highlight w:val="none"/>
          <w:u w:val="none"/>
          <w:lang w:val="en-US" w:eastAsia="zh-CN" w:bidi="ar-SA"/>
        </w:rPr>
        <w:t>，则估算进入土壤中的盐分含量为：</w:t>
      </w:r>
      <w:r>
        <w:rPr>
          <w:rFonts w:hint="eastAsia" w:ascii="Times New Roman" w:hAnsi="Times New Roman" w:eastAsia="宋体" w:cs="Times New Roman"/>
          <w:color w:val="auto"/>
          <w:spacing w:val="0"/>
          <w:kern w:val="24"/>
          <w:sz w:val="24"/>
          <w:szCs w:val="24"/>
          <w:highlight w:val="none"/>
          <w:u w:val="none"/>
          <w:lang w:val="en-US" w:eastAsia="zh-CN" w:bidi="ar-SA"/>
        </w:rPr>
        <w:t>3500</w:t>
      </w:r>
      <w:r>
        <w:rPr>
          <w:rFonts w:hint="default" w:ascii="Times New Roman" w:hAnsi="Times New Roman" w:cs="Times New Roman"/>
          <w:color w:val="auto"/>
          <w:spacing w:val="0"/>
          <w:sz w:val="24"/>
          <w:szCs w:val="24"/>
          <w:highlight w:val="none"/>
          <w:u w:val="none"/>
        </w:rPr>
        <w:t>×</w:t>
      </w:r>
      <w:r>
        <w:rPr>
          <w:rFonts w:hint="eastAsia" w:cs="Times New Roman"/>
          <w:color w:val="auto"/>
          <w:spacing w:val="-1"/>
          <w:sz w:val="24"/>
          <w:szCs w:val="24"/>
          <w:highlight w:val="none"/>
          <w:u w:val="none"/>
          <w:lang w:val="en-US" w:eastAsia="zh-CN"/>
        </w:rPr>
        <w:t>28856.03</w:t>
      </w:r>
      <w:r>
        <w:rPr>
          <w:rFonts w:hint="default" w:ascii="Times New Roman" w:hAnsi="Times New Roman" w:cs="Times New Roman"/>
          <w:color w:val="auto"/>
          <w:spacing w:val="0"/>
          <w:sz w:val="24"/>
          <w:szCs w:val="24"/>
          <w:highlight w:val="none"/>
          <w:u w:val="none"/>
        </w:rPr>
        <w:t>=</w:t>
      </w:r>
      <w:r>
        <w:rPr>
          <w:rFonts w:hint="eastAsia" w:cs="Times New Roman"/>
          <w:color w:val="auto"/>
          <w:spacing w:val="0"/>
          <w:sz w:val="24"/>
          <w:szCs w:val="24"/>
          <w:highlight w:val="none"/>
          <w:u w:val="none"/>
          <w:lang w:val="en-US" w:eastAsia="zh-CN"/>
        </w:rPr>
        <w:t>100996</w:t>
      </w:r>
      <w:r>
        <w:rPr>
          <w:rFonts w:hint="default" w:ascii="Times New Roman" w:hAnsi="Times New Roman" w:cs="Times New Roman"/>
          <w:color w:val="auto"/>
          <w:spacing w:val="0"/>
          <w:sz w:val="24"/>
          <w:szCs w:val="24"/>
          <w:highlight w:val="none"/>
          <w:u w:val="none"/>
        </w:rPr>
        <w:t>g</w:t>
      </w:r>
      <w:r>
        <w:rPr>
          <w:rFonts w:hint="default" w:ascii="Times New Roman" w:hAnsi="Times New Roman" w:eastAsia="宋体" w:cs="Times New Roman"/>
          <w:color w:val="auto"/>
          <w:spacing w:val="0"/>
          <w:kern w:val="24"/>
          <w:sz w:val="24"/>
          <w:szCs w:val="24"/>
          <w:highlight w:val="none"/>
          <w:u w:val="none"/>
          <w:lang w:val="en-US" w:eastAsia="zh-CN" w:bidi="ar-SA"/>
        </w:rPr>
        <w:t>。</w:t>
      </w:r>
    </w:p>
    <w:p w14:paraId="6377067B">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auto"/>
          <w:spacing w:val="0"/>
          <w:kern w:val="24"/>
          <w:sz w:val="24"/>
          <w:szCs w:val="24"/>
          <w:highlight w:val="none"/>
          <w:u w:val="none"/>
          <w:lang w:val="en-US" w:eastAsia="zh-CN" w:bidi="ar-SA"/>
        </w:rPr>
      </w:pPr>
      <w:r>
        <w:rPr>
          <w:rFonts w:hint="default" w:ascii="Times New Roman" w:hAnsi="Times New Roman" w:eastAsia="宋体" w:cs="Times New Roman"/>
          <w:color w:val="auto"/>
          <w:spacing w:val="0"/>
          <w:kern w:val="24"/>
          <w:sz w:val="24"/>
          <w:szCs w:val="24"/>
          <w:highlight w:val="none"/>
          <w:u w:val="none"/>
          <w:lang w:val="en-US" w:eastAsia="zh-CN" w:bidi="ar-SA"/>
        </w:rPr>
        <w:t>本次预测采用HJ964-2018附录E.1.3中预测方法，预测公式如下：</w:t>
      </w:r>
    </w:p>
    <w:p w14:paraId="034B5CB1">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eastAsia="宋体" w:cs="Times New Roman"/>
          <w:color w:val="auto"/>
          <w:spacing w:val="0"/>
          <w:kern w:val="24"/>
          <w:sz w:val="24"/>
          <w:szCs w:val="24"/>
          <w:highlight w:val="none"/>
          <w:u w:val="none"/>
          <w:lang w:val="en-US" w:eastAsia="zh-CN" w:bidi="ar-SA"/>
        </w:rPr>
      </w:pPr>
      <w:r>
        <w:rPr>
          <w:rFonts w:hint="default" w:ascii="Times New Roman" w:hAnsi="Times New Roman" w:cs="Times New Roman"/>
          <w:color w:val="auto"/>
          <w:spacing w:val="0"/>
          <w:kern w:val="24"/>
          <w:sz w:val="24"/>
          <w:szCs w:val="24"/>
          <w:highlight w:val="none"/>
          <w:u w:val="none"/>
          <w:lang w:val="en-US" w:eastAsia="zh-CN" w:bidi="ar-SA"/>
        </w:rPr>
        <w:t>1）</w:t>
      </w:r>
      <w:r>
        <w:rPr>
          <w:rFonts w:hint="default" w:ascii="Times New Roman" w:hAnsi="Times New Roman" w:eastAsia="宋体" w:cs="Times New Roman"/>
          <w:color w:val="auto"/>
          <w:spacing w:val="0"/>
          <w:kern w:val="24"/>
          <w:sz w:val="24"/>
          <w:szCs w:val="24"/>
          <w:highlight w:val="none"/>
          <w:u w:val="none"/>
          <w:lang w:val="en-US" w:eastAsia="zh-CN" w:bidi="ar-SA"/>
        </w:rPr>
        <w:t>单位质量土壤中某种物质的增量</w:t>
      </w:r>
    </w:p>
    <w:p w14:paraId="78AF59F0">
      <w:pPr>
        <w:keepNext w:val="0"/>
        <w:keepLines w:val="0"/>
        <w:pageBreakBefore w:val="0"/>
        <w:widowControl w:val="0"/>
        <w:kinsoku/>
        <w:wordWrap/>
        <w:overflowPunct/>
        <w:topLinePunct w:val="0"/>
        <w:autoSpaceDE/>
        <w:autoSpaceDN/>
        <w:bidi w:val="0"/>
        <w:adjustRightInd/>
        <w:snapToGrid/>
        <w:spacing w:after="0" w:line="480" w:lineRule="exact"/>
        <w:ind w:firstLine="0" w:firstLineChars="0"/>
        <w:jc w:val="center"/>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p>
    <w:p w14:paraId="36C28352">
      <w:pPr>
        <w:keepNext w:val="0"/>
        <w:keepLines w:val="0"/>
        <w:pageBreakBefore w:val="0"/>
        <w:widowControl w:val="0"/>
        <w:kinsoku/>
        <w:wordWrap/>
        <w:overflowPunct/>
        <w:topLinePunct w:val="0"/>
        <w:autoSpaceDE/>
        <w:autoSpaceDN/>
        <w:bidi w:val="0"/>
        <w:adjustRightInd/>
        <w:snapToGrid/>
        <w:spacing w:after="0" w:line="480" w:lineRule="exact"/>
        <w:ind w:firstLine="0" w:firstLineChars="0"/>
        <w:jc w:val="center"/>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drawing>
          <wp:inline distT="0" distB="0" distL="114300" distR="114300">
            <wp:extent cx="2809875" cy="304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5"/>
                    <a:stretch>
                      <a:fillRect/>
                    </a:stretch>
                  </pic:blipFill>
                  <pic:spPr>
                    <a:xfrm>
                      <a:off x="0" y="0"/>
                      <a:ext cx="2809875" cy="304800"/>
                    </a:xfrm>
                    <a:prstGeom prst="rect">
                      <a:avLst/>
                    </a:prstGeom>
                    <a:noFill/>
                    <a:ln>
                      <a:noFill/>
                    </a:ln>
                  </pic:spPr>
                </pic:pic>
              </a:graphicData>
            </a:graphic>
          </wp:inline>
        </w:drawing>
      </w:r>
    </w:p>
    <w:p w14:paraId="3AC6E82A">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式中：△S-单位质量表层土壤中某种物质的增量，g/kg；</w:t>
      </w:r>
    </w:p>
    <w:p w14:paraId="5E1C52EF">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Is-预测评价范围内单位年份表层土壤中某种物质的输入量，g；</w:t>
      </w:r>
    </w:p>
    <w:p w14:paraId="50CAF1D1">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Ls-预测评价范围内单位年份表层土壤中某种物质经淋溶排出的量，g；</w:t>
      </w:r>
    </w:p>
    <w:p w14:paraId="78A054EC">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Rs-预测评价范围内单位年份表层土壤中某种物质经径流排出的量，g；</w:t>
      </w:r>
    </w:p>
    <w:p w14:paraId="373A67CF">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ρb-表层土壤容重，kg/</w:t>
      </w:r>
      <w:r>
        <w:rPr>
          <w:rFonts w:hint="default" w:ascii="Times New Roman" w:hAnsi="Times New Roman" w:cs="Times New Roman"/>
          <w:color w:val="auto"/>
          <w:spacing w:val="0"/>
          <w:kern w:val="24"/>
          <w:sz w:val="24"/>
          <w:szCs w:val="22"/>
          <w:highlight w:val="none"/>
          <w:u w:val="none"/>
          <w:lang w:val="en-US" w:eastAsia="zh-CN" w:bidi="ar-SA"/>
        </w:rPr>
        <w:t>m</w:t>
      </w:r>
      <w:r>
        <w:rPr>
          <w:rFonts w:hint="default" w:ascii="Times New Roman" w:hAnsi="Times New Roman" w:cs="Times New Roman"/>
          <w:color w:val="auto"/>
          <w:spacing w:val="0"/>
          <w:kern w:val="24"/>
          <w:sz w:val="24"/>
          <w:szCs w:val="22"/>
          <w:highlight w:val="none"/>
          <w:u w:val="none"/>
          <w:vertAlign w:val="superscript"/>
          <w:lang w:val="en-US" w:eastAsia="zh-CN" w:bidi="ar-SA"/>
        </w:rPr>
        <w:t>3</w:t>
      </w:r>
      <w:r>
        <w:rPr>
          <w:rFonts w:hint="default" w:ascii="Times New Roman" w:hAnsi="Times New Roman" w:eastAsia="宋体" w:cs="Times New Roman"/>
          <w:color w:val="auto"/>
          <w:spacing w:val="0"/>
          <w:kern w:val="24"/>
          <w:sz w:val="24"/>
          <w:szCs w:val="22"/>
          <w:highlight w:val="none"/>
          <w:u w:val="none"/>
          <w:lang w:val="en-US" w:eastAsia="zh-CN" w:bidi="ar-SA"/>
        </w:rPr>
        <w:t>；</w:t>
      </w:r>
    </w:p>
    <w:p w14:paraId="1D46A295">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A-预测评价范围，m</w:t>
      </w:r>
      <w:r>
        <w:rPr>
          <w:rFonts w:hint="default" w:ascii="Times New Roman" w:hAnsi="Times New Roman" w:eastAsia="宋体" w:cs="Times New Roman"/>
          <w:color w:val="auto"/>
          <w:spacing w:val="0"/>
          <w:kern w:val="24"/>
          <w:sz w:val="24"/>
          <w:szCs w:val="22"/>
          <w:highlight w:val="none"/>
          <w:u w:val="none"/>
          <w:vertAlign w:val="superscript"/>
          <w:lang w:val="en-US" w:eastAsia="zh-CN" w:bidi="ar-SA"/>
        </w:rPr>
        <w:t>2</w:t>
      </w:r>
      <w:r>
        <w:rPr>
          <w:rFonts w:hint="default" w:ascii="Times New Roman" w:hAnsi="Times New Roman" w:eastAsia="宋体" w:cs="Times New Roman"/>
          <w:color w:val="auto"/>
          <w:spacing w:val="0"/>
          <w:kern w:val="24"/>
          <w:sz w:val="24"/>
          <w:szCs w:val="22"/>
          <w:highlight w:val="none"/>
          <w:u w:val="none"/>
          <w:lang w:val="en-US" w:eastAsia="zh-CN" w:bidi="ar-SA"/>
        </w:rPr>
        <w:t>；</w:t>
      </w:r>
    </w:p>
    <w:p w14:paraId="35A3740F">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D-表层土壤深度，一般取0.2m，可根据实际情况适当调整；</w:t>
      </w:r>
    </w:p>
    <w:p w14:paraId="15BF4174">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n-持续年份，a。</w:t>
      </w:r>
    </w:p>
    <w:p w14:paraId="59DC2C1A">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cs="Times New Roman"/>
          <w:color w:val="auto"/>
          <w:spacing w:val="0"/>
          <w:kern w:val="24"/>
          <w:sz w:val="24"/>
          <w:szCs w:val="22"/>
          <w:highlight w:val="none"/>
          <w:u w:val="none"/>
          <w:lang w:val="en-US" w:eastAsia="zh-CN" w:bidi="ar-SA"/>
        </w:rPr>
        <w:t>2）</w:t>
      </w:r>
      <w:r>
        <w:rPr>
          <w:rFonts w:hint="default" w:ascii="Times New Roman" w:hAnsi="Times New Roman" w:eastAsia="宋体" w:cs="Times New Roman"/>
          <w:color w:val="auto"/>
          <w:spacing w:val="0"/>
          <w:kern w:val="24"/>
          <w:sz w:val="24"/>
          <w:szCs w:val="22"/>
          <w:highlight w:val="none"/>
          <w:u w:val="none"/>
          <w:lang w:val="en-US" w:eastAsia="zh-CN" w:bidi="ar-SA"/>
        </w:rPr>
        <w:t>单位质量土壤中某种物质的预测值</w:t>
      </w:r>
    </w:p>
    <w:p w14:paraId="5C82B2E5">
      <w:pPr>
        <w:keepNext w:val="0"/>
        <w:keepLines w:val="0"/>
        <w:pageBreakBefore w:val="0"/>
        <w:widowControl w:val="0"/>
        <w:kinsoku/>
        <w:wordWrap/>
        <w:overflowPunct/>
        <w:topLinePunct w:val="0"/>
        <w:autoSpaceDE/>
        <w:autoSpaceDN/>
        <w:bidi w:val="0"/>
        <w:adjustRightInd/>
        <w:snapToGrid/>
        <w:spacing w:after="0" w:line="480" w:lineRule="exact"/>
        <w:ind w:firstLine="0" w:firstLineChars="0"/>
        <w:jc w:val="center"/>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S=Sb+△S</w:t>
      </w:r>
    </w:p>
    <w:p w14:paraId="367768F8">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S-单位质量土壤中某种物质的预测值，g/kg；</w:t>
      </w:r>
    </w:p>
    <w:p w14:paraId="49A8975F">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2"/>
          <w:highlight w:val="none"/>
          <w:u w:val="none"/>
          <w:lang w:val="en-US" w:eastAsia="zh-CN" w:bidi="ar-SA"/>
        </w:rPr>
        <w:t xml:space="preserve">    Sb-单位质量土壤中某种物质的现状值，g/kg。</w:t>
      </w:r>
    </w:p>
    <w:p w14:paraId="6014D31D">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auto"/>
          <w:spacing w:val="0"/>
          <w:kern w:val="24"/>
          <w:sz w:val="24"/>
          <w:szCs w:val="22"/>
          <w:highlight w:val="none"/>
          <w:u w:val="none"/>
          <w:lang w:val="en-US" w:eastAsia="zh-CN" w:bidi="ar-SA"/>
        </w:rPr>
      </w:pPr>
      <w:r>
        <w:rPr>
          <w:rFonts w:hint="default" w:ascii="Times New Roman" w:hAnsi="Times New Roman" w:eastAsia="宋体" w:cs="Times New Roman"/>
          <w:color w:val="auto"/>
          <w:spacing w:val="0"/>
          <w:kern w:val="24"/>
          <w:sz w:val="24"/>
          <w:szCs w:val="24"/>
          <w:highlight w:val="none"/>
          <w:u w:val="none"/>
          <w:lang w:val="en-US" w:eastAsia="zh-CN" w:bidi="ar-SA"/>
        </w:rPr>
        <w:t>项目所处区域气候干燥，年降雨量较小，项目考虑最不利情况，Ls和Rs取值均为0，预测评价范围为以泄漏点为中心20m×20m范围，表层土壤容重根据区域土壤理化特性调查取值为</w:t>
      </w:r>
      <w:r>
        <w:rPr>
          <w:rFonts w:hint="eastAsia" w:cs="Times New Roman"/>
          <w:color w:val="auto"/>
          <w:spacing w:val="0"/>
          <w:kern w:val="24"/>
          <w:sz w:val="24"/>
          <w:szCs w:val="24"/>
          <w:highlight w:val="none"/>
          <w:u w:val="none"/>
          <w:lang w:val="en-US" w:eastAsia="zh-CN" w:bidi="ar-SA"/>
        </w:rPr>
        <w:t>1.46</w:t>
      </w:r>
      <w:r>
        <w:rPr>
          <w:rFonts w:hint="default" w:ascii="Times New Roman" w:hAnsi="Times New Roman" w:eastAsia="宋体" w:cs="Times New Roman"/>
          <w:color w:val="auto"/>
          <w:spacing w:val="0"/>
          <w:kern w:val="24"/>
          <w:sz w:val="24"/>
          <w:szCs w:val="24"/>
          <w:highlight w:val="none"/>
          <w:u w:val="none"/>
          <w:shd w:val="clear" w:color="auto" w:fill="auto"/>
          <w:lang w:val="en-US" w:eastAsia="zh-CN" w:bidi="ar-SA"/>
        </w:rPr>
        <w:t>×10</w:t>
      </w:r>
      <w:r>
        <w:rPr>
          <w:rFonts w:hint="default" w:ascii="Times New Roman" w:hAnsi="Times New Roman" w:eastAsia="宋体" w:cs="Times New Roman"/>
          <w:color w:val="auto"/>
          <w:spacing w:val="0"/>
          <w:kern w:val="24"/>
          <w:sz w:val="24"/>
          <w:szCs w:val="24"/>
          <w:highlight w:val="none"/>
          <w:u w:val="none"/>
          <w:shd w:val="clear" w:color="auto" w:fill="auto"/>
          <w:vertAlign w:val="superscript"/>
          <w:lang w:val="en-US" w:eastAsia="zh-CN" w:bidi="ar-SA"/>
        </w:rPr>
        <w:t>3</w:t>
      </w:r>
      <w:r>
        <w:rPr>
          <w:rFonts w:hint="default" w:ascii="Times New Roman" w:hAnsi="Times New Roman" w:eastAsia="宋体" w:cs="Times New Roman"/>
          <w:color w:val="auto"/>
          <w:spacing w:val="0"/>
          <w:kern w:val="24"/>
          <w:sz w:val="24"/>
          <w:szCs w:val="24"/>
          <w:highlight w:val="none"/>
          <w:u w:val="none"/>
          <w:shd w:val="clear" w:color="auto" w:fill="auto"/>
          <w:lang w:val="en-US" w:eastAsia="zh-CN" w:bidi="ar-SA"/>
        </w:rPr>
        <w:t>kg/</w:t>
      </w:r>
      <w:r>
        <w:rPr>
          <w:rFonts w:hint="default" w:ascii="Times New Roman" w:hAnsi="Times New Roman" w:cs="Times New Roman"/>
          <w:color w:val="auto"/>
          <w:spacing w:val="0"/>
          <w:kern w:val="24"/>
          <w:sz w:val="24"/>
          <w:szCs w:val="24"/>
          <w:highlight w:val="none"/>
          <w:u w:val="none"/>
          <w:shd w:val="clear" w:color="auto" w:fill="auto"/>
          <w:lang w:val="en-US" w:eastAsia="zh-CN" w:bidi="ar-SA"/>
        </w:rPr>
        <w:t>m</w:t>
      </w:r>
      <w:r>
        <w:rPr>
          <w:rFonts w:hint="default" w:ascii="Times New Roman" w:hAnsi="Times New Roman" w:cs="Times New Roman"/>
          <w:color w:val="auto"/>
          <w:spacing w:val="0"/>
          <w:kern w:val="24"/>
          <w:sz w:val="24"/>
          <w:szCs w:val="24"/>
          <w:highlight w:val="none"/>
          <w:u w:val="none"/>
          <w:shd w:val="clear" w:color="auto" w:fill="auto"/>
          <w:vertAlign w:val="superscript"/>
          <w:lang w:val="en-US" w:eastAsia="zh-CN" w:bidi="ar-SA"/>
        </w:rPr>
        <w:t>3</w:t>
      </w:r>
      <w:r>
        <w:rPr>
          <w:rFonts w:hint="default" w:ascii="Times New Roman" w:hAnsi="Times New Roman" w:eastAsia="宋体" w:cs="Times New Roman"/>
          <w:color w:val="auto"/>
          <w:spacing w:val="0"/>
          <w:kern w:val="24"/>
          <w:sz w:val="24"/>
          <w:szCs w:val="24"/>
          <w:highlight w:val="none"/>
          <w:u w:val="none"/>
          <w:lang w:val="en-US" w:eastAsia="zh-CN" w:bidi="ar-SA"/>
        </w:rPr>
        <w:t>，根据区域土壤盐分监测结果，单位质量土壤中盐分含量的现状值为</w:t>
      </w:r>
      <w:r>
        <w:rPr>
          <w:rFonts w:hint="eastAsia" w:cs="Times New Roman"/>
          <w:color w:val="auto"/>
          <w:kern w:val="10"/>
          <w:sz w:val="24"/>
          <w:szCs w:val="24"/>
          <w:highlight w:val="none"/>
          <w:u w:val="none"/>
          <w:lang w:val="en-US" w:eastAsia="zh-CN"/>
        </w:rPr>
        <w:t>0.78</w:t>
      </w:r>
      <w:r>
        <w:rPr>
          <w:rFonts w:hint="eastAsia" w:ascii="Times New Roman" w:hAnsi="Times New Roman" w:eastAsia="宋体" w:cs="Times New Roman"/>
          <w:color w:val="auto"/>
          <w:kern w:val="10"/>
          <w:sz w:val="24"/>
          <w:szCs w:val="24"/>
          <w:highlight w:val="none"/>
          <w:u w:val="none"/>
          <w:lang w:val="en-US" w:eastAsia="zh-CN"/>
        </w:rPr>
        <w:t>g/kg</w:t>
      </w:r>
      <w:r>
        <w:rPr>
          <w:rFonts w:hint="default" w:ascii="Times New Roman" w:hAnsi="Times New Roman" w:eastAsia="宋体" w:cs="Times New Roman"/>
          <w:color w:val="auto"/>
          <w:spacing w:val="0"/>
          <w:kern w:val="24"/>
          <w:sz w:val="24"/>
          <w:szCs w:val="24"/>
          <w:highlight w:val="none"/>
          <w:u w:val="none"/>
          <w:lang w:val="en-US" w:eastAsia="zh-CN" w:bidi="ar-SA"/>
        </w:rPr>
        <w:t>。</w:t>
      </w:r>
      <w:r>
        <w:rPr>
          <w:rFonts w:hint="default" w:ascii="Times New Roman" w:hAnsi="Times New Roman" w:cs="Times New Roman"/>
          <w:color w:val="auto"/>
          <w:sz w:val="24"/>
          <w:szCs w:val="24"/>
          <w:highlight w:val="none"/>
          <w:u w:val="none"/>
        </w:rPr>
        <w:t>预测年份为0.027a</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10天</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w:t>
      </w:r>
    </w:p>
    <w:p w14:paraId="44C8EB5A">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b w:val="0"/>
          <w:bCs w:val="0"/>
          <w:color w:val="auto"/>
          <w:spacing w:val="0"/>
          <w:kern w:val="24"/>
          <w:sz w:val="24"/>
          <w:szCs w:val="22"/>
          <w:highlight w:val="none"/>
          <w:u w:val="none"/>
          <w:lang w:val="en-US" w:eastAsia="zh-CN" w:bidi="ar-SA"/>
        </w:rPr>
      </w:pPr>
      <w:r>
        <w:rPr>
          <w:rFonts w:hint="default" w:ascii="Times New Roman" w:hAnsi="Times New Roman" w:eastAsia="宋体" w:cs="Times New Roman"/>
          <w:b w:val="0"/>
          <w:bCs w:val="0"/>
          <w:color w:val="auto"/>
          <w:spacing w:val="0"/>
          <w:kern w:val="24"/>
          <w:sz w:val="24"/>
          <w:szCs w:val="22"/>
          <w:highlight w:val="none"/>
          <w:u w:val="none"/>
          <w:lang w:val="en-US" w:eastAsia="zh-CN" w:bidi="ar-SA"/>
        </w:rPr>
        <w:t>根据上述计算结果，</w:t>
      </w:r>
      <w:r>
        <w:rPr>
          <w:rFonts w:hint="default" w:ascii="Times New Roman" w:hAnsi="Times New Roman" w:cs="Times New Roman"/>
          <w:b w:val="0"/>
          <w:bCs w:val="0"/>
          <w:color w:val="auto"/>
          <w:spacing w:val="0"/>
          <w:kern w:val="24"/>
          <w:sz w:val="24"/>
          <w:szCs w:val="22"/>
          <w:highlight w:val="none"/>
          <w:u w:val="none"/>
          <w:lang w:val="en-US" w:eastAsia="zh-CN" w:bidi="ar-SA"/>
        </w:rPr>
        <w:t>在10天内，单位质量土壤中盐分含量的增量为0.</w:t>
      </w:r>
      <w:r>
        <w:rPr>
          <w:rFonts w:hint="eastAsia" w:ascii="Times New Roman" w:hAnsi="Times New Roman" w:cs="Times New Roman"/>
          <w:b w:val="0"/>
          <w:bCs w:val="0"/>
          <w:color w:val="auto"/>
          <w:spacing w:val="0"/>
          <w:kern w:val="24"/>
          <w:sz w:val="24"/>
          <w:szCs w:val="22"/>
          <w:highlight w:val="none"/>
          <w:u w:val="none"/>
          <w:lang w:val="en-US" w:eastAsia="zh-CN" w:bidi="ar-SA"/>
        </w:rPr>
        <w:t>0</w:t>
      </w:r>
      <w:r>
        <w:rPr>
          <w:rFonts w:hint="eastAsia" w:cs="Times New Roman"/>
          <w:b w:val="0"/>
          <w:bCs w:val="0"/>
          <w:color w:val="auto"/>
          <w:spacing w:val="0"/>
          <w:kern w:val="24"/>
          <w:sz w:val="24"/>
          <w:szCs w:val="22"/>
          <w:highlight w:val="none"/>
          <w:u w:val="none"/>
          <w:lang w:val="en-US" w:eastAsia="zh-CN" w:bidi="ar-SA"/>
        </w:rPr>
        <w:t>2</w:t>
      </w:r>
      <w:r>
        <w:rPr>
          <w:rFonts w:hint="default" w:ascii="Times New Roman" w:hAnsi="Times New Roman" w:cs="Times New Roman"/>
          <w:b w:val="0"/>
          <w:bCs w:val="0"/>
          <w:color w:val="auto"/>
          <w:spacing w:val="0"/>
          <w:kern w:val="24"/>
          <w:sz w:val="24"/>
          <w:szCs w:val="22"/>
          <w:highlight w:val="none"/>
          <w:u w:val="none"/>
          <w:lang w:val="en-US" w:eastAsia="zh-CN" w:bidi="ar-SA"/>
        </w:rPr>
        <w:t>g/kg</w:t>
      </w:r>
      <w:r>
        <w:rPr>
          <w:rFonts w:hint="default" w:ascii="Times New Roman" w:hAnsi="Times New Roman" w:eastAsia="宋体" w:cs="Times New Roman"/>
          <w:b w:val="0"/>
          <w:bCs w:val="0"/>
          <w:color w:val="auto"/>
          <w:spacing w:val="0"/>
          <w:kern w:val="24"/>
          <w:sz w:val="24"/>
          <w:szCs w:val="22"/>
          <w:highlight w:val="none"/>
          <w:u w:val="none"/>
          <w:lang w:val="en-US" w:eastAsia="zh-CN" w:bidi="ar-SA"/>
        </w:rPr>
        <w:t>，叠加现状值后的预测值为</w:t>
      </w:r>
      <w:r>
        <w:rPr>
          <w:rFonts w:hint="eastAsia" w:cs="Times New Roman"/>
          <w:b w:val="0"/>
          <w:bCs w:val="0"/>
          <w:color w:val="auto"/>
          <w:spacing w:val="0"/>
          <w:kern w:val="24"/>
          <w:sz w:val="24"/>
          <w:szCs w:val="22"/>
          <w:highlight w:val="none"/>
          <w:u w:val="none"/>
          <w:lang w:val="en-US" w:eastAsia="zh-CN" w:bidi="ar-SA"/>
        </w:rPr>
        <w:t>0.782</w:t>
      </w:r>
      <w:r>
        <w:rPr>
          <w:rFonts w:hint="default" w:ascii="Times New Roman" w:hAnsi="Times New Roman" w:eastAsia="宋体" w:cs="Times New Roman"/>
          <w:b w:val="0"/>
          <w:bCs w:val="0"/>
          <w:color w:val="auto"/>
          <w:spacing w:val="0"/>
          <w:kern w:val="24"/>
          <w:sz w:val="24"/>
          <w:szCs w:val="22"/>
          <w:highlight w:val="none"/>
          <w:u w:val="none"/>
          <w:lang w:val="en-US" w:eastAsia="zh-CN" w:bidi="ar-SA"/>
        </w:rPr>
        <w:t>g/kg。</w:t>
      </w:r>
    </w:p>
    <w:p w14:paraId="6C1FB980">
      <w:pPr>
        <w:pageBreakBefore w:val="0"/>
        <w:widowControl/>
        <w:kinsoku/>
        <w:wordWrap/>
        <w:overflowPunct/>
        <w:topLinePunct w:val="0"/>
        <w:autoSpaceDE/>
        <w:autoSpaceDN/>
        <w:bidi w:val="0"/>
        <w:adjustRightInd/>
        <w:snapToGrid/>
        <w:spacing w:line="480" w:lineRule="exact"/>
        <w:ind w:firstLine="496"/>
        <w:jc w:val="left"/>
        <w:textAlignment w:val="auto"/>
        <w:rPr>
          <w:rFonts w:hint="default" w:ascii="Times New Roman" w:hAnsi="Times New Roman" w:cs="Times New Roman"/>
          <w:color w:val="auto"/>
          <w:spacing w:val="0"/>
          <w:sz w:val="24"/>
          <w:szCs w:val="22"/>
          <w:highlight w:val="none"/>
          <w:u w:val="none"/>
          <w:lang w:val="en-US" w:eastAsia="zh-CN"/>
        </w:rPr>
      </w:pPr>
      <w:r>
        <w:rPr>
          <w:rFonts w:hint="default" w:ascii="Times New Roman" w:hAnsi="Times New Roman" w:eastAsia="宋体" w:cs="Times New Roman"/>
          <w:color w:val="auto"/>
          <w:spacing w:val="0"/>
          <w:sz w:val="24"/>
          <w:szCs w:val="22"/>
          <w:highlight w:val="none"/>
          <w:u w:val="none"/>
        </w:rPr>
        <w:t>从预测结果可知，发生泄漏后，泄漏点周边区域土壤中盐分含量</w:t>
      </w:r>
      <w:r>
        <w:rPr>
          <w:rFonts w:hint="default" w:ascii="Times New Roman" w:hAnsi="Times New Roman" w:cs="Times New Roman"/>
          <w:color w:val="auto"/>
          <w:spacing w:val="0"/>
          <w:sz w:val="24"/>
          <w:szCs w:val="22"/>
          <w:highlight w:val="none"/>
          <w:u w:val="none"/>
          <w:lang w:val="en-US" w:eastAsia="zh-CN"/>
        </w:rPr>
        <w:t>变化很小。土壤盐化程度不变。</w:t>
      </w:r>
      <w:r>
        <w:rPr>
          <w:rFonts w:hint="default" w:ascii="Times New Roman" w:hAnsi="Times New Roman" w:eastAsia="宋体" w:cs="Times New Roman"/>
          <w:color w:val="auto"/>
          <w:spacing w:val="0"/>
          <w:sz w:val="24"/>
          <w:szCs w:val="22"/>
          <w:highlight w:val="none"/>
          <w:u w:val="none"/>
        </w:rPr>
        <w:t>在发生泄漏后，</w:t>
      </w:r>
      <w:r>
        <w:rPr>
          <w:rFonts w:hint="eastAsia" w:ascii="Times New Roman" w:hAnsi="Times New Roman" w:cs="Times New Roman"/>
          <w:color w:val="auto"/>
          <w:spacing w:val="0"/>
          <w:sz w:val="24"/>
          <w:szCs w:val="22"/>
          <w:highlight w:val="none"/>
          <w:u w:val="none"/>
          <w:lang w:val="en-US" w:eastAsia="zh-CN"/>
        </w:rPr>
        <w:t>新疆</w:t>
      </w:r>
      <w:r>
        <w:rPr>
          <w:rFonts w:hint="default" w:ascii="Times New Roman" w:hAnsi="Times New Roman" w:eastAsia="宋体" w:cs="Times New Roman"/>
          <w:color w:val="auto"/>
          <w:spacing w:val="0"/>
          <w:sz w:val="24"/>
          <w:szCs w:val="22"/>
          <w:highlight w:val="none"/>
          <w:u w:val="none"/>
        </w:rPr>
        <w:t>油田公司</w:t>
      </w:r>
      <w:r>
        <w:rPr>
          <w:rFonts w:hint="default" w:ascii="Times New Roman" w:hAnsi="Times New Roman" w:cs="Times New Roman"/>
          <w:color w:val="auto"/>
          <w:spacing w:val="0"/>
          <w:sz w:val="24"/>
          <w:szCs w:val="22"/>
          <w:highlight w:val="none"/>
          <w:u w:val="none"/>
          <w:lang w:val="en-US" w:eastAsia="zh-CN"/>
        </w:rPr>
        <w:t>应</w:t>
      </w:r>
      <w:r>
        <w:rPr>
          <w:rFonts w:hint="default" w:ascii="Times New Roman" w:hAnsi="Times New Roman" w:eastAsia="宋体" w:cs="Times New Roman"/>
          <w:color w:val="auto"/>
          <w:spacing w:val="0"/>
          <w:sz w:val="24"/>
          <w:szCs w:val="22"/>
          <w:highlight w:val="none"/>
          <w:u w:val="none"/>
        </w:rPr>
        <w:t>按照要求将泄漏点周围区域土壤进行清理</w:t>
      </w:r>
      <w:r>
        <w:rPr>
          <w:rFonts w:hint="default" w:ascii="Times New Roman" w:hAnsi="Times New Roman" w:cs="Times New Roman"/>
          <w:color w:val="auto"/>
          <w:spacing w:val="0"/>
          <w:sz w:val="24"/>
          <w:szCs w:val="22"/>
          <w:highlight w:val="none"/>
          <w:u w:val="none"/>
          <w:lang w:eastAsia="zh-CN"/>
        </w:rPr>
        <w:t>，</w:t>
      </w:r>
      <w:r>
        <w:rPr>
          <w:rFonts w:hint="default" w:ascii="Times New Roman" w:hAnsi="Times New Roman" w:cs="Times New Roman"/>
          <w:color w:val="auto"/>
          <w:spacing w:val="0"/>
          <w:sz w:val="24"/>
          <w:szCs w:val="22"/>
          <w:highlight w:val="none"/>
          <w:u w:val="none"/>
          <w:lang w:val="en-US" w:eastAsia="zh-CN"/>
        </w:rPr>
        <w:t>将泄漏事故对土壤环境的影响减至最低</w:t>
      </w:r>
      <w:r>
        <w:rPr>
          <w:rFonts w:hint="eastAsia" w:ascii="Times New Roman" w:hAnsi="Times New Roman" w:cs="Times New Roman"/>
          <w:color w:val="auto"/>
          <w:spacing w:val="0"/>
          <w:sz w:val="24"/>
          <w:szCs w:val="22"/>
          <w:highlight w:val="none"/>
          <w:u w:val="none"/>
          <w:lang w:val="en-US" w:eastAsia="zh-CN"/>
        </w:rPr>
        <w:t>。</w:t>
      </w:r>
    </w:p>
    <w:p w14:paraId="2889B7EC">
      <w:pPr>
        <w:pageBreakBefore w:val="0"/>
        <w:widowControl/>
        <w:kinsoku/>
        <w:wordWrap/>
        <w:overflowPunct/>
        <w:topLinePunct w:val="0"/>
        <w:autoSpaceDE/>
        <w:autoSpaceDN/>
        <w:bidi w:val="0"/>
        <w:adjustRightInd/>
        <w:snapToGrid/>
        <w:spacing w:line="480" w:lineRule="exact"/>
        <w:ind w:firstLine="496"/>
        <w:jc w:val="left"/>
        <w:textAlignment w:val="auto"/>
        <w:rPr>
          <w:rFonts w:hint="eastAsia" w:ascii="Times New Roman" w:hAnsi="Times New Roman" w:cs="Times New Roman"/>
          <w:color w:val="auto"/>
          <w:spacing w:val="0"/>
          <w:sz w:val="24"/>
          <w:szCs w:val="22"/>
          <w:highlight w:val="none"/>
          <w:u w:val="none"/>
          <w:lang w:val="en-US" w:eastAsia="zh-CN"/>
        </w:rPr>
      </w:pPr>
      <w:r>
        <w:rPr>
          <w:rFonts w:hint="eastAsia" w:ascii="Times New Roman" w:hAnsi="Times New Roman" w:cs="Times New Roman"/>
          <w:color w:val="auto"/>
          <w:spacing w:val="0"/>
          <w:sz w:val="24"/>
          <w:szCs w:val="22"/>
          <w:highlight w:val="none"/>
          <w:u w:val="none"/>
          <w:lang w:val="en-US" w:eastAsia="zh-CN"/>
        </w:rPr>
        <w:t>（2）污染影响型</w:t>
      </w:r>
    </w:p>
    <w:p w14:paraId="58155E48">
      <w:pPr>
        <w:pageBreakBefore w:val="0"/>
        <w:widowControl/>
        <w:kinsoku/>
        <w:wordWrap/>
        <w:overflowPunct/>
        <w:topLinePunct w:val="0"/>
        <w:autoSpaceDE/>
        <w:autoSpaceDN/>
        <w:bidi w:val="0"/>
        <w:adjustRightInd/>
        <w:snapToGrid/>
        <w:spacing w:line="480" w:lineRule="exact"/>
        <w:ind w:firstLine="496"/>
        <w:jc w:val="left"/>
        <w:textAlignment w:val="auto"/>
        <w:rPr>
          <w:rFonts w:ascii="宋体" w:hAnsi="宋体" w:cs="宋体"/>
          <w:color w:val="auto"/>
          <w:spacing w:val="4"/>
          <w:kern w:val="24"/>
          <w:sz w:val="24"/>
          <w:szCs w:val="24"/>
          <w:highlight w:val="none"/>
          <w:u w:val="none"/>
        </w:rPr>
      </w:pPr>
      <w:r>
        <w:rPr>
          <w:rFonts w:ascii="宋体" w:hAnsi="宋体" w:cs="宋体"/>
          <w:color w:val="auto"/>
          <w:kern w:val="0"/>
          <w:sz w:val="24"/>
          <w:szCs w:val="24"/>
          <w:highlight w:val="none"/>
          <w:u w:val="none"/>
        </w:rPr>
        <w:t>本次土壤环境影响</w:t>
      </w:r>
      <w:r>
        <w:rPr>
          <w:rFonts w:ascii="宋体" w:hAnsi="宋体" w:cs="宋体"/>
          <w:color w:val="auto"/>
          <w:spacing w:val="4"/>
          <w:kern w:val="24"/>
          <w:sz w:val="24"/>
          <w:szCs w:val="24"/>
          <w:highlight w:val="none"/>
          <w:u w:val="none"/>
        </w:rPr>
        <w:t>主要考虑非正常工况下，</w:t>
      </w:r>
      <w:r>
        <w:rPr>
          <w:rFonts w:hint="eastAsia" w:ascii="宋体" w:hAnsi="宋体" w:cs="宋体"/>
          <w:color w:val="auto"/>
          <w:spacing w:val="4"/>
          <w:kern w:val="24"/>
          <w:sz w:val="24"/>
          <w:szCs w:val="24"/>
          <w:highlight w:val="none"/>
          <w:u w:val="none"/>
        </w:rPr>
        <w:t>井喷的落地油、井下作业废水、集输管道以及</w:t>
      </w:r>
      <w:r>
        <w:rPr>
          <w:rFonts w:hint="eastAsia" w:ascii="宋体" w:hAnsi="宋体" w:cs="宋体"/>
          <w:color w:val="auto"/>
          <w:spacing w:val="4"/>
          <w:kern w:val="24"/>
          <w:sz w:val="24"/>
          <w:szCs w:val="24"/>
          <w:highlight w:val="none"/>
          <w:u w:val="none"/>
          <w:lang w:val="en-US" w:eastAsia="zh-CN"/>
        </w:rPr>
        <w:t>站场设备</w:t>
      </w:r>
      <w:r>
        <w:rPr>
          <w:rFonts w:ascii="宋体" w:hAnsi="宋体" w:cs="宋体"/>
          <w:color w:val="auto"/>
          <w:kern w:val="0"/>
          <w:sz w:val="24"/>
          <w:szCs w:val="24"/>
          <w:highlight w:val="none"/>
          <w:u w:val="none"/>
        </w:rPr>
        <w:t>的</w:t>
      </w:r>
      <w:r>
        <w:rPr>
          <w:rFonts w:ascii="宋体" w:hAnsi="宋体" w:cs="宋体"/>
          <w:color w:val="auto"/>
          <w:spacing w:val="4"/>
          <w:kern w:val="24"/>
          <w:sz w:val="24"/>
          <w:szCs w:val="24"/>
          <w:highlight w:val="none"/>
          <w:u w:val="none"/>
        </w:rPr>
        <w:t>采出液</w:t>
      </w:r>
      <w:r>
        <w:rPr>
          <w:rFonts w:hint="eastAsia" w:ascii="宋体" w:hAnsi="宋体" w:cs="宋体"/>
          <w:color w:val="auto"/>
          <w:spacing w:val="4"/>
          <w:kern w:val="24"/>
          <w:sz w:val="24"/>
          <w:szCs w:val="24"/>
          <w:highlight w:val="none"/>
          <w:u w:val="none"/>
        </w:rPr>
        <w:t>泄漏</w:t>
      </w:r>
      <w:r>
        <w:rPr>
          <w:rFonts w:ascii="宋体" w:hAnsi="宋体" w:cs="宋体"/>
          <w:color w:val="auto"/>
          <w:spacing w:val="4"/>
          <w:kern w:val="24"/>
          <w:sz w:val="24"/>
          <w:szCs w:val="24"/>
          <w:highlight w:val="none"/>
          <w:u w:val="none"/>
        </w:rPr>
        <w:t>，垂直入渗对土壤的环境影响。</w:t>
      </w:r>
    </w:p>
    <w:p w14:paraId="08A19D50">
      <w:pPr>
        <w:pageBreakBefore w:val="0"/>
        <w:widowControl/>
        <w:kinsoku/>
        <w:wordWrap/>
        <w:overflowPunct/>
        <w:topLinePunct w:val="0"/>
        <w:autoSpaceDE/>
        <w:autoSpaceDN/>
        <w:bidi w:val="0"/>
        <w:adjustRightInd/>
        <w:snapToGrid/>
        <w:spacing w:line="480" w:lineRule="exact"/>
        <w:ind w:firstLine="496"/>
        <w:jc w:val="left"/>
        <w:textAlignment w:val="auto"/>
        <w:rPr>
          <w:rFonts w:ascii="宋体" w:hAnsi="宋体" w:cs="宋体"/>
          <w:color w:val="auto"/>
          <w:spacing w:val="4"/>
          <w:kern w:val="24"/>
          <w:sz w:val="24"/>
          <w:szCs w:val="24"/>
          <w:highlight w:val="none"/>
          <w:u w:val="none"/>
        </w:rPr>
      </w:pPr>
      <w:r>
        <w:rPr>
          <w:rFonts w:ascii="宋体" w:hAnsi="宋体" w:cs="宋体"/>
          <w:color w:val="auto"/>
          <w:kern w:val="0"/>
          <w:sz w:val="24"/>
          <w:szCs w:val="24"/>
          <w:highlight w:val="none"/>
          <w:u w:val="none"/>
        </w:rPr>
        <w:t>项目区</w:t>
      </w:r>
      <w:r>
        <w:rPr>
          <w:rFonts w:hint="eastAsia" w:ascii="宋体" w:hAnsi="宋体" w:cs="宋体"/>
          <w:color w:val="auto"/>
          <w:kern w:val="0"/>
          <w:sz w:val="24"/>
          <w:szCs w:val="24"/>
          <w:highlight w:val="none"/>
          <w:u w:val="none"/>
          <w:lang w:val="en-US" w:eastAsia="zh-CN"/>
        </w:rPr>
        <w:t>土地利用类型</w:t>
      </w:r>
      <w:r>
        <w:rPr>
          <w:rFonts w:ascii="宋体" w:hAnsi="宋体" w:cs="宋体"/>
          <w:color w:val="auto"/>
          <w:kern w:val="0"/>
          <w:sz w:val="24"/>
          <w:szCs w:val="24"/>
          <w:highlight w:val="none"/>
          <w:u w:val="none"/>
        </w:rPr>
        <w:t>为</w:t>
      </w:r>
      <w:r>
        <w:rPr>
          <w:rStyle w:val="164"/>
          <w:rFonts w:hint="eastAsia" w:ascii="Times New Roman" w:hAnsi="Times New Roman" w:cs="Times New Roman"/>
          <w:color w:val="auto"/>
          <w:szCs w:val="24"/>
          <w:highlight w:val="none"/>
          <w:u w:val="none"/>
          <w:lang w:eastAsia="zh-CN"/>
        </w:rPr>
        <w:t>沙地</w:t>
      </w:r>
      <w:r>
        <w:rPr>
          <w:rFonts w:ascii="宋体" w:hAnsi="宋体" w:cs="宋体"/>
          <w:color w:val="auto"/>
          <w:kern w:val="0"/>
          <w:sz w:val="24"/>
          <w:szCs w:val="24"/>
          <w:highlight w:val="none"/>
          <w:u w:val="none"/>
        </w:rPr>
        <w:t>，土壤类型为</w:t>
      </w:r>
      <w:r>
        <w:rPr>
          <w:rFonts w:hint="eastAsia" w:ascii="宋体" w:hAnsi="宋体" w:cs="宋体"/>
          <w:color w:val="auto"/>
          <w:kern w:val="0"/>
          <w:sz w:val="24"/>
          <w:szCs w:val="24"/>
          <w:highlight w:val="none"/>
          <w:u w:val="none"/>
          <w:lang w:val="en-US" w:eastAsia="zh-CN"/>
        </w:rPr>
        <w:t>风沙土</w:t>
      </w:r>
      <w:r>
        <w:rPr>
          <w:rFonts w:ascii="宋体" w:hAnsi="宋体" w:cs="宋体"/>
          <w:color w:val="auto"/>
          <w:kern w:val="0"/>
          <w:sz w:val="24"/>
          <w:szCs w:val="24"/>
          <w:highlight w:val="none"/>
          <w:u w:val="none"/>
        </w:rPr>
        <w:t>。根据工程建设涉及的垂直入渗途径，给出工程建设在各实施阶段不同环节与不同环境影响防控措施下预测因子的土壤环境影响范围与程度，对工程建设产生的土壤</w:t>
      </w:r>
      <w:r>
        <w:rPr>
          <w:rFonts w:hint="default" w:ascii="Times New Roman" w:hAnsi="Times New Roman" w:cs="Times New Roman"/>
          <w:color w:val="auto"/>
          <w:kern w:val="0"/>
          <w:sz w:val="24"/>
          <w:szCs w:val="24"/>
          <w:highlight w:val="none"/>
          <w:u w:val="none"/>
        </w:rPr>
        <w:t>包气带环境影响进行综合评价。</w:t>
      </w:r>
      <w:r>
        <w:rPr>
          <w:rFonts w:hint="default" w:ascii="Times New Roman" w:hAnsi="Times New Roman" w:cs="Times New Roman"/>
          <w:color w:val="auto"/>
          <w:spacing w:val="4"/>
          <w:kern w:val="24"/>
          <w:sz w:val="24"/>
          <w:szCs w:val="24"/>
          <w:highlight w:val="none"/>
          <w:u w:val="none"/>
        </w:rPr>
        <w:t>运营期</w:t>
      </w:r>
      <w:r>
        <w:rPr>
          <w:rFonts w:hint="eastAsia" w:ascii="Times New Roman" w:hAnsi="Times New Roman" w:cs="Times New Roman"/>
          <w:color w:val="auto"/>
          <w:spacing w:val="4"/>
          <w:kern w:val="24"/>
          <w:sz w:val="24"/>
          <w:szCs w:val="24"/>
          <w:highlight w:val="none"/>
          <w:u w:val="none"/>
          <w:lang w:eastAsia="zh-CN"/>
        </w:rPr>
        <w:t>本工程</w:t>
      </w:r>
      <w:r>
        <w:rPr>
          <w:rFonts w:hint="default" w:ascii="Times New Roman" w:hAnsi="Times New Roman" w:cs="Times New Roman"/>
          <w:color w:val="auto"/>
          <w:spacing w:val="4"/>
          <w:kern w:val="24"/>
          <w:sz w:val="24"/>
          <w:szCs w:val="24"/>
          <w:highlight w:val="none"/>
          <w:u w:val="none"/>
        </w:rPr>
        <w:t>土壤影响类型与途径</w:t>
      </w:r>
      <w:r>
        <w:rPr>
          <w:rFonts w:hint="eastAsia" w:cs="Times New Roman"/>
          <w:color w:val="auto"/>
          <w:spacing w:val="4"/>
          <w:kern w:val="24"/>
          <w:sz w:val="24"/>
          <w:szCs w:val="24"/>
          <w:highlight w:val="none"/>
          <w:u w:val="none"/>
          <w:lang w:eastAsia="zh-CN"/>
        </w:rPr>
        <w:t>，</w:t>
      </w:r>
      <w:r>
        <w:rPr>
          <w:rFonts w:hint="default" w:ascii="Times New Roman" w:hAnsi="Times New Roman" w:cs="Times New Roman"/>
          <w:color w:val="auto"/>
          <w:spacing w:val="4"/>
          <w:kern w:val="24"/>
          <w:sz w:val="24"/>
          <w:szCs w:val="24"/>
          <w:highlight w:val="none"/>
          <w:u w:val="none"/>
        </w:rPr>
        <w:t>见表5.</w:t>
      </w:r>
      <w:r>
        <w:rPr>
          <w:rFonts w:hint="eastAsia" w:cs="Times New Roman"/>
          <w:color w:val="auto"/>
          <w:spacing w:val="4"/>
          <w:kern w:val="24"/>
          <w:sz w:val="24"/>
          <w:szCs w:val="24"/>
          <w:highlight w:val="none"/>
          <w:u w:val="none"/>
          <w:lang w:val="en-US" w:eastAsia="zh-CN"/>
        </w:rPr>
        <w:t>6</w:t>
      </w:r>
      <w:r>
        <w:rPr>
          <w:rFonts w:hint="default" w:ascii="Times New Roman" w:hAnsi="Times New Roman" w:cs="Times New Roman"/>
          <w:color w:val="auto"/>
          <w:spacing w:val="4"/>
          <w:kern w:val="24"/>
          <w:sz w:val="24"/>
          <w:szCs w:val="24"/>
          <w:highlight w:val="none"/>
          <w:u w:val="none"/>
        </w:rPr>
        <w:t>-</w:t>
      </w:r>
      <w:r>
        <w:rPr>
          <w:rFonts w:hint="default" w:ascii="Times New Roman" w:hAnsi="Times New Roman" w:cs="Times New Roman"/>
          <w:color w:val="auto"/>
          <w:spacing w:val="4"/>
          <w:kern w:val="24"/>
          <w:sz w:val="24"/>
          <w:szCs w:val="24"/>
          <w:highlight w:val="none"/>
          <w:u w:val="none"/>
          <w:lang w:val="en-US" w:eastAsia="zh-CN"/>
        </w:rPr>
        <w:t>1</w:t>
      </w:r>
      <w:r>
        <w:rPr>
          <w:rFonts w:hint="eastAsia" w:cs="Times New Roman"/>
          <w:color w:val="auto"/>
          <w:spacing w:val="4"/>
          <w:kern w:val="24"/>
          <w:sz w:val="24"/>
          <w:szCs w:val="24"/>
          <w:highlight w:val="none"/>
          <w:u w:val="none"/>
          <w:lang w:eastAsia="zh-CN"/>
        </w:rPr>
        <w:t>；</w:t>
      </w:r>
      <w:r>
        <w:rPr>
          <w:rFonts w:hint="default" w:ascii="Times New Roman" w:hAnsi="Times New Roman" w:cs="Times New Roman"/>
          <w:color w:val="auto"/>
          <w:spacing w:val="4"/>
          <w:kern w:val="24"/>
          <w:sz w:val="24"/>
          <w:szCs w:val="24"/>
          <w:highlight w:val="none"/>
          <w:u w:val="none"/>
        </w:rPr>
        <w:t>影响因子</w:t>
      </w:r>
      <w:r>
        <w:rPr>
          <w:rFonts w:hint="eastAsia" w:cs="Times New Roman"/>
          <w:color w:val="auto"/>
          <w:spacing w:val="4"/>
          <w:kern w:val="24"/>
          <w:sz w:val="24"/>
          <w:szCs w:val="24"/>
          <w:highlight w:val="none"/>
          <w:u w:val="none"/>
          <w:lang w:eastAsia="zh-CN"/>
        </w:rPr>
        <w:t>，</w:t>
      </w:r>
      <w:r>
        <w:rPr>
          <w:rFonts w:hint="default" w:ascii="Times New Roman" w:hAnsi="Times New Roman" w:cs="Times New Roman"/>
          <w:color w:val="auto"/>
          <w:spacing w:val="4"/>
          <w:kern w:val="24"/>
          <w:sz w:val="24"/>
          <w:szCs w:val="24"/>
          <w:highlight w:val="none"/>
          <w:u w:val="none"/>
        </w:rPr>
        <w:t>见表5.</w:t>
      </w:r>
      <w:r>
        <w:rPr>
          <w:rFonts w:hint="eastAsia" w:cs="Times New Roman"/>
          <w:color w:val="auto"/>
          <w:spacing w:val="4"/>
          <w:kern w:val="24"/>
          <w:sz w:val="24"/>
          <w:szCs w:val="24"/>
          <w:highlight w:val="none"/>
          <w:u w:val="none"/>
          <w:lang w:val="en-US" w:eastAsia="zh-CN"/>
        </w:rPr>
        <w:t>6</w:t>
      </w:r>
      <w:r>
        <w:rPr>
          <w:rFonts w:hint="default" w:ascii="Times New Roman" w:hAnsi="Times New Roman" w:cs="Times New Roman"/>
          <w:color w:val="auto"/>
          <w:spacing w:val="4"/>
          <w:kern w:val="24"/>
          <w:sz w:val="24"/>
          <w:szCs w:val="24"/>
          <w:highlight w:val="none"/>
          <w:u w:val="none"/>
        </w:rPr>
        <w:t>-</w:t>
      </w:r>
      <w:r>
        <w:rPr>
          <w:rFonts w:hint="default" w:ascii="Times New Roman" w:hAnsi="Times New Roman" w:cs="Times New Roman"/>
          <w:color w:val="auto"/>
          <w:spacing w:val="4"/>
          <w:kern w:val="24"/>
          <w:sz w:val="24"/>
          <w:szCs w:val="24"/>
          <w:highlight w:val="none"/>
          <w:u w:val="none"/>
          <w:lang w:val="en-US" w:eastAsia="zh-CN"/>
        </w:rPr>
        <w:t>2</w:t>
      </w:r>
      <w:r>
        <w:rPr>
          <w:rFonts w:hint="default" w:ascii="Times New Roman" w:hAnsi="Times New Roman" w:cs="Times New Roman"/>
          <w:color w:val="auto"/>
          <w:spacing w:val="4"/>
          <w:kern w:val="24"/>
          <w:sz w:val="24"/>
          <w:szCs w:val="24"/>
          <w:highlight w:val="none"/>
          <w:u w:val="none"/>
        </w:rPr>
        <w:t>。</w:t>
      </w:r>
    </w:p>
    <w:p w14:paraId="419C9C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黑体" w:hAnsi="黑体" w:eastAsia="黑体" w:cs="黑体"/>
          <w:b/>
          <w:bCs/>
          <w:color w:val="auto"/>
          <w:kern w:val="0"/>
          <w:sz w:val="21"/>
          <w:szCs w:val="21"/>
          <w:highlight w:val="none"/>
          <w:u w:val="none"/>
        </w:rPr>
      </w:pPr>
      <w:r>
        <w:rPr>
          <w:rFonts w:hint="eastAsia" w:ascii="黑体" w:hAnsi="黑体" w:eastAsia="黑体" w:cs="黑体"/>
          <w:b w:val="0"/>
          <w:bCs/>
          <w:color w:val="auto"/>
          <w:kern w:val="2"/>
          <w:sz w:val="24"/>
          <w:szCs w:val="24"/>
          <w:u w:val="none"/>
          <w:lang w:val="en-US" w:eastAsia="zh-CN" w:bidi="ar-SA"/>
        </w:rPr>
        <w:t>表5.6-1  建设项目土壤环境影响类型与影响途径表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1914"/>
        <w:gridCol w:w="1976"/>
        <w:gridCol w:w="1976"/>
        <w:gridCol w:w="1235"/>
      </w:tblGrid>
      <w:tr w14:paraId="32992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1" w:type="pct"/>
            <w:vMerge w:val="restart"/>
            <w:tcBorders>
              <w:tl2br w:val="nil"/>
              <w:tr2bl w:val="nil"/>
            </w:tcBorders>
            <w:noWrap w:val="0"/>
            <w:vAlign w:val="center"/>
          </w:tcPr>
          <w:p w14:paraId="103D34F8">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不同时段</w:t>
            </w:r>
          </w:p>
        </w:tc>
        <w:tc>
          <w:tcPr>
            <w:tcW w:w="4018" w:type="pct"/>
            <w:gridSpan w:val="4"/>
            <w:tcBorders>
              <w:tl2br w:val="nil"/>
              <w:tr2bl w:val="nil"/>
            </w:tcBorders>
            <w:noWrap w:val="0"/>
            <w:vAlign w:val="center"/>
          </w:tcPr>
          <w:p w14:paraId="0C783269">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污染影响型</w:t>
            </w:r>
          </w:p>
        </w:tc>
      </w:tr>
      <w:tr w14:paraId="1C131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1" w:type="pct"/>
            <w:vMerge w:val="continue"/>
            <w:tcBorders>
              <w:tl2br w:val="nil"/>
              <w:tr2bl w:val="nil"/>
            </w:tcBorders>
            <w:noWrap w:val="0"/>
            <w:vAlign w:val="center"/>
          </w:tcPr>
          <w:p w14:paraId="27EC944C">
            <w:pPr>
              <w:keepNext w:val="0"/>
              <w:keepLines w:val="0"/>
              <w:pageBreakBefore w:val="0"/>
              <w:widowControl/>
              <w:kinsoku/>
              <w:overflowPunct/>
              <w:topLinePunct w:val="0"/>
              <w:autoSpaceDE/>
              <w:autoSpaceDN/>
              <w:bidi w:val="0"/>
              <w:adjustRightInd/>
              <w:snapToGrid/>
              <w:spacing w:line="400" w:lineRule="exact"/>
              <w:jc w:val="left"/>
              <w:textAlignment w:val="auto"/>
              <w:rPr>
                <w:rFonts w:ascii="Times New Roman" w:hAnsi="Times New Roman" w:cs="Times New Roman"/>
                <w:b w:val="0"/>
                <w:bCs/>
                <w:color w:val="auto"/>
                <w:kern w:val="0"/>
                <w:sz w:val="21"/>
                <w:szCs w:val="21"/>
                <w:highlight w:val="none"/>
                <w:u w:val="none"/>
              </w:rPr>
            </w:pPr>
          </w:p>
        </w:tc>
        <w:tc>
          <w:tcPr>
            <w:tcW w:w="1083" w:type="pct"/>
            <w:tcBorders>
              <w:tl2br w:val="nil"/>
              <w:tr2bl w:val="nil"/>
            </w:tcBorders>
            <w:noWrap w:val="0"/>
            <w:vAlign w:val="center"/>
          </w:tcPr>
          <w:p w14:paraId="00DB7BEB">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大气沉降</w:t>
            </w:r>
          </w:p>
        </w:tc>
        <w:tc>
          <w:tcPr>
            <w:tcW w:w="1118" w:type="pct"/>
            <w:tcBorders>
              <w:tl2br w:val="nil"/>
              <w:tr2bl w:val="nil"/>
            </w:tcBorders>
            <w:noWrap w:val="0"/>
            <w:vAlign w:val="center"/>
          </w:tcPr>
          <w:p w14:paraId="5C1C5403">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地面漫流</w:t>
            </w:r>
          </w:p>
        </w:tc>
        <w:tc>
          <w:tcPr>
            <w:tcW w:w="1118" w:type="pct"/>
            <w:tcBorders>
              <w:tl2br w:val="nil"/>
              <w:tr2bl w:val="nil"/>
            </w:tcBorders>
            <w:noWrap w:val="0"/>
            <w:vAlign w:val="center"/>
          </w:tcPr>
          <w:p w14:paraId="31B6C3A6">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垂直入渗</w:t>
            </w:r>
          </w:p>
        </w:tc>
        <w:tc>
          <w:tcPr>
            <w:tcW w:w="698" w:type="pct"/>
            <w:tcBorders>
              <w:tl2br w:val="nil"/>
              <w:tr2bl w:val="nil"/>
            </w:tcBorders>
            <w:noWrap w:val="0"/>
            <w:vAlign w:val="center"/>
          </w:tcPr>
          <w:p w14:paraId="5F0CBFF6">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其他</w:t>
            </w:r>
          </w:p>
        </w:tc>
      </w:tr>
      <w:tr w14:paraId="5B9EE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1" w:type="pct"/>
            <w:tcBorders>
              <w:tl2br w:val="nil"/>
              <w:tr2bl w:val="nil"/>
            </w:tcBorders>
            <w:noWrap w:val="0"/>
            <w:vAlign w:val="center"/>
          </w:tcPr>
          <w:p w14:paraId="535AE2D3">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施工期</w:t>
            </w:r>
          </w:p>
        </w:tc>
        <w:tc>
          <w:tcPr>
            <w:tcW w:w="1083" w:type="pct"/>
            <w:tcBorders>
              <w:tl2br w:val="nil"/>
              <w:tr2bl w:val="nil"/>
            </w:tcBorders>
            <w:noWrap w:val="0"/>
            <w:vAlign w:val="center"/>
          </w:tcPr>
          <w:p w14:paraId="24A70798">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c>
          <w:tcPr>
            <w:tcW w:w="1118" w:type="pct"/>
            <w:tcBorders>
              <w:tl2br w:val="nil"/>
              <w:tr2bl w:val="nil"/>
            </w:tcBorders>
            <w:noWrap w:val="0"/>
            <w:vAlign w:val="center"/>
          </w:tcPr>
          <w:p w14:paraId="42A3D113">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c>
          <w:tcPr>
            <w:tcW w:w="1118" w:type="pct"/>
            <w:tcBorders>
              <w:tl2br w:val="nil"/>
              <w:tr2bl w:val="nil"/>
            </w:tcBorders>
            <w:noWrap w:val="0"/>
            <w:vAlign w:val="center"/>
          </w:tcPr>
          <w:p w14:paraId="39DEAA1F">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w:t>
            </w:r>
          </w:p>
        </w:tc>
        <w:tc>
          <w:tcPr>
            <w:tcW w:w="698" w:type="pct"/>
            <w:tcBorders>
              <w:tl2br w:val="nil"/>
              <w:tr2bl w:val="nil"/>
            </w:tcBorders>
            <w:noWrap w:val="0"/>
            <w:vAlign w:val="center"/>
          </w:tcPr>
          <w:p w14:paraId="48E57AAB">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r>
      <w:tr w14:paraId="0ACB4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1" w:type="pct"/>
            <w:tcBorders>
              <w:tl2br w:val="nil"/>
              <w:tr2bl w:val="nil"/>
            </w:tcBorders>
            <w:noWrap w:val="0"/>
            <w:vAlign w:val="center"/>
          </w:tcPr>
          <w:p w14:paraId="04F8FE5F">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运营期</w:t>
            </w:r>
          </w:p>
        </w:tc>
        <w:tc>
          <w:tcPr>
            <w:tcW w:w="1083" w:type="pct"/>
            <w:tcBorders>
              <w:tl2br w:val="nil"/>
              <w:tr2bl w:val="nil"/>
            </w:tcBorders>
            <w:noWrap w:val="0"/>
            <w:vAlign w:val="center"/>
          </w:tcPr>
          <w:p w14:paraId="3DAABFE6">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c>
          <w:tcPr>
            <w:tcW w:w="1118" w:type="pct"/>
            <w:tcBorders>
              <w:tl2br w:val="nil"/>
              <w:tr2bl w:val="nil"/>
            </w:tcBorders>
            <w:noWrap w:val="0"/>
            <w:vAlign w:val="center"/>
          </w:tcPr>
          <w:p w14:paraId="00719F24">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c>
          <w:tcPr>
            <w:tcW w:w="1118" w:type="pct"/>
            <w:tcBorders>
              <w:tl2br w:val="nil"/>
              <w:tr2bl w:val="nil"/>
            </w:tcBorders>
            <w:noWrap w:val="0"/>
            <w:vAlign w:val="center"/>
          </w:tcPr>
          <w:p w14:paraId="4EA61433">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w:t>
            </w:r>
          </w:p>
        </w:tc>
        <w:tc>
          <w:tcPr>
            <w:tcW w:w="698" w:type="pct"/>
            <w:tcBorders>
              <w:tl2br w:val="nil"/>
              <w:tr2bl w:val="nil"/>
            </w:tcBorders>
            <w:noWrap w:val="0"/>
            <w:vAlign w:val="center"/>
          </w:tcPr>
          <w:p w14:paraId="68DDB302">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r>
      <w:tr w14:paraId="04B43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1" w:type="pct"/>
            <w:tcBorders>
              <w:tl2br w:val="nil"/>
              <w:tr2bl w:val="nil"/>
            </w:tcBorders>
            <w:noWrap w:val="0"/>
            <w:vAlign w:val="center"/>
          </w:tcPr>
          <w:p w14:paraId="17927579">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ascii="Times New Roman" w:hAnsi="Times New Roman" w:cs="Times New Roman"/>
                <w:b w:val="0"/>
                <w:bCs/>
                <w:color w:val="auto"/>
                <w:kern w:val="0"/>
                <w:sz w:val="21"/>
                <w:szCs w:val="21"/>
                <w:highlight w:val="none"/>
                <w:u w:val="none"/>
              </w:rPr>
              <w:t>退役期后</w:t>
            </w:r>
          </w:p>
        </w:tc>
        <w:tc>
          <w:tcPr>
            <w:tcW w:w="1083" w:type="pct"/>
            <w:tcBorders>
              <w:tl2br w:val="nil"/>
              <w:tr2bl w:val="nil"/>
            </w:tcBorders>
            <w:noWrap w:val="0"/>
            <w:vAlign w:val="center"/>
          </w:tcPr>
          <w:p w14:paraId="460AF3C7">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c>
          <w:tcPr>
            <w:tcW w:w="1118" w:type="pct"/>
            <w:tcBorders>
              <w:tl2br w:val="nil"/>
              <w:tr2bl w:val="nil"/>
            </w:tcBorders>
            <w:noWrap w:val="0"/>
            <w:vAlign w:val="center"/>
          </w:tcPr>
          <w:p w14:paraId="446EAF00">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c>
          <w:tcPr>
            <w:tcW w:w="1118" w:type="pct"/>
            <w:tcBorders>
              <w:tl2br w:val="nil"/>
              <w:tr2bl w:val="nil"/>
            </w:tcBorders>
            <w:noWrap w:val="0"/>
            <w:vAlign w:val="center"/>
          </w:tcPr>
          <w:p w14:paraId="213DD3DD">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c>
          <w:tcPr>
            <w:tcW w:w="698" w:type="pct"/>
            <w:tcBorders>
              <w:tl2br w:val="nil"/>
              <w:tr2bl w:val="nil"/>
            </w:tcBorders>
            <w:noWrap w:val="0"/>
            <w:vAlign w:val="center"/>
          </w:tcPr>
          <w:p w14:paraId="486AB4F6">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u w:val="none"/>
              </w:rPr>
            </w:pPr>
            <w:r>
              <w:rPr>
                <w:rFonts w:hint="eastAsia" w:ascii="Times New Roman" w:hAnsi="Times New Roman" w:cs="Times New Roman"/>
                <w:b w:val="0"/>
                <w:bCs/>
                <w:color w:val="auto"/>
                <w:kern w:val="0"/>
                <w:sz w:val="21"/>
                <w:szCs w:val="21"/>
                <w:highlight w:val="none"/>
                <w:u w:val="none"/>
              </w:rPr>
              <w:t>/</w:t>
            </w:r>
          </w:p>
        </w:tc>
      </w:tr>
    </w:tbl>
    <w:p w14:paraId="6EBD30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kern w:val="0"/>
          <w:sz w:val="21"/>
          <w:szCs w:val="21"/>
          <w:highlight w:val="none"/>
          <w:u w:val="none"/>
        </w:rPr>
      </w:pPr>
      <w:r>
        <w:rPr>
          <w:rFonts w:hint="eastAsia" w:ascii="黑体" w:hAnsi="黑体" w:eastAsia="黑体" w:cs="黑体"/>
          <w:b w:val="0"/>
          <w:bCs/>
          <w:color w:val="auto"/>
          <w:kern w:val="2"/>
          <w:sz w:val="24"/>
          <w:szCs w:val="24"/>
          <w:u w:val="none"/>
          <w:lang w:val="en-US" w:eastAsia="zh-CN" w:bidi="ar-SA"/>
        </w:rPr>
        <w:t>表5.6-2  污染影响型建设项目土壤环境影响源及影响因子识别表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766"/>
        <w:gridCol w:w="1766"/>
        <w:gridCol w:w="1768"/>
        <w:gridCol w:w="1768"/>
      </w:tblGrid>
      <w:tr w14:paraId="431B7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324644B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污染源</w:t>
            </w:r>
          </w:p>
        </w:tc>
        <w:tc>
          <w:tcPr>
            <w:tcW w:w="999" w:type="pct"/>
            <w:tcBorders>
              <w:tl2br w:val="nil"/>
              <w:tr2bl w:val="nil"/>
            </w:tcBorders>
            <w:noWrap w:val="0"/>
            <w:vAlign w:val="center"/>
          </w:tcPr>
          <w:p w14:paraId="08E5E87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工艺流程</w:t>
            </w:r>
          </w:p>
        </w:tc>
        <w:tc>
          <w:tcPr>
            <w:tcW w:w="999" w:type="pct"/>
            <w:tcBorders>
              <w:tl2br w:val="nil"/>
              <w:tr2bl w:val="nil"/>
            </w:tcBorders>
            <w:noWrap w:val="0"/>
            <w:vAlign w:val="center"/>
          </w:tcPr>
          <w:p w14:paraId="204CF2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污染途径</w:t>
            </w:r>
          </w:p>
        </w:tc>
        <w:tc>
          <w:tcPr>
            <w:tcW w:w="1000" w:type="pct"/>
            <w:tcBorders>
              <w:tl2br w:val="nil"/>
              <w:tr2bl w:val="nil"/>
            </w:tcBorders>
            <w:noWrap w:val="0"/>
            <w:vAlign w:val="center"/>
          </w:tcPr>
          <w:p w14:paraId="446B4F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特征因子</w:t>
            </w:r>
          </w:p>
        </w:tc>
        <w:tc>
          <w:tcPr>
            <w:tcW w:w="1000" w:type="pct"/>
            <w:tcBorders>
              <w:tl2br w:val="nil"/>
              <w:tr2bl w:val="nil"/>
            </w:tcBorders>
            <w:noWrap w:val="0"/>
            <w:vAlign w:val="center"/>
          </w:tcPr>
          <w:p w14:paraId="733577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备注</w:t>
            </w:r>
          </w:p>
        </w:tc>
      </w:tr>
      <w:tr w14:paraId="59258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0FCF9C9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管线</w:t>
            </w:r>
          </w:p>
        </w:tc>
        <w:tc>
          <w:tcPr>
            <w:tcW w:w="999" w:type="pct"/>
            <w:tcBorders>
              <w:tl2br w:val="nil"/>
              <w:tr2bl w:val="nil"/>
            </w:tcBorders>
            <w:noWrap w:val="0"/>
            <w:vAlign w:val="center"/>
          </w:tcPr>
          <w:p w14:paraId="1E4516A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w:t>
            </w:r>
          </w:p>
        </w:tc>
        <w:tc>
          <w:tcPr>
            <w:tcW w:w="999" w:type="pct"/>
            <w:tcBorders>
              <w:tl2br w:val="nil"/>
              <w:tr2bl w:val="nil"/>
            </w:tcBorders>
            <w:noWrap w:val="0"/>
            <w:vAlign w:val="center"/>
          </w:tcPr>
          <w:p w14:paraId="50284D7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垂直入渗</w:t>
            </w:r>
          </w:p>
        </w:tc>
        <w:tc>
          <w:tcPr>
            <w:tcW w:w="1000" w:type="pct"/>
            <w:tcBorders>
              <w:tl2br w:val="nil"/>
              <w:tr2bl w:val="nil"/>
            </w:tcBorders>
            <w:noWrap w:val="0"/>
            <w:vAlign w:val="center"/>
          </w:tcPr>
          <w:p w14:paraId="6942CD4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石油类</w:t>
            </w:r>
          </w:p>
        </w:tc>
        <w:tc>
          <w:tcPr>
            <w:tcW w:w="1000" w:type="pct"/>
            <w:tcBorders>
              <w:tl2br w:val="nil"/>
              <w:tr2bl w:val="nil"/>
            </w:tcBorders>
            <w:noWrap w:val="0"/>
            <w:vAlign w:val="center"/>
          </w:tcPr>
          <w:p w14:paraId="0088440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u w:val="none"/>
              </w:rPr>
            </w:pPr>
            <w:r>
              <w:rPr>
                <w:rFonts w:hint="eastAsia" w:ascii="Times New Roman" w:hAnsi="Times New Roman" w:cs="Times New Roman"/>
                <w:b w:val="0"/>
                <w:bCs w:val="0"/>
                <w:color w:val="auto"/>
                <w:kern w:val="0"/>
                <w:sz w:val="21"/>
                <w:szCs w:val="21"/>
                <w:highlight w:val="none"/>
                <w:u w:val="none"/>
              </w:rPr>
              <w:t>事故工况</w:t>
            </w:r>
          </w:p>
        </w:tc>
      </w:tr>
    </w:tbl>
    <w:p w14:paraId="318C9B32">
      <w:pPr>
        <w:keepNext w:val="0"/>
        <w:keepLines w:val="0"/>
        <w:pageBreakBefore w:val="0"/>
        <w:widowControl w:val="0"/>
        <w:kinsoku/>
        <w:wordWrap/>
        <w:overflowPunct/>
        <w:topLinePunct w:val="0"/>
        <w:autoSpaceDE/>
        <w:autoSpaceDN/>
        <w:bidi w:val="0"/>
        <w:adjustRightInd/>
        <w:snapToGrid/>
        <w:spacing w:line="480" w:lineRule="exact"/>
        <w:ind w:firstLine="456" w:firstLineChars="200"/>
        <w:jc w:val="both"/>
        <w:textAlignment w:val="auto"/>
        <w:rPr>
          <w:rStyle w:val="164"/>
          <w:rFonts w:ascii="Times New Roman" w:hAnsi="Times New Roman" w:eastAsia="宋体" w:cs="Times New Roman"/>
          <w:color w:val="auto"/>
          <w:sz w:val="24"/>
          <w:szCs w:val="20"/>
          <w:highlight w:val="none"/>
          <w:u w:val="none"/>
          <w:lang w:val="en-US" w:eastAsia="zh-CN" w:bidi="ar-SA"/>
        </w:rPr>
      </w:pPr>
      <w:r>
        <w:rPr>
          <w:rStyle w:val="164"/>
          <w:rFonts w:ascii="Times New Roman" w:hAnsi="Times New Roman" w:eastAsia="宋体" w:cs="Times New Roman"/>
          <w:color w:val="auto"/>
          <w:spacing w:val="-6"/>
          <w:sz w:val="24"/>
          <w:szCs w:val="20"/>
          <w:highlight w:val="none"/>
          <w:u w:val="none"/>
          <w:lang w:val="en-US" w:eastAsia="zh-CN" w:bidi="ar-SA"/>
        </w:rPr>
        <w:t>根据建设项目对土壤环境可能产生的影响主要为管线垂直下渗造成的土壤污染。故将</w:t>
      </w:r>
      <w:r>
        <w:rPr>
          <w:rStyle w:val="164"/>
          <w:rFonts w:hint="eastAsia" w:ascii="Times New Roman" w:hAnsi="Times New Roman" w:eastAsia="宋体" w:cs="Times New Roman"/>
          <w:color w:val="auto"/>
          <w:spacing w:val="-6"/>
          <w:sz w:val="24"/>
          <w:szCs w:val="20"/>
          <w:highlight w:val="none"/>
          <w:u w:val="none"/>
          <w:lang w:val="en-US" w:eastAsia="zh-CN" w:bidi="ar-SA"/>
        </w:rPr>
        <w:t>本工程</w:t>
      </w:r>
      <w:r>
        <w:rPr>
          <w:rStyle w:val="164"/>
          <w:rFonts w:ascii="Times New Roman" w:hAnsi="Times New Roman" w:eastAsia="宋体" w:cs="Times New Roman"/>
          <w:color w:val="auto"/>
          <w:spacing w:val="-6"/>
          <w:sz w:val="24"/>
          <w:szCs w:val="20"/>
          <w:highlight w:val="none"/>
          <w:u w:val="none"/>
          <w:lang w:val="en-US" w:eastAsia="zh-CN" w:bidi="ar-SA"/>
        </w:rPr>
        <w:t>土壤环境影响类型划分为污染影响型，主要影响方式为垂直下渗。</w:t>
      </w:r>
    </w:p>
    <w:p w14:paraId="531004D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Style w:val="164"/>
          <w:rFonts w:ascii="Times New Roman" w:hAnsi="Times New Roman" w:eastAsia="宋体" w:cs="Times New Roman"/>
          <w:color w:val="auto"/>
          <w:sz w:val="24"/>
          <w:szCs w:val="20"/>
          <w:highlight w:val="none"/>
          <w:u w:val="none"/>
          <w:lang w:val="en-US" w:eastAsia="zh-CN" w:bidi="ar-SA"/>
        </w:rPr>
      </w:pPr>
      <w:r>
        <w:rPr>
          <w:rStyle w:val="164"/>
          <w:rFonts w:hint="eastAsia" w:cs="Times New Roman"/>
          <w:color w:val="auto"/>
          <w:szCs w:val="20"/>
          <w:highlight w:val="none"/>
          <w:u w:val="none"/>
          <w:lang w:val="en-US" w:eastAsia="zh-CN" w:bidi="ar-SA"/>
        </w:rPr>
        <w:t>1）</w:t>
      </w:r>
      <w:r>
        <w:rPr>
          <w:rStyle w:val="164"/>
          <w:rFonts w:ascii="Times New Roman" w:hAnsi="Times New Roman" w:eastAsia="宋体" w:cs="Times New Roman"/>
          <w:color w:val="auto"/>
          <w:szCs w:val="20"/>
          <w:highlight w:val="none"/>
          <w:u w:val="none"/>
          <w:lang w:val="en-US" w:eastAsia="zh-CN" w:bidi="ar-SA"/>
        </w:rPr>
        <w:t>溢油污染过程分析</w:t>
      </w:r>
    </w:p>
    <w:p w14:paraId="2A8B7AC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Style w:val="164"/>
          <w:rFonts w:ascii="Times New Roman" w:hAnsi="Times New Roman" w:eastAsia="宋体" w:cs="Times New Roman"/>
          <w:color w:val="auto"/>
          <w:sz w:val="24"/>
          <w:szCs w:val="20"/>
          <w:highlight w:val="none"/>
          <w:u w:val="none"/>
          <w:lang w:val="en-US" w:eastAsia="zh-CN" w:bidi="ar-SA"/>
        </w:rPr>
      </w:pPr>
      <w:r>
        <w:rPr>
          <w:rStyle w:val="164"/>
          <w:rFonts w:hint="eastAsia" w:cs="Times New Roman"/>
          <w:color w:val="auto"/>
          <w:szCs w:val="20"/>
          <w:highlight w:val="none"/>
          <w:u w:val="none"/>
          <w:lang w:val="en-US" w:eastAsia="zh-CN" w:bidi="ar-SA"/>
        </w:rPr>
        <w:t>油类物质</w:t>
      </w:r>
      <w:r>
        <w:rPr>
          <w:rStyle w:val="164"/>
          <w:rFonts w:ascii="Times New Roman" w:hAnsi="Times New Roman" w:eastAsia="宋体" w:cs="Times New Roman"/>
          <w:color w:val="auto"/>
          <w:szCs w:val="20"/>
          <w:highlight w:val="none"/>
          <w:u w:val="none"/>
          <w:lang w:val="en-US" w:eastAsia="zh-CN" w:bidi="ar-SA"/>
        </w:rPr>
        <w:t>不溶于水，在环境中被称为不溶性液相污染物（NAPLs）。溢油发生后，由于管道输油压力较大，而顶层覆土层压力较小，</w:t>
      </w:r>
      <w:r>
        <w:rPr>
          <w:rStyle w:val="164"/>
          <w:rFonts w:hint="eastAsia" w:cs="Times New Roman"/>
          <w:color w:val="auto"/>
          <w:szCs w:val="20"/>
          <w:highlight w:val="none"/>
          <w:u w:val="none"/>
          <w:lang w:val="en-US" w:eastAsia="zh-CN" w:bidi="ar-SA"/>
        </w:rPr>
        <w:t>油类物质</w:t>
      </w:r>
      <w:r>
        <w:rPr>
          <w:rStyle w:val="164"/>
          <w:rFonts w:ascii="Times New Roman" w:hAnsi="Times New Roman" w:eastAsia="宋体" w:cs="Times New Roman"/>
          <w:color w:val="auto"/>
          <w:szCs w:val="20"/>
          <w:highlight w:val="none"/>
          <w:u w:val="none"/>
          <w:lang w:val="en-US" w:eastAsia="zh-CN" w:bidi="ar-SA"/>
        </w:rPr>
        <w:t>会向上喷出地表。如果无人工立即回收，则其一部分轻组分将挥发，另一部分下渗到包气带土体，甚至到达潜水含水层。见图5.</w:t>
      </w:r>
      <w:r>
        <w:rPr>
          <w:rStyle w:val="164"/>
          <w:rFonts w:hint="eastAsia" w:cs="Times New Roman"/>
          <w:color w:val="auto"/>
          <w:szCs w:val="20"/>
          <w:highlight w:val="none"/>
          <w:u w:val="none"/>
          <w:lang w:val="en-US" w:eastAsia="zh-CN" w:bidi="ar-SA"/>
        </w:rPr>
        <w:t>4</w:t>
      </w:r>
      <w:r>
        <w:rPr>
          <w:rStyle w:val="164"/>
          <w:rFonts w:ascii="Times New Roman" w:hAnsi="Times New Roman" w:eastAsia="宋体" w:cs="Times New Roman"/>
          <w:color w:val="auto"/>
          <w:szCs w:val="20"/>
          <w:highlight w:val="none"/>
          <w:u w:val="none"/>
          <w:lang w:val="en-US" w:eastAsia="zh-CN" w:bidi="ar-SA"/>
        </w:rPr>
        <w:t>-1。</w:t>
      </w:r>
    </w:p>
    <w:p w14:paraId="38ECD585">
      <w:pPr>
        <w:spacing w:after="120" w:afterLines="0" w:afterAutospacing="0" w:line="360" w:lineRule="auto"/>
        <w:ind w:firstLine="436" w:firstLineChars="200"/>
        <w:jc w:val="center"/>
        <w:rPr>
          <w:rFonts w:ascii="Times New Roman" w:hAnsi="Times New Roman" w:eastAsia="宋体" w:cs="Times New Roman"/>
          <w:color w:val="auto"/>
          <w:spacing w:val="4"/>
          <w:kern w:val="24"/>
          <w:sz w:val="21"/>
          <w:szCs w:val="20"/>
          <w:highlight w:val="none"/>
          <w:u w:val="none"/>
          <w:lang w:val="en-US" w:eastAsia="zh-CN" w:bidi="ar-SA"/>
        </w:rPr>
      </w:pPr>
      <w:r>
        <w:rPr>
          <w:rFonts w:ascii="Times New Roman" w:hAnsi="Times New Roman" w:eastAsia="宋体" w:cs="Times New Roman"/>
          <w:color w:val="auto"/>
          <w:spacing w:val="4"/>
          <w:kern w:val="24"/>
          <w:sz w:val="21"/>
          <w:szCs w:val="20"/>
          <w:highlight w:val="none"/>
          <w:u w:val="none"/>
          <w:lang w:val="en-US" w:eastAsia="zh-CN" w:bidi="ar-SA"/>
        </w:rPr>
        <w:drawing>
          <wp:inline distT="0" distB="0" distL="114300" distR="114300">
            <wp:extent cx="4153535" cy="2679065"/>
            <wp:effectExtent l="0" t="0" r="18415" b="6985"/>
            <wp:docPr id="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pic:cNvPicPr>
                      <a:picLocks noChangeAspect="1"/>
                    </pic:cNvPicPr>
                  </pic:nvPicPr>
                  <pic:blipFill>
                    <a:blip r:embed="rId66"/>
                    <a:stretch>
                      <a:fillRect/>
                    </a:stretch>
                  </pic:blipFill>
                  <pic:spPr>
                    <a:xfrm>
                      <a:off x="0" y="0"/>
                      <a:ext cx="4153535" cy="2679065"/>
                    </a:xfrm>
                    <a:prstGeom prst="rect">
                      <a:avLst/>
                    </a:prstGeom>
                    <a:noFill/>
                    <a:ln>
                      <a:noFill/>
                    </a:ln>
                  </pic:spPr>
                </pic:pic>
              </a:graphicData>
            </a:graphic>
          </wp:inline>
        </w:drawing>
      </w:r>
    </w:p>
    <w:p w14:paraId="3E3CC7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color w:val="auto"/>
          <w:kern w:val="2"/>
          <w:sz w:val="21"/>
          <w:szCs w:val="20"/>
          <w:highlight w:val="none"/>
          <w:u w:val="none"/>
          <w:lang w:val="en-US" w:eastAsia="zh-CN" w:bidi="ar-SA"/>
        </w:rPr>
      </w:pPr>
      <w:r>
        <w:rPr>
          <w:rFonts w:hint="eastAsia" w:ascii="黑体" w:hAnsi="黑体" w:eastAsia="黑体" w:cs="黑体"/>
          <w:b w:val="0"/>
          <w:bCs/>
          <w:color w:val="auto"/>
          <w:kern w:val="2"/>
          <w:sz w:val="24"/>
          <w:szCs w:val="24"/>
          <w:u w:val="none"/>
          <w:lang w:val="en-US" w:eastAsia="zh-CN" w:bidi="ar-SA"/>
        </w:rPr>
        <w:t>图5.4-1  溢油污染过程示意图</w:t>
      </w:r>
    </w:p>
    <w:p w14:paraId="326E1719">
      <w:pPr>
        <w:keepNext w:val="0"/>
        <w:keepLines w:val="0"/>
        <w:pageBreakBefore w:val="0"/>
        <w:widowControl w:val="0"/>
        <w:kinsoku/>
        <w:wordWrap/>
        <w:overflowPunct/>
        <w:topLinePunct w:val="0"/>
        <w:autoSpaceDE/>
        <w:autoSpaceDN/>
        <w:bidi w:val="0"/>
        <w:snapToGrid/>
        <w:spacing w:line="480" w:lineRule="exact"/>
        <w:ind w:firstLine="480" w:firstLineChars="200"/>
        <w:jc w:val="both"/>
        <w:rPr>
          <w:rStyle w:val="164"/>
          <w:rFonts w:ascii="Times New Roman" w:hAnsi="Times New Roman" w:eastAsia="宋体" w:cs="Times New Roman"/>
          <w:color w:val="auto"/>
          <w:sz w:val="24"/>
          <w:szCs w:val="20"/>
          <w:highlight w:val="none"/>
          <w:u w:val="none"/>
          <w:lang w:val="en-US" w:eastAsia="zh-CN" w:bidi="ar-SA"/>
        </w:rPr>
      </w:pPr>
      <w:r>
        <w:rPr>
          <w:rStyle w:val="164"/>
          <w:rFonts w:hint="eastAsia" w:cs="Times New Roman"/>
          <w:color w:val="auto"/>
          <w:szCs w:val="20"/>
          <w:highlight w:val="none"/>
          <w:u w:val="none"/>
          <w:lang w:val="en-US" w:eastAsia="zh-CN" w:bidi="ar-SA"/>
        </w:rPr>
        <w:t>①</w:t>
      </w:r>
      <w:r>
        <w:rPr>
          <w:rStyle w:val="164"/>
          <w:rFonts w:ascii="Times New Roman" w:hAnsi="Times New Roman" w:eastAsia="宋体" w:cs="Times New Roman"/>
          <w:color w:val="auto"/>
          <w:szCs w:val="20"/>
          <w:highlight w:val="none"/>
          <w:u w:val="none"/>
          <w:lang w:val="en-US" w:eastAsia="zh-CN" w:bidi="ar-SA"/>
        </w:rPr>
        <w:t>溢油在包气带中的污染过程分析</w:t>
      </w:r>
    </w:p>
    <w:p w14:paraId="208ADC08">
      <w:pPr>
        <w:keepNext w:val="0"/>
        <w:keepLines w:val="0"/>
        <w:pageBreakBefore w:val="0"/>
        <w:widowControl w:val="0"/>
        <w:kinsoku/>
        <w:wordWrap/>
        <w:overflowPunct/>
        <w:topLinePunct w:val="0"/>
        <w:autoSpaceDE/>
        <w:autoSpaceDN/>
        <w:bidi w:val="0"/>
        <w:snapToGrid/>
        <w:spacing w:line="480" w:lineRule="exact"/>
        <w:ind w:firstLine="480" w:firstLineChars="200"/>
        <w:jc w:val="both"/>
        <w:rPr>
          <w:rStyle w:val="164"/>
          <w:rFonts w:ascii="Times New Roman" w:hAnsi="Times New Roman" w:eastAsia="宋体" w:cs="Times New Roman"/>
          <w:color w:val="auto"/>
          <w:sz w:val="24"/>
          <w:szCs w:val="20"/>
          <w:highlight w:val="none"/>
          <w:u w:val="none"/>
          <w:lang w:val="en-US" w:eastAsia="zh-CN" w:bidi="ar-SA"/>
        </w:rPr>
      </w:pPr>
      <w:r>
        <w:rPr>
          <w:rStyle w:val="164"/>
          <w:rFonts w:ascii="Times New Roman" w:hAnsi="Times New Roman" w:eastAsia="宋体" w:cs="Times New Roman"/>
          <w:color w:val="auto"/>
          <w:szCs w:val="20"/>
          <w:highlight w:val="none"/>
          <w:u w:val="none"/>
          <w:lang w:val="en-US" w:eastAsia="zh-CN" w:bidi="ar-SA"/>
        </w:rPr>
        <w:t>包气带中，溢出原油在重力作用下以垂向迁移为主。油流在迁移过程中不断被土壤颗粒截留、吸附、粘滞，其影响的深度和范围取决于原油的物理性质（密度、粘度、张力等）、泄漏量、泄漏方式以及包气带土层的空隙渗透特性等。对一般的粘土或细砂土层而言，溢油的影响主要集中在地面以下2m以内。同时，在污染集中的地表层还是生物活动剧烈区域，在较适宜的水热条件下，溢油将被很快降解而</w:t>
      </w:r>
      <w:r>
        <w:rPr>
          <w:rStyle w:val="164"/>
          <w:rFonts w:hint="eastAsia" w:ascii="Times New Roman" w:hAnsi="Times New Roman" w:eastAsia="宋体" w:cs="Times New Roman"/>
          <w:color w:val="auto"/>
          <w:szCs w:val="20"/>
          <w:highlight w:val="none"/>
          <w:u w:val="none"/>
          <w:lang w:val="en-US" w:eastAsia="zh-CN" w:bidi="ar-SA"/>
        </w:rPr>
        <w:t>去除</w:t>
      </w:r>
      <w:r>
        <w:rPr>
          <w:rStyle w:val="164"/>
          <w:rFonts w:ascii="Times New Roman" w:hAnsi="Times New Roman" w:eastAsia="宋体" w:cs="Times New Roman"/>
          <w:color w:val="auto"/>
          <w:szCs w:val="20"/>
          <w:highlight w:val="none"/>
          <w:u w:val="none"/>
          <w:lang w:val="en-US" w:eastAsia="zh-CN" w:bidi="ar-SA"/>
        </w:rPr>
        <w:t>。</w:t>
      </w:r>
    </w:p>
    <w:p w14:paraId="6DF6EAE9">
      <w:pPr>
        <w:keepNext w:val="0"/>
        <w:keepLines w:val="0"/>
        <w:pageBreakBefore w:val="0"/>
        <w:widowControl w:val="0"/>
        <w:kinsoku/>
        <w:wordWrap/>
        <w:overflowPunct/>
        <w:topLinePunct w:val="0"/>
        <w:autoSpaceDE/>
        <w:autoSpaceDN/>
        <w:bidi w:val="0"/>
        <w:snapToGrid/>
        <w:spacing w:line="480" w:lineRule="exact"/>
        <w:ind w:firstLine="456" w:firstLineChars="200"/>
        <w:jc w:val="both"/>
        <w:rPr>
          <w:rStyle w:val="164"/>
          <w:rFonts w:ascii="Times New Roman" w:hAnsi="Times New Roman" w:eastAsia="宋体" w:cs="Times New Roman"/>
          <w:color w:val="auto"/>
          <w:sz w:val="24"/>
          <w:szCs w:val="20"/>
          <w:highlight w:val="none"/>
          <w:u w:val="none"/>
          <w:lang w:val="en-US" w:eastAsia="zh-CN" w:bidi="ar-SA"/>
        </w:rPr>
      </w:pPr>
      <w:r>
        <w:rPr>
          <w:rStyle w:val="164"/>
          <w:rFonts w:hint="eastAsia" w:cs="Times New Roman"/>
          <w:color w:val="auto"/>
          <w:spacing w:val="-6"/>
          <w:sz w:val="24"/>
          <w:szCs w:val="20"/>
          <w:highlight w:val="none"/>
          <w:u w:val="none"/>
          <w:lang w:val="en-US" w:eastAsia="zh-CN" w:bidi="ar-SA"/>
        </w:rPr>
        <w:t>②</w:t>
      </w:r>
      <w:r>
        <w:rPr>
          <w:rStyle w:val="164"/>
          <w:rFonts w:ascii="Times New Roman" w:hAnsi="Times New Roman" w:eastAsia="宋体" w:cs="Times New Roman"/>
          <w:color w:val="auto"/>
          <w:spacing w:val="-6"/>
          <w:sz w:val="24"/>
          <w:szCs w:val="20"/>
          <w:highlight w:val="none"/>
          <w:u w:val="none"/>
          <w:lang w:val="en-US" w:eastAsia="zh-CN" w:bidi="ar-SA"/>
        </w:rPr>
        <w:t>溢油在潜水含水层中的污染过程分析在潜水位较浅，溢油量大的条件下，溢油有可能达到潜水含水层。到达潜水层后，由于原油在水中溶解性差，原油主要集聚在潜水水位线附近，并在水动力作用下向下游迁移并向四周扩散，形成“油饼”。原油继续下渗量很少，基本不会对具有良好隔水顶板的各类承压水产生影响。</w:t>
      </w:r>
    </w:p>
    <w:p w14:paraId="7F09BF48">
      <w:pPr>
        <w:keepNext w:val="0"/>
        <w:keepLines w:val="0"/>
        <w:pageBreakBefore w:val="0"/>
        <w:widowControl w:val="0"/>
        <w:kinsoku/>
        <w:wordWrap/>
        <w:overflowPunct/>
        <w:topLinePunct w:val="0"/>
        <w:autoSpaceDE/>
        <w:autoSpaceDN/>
        <w:bidi w:val="0"/>
        <w:snapToGrid/>
        <w:spacing w:beforeLines="0" w:afterLines="0" w:line="480" w:lineRule="exact"/>
        <w:ind w:firstLine="480" w:firstLineChars="200"/>
        <w:jc w:val="both"/>
        <w:rPr>
          <w:rStyle w:val="164"/>
          <w:rFonts w:hint="eastAsia" w:ascii="Times New Roman" w:hAnsi="Times New Roman" w:eastAsia="宋体" w:cs="Times New Roman"/>
          <w:color w:val="auto"/>
          <w:sz w:val="24"/>
          <w:szCs w:val="20"/>
          <w:highlight w:val="none"/>
          <w:u w:val="none"/>
          <w:lang w:val="en-US" w:eastAsia="zh-CN" w:bidi="ar-SA"/>
        </w:rPr>
      </w:pPr>
      <w:r>
        <w:rPr>
          <w:rStyle w:val="164"/>
          <w:rFonts w:hint="eastAsia" w:ascii="Times New Roman" w:hAnsi="Times New Roman" w:eastAsia="宋体" w:cs="Times New Roman"/>
          <w:color w:val="auto"/>
          <w:szCs w:val="20"/>
          <w:highlight w:val="none"/>
          <w:u w:val="none"/>
          <w:lang w:val="en-US" w:eastAsia="zh-CN" w:bidi="ar-SA"/>
        </w:rPr>
        <w:t>2）垂直入渗途径</w:t>
      </w:r>
    </w:p>
    <w:p w14:paraId="0E7CC717">
      <w:pPr>
        <w:keepNext w:val="0"/>
        <w:keepLines w:val="0"/>
        <w:pageBreakBefore w:val="0"/>
        <w:widowControl w:val="0"/>
        <w:kinsoku/>
        <w:wordWrap/>
        <w:overflowPunct/>
        <w:topLinePunct w:val="0"/>
        <w:autoSpaceDE/>
        <w:autoSpaceDN/>
        <w:bidi w:val="0"/>
        <w:snapToGrid/>
        <w:spacing w:beforeLines="0" w:afterLines="0" w:line="480" w:lineRule="exact"/>
        <w:ind w:firstLine="480" w:firstLineChars="200"/>
        <w:jc w:val="both"/>
        <w:rPr>
          <w:rFonts w:hint="eastAsia" w:ascii="宋体" w:hAnsi="宋体" w:eastAsia="宋体" w:cs="宋体"/>
          <w:color w:val="auto"/>
          <w:sz w:val="24"/>
          <w:szCs w:val="24"/>
          <w:highlight w:val="none"/>
          <w:u w:val="none"/>
          <w:lang w:val="en-US" w:eastAsia="zh-CN" w:bidi="ar-SA"/>
        </w:rPr>
      </w:pPr>
      <w:r>
        <w:rPr>
          <w:rStyle w:val="164"/>
          <w:rFonts w:hint="eastAsia" w:ascii="Times New Roman" w:hAnsi="Times New Roman" w:eastAsia="宋体" w:cs="Times New Roman"/>
          <w:color w:val="auto"/>
          <w:szCs w:val="20"/>
          <w:highlight w:val="none"/>
          <w:u w:val="none"/>
          <w:lang w:val="en-US" w:eastAsia="zh-CN" w:bidi="ar-SA"/>
        </w:rPr>
        <w:t>本工程</w:t>
      </w:r>
      <w:r>
        <w:rPr>
          <w:rStyle w:val="164"/>
          <w:rFonts w:ascii="Times New Roman" w:hAnsi="Times New Roman" w:eastAsia="宋体" w:cs="Times New Roman"/>
          <w:color w:val="auto"/>
          <w:szCs w:val="20"/>
          <w:highlight w:val="none"/>
          <w:u w:val="none"/>
          <w:lang w:val="en-US" w:eastAsia="zh-CN" w:bidi="ar-SA"/>
        </w:rPr>
        <w:t>污染土壤的途径主要为</w:t>
      </w:r>
      <w:r>
        <w:rPr>
          <w:rStyle w:val="164"/>
          <w:rFonts w:hint="eastAsia" w:cs="Times New Roman"/>
          <w:color w:val="auto"/>
          <w:szCs w:val="20"/>
          <w:highlight w:val="none"/>
          <w:u w:val="none"/>
          <w:lang w:val="en-US" w:eastAsia="zh-CN" w:bidi="ar-SA"/>
        </w:rPr>
        <w:t>采出物</w:t>
      </w:r>
      <w:r>
        <w:rPr>
          <w:rStyle w:val="164"/>
          <w:rFonts w:ascii="Times New Roman" w:hAnsi="Times New Roman" w:eastAsia="宋体" w:cs="Times New Roman"/>
          <w:color w:val="auto"/>
          <w:szCs w:val="20"/>
          <w:highlight w:val="none"/>
          <w:u w:val="none"/>
          <w:lang w:val="en-US" w:eastAsia="zh-CN" w:bidi="ar-SA"/>
        </w:rPr>
        <w:t>输送及处理过程中发生跑冒滴漏，渗入土壤对土壤产生影响。</w:t>
      </w:r>
    </w:p>
    <w:p w14:paraId="3B08AA6E">
      <w:pPr>
        <w:keepNext w:val="0"/>
        <w:keepLines w:val="0"/>
        <w:pageBreakBefore w:val="0"/>
        <w:widowControl w:val="0"/>
        <w:kinsoku/>
        <w:wordWrap/>
        <w:overflowPunct/>
        <w:topLinePunct w:val="0"/>
        <w:autoSpaceDE/>
        <w:autoSpaceDN/>
        <w:bidi w:val="0"/>
        <w:adjustRightInd w:val="0"/>
        <w:snapToGrid/>
        <w:spacing w:beforeLines="0" w:afterLines="0" w:line="480" w:lineRule="exact"/>
        <w:ind w:left="0" w:leftChars="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Style w:val="164"/>
          <w:rFonts w:hint="eastAsia" w:ascii="Times New Roman" w:hAnsi="Times New Roman" w:eastAsia="宋体" w:cs="Times New Roman"/>
          <w:color w:val="auto"/>
          <w:szCs w:val="20"/>
          <w:highlight w:val="none"/>
          <w:u w:val="none"/>
          <w:lang w:val="en-US" w:eastAsia="zh-CN" w:bidi="en-US"/>
        </w:rPr>
        <w:t>本工程</w:t>
      </w:r>
      <w:r>
        <w:rPr>
          <w:rStyle w:val="164"/>
          <w:rFonts w:ascii="Times New Roman" w:hAnsi="Times New Roman" w:eastAsia="宋体" w:cs="Times New Roman"/>
          <w:color w:val="auto"/>
          <w:szCs w:val="20"/>
          <w:highlight w:val="none"/>
          <w:u w:val="none"/>
          <w:lang w:val="en-US" w:eastAsia="zh-CN" w:bidi="en-US"/>
        </w:rPr>
        <w:t>正常生产过程中液体物料配置过程中均为全密闭管路连接，不会出现溢出和</w:t>
      </w:r>
      <w:r>
        <w:rPr>
          <w:rStyle w:val="164"/>
          <w:rFonts w:hint="eastAsia" w:ascii="Times New Roman" w:hAnsi="Times New Roman" w:eastAsia="宋体" w:cs="Times New Roman"/>
          <w:color w:val="auto"/>
          <w:szCs w:val="20"/>
          <w:highlight w:val="none"/>
          <w:u w:val="none"/>
          <w:lang w:val="en-US" w:eastAsia="zh-CN" w:bidi="en-US"/>
        </w:rPr>
        <w:t>泄漏</w:t>
      </w:r>
      <w:r>
        <w:rPr>
          <w:rStyle w:val="164"/>
          <w:rFonts w:ascii="Times New Roman" w:hAnsi="Times New Roman" w:eastAsia="宋体" w:cs="Times New Roman"/>
          <w:color w:val="auto"/>
          <w:szCs w:val="20"/>
          <w:highlight w:val="none"/>
          <w:u w:val="none"/>
          <w:lang w:val="en-US" w:eastAsia="zh-CN" w:bidi="en-US"/>
        </w:rPr>
        <w:t>情况，实现可视可控，且在管线上做好标识，如若出现</w:t>
      </w:r>
      <w:r>
        <w:rPr>
          <w:rStyle w:val="164"/>
          <w:rFonts w:hint="eastAsia" w:ascii="Times New Roman" w:hAnsi="Times New Roman" w:eastAsia="宋体" w:cs="Times New Roman"/>
          <w:color w:val="auto"/>
          <w:szCs w:val="20"/>
          <w:highlight w:val="none"/>
          <w:u w:val="none"/>
          <w:lang w:val="en-US" w:eastAsia="zh-CN" w:bidi="en-US"/>
        </w:rPr>
        <w:t>泄漏</w:t>
      </w:r>
      <w:r>
        <w:rPr>
          <w:rStyle w:val="164"/>
          <w:rFonts w:ascii="Times New Roman" w:hAnsi="Times New Roman" w:eastAsia="宋体" w:cs="Times New Roman"/>
          <w:color w:val="auto"/>
          <w:szCs w:val="20"/>
          <w:highlight w:val="none"/>
          <w:u w:val="none"/>
          <w:lang w:val="en-US" w:eastAsia="zh-CN" w:bidi="en-US"/>
        </w:rPr>
        <w:t>等事故情况，可及时发现，及时处理。</w:t>
      </w:r>
    </w:p>
    <w:p w14:paraId="7A60F2E1">
      <w:pPr>
        <w:keepNext w:val="0"/>
        <w:keepLines w:val="0"/>
        <w:pageBreakBefore w:val="0"/>
        <w:widowControl w:val="0"/>
        <w:kinsoku/>
        <w:wordWrap/>
        <w:overflowPunct/>
        <w:topLinePunct w:val="0"/>
        <w:autoSpaceDE/>
        <w:autoSpaceDN/>
        <w:bidi w:val="0"/>
        <w:adjustRightInd w:val="0"/>
        <w:snapToGrid/>
        <w:spacing w:beforeLines="0" w:afterLines="0" w:line="480" w:lineRule="exact"/>
        <w:ind w:left="0" w:leftChars="0" w:firstLine="480" w:firstLineChars="200"/>
        <w:jc w:val="both"/>
        <w:textAlignment w:val="baseline"/>
        <w:rPr>
          <w:rFonts w:ascii="宋体" w:hAnsi="宋体" w:eastAsia="宋体" w:cs="Times New Roman"/>
          <w:color w:val="auto"/>
          <w:kern w:val="2"/>
          <w:sz w:val="24"/>
          <w:szCs w:val="24"/>
          <w:highlight w:val="none"/>
          <w:u w:val="none"/>
          <w:lang w:val="en-US" w:eastAsia="zh-CN" w:bidi="en-US"/>
        </w:rPr>
      </w:pPr>
      <w:r>
        <w:rPr>
          <w:rFonts w:hint="eastAsia" w:ascii="宋体" w:hAnsi="宋体" w:cs="宋体"/>
          <w:color w:val="auto"/>
          <w:kern w:val="2"/>
          <w:sz w:val="24"/>
          <w:szCs w:val="24"/>
          <w:highlight w:val="none"/>
          <w:u w:val="none"/>
          <w:lang w:val="en-US" w:eastAsia="zh-CN" w:bidi="en-US"/>
        </w:rPr>
        <w:t>①</w:t>
      </w:r>
      <w:r>
        <w:rPr>
          <w:rFonts w:hint="eastAsia" w:ascii="宋体" w:hAnsi="宋体" w:eastAsia="宋体" w:cs="Times New Roman"/>
          <w:color w:val="auto"/>
          <w:kern w:val="2"/>
          <w:sz w:val="24"/>
          <w:szCs w:val="24"/>
          <w:highlight w:val="none"/>
          <w:u w:val="none"/>
          <w:lang w:val="en-US" w:eastAsia="zh-CN" w:bidi="en-US"/>
        </w:rPr>
        <w:t>预测方法</w:t>
      </w:r>
    </w:p>
    <w:p w14:paraId="12E6B852">
      <w:pPr>
        <w:keepNext w:val="0"/>
        <w:keepLines w:val="0"/>
        <w:pageBreakBefore w:val="0"/>
        <w:widowControl w:val="0"/>
        <w:kinsoku/>
        <w:wordWrap/>
        <w:overflowPunct/>
        <w:topLinePunct w:val="0"/>
        <w:autoSpaceDE/>
        <w:autoSpaceDN/>
        <w:bidi w:val="0"/>
        <w:adjustRightInd w:val="0"/>
        <w:snapToGrid/>
        <w:spacing w:beforeLines="0" w:afterLines="0" w:line="480" w:lineRule="exact"/>
        <w:ind w:left="0" w:leftChars="0" w:firstLine="480" w:firstLineChars="200"/>
        <w:jc w:val="both"/>
        <w:textAlignment w:val="baseline"/>
        <w:rPr>
          <w:rFonts w:ascii="宋体" w:hAnsi="宋体" w:eastAsia="宋体" w:cs="Times New Roman"/>
          <w:color w:val="auto"/>
          <w:kern w:val="2"/>
          <w:sz w:val="24"/>
          <w:szCs w:val="24"/>
          <w:highlight w:val="none"/>
          <w:u w:val="none"/>
          <w:lang w:val="en-US" w:eastAsia="zh-CN" w:bidi="en-US"/>
        </w:rPr>
      </w:pPr>
      <w:r>
        <w:rPr>
          <w:rFonts w:hint="eastAsia" w:ascii="宋体" w:hAnsi="宋体" w:eastAsia="宋体" w:cs="Times New Roman"/>
          <w:color w:val="auto"/>
          <w:kern w:val="2"/>
          <w:sz w:val="24"/>
          <w:szCs w:val="24"/>
          <w:highlight w:val="none"/>
          <w:u w:val="none"/>
          <w:lang w:val="en-US" w:eastAsia="zh-CN" w:bidi="en-US"/>
        </w:rPr>
        <w:t>采用类比分析法进行预测。</w:t>
      </w:r>
    </w:p>
    <w:p w14:paraId="31B0FE87">
      <w:pPr>
        <w:keepNext w:val="0"/>
        <w:keepLines w:val="0"/>
        <w:pageBreakBefore w:val="0"/>
        <w:widowControl w:val="0"/>
        <w:kinsoku/>
        <w:wordWrap/>
        <w:overflowPunct/>
        <w:topLinePunct w:val="0"/>
        <w:autoSpaceDE/>
        <w:autoSpaceDN/>
        <w:bidi w:val="0"/>
        <w:adjustRightInd w:val="0"/>
        <w:snapToGrid/>
        <w:spacing w:beforeLines="0" w:afterLines="0" w:line="480" w:lineRule="exact"/>
        <w:ind w:left="0" w:leftChars="0" w:firstLine="480" w:firstLineChars="200"/>
        <w:jc w:val="both"/>
        <w:textAlignment w:val="baseline"/>
        <w:rPr>
          <w:rFonts w:ascii="宋体" w:hAnsi="宋体" w:eastAsia="宋体" w:cs="Times New Roman"/>
          <w:color w:val="auto"/>
          <w:kern w:val="2"/>
          <w:sz w:val="24"/>
          <w:szCs w:val="24"/>
          <w:highlight w:val="none"/>
          <w:u w:val="none"/>
          <w:lang w:val="en-US" w:eastAsia="zh-CN" w:bidi="en-US"/>
        </w:rPr>
      </w:pPr>
      <w:r>
        <w:rPr>
          <w:rFonts w:hint="eastAsia" w:ascii="宋体" w:hAnsi="宋体" w:cs="宋体"/>
          <w:color w:val="auto"/>
          <w:kern w:val="2"/>
          <w:sz w:val="24"/>
          <w:szCs w:val="24"/>
          <w:highlight w:val="none"/>
          <w:u w:val="none"/>
          <w:lang w:val="en-US" w:eastAsia="zh-CN" w:bidi="en-US"/>
        </w:rPr>
        <w:t>②</w:t>
      </w:r>
      <w:r>
        <w:rPr>
          <w:rFonts w:ascii="宋体" w:hAnsi="宋体" w:eastAsia="宋体" w:cs="Times New Roman"/>
          <w:color w:val="auto"/>
          <w:kern w:val="2"/>
          <w:sz w:val="24"/>
          <w:szCs w:val="24"/>
          <w:highlight w:val="none"/>
          <w:u w:val="none"/>
          <w:lang w:val="en-US" w:eastAsia="zh-CN" w:bidi="en-US"/>
        </w:rPr>
        <w:t>预测情景设定</w:t>
      </w:r>
    </w:p>
    <w:p w14:paraId="1800E58C">
      <w:pPr>
        <w:keepNext w:val="0"/>
        <w:keepLines w:val="0"/>
        <w:pageBreakBefore w:val="0"/>
        <w:widowControl w:val="0"/>
        <w:kinsoku/>
        <w:wordWrap/>
        <w:overflowPunct/>
        <w:topLinePunct w:val="0"/>
        <w:autoSpaceDE/>
        <w:autoSpaceDN/>
        <w:bidi w:val="0"/>
        <w:adjustRightInd w:val="0"/>
        <w:snapToGrid/>
        <w:spacing w:beforeLines="0" w:afterLines="0" w:line="480" w:lineRule="exact"/>
        <w:ind w:left="0" w:leftChars="0" w:firstLine="480" w:firstLineChars="200"/>
        <w:jc w:val="both"/>
        <w:textAlignment w:val="baseline"/>
        <w:rPr>
          <w:rFonts w:hint="default" w:ascii="Times New Roman" w:hAnsi="Times New Roman" w:eastAsia="宋体" w:cs="Times New Roman"/>
          <w:color w:val="auto"/>
          <w:kern w:val="2"/>
          <w:sz w:val="24"/>
          <w:szCs w:val="24"/>
          <w:highlight w:val="none"/>
          <w:u w:val="none"/>
          <w:lang w:val="en-US" w:eastAsia="zh-CN" w:bidi="en-US"/>
        </w:rPr>
      </w:pPr>
      <w:r>
        <w:rPr>
          <w:rFonts w:hint="default" w:ascii="Times New Roman" w:hAnsi="Times New Roman" w:eastAsia="宋体" w:cs="Times New Roman"/>
          <w:color w:val="auto"/>
          <w:kern w:val="2"/>
          <w:sz w:val="24"/>
          <w:szCs w:val="24"/>
          <w:highlight w:val="none"/>
          <w:u w:val="none"/>
          <w:lang w:val="en-US" w:eastAsia="zh-CN" w:bidi="en-US"/>
        </w:rPr>
        <w:t>类比数据来自同类型集输管道在非正常工况下，输油管线事故泄漏情况，考虑持续注入非饱和带土层中10min、</w:t>
      </w:r>
      <w:r>
        <w:rPr>
          <w:rFonts w:hint="eastAsia" w:ascii="Times New Roman" w:hAnsi="Times New Roman" w:eastAsia="宋体" w:cs="Times New Roman"/>
          <w:color w:val="auto"/>
          <w:kern w:val="2"/>
          <w:sz w:val="24"/>
          <w:szCs w:val="24"/>
          <w:highlight w:val="none"/>
          <w:u w:val="none"/>
          <w:lang w:val="en-US" w:eastAsia="zh-CN" w:bidi="en-US"/>
        </w:rPr>
        <w:t>3</w:t>
      </w:r>
      <w:r>
        <w:rPr>
          <w:rFonts w:hint="default" w:ascii="Times New Roman" w:hAnsi="Times New Roman" w:eastAsia="宋体" w:cs="Times New Roman"/>
          <w:color w:val="auto"/>
          <w:kern w:val="2"/>
          <w:sz w:val="24"/>
          <w:szCs w:val="24"/>
          <w:highlight w:val="none"/>
          <w:u w:val="none"/>
          <w:lang w:val="en-US" w:eastAsia="zh-CN" w:bidi="en-US"/>
        </w:rPr>
        <w:t>0min、1h、2h后，污染物在垂直方向上的超标扩散距离和包气带底部石油类浓度。</w:t>
      </w:r>
    </w:p>
    <w:p w14:paraId="5E6FBD98">
      <w:pPr>
        <w:keepNext w:val="0"/>
        <w:keepLines w:val="0"/>
        <w:pageBreakBefore w:val="0"/>
        <w:widowControl w:val="0"/>
        <w:kinsoku/>
        <w:wordWrap/>
        <w:overflowPunct/>
        <w:topLinePunct w:val="0"/>
        <w:autoSpaceDE/>
        <w:autoSpaceDN/>
        <w:bidi w:val="0"/>
        <w:adjustRightInd w:val="0"/>
        <w:snapToGrid/>
        <w:spacing w:beforeLines="0" w:afterLines="0" w:line="480" w:lineRule="exact"/>
        <w:ind w:left="0" w:leftChars="0" w:firstLine="480" w:firstLineChars="200"/>
        <w:jc w:val="both"/>
        <w:textAlignment w:val="baseline"/>
        <w:rPr>
          <w:rFonts w:hint="default" w:ascii="Times New Roman" w:hAnsi="Times New Roman" w:eastAsia="宋体" w:cs="Times New Roman"/>
          <w:color w:val="auto"/>
          <w:kern w:val="2"/>
          <w:sz w:val="24"/>
          <w:szCs w:val="24"/>
          <w:highlight w:val="none"/>
          <w:u w:val="none"/>
          <w:lang w:val="en-US" w:eastAsia="zh-CN" w:bidi="en-US"/>
        </w:rPr>
      </w:pPr>
      <w:r>
        <w:rPr>
          <w:rFonts w:hint="eastAsia" w:cs="Times New Roman"/>
          <w:color w:val="auto"/>
          <w:kern w:val="2"/>
          <w:sz w:val="24"/>
          <w:szCs w:val="24"/>
          <w:highlight w:val="none"/>
          <w:u w:val="none"/>
          <w:lang w:val="en-US" w:eastAsia="zh-CN" w:bidi="en-US"/>
        </w:rPr>
        <w:t>③</w:t>
      </w:r>
      <w:r>
        <w:rPr>
          <w:rFonts w:hint="default" w:ascii="Times New Roman" w:hAnsi="Times New Roman" w:eastAsia="宋体" w:cs="Times New Roman"/>
          <w:color w:val="auto"/>
          <w:kern w:val="2"/>
          <w:sz w:val="24"/>
          <w:szCs w:val="24"/>
          <w:highlight w:val="none"/>
          <w:u w:val="none"/>
          <w:lang w:val="en-US" w:eastAsia="zh-CN" w:bidi="en-US"/>
        </w:rPr>
        <w:t>污染物预测评价因子</w:t>
      </w:r>
    </w:p>
    <w:p w14:paraId="1FF83D4F">
      <w:pPr>
        <w:keepNext w:val="0"/>
        <w:keepLines w:val="0"/>
        <w:pageBreakBefore w:val="0"/>
        <w:widowControl w:val="0"/>
        <w:kinsoku/>
        <w:wordWrap/>
        <w:overflowPunct/>
        <w:topLinePunct w:val="0"/>
        <w:autoSpaceDE/>
        <w:autoSpaceDN/>
        <w:bidi w:val="0"/>
        <w:adjustRightInd w:val="0"/>
        <w:snapToGrid/>
        <w:spacing w:beforeLines="0" w:afterLines="0" w:line="480" w:lineRule="exact"/>
        <w:ind w:left="0" w:leftChars="0" w:firstLine="480" w:firstLineChars="200"/>
        <w:jc w:val="both"/>
        <w:textAlignment w:val="baseline"/>
        <w:rPr>
          <w:rFonts w:hint="default" w:ascii="Times New Roman" w:hAnsi="Times New Roman" w:eastAsia="宋体" w:cs="Times New Roman"/>
          <w:color w:val="auto"/>
          <w:kern w:val="2"/>
          <w:sz w:val="24"/>
          <w:szCs w:val="24"/>
          <w:highlight w:val="none"/>
          <w:u w:val="none"/>
          <w:lang w:val="en-US" w:eastAsia="zh-CN" w:bidi="en-US"/>
        </w:rPr>
      </w:pPr>
      <w:r>
        <w:rPr>
          <w:rFonts w:hint="default" w:ascii="Times New Roman" w:hAnsi="Times New Roman" w:eastAsia="宋体" w:cs="Times New Roman"/>
          <w:color w:val="auto"/>
          <w:kern w:val="2"/>
          <w:sz w:val="24"/>
          <w:szCs w:val="24"/>
          <w:highlight w:val="none"/>
          <w:u w:val="none"/>
          <w:lang w:val="en-US" w:eastAsia="zh-CN" w:bidi="en-US"/>
        </w:rPr>
        <w:t>污染物预测评价因子为石油类。</w:t>
      </w:r>
    </w:p>
    <w:p w14:paraId="6964D271">
      <w:pPr>
        <w:keepNext w:val="0"/>
        <w:keepLines w:val="0"/>
        <w:pageBreakBefore w:val="0"/>
        <w:widowControl w:val="0"/>
        <w:kinsoku/>
        <w:wordWrap/>
        <w:overflowPunct/>
        <w:topLinePunct w:val="0"/>
        <w:autoSpaceDE/>
        <w:autoSpaceDN/>
        <w:bidi w:val="0"/>
        <w:adjustRightInd w:val="0"/>
        <w:snapToGrid/>
        <w:spacing w:beforeLines="0" w:afterLines="0" w:line="480" w:lineRule="exact"/>
        <w:ind w:left="0" w:leftChars="0" w:firstLine="480" w:firstLineChars="200"/>
        <w:jc w:val="both"/>
        <w:textAlignment w:val="baseline"/>
        <w:rPr>
          <w:rFonts w:hint="default" w:ascii="Times New Roman" w:hAnsi="Times New Roman" w:eastAsia="宋体" w:cs="Times New Roman"/>
          <w:color w:val="auto"/>
          <w:kern w:val="2"/>
          <w:sz w:val="24"/>
          <w:szCs w:val="24"/>
          <w:highlight w:val="none"/>
          <w:u w:val="none"/>
          <w:lang w:val="en-US" w:eastAsia="zh-CN" w:bidi="en-US"/>
        </w:rPr>
      </w:pPr>
      <w:r>
        <w:rPr>
          <w:rFonts w:hint="eastAsia" w:cs="Times New Roman"/>
          <w:color w:val="auto"/>
          <w:kern w:val="2"/>
          <w:sz w:val="24"/>
          <w:szCs w:val="24"/>
          <w:highlight w:val="none"/>
          <w:u w:val="none"/>
          <w:lang w:val="en-US" w:eastAsia="zh-CN" w:bidi="en-US"/>
        </w:rPr>
        <w:t>④</w:t>
      </w:r>
      <w:r>
        <w:rPr>
          <w:rFonts w:hint="default" w:ascii="Times New Roman" w:hAnsi="Times New Roman" w:eastAsia="宋体" w:cs="Times New Roman"/>
          <w:color w:val="auto"/>
          <w:kern w:val="2"/>
          <w:sz w:val="24"/>
          <w:szCs w:val="24"/>
          <w:highlight w:val="none"/>
          <w:u w:val="none"/>
          <w:lang w:val="en-US" w:eastAsia="zh-CN" w:bidi="en-US"/>
        </w:rPr>
        <w:t>预测结果</w:t>
      </w:r>
    </w:p>
    <w:p w14:paraId="03CD41A2">
      <w:pPr>
        <w:keepNext w:val="0"/>
        <w:keepLines w:val="0"/>
        <w:pageBreakBefore w:val="0"/>
        <w:widowControl w:val="0"/>
        <w:kinsoku/>
        <w:wordWrap/>
        <w:overflowPunct/>
        <w:topLinePunct w:val="0"/>
        <w:autoSpaceDE/>
        <w:autoSpaceDN/>
        <w:bidi w:val="0"/>
        <w:snapToGrid/>
        <w:spacing w:beforeLines="0" w:afterLines="0" w:line="480" w:lineRule="exact"/>
        <w:ind w:left="0" w:leftChars="0" w:firstLine="480" w:firstLineChars="200"/>
        <w:jc w:val="both"/>
        <w:rPr>
          <w:rStyle w:val="164"/>
          <w:rFonts w:ascii="Times New Roman" w:hAnsi="Times New Roman" w:eastAsia="宋体" w:cs="Times New Roman"/>
          <w:color w:val="auto"/>
          <w:sz w:val="24"/>
          <w:szCs w:val="20"/>
          <w:highlight w:val="none"/>
          <w:u w:val="none"/>
          <w:lang w:val="en-US" w:eastAsia="zh-CN" w:bidi="ar-SA"/>
        </w:rPr>
      </w:pPr>
      <w:r>
        <w:rPr>
          <w:rStyle w:val="164"/>
          <w:rFonts w:ascii="Times New Roman" w:hAnsi="Times New Roman" w:eastAsia="宋体" w:cs="Times New Roman"/>
          <w:color w:val="auto"/>
          <w:sz w:val="24"/>
          <w:szCs w:val="24"/>
          <w:highlight w:val="none"/>
          <w:u w:val="none"/>
          <w:lang w:val="en-US" w:eastAsia="zh-CN" w:bidi="ar-SA"/>
        </w:rPr>
        <w:t>类比同类型输油管线事故泄漏情况，非正常情况下，表层土壤中石油烃类含量可达5000mg/kg。考虑持续注入非饱和带土层中10min、</w:t>
      </w:r>
      <w:r>
        <w:rPr>
          <w:rStyle w:val="164"/>
          <w:rFonts w:hint="eastAsia" w:ascii="Times New Roman" w:hAnsi="Times New Roman" w:eastAsia="宋体" w:cs="Times New Roman"/>
          <w:color w:val="auto"/>
          <w:sz w:val="24"/>
          <w:szCs w:val="24"/>
          <w:highlight w:val="none"/>
          <w:u w:val="none"/>
          <w:lang w:val="en-US" w:eastAsia="zh-CN" w:bidi="ar-SA"/>
        </w:rPr>
        <w:t>3</w:t>
      </w:r>
      <w:r>
        <w:rPr>
          <w:rStyle w:val="164"/>
          <w:rFonts w:ascii="Times New Roman" w:hAnsi="Times New Roman" w:eastAsia="宋体" w:cs="Times New Roman"/>
          <w:color w:val="auto"/>
          <w:sz w:val="24"/>
          <w:szCs w:val="24"/>
          <w:highlight w:val="none"/>
          <w:u w:val="none"/>
          <w:lang w:val="en-US" w:eastAsia="zh-CN" w:bidi="ar-SA"/>
        </w:rPr>
        <w:t>0min、1h、2h后，污染物在垂直方向上的超标扩散距离和包气带底部石油类浓度，见表</w:t>
      </w:r>
      <w:r>
        <w:rPr>
          <w:rStyle w:val="164"/>
          <w:rFonts w:hint="eastAsia" w:ascii="Times New Roman" w:hAnsi="Times New Roman" w:eastAsia="宋体" w:cs="Times New Roman"/>
          <w:color w:val="auto"/>
          <w:sz w:val="24"/>
          <w:szCs w:val="24"/>
          <w:highlight w:val="none"/>
          <w:u w:val="none"/>
          <w:lang w:val="en-US" w:eastAsia="zh-CN" w:bidi="ar-SA"/>
        </w:rPr>
        <w:t>5.</w:t>
      </w:r>
      <w:r>
        <w:rPr>
          <w:rStyle w:val="164"/>
          <w:rFonts w:hint="eastAsia" w:cs="Times New Roman"/>
          <w:color w:val="auto"/>
          <w:sz w:val="24"/>
          <w:szCs w:val="24"/>
          <w:highlight w:val="none"/>
          <w:u w:val="none"/>
          <w:lang w:val="en-US" w:eastAsia="zh-CN" w:bidi="ar-SA"/>
        </w:rPr>
        <w:t>4-1</w:t>
      </w:r>
      <w:r>
        <w:rPr>
          <w:rStyle w:val="164"/>
          <w:rFonts w:ascii="Times New Roman" w:hAnsi="Times New Roman" w:eastAsia="宋体" w:cs="Times New Roman"/>
          <w:color w:val="auto"/>
          <w:sz w:val="24"/>
          <w:szCs w:val="24"/>
          <w:highlight w:val="none"/>
          <w:u w:val="none"/>
          <w:lang w:val="en-US" w:eastAsia="zh-CN" w:bidi="ar-SA"/>
        </w:rPr>
        <w:t>。</w:t>
      </w:r>
    </w:p>
    <w:p w14:paraId="6831B9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黑体" w:hAnsi="黑体" w:eastAsia="黑体" w:cs="黑体"/>
          <w:b/>
          <w:bCs/>
          <w:color w:val="auto"/>
          <w:kern w:val="0"/>
          <w:sz w:val="21"/>
          <w:szCs w:val="21"/>
          <w:highlight w:val="none"/>
          <w:u w:val="none"/>
        </w:rPr>
      </w:pPr>
      <w:r>
        <w:rPr>
          <w:rFonts w:hint="eastAsia" w:ascii="黑体" w:hAnsi="黑体" w:eastAsia="黑体" w:cs="黑体"/>
          <w:b w:val="0"/>
          <w:bCs/>
          <w:color w:val="auto"/>
          <w:kern w:val="2"/>
          <w:sz w:val="24"/>
          <w:szCs w:val="24"/>
          <w:u w:val="none"/>
          <w:lang w:val="en-US" w:eastAsia="zh-CN" w:bidi="ar-SA"/>
        </w:rPr>
        <w:t>表5.4-1  非正常情况下污染物在非饱和带中的超标扩散距离预测结果表</w:t>
      </w:r>
    </w:p>
    <w:tbl>
      <w:tblPr>
        <w:tblStyle w:val="37"/>
        <w:tblW w:w="83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48"/>
        <w:gridCol w:w="1629"/>
        <w:gridCol w:w="1543"/>
        <w:gridCol w:w="1585"/>
        <w:gridCol w:w="1307"/>
        <w:gridCol w:w="1404"/>
      </w:tblGrid>
      <w:tr w14:paraId="0039E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8" w:type="dxa"/>
            <w:vMerge w:val="restart"/>
            <w:tcBorders>
              <w:tl2br w:val="nil"/>
              <w:tr2bl w:val="nil"/>
            </w:tcBorders>
            <w:noWrap w:val="0"/>
            <w:vAlign w:val="center"/>
          </w:tcPr>
          <w:p w14:paraId="470A443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污染物种类</w:t>
            </w:r>
          </w:p>
        </w:tc>
        <w:tc>
          <w:tcPr>
            <w:tcW w:w="1629" w:type="dxa"/>
            <w:vMerge w:val="restart"/>
            <w:tcBorders>
              <w:tl2br w:val="nil"/>
              <w:tr2bl w:val="nil"/>
            </w:tcBorders>
            <w:noWrap w:val="0"/>
            <w:vAlign w:val="center"/>
          </w:tcPr>
          <w:p w14:paraId="204526A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计算值</w:t>
            </w:r>
          </w:p>
        </w:tc>
        <w:tc>
          <w:tcPr>
            <w:tcW w:w="5839" w:type="dxa"/>
            <w:gridSpan w:val="4"/>
            <w:tcBorders>
              <w:tl2br w:val="nil"/>
              <w:tr2bl w:val="nil"/>
            </w:tcBorders>
            <w:noWrap w:val="0"/>
            <w:vAlign w:val="center"/>
          </w:tcPr>
          <w:p w14:paraId="0C5FE693">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污染物运移的超标扩散深度</w:t>
            </w:r>
          </w:p>
        </w:tc>
      </w:tr>
      <w:tr w14:paraId="6EBE6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8" w:type="dxa"/>
            <w:vMerge w:val="continue"/>
            <w:tcBorders>
              <w:tl2br w:val="nil"/>
              <w:tr2bl w:val="nil"/>
            </w:tcBorders>
            <w:noWrap w:val="0"/>
            <w:vAlign w:val="center"/>
          </w:tcPr>
          <w:p w14:paraId="2DEDCD88">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ascii="Times New Roman" w:hAnsi="Times New Roman" w:cs="Times New Roman"/>
                <w:b w:val="0"/>
                <w:bCs w:val="0"/>
                <w:color w:val="auto"/>
                <w:kern w:val="0"/>
                <w:sz w:val="21"/>
                <w:szCs w:val="21"/>
                <w:highlight w:val="none"/>
                <w:u w:val="none"/>
              </w:rPr>
            </w:pPr>
          </w:p>
        </w:tc>
        <w:tc>
          <w:tcPr>
            <w:tcW w:w="1629" w:type="dxa"/>
            <w:vMerge w:val="continue"/>
            <w:tcBorders>
              <w:tl2br w:val="nil"/>
              <w:tr2bl w:val="nil"/>
            </w:tcBorders>
            <w:noWrap w:val="0"/>
            <w:vAlign w:val="center"/>
          </w:tcPr>
          <w:p w14:paraId="62F875A9">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ascii="Times New Roman" w:hAnsi="Times New Roman" w:cs="Times New Roman"/>
                <w:b w:val="0"/>
                <w:bCs w:val="0"/>
                <w:color w:val="auto"/>
                <w:kern w:val="0"/>
                <w:sz w:val="21"/>
                <w:szCs w:val="21"/>
                <w:highlight w:val="none"/>
                <w:u w:val="none"/>
              </w:rPr>
            </w:pPr>
          </w:p>
        </w:tc>
        <w:tc>
          <w:tcPr>
            <w:tcW w:w="1543" w:type="dxa"/>
            <w:tcBorders>
              <w:tl2br w:val="nil"/>
              <w:tr2bl w:val="nil"/>
            </w:tcBorders>
            <w:noWrap w:val="0"/>
            <w:vAlign w:val="center"/>
          </w:tcPr>
          <w:p w14:paraId="770318B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10min</w:t>
            </w:r>
          </w:p>
        </w:tc>
        <w:tc>
          <w:tcPr>
            <w:tcW w:w="1585" w:type="dxa"/>
            <w:tcBorders>
              <w:tl2br w:val="nil"/>
              <w:tr2bl w:val="nil"/>
            </w:tcBorders>
            <w:noWrap w:val="0"/>
            <w:vAlign w:val="center"/>
          </w:tcPr>
          <w:p w14:paraId="37C18ED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30min</w:t>
            </w:r>
          </w:p>
        </w:tc>
        <w:tc>
          <w:tcPr>
            <w:tcW w:w="1307" w:type="dxa"/>
            <w:tcBorders>
              <w:tl2br w:val="nil"/>
              <w:tr2bl w:val="nil"/>
            </w:tcBorders>
            <w:noWrap w:val="0"/>
            <w:vAlign w:val="center"/>
          </w:tcPr>
          <w:p w14:paraId="066D7CE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1h</w:t>
            </w:r>
          </w:p>
        </w:tc>
        <w:tc>
          <w:tcPr>
            <w:tcW w:w="1404" w:type="dxa"/>
            <w:tcBorders>
              <w:tl2br w:val="nil"/>
              <w:tr2bl w:val="nil"/>
            </w:tcBorders>
            <w:noWrap w:val="0"/>
            <w:vAlign w:val="center"/>
          </w:tcPr>
          <w:p w14:paraId="00659F1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2h</w:t>
            </w:r>
          </w:p>
        </w:tc>
      </w:tr>
      <w:tr w14:paraId="0B368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8" w:type="dxa"/>
            <w:vMerge w:val="restart"/>
            <w:tcBorders>
              <w:tl2br w:val="nil"/>
              <w:tr2bl w:val="nil"/>
            </w:tcBorders>
            <w:noWrap w:val="0"/>
            <w:vAlign w:val="center"/>
          </w:tcPr>
          <w:p w14:paraId="2B495139">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石油类</w:t>
            </w:r>
          </w:p>
        </w:tc>
        <w:tc>
          <w:tcPr>
            <w:tcW w:w="1629" w:type="dxa"/>
            <w:tcBorders>
              <w:tl2br w:val="nil"/>
              <w:tr2bl w:val="nil"/>
            </w:tcBorders>
            <w:noWrap w:val="0"/>
            <w:vAlign w:val="center"/>
          </w:tcPr>
          <w:p w14:paraId="487200F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影响深度（m）</w:t>
            </w:r>
          </w:p>
        </w:tc>
        <w:tc>
          <w:tcPr>
            <w:tcW w:w="1543" w:type="dxa"/>
            <w:tcBorders>
              <w:tl2br w:val="nil"/>
              <w:tr2bl w:val="nil"/>
            </w:tcBorders>
            <w:noWrap w:val="0"/>
            <w:vAlign w:val="center"/>
          </w:tcPr>
          <w:p w14:paraId="02AFFF0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全部包气带</w:t>
            </w:r>
          </w:p>
        </w:tc>
        <w:tc>
          <w:tcPr>
            <w:tcW w:w="1585" w:type="dxa"/>
            <w:tcBorders>
              <w:tl2br w:val="nil"/>
              <w:tr2bl w:val="nil"/>
            </w:tcBorders>
            <w:noWrap w:val="0"/>
            <w:vAlign w:val="center"/>
          </w:tcPr>
          <w:p w14:paraId="6036FB1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全部包气带</w:t>
            </w:r>
          </w:p>
        </w:tc>
        <w:tc>
          <w:tcPr>
            <w:tcW w:w="1307" w:type="dxa"/>
            <w:tcBorders>
              <w:tl2br w:val="nil"/>
              <w:tr2bl w:val="nil"/>
            </w:tcBorders>
            <w:noWrap w:val="0"/>
            <w:vAlign w:val="center"/>
          </w:tcPr>
          <w:p w14:paraId="31436B6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全部包气带</w:t>
            </w:r>
          </w:p>
        </w:tc>
        <w:tc>
          <w:tcPr>
            <w:tcW w:w="1404" w:type="dxa"/>
            <w:tcBorders>
              <w:tl2br w:val="nil"/>
              <w:tr2bl w:val="nil"/>
            </w:tcBorders>
            <w:noWrap w:val="0"/>
            <w:vAlign w:val="center"/>
          </w:tcPr>
          <w:p w14:paraId="1126680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全部包气带</w:t>
            </w:r>
          </w:p>
        </w:tc>
      </w:tr>
      <w:tr w14:paraId="457AD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48" w:type="dxa"/>
            <w:vMerge w:val="continue"/>
            <w:tcBorders>
              <w:tl2br w:val="nil"/>
              <w:tr2bl w:val="nil"/>
            </w:tcBorders>
            <w:noWrap w:val="0"/>
            <w:vAlign w:val="center"/>
          </w:tcPr>
          <w:p w14:paraId="40B7232C">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ascii="Times New Roman" w:hAnsi="Times New Roman" w:cs="Times New Roman"/>
                <w:b w:val="0"/>
                <w:bCs w:val="0"/>
                <w:color w:val="auto"/>
                <w:kern w:val="0"/>
                <w:sz w:val="21"/>
                <w:szCs w:val="21"/>
                <w:highlight w:val="none"/>
                <w:u w:val="none"/>
                <w:lang w:eastAsia="en-US"/>
              </w:rPr>
            </w:pPr>
          </w:p>
        </w:tc>
        <w:tc>
          <w:tcPr>
            <w:tcW w:w="1629" w:type="dxa"/>
            <w:tcBorders>
              <w:tl2br w:val="nil"/>
              <w:tr2bl w:val="nil"/>
            </w:tcBorders>
            <w:noWrap w:val="0"/>
            <w:vAlign w:val="center"/>
          </w:tcPr>
          <w:p w14:paraId="2590135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rPr>
            </w:pPr>
            <w:r>
              <w:rPr>
                <w:rFonts w:ascii="Times New Roman" w:hAnsi="Times New Roman" w:cs="Times New Roman"/>
                <w:b w:val="0"/>
                <w:bCs w:val="0"/>
                <w:color w:val="auto"/>
                <w:kern w:val="0"/>
                <w:sz w:val="21"/>
                <w:szCs w:val="21"/>
                <w:highlight w:val="none"/>
                <w:u w:val="none"/>
              </w:rPr>
              <w:t>包气带底部石油类浓度（mg/L）</w:t>
            </w:r>
          </w:p>
        </w:tc>
        <w:tc>
          <w:tcPr>
            <w:tcW w:w="1543" w:type="dxa"/>
            <w:tcBorders>
              <w:tl2br w:val="nil"/>
              <w:tr2bl w:val="nil"/>
            </w:tcBorders>
            <w:noWrap w:val="0"/>
            <w:vAlign w:val="center"/>
          </w:tcPr>
          <w:p w14:paraId="0BE4B84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515.1569</w:t>
            </w:r>
          </w:p>
        </w:tc>
        <w:tc>
          <w:tcPr>
            <w:tcW w:w="1585" w:type="dxa"/>
            <w:tcBorders>
              <w:tl2br w:val="nil"/>
              <w:tr2bl w:val="nil"/>
            </w:tcBorders>
            <w:noWrap w:val="0"/>
            <w:vAlign w:val="center"/>
          </w:tcPr>
          <w:p w14:paraId="25595E3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769.3116</w:t>
            </w:r>
          </w:p>
        </w:tc>
        <w:tc>
          <w:tcPr>
            <w:tcW w:w="1307" w:type="dxa"/>
            <w:tcBorders>
              <w:tl2br w:val="nil"/>
              <w:tr2bl w:val="nil"/>
            </w:tcBorders>
            <w:noWrap w:val="0"/>
            <w:vAlign w:val="center"/>
          </w:tcPr>
          <w:p w14:paraId="2D5D1F2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875.3160</w:t>
            </w:r>
          </w:p>
        </w:tc>
        <w:tc>
          <w:tcPr>
            <w:tcW w:w="1404" w:type="dxa"/>
            <w:tcBorders>
              <w:tl2br w:val="nil"/>
              <w:tr2bl w:val="nil"/>
            </w:tcBorders>
            <w:noWrap w:val="0"/>
            <w:vAlign w:val="center"/>
          </w:tcPr>
          <w:p w14:paraId="115E3039">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cs="Times New Roman"/>
                <w:b w:val="0"/>
                <w:bCs w:val="0"/>
                <w:color w:val="auto"/>
                <w:kern w:val="0"/>
                <w:sz w:val="21"/>
                <w:szCs w:val="21"/>
                <w:highlight w:val="none"/>
                <w:u w:val="none"/>
                <w:lang w:eastAsia="en-US"/>
              </w:rPr>
            </w:pPr>
            <w:r>
              <w:rPr>
                <w:rFonts w:ascii="Times New Roman" w:hAnsi="Times New Roman" w:cs="Times New Roman"/>
                <w:b w:val="0"/>
                <w:bCs w:val="0"/>
                <w:color w:val="auto"/>
                <w:kern w:val="0"/>
                <w:sz w:val="21"/>
                <w:szCs w:val="21"/>
                <w:highlight w:val="none"/>
                <w:u w:val="none"/>
                <w:lang w:eastAsia="en-US"/>
              </w:rPr>
              <w:t>942.9776</w:t>
            </w:r>
          </w:p>
        </w:tc>
      </w:tr>
    </w:tbl>
    <w:p w14:paraId="1D55F64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color w:val="auto"/>
          <w:spacing w:val="0"/>
          <w:kern w:val="24"/>
          <w:sz w:val="24"/>
          <w:szCs w:val="22"/>
          <w:highlight w:val="none"/>
          <w:u w:val="none"/>
        </w:rPr>
      </w:pPr>
      <w:r>
        <w:rPr>
          <w:rFonts w:hint="eastAsia" w:ascii="Times New Roman" w:hAnsi="Times New Roman" w:cs="Times New Roman"/>
          <w:color w:val="auto"/>
          <w:spacing w:val="0"/>
          <w:kern w:val="24"/>
          <w:sz w:val="24"/>
          <w:szCs w:val="22"/>
          <w:highlight w:val="none"/>
          <w:u w:val="none"/>
        </w:rPr>
        <w:t>从上表中看出，原油发生</w:t>
      </w:r>
      <w:r>
        <w:rPr>
          <w:rFonts w:hint="eastAsia" w:ascii="Times New Roman" w:hAnsi="Times New Roman" w:cs="Times New Roman"/>
          <w:color w:val="auto"/>
          <w:spacing w:val="0"/>
          <w:kern w:val="24"/>
          <w:sz w:val="24"/>
          <w:szCs w:val="22"/>
          <w:highlight w:val="none"/>
          <w:u w:val="none"/>
          <w:lang w:eastAsia="zh-CN"/>
        </w:rPr>
        <w:t>泄漏</w:t>
      </w:r>
      <w:r>
        <w:rPr>
          <w:rFonts w:hint="eastAsia" w:ascii="Times New Roman" w:hAnsi="Times New Roman" w:cs="Times New Roman"/>
          <w:color w:val="auto"/>
          <w:spacing w:val="0"/>
          <w:kern w:val="24"/>
          <w:sz w:val="24"/>
          <w:szCs w:val="22"/>
          <w:highlight w:val="none"/>
          <w:u w:val="none"/>
        </w:rPr>
        <w:t>2h的情况下，随着时间的增加，包气带底部石油类浓度越来越大。</w:t>
      </w:r>
    </w:p>
    <w:p w14:paraId="78F9519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color w:val="auto"/>
          <w:spacing w:val="0"/>
          <w:kern w:val="24"/>
          <w:sz w:val="24"/>
          <w:szCs w:val="22"/>
          <w:highlight w:val="none"/>
          <w:u w:val="none"/>
        </w:rPr>
      </w:pPr>
      <w:r>
        <w:rPr>
          <w:rFonts w:hint="eastAsia" w:ascii="Times New Roman" w:hAnsi="Times New Roman" w:cs="Times New Roman"/>
          <w:color w:val="auto"/>
          <w:spacing w:val="0"/>
          <w:kern w:val="24"/>
          <w:sz w:val="24"/>
          <w:szCs w:val="22"/>
          <w:highlight w:val="none"/>
          <w:u w:val="none"/>
        </w:rPr>
        <w:t>从土壤环境污染现状调查可知，在纵向上石油的渗透力随土质有很大的差别，质地越粗，下渗力越强。落地油一般富集在0-20cm的土层中，石油在</w:t>
      </w:r>
      <w:r>
        <w:rPr>
          <w:rFonts w:hint="eastAsia" w:ascii="Times New Roman" w:hAnsi="Times New Roman" w:cs="Times New Roman"/>
          <w:color w:val="auto"/>
          <w:spacing w:val="0"/>
          <w:kern w:val="24"/>
          <w:sz w:val="24"/>
          <w:szCs w:val="22"/>
          <w:highlight w:val="none"/>
          <w:u w:val="none"/>
          <w:lang w:eastAsia="zh-CN"/>
        </w:rPr>
        <w:t>地表</w:t>
      </w:r>
      <w:r>
        <w:rPr>
          <w:rFonts w:hint="eastAsia" w:ascii="Times New Roman" w:hAnsi="Times New Roman" w:cs="Times New Roman"/>
          <w:color w:val="auto"/>
          <w:spacing w:val="0"/>
          <w:kern w:val="24"/>
          <w:sz w:val="24"/>
          <w:szCs w:val="22"/>
          <w:highlight w:val="none"/>
          <w:u w:val="none"/>
        </w:rPr>
        <w:t>的蒸发量与时间呈负指数相关，开始5h内石油蒸发强烈，24h后石油在土壤表面多呈粘稠状。落地油积存于表层会影响表层土壤通透性，影响土壤养分的释放，降低土壤动物及微生物的活性，使土壤的综合肥力下降，最终影响植物根系的吸收作用。</w:t>
      </w:r>
    </w:p>
    <w:p w14:paraId="491B211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color w:val="auto"/>
          <w:spacing w:val="0"/>
          <w:kern w:val="24"/>
          <w:sz w:val="24"/>
          <w:szCs w:val="22"/>
          <w:highlight w:val="none"/>
          <w:u w:val="none"/>
        </w:rPr>
      </w:pPr>
      <w:r>
        <w:rPr>
          <w:rFonts w:hint="eastAsia" w:ascii="Times New Roman" w:hAnsi="Times New Roman" w:cs="Times New Roman"/>
          <w:color w:val="auto"/>
          <w:spacing w:val="0"/>
          <w:kern w:val="24"/>
          <w:sz w:val="24"/>
          <w:szCs w:val="22"/>
          <w:highlight w:val="none"/>
          <w:u w:val="none"/>
        </w:rPr>
        <w:t>故在项目</w:t>
      </w:r>
      <w:r>
        <w:rPr>
          <w:rFonts w:hint="eastAsia" w:ascii="Times New Roman" w:hAnsi="Times New Roman" w:cs="Times New Roman"/>
          <w:color w:val="auto"/>
          <w:spacing w:val="0"/>
          <w:kern w:val="24"/>
          <w:sz w:val="24"/>
          <w:szCs w:val="22"/>
          <w:highlight w:val="none"/>
          <w:u w:val="none"/>
          <w:lang w:eastAsia="zh-CN"/>
        </w:rPr>
        <w:t>运营期</w:t>
      </w:r>
      <w:r>
        <w:rPr>
          <w:rFonts w:hint="eastAsia" w:ascii="Times New Roman" w:hAnsi="Times New Roman" w:cs="Times New Roman"/>
          <w:color w:val="auto"/>
          <w:spacing w:val="0"/>
          <w:kern w:val="24"/>
          <w:sz w:val="24"/>
          <w:szCs w:val="22"/>
          <w:highlight w:val="none"/>
          <w:u w:val="none"/>
        </w:rPr>
        <w:t>间，需加强管理和监督检查，杜绝非正常情况的发生，避免污染物进入土壤及地下水含水层中。在工程做好防渗、定期监测、严格执行本次环评提出的污染防治措施的前提下</w:t>
      </w:r>
      <w:r>
        <w:rPr>
          <w:rFonts w:hint="eastAsia" w:ascii="Times New Roman" w:hAnsi="Times New Roman" w:cs="Times New Roman"/>
          <w:color w:val="auto"/>
          <w:spacing w:val="0"/>
          <w:kern w:val="24"/>
          <w:sz w:val="24"/>
          <w:szCs w:val="22"/>
          <w:highlight w:val="none"/>
          <w:u w:val="none"/>
          <w:lang w:eastAsia="zh-CN"/>
        </w:rPr>
        <w:t>本工程</w:t>
      </w:r>
      <w:r>
        <w:rPr>
          <w:rFonts w:hint="eastAsia" w:ascii="Times New Roman" w:hAnsi="Times New Roman" w:cs="Times New Roman"/>
          <w:color w:val="auto"/>
          <w:spacing w:val="0"/>
          <w:kern w:val="24"/>
          <w:sz w:val="24"/>
          <w:szCs w:val="22"/>
          <w:highlight w:val="none"/>
          <w:u w:val="none"/>
        </w:rPr>
        <w:t>对土壤环境影响可接受。</w:t>
      </w:r>
    </w:p>
    <w:p w14:paraId="4ECA44D7">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9"/>
        <w:rPr>
          <w:rFonts w:hint="eastAsia" w:ascii="黑体" w:hAnsi="黑体" w:eastAsia="黑体" w:cs="黑体"/>
          <w:b/>
          <w:color w:val="auto"/>
          <w:kern w:val="0"/>
          <w:sz w:val="24"/>
          <w:szCs w:val="24"/>
          <w:highlight w:val="none"/>
          <w:u w:val="none"/>
          <w:lang w:val="en-US" w:eastAsia="zh-CN"/>
        </w:rPr>
      </w:pPr>
    </w:p>
    <w:p w14:paraId="6F27D449">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9"/>
        <w:rPr>
          <w:rFonts w:hint="eastAsia" w:ascii="黑体" w:hAnsi="黑体" w:eastAsia="黑体" w:cs="黑体"/>
          <w:b/>
          <w:color w:val="auto"/>
          <w:kern w:val="0"/>
          <w:sz w:val="24"/>
          <w:szCs w:val="24"/>
          <w:highlight w:val="none"/>
          <w:u w:val="none"/>
          <w:lang w:val="en-US" w:eastAsia="zh-CN"/>
        </w:rPr>
      </w:pPr>
    </w:p>
    <w:p w14:paraId="68DA88A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5.4.3 小结</w:t>
      </w:r>
    </w:p>
    <w:p w14:paraId="5E7DFFF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highlight w:val="none"/>
          <w:u w:val="none"/>
        </w:rPr>
      </w:pPr>
      <w:r>
        <w:rPr>
          <w:rFonts w:hint="eastAsia" w:ascii="Times New Roman" w:hAnsi="Times New Roman" w:cs="Times New Roman"/>
          <w:color w:val="auto"/>
          <w:spacing w:val="0"/>
          <w:kern w:val="24"/>
          <w:sz w:val="24"/>
          <w:szCs w:val="22"/>
          <w:highlight w:val="none"/>
          <w:u w:val="none"/>
        </w:rPr>
        <w:t>综上，</w:t>
      </w:r>
      <w:r>
        <w:rPr>
          <w:rFonts w:hint="eastAsia" w:ascii="Times New Roman" w:hAnsi="Times New Roman" w:cs="Times New Roman"/>
          <w:color w:val="auto"/>
          <w:spacing w:val="0"/>
          <w:kern w:val="24"/>
          <w:sz w:val="24"/>
          <w:szCs w:val="22"/>
          <w:highlight w:val="none"/>
          <w:u w:val="none"/>
          <w:lang w:eastAsia="zh-CN"/>
        </w:rPr>
        <w:t>本工程</w:t>
      </w:r>
      <w:r>
        <w:rPr>
          <w:rFonts w:hint="eastAsia" w:ascii="Times New Roman" w:hAnsi="Times New Roman" w:cs="Times New Roman"/>
          <w:color w:val="auto"/>
          <w:spacing w:val="0"/>
          <w:kern w:val="24"/>
          <w:sz w:val="24"/>
          <w:szCs w:val="22"/>
          <w:highlight w:val="none"/>
          <w:u w:val="none"/>
        </w:rPr>
        <w:t>采用密闭集输的集输方式，正常工况下无废水及固废等污染物外排，不会造成土壤环境污染。如果发生管线泄漏等事故，泄漏的</w:t>
      </w:r>
      <w:r>
        <w:rPr>
          <w:rFonts w:hint="eastAsia" w:cs="Times New Roman"/>
          <w:color w:val="auto"/>
          <w:spacing w:val="0"/>
          <w:kern w:val="24"/>
          <w:sz w:val="24"/>
          <w:szCs w:val="22"/>
          <w:highlight w:val="none"/>
          <w:u w:val="none"/>
          <w:lang w:val="en-US" w:eastAsia="zh-CN"/>
        </w:rPr>
        <w:t>油品</w:t>
      </w:r>
      <w:r>
        <w:rPr>
          <w:rFonts w:hint="eastAsia" w:ascii="Times New Roman" w:hAnsi="Times New Roman" w:cs="Times New Roman"/>
          <w:color w:val="auto"/>
          <w:spacing w:val="0"/>
          <w:kern w:val="24"/>
          <w:sz w:val="24"/>
          <w:szCs w:val="22"/>
          <w:highlight w:val="none"/>
          <w:u w:val="none"/>
        </w:rPr>
        <w:t>会对土壤环境产生一定的影响，泄漏的油类物质覆盖于地表可使土壤透气性下降、土壤理化性状发生变化。泄漏的油品如果进入土壤，从而使土壤质地、结构发生改变，影响到土地功能，进而影响地表植被的生长。根据环境风险分析可知，</w:t>
      </w:r>
      <w:r>
        <w:rPr>
          <w:rFonts w:hint="eastAsia" w:ascii="Times New Roman" w:hAnsi="Times New Roman" w:cs="Times New Roman"/>
          <w:color w:val="auto"/>
          <w:spacing w:val="0"/>
          <w:kern w:val="24"/>
          <w:sz w:val="24"/>
          <w:szCs w:val="22"/>
          <w:highlight w:val="none"/>
          <w:u w:val="none"/>
          <w:lang w:eastAsia="zh-CN"/>
        </w:rPr>
        <w:t>本工程</w:t>
      </w:r>
      <w:r>
        <w:rPr>
          <w:rFonts w:hint="eastAsia" w:ascii="Times New Roman" w:hAnsi="Times New Roman" w:cs="Times New Roman"/>
          <w:color w:val="auto"/>
          <w:spacing w:val="0"/>
          <w:kern w:val="24"/>
          <w:sz w:val="24"/>
          <w:szCs w:val="22"/>
          <w:highlight w:val="none"/>
          <w:u w:val="none"/>
        </w:rPr>
        <w:t>风险潜势很低，发生泄漏事故的可能性很小，在做好源头控制、过程防控等措施的前提下，可避免工程项目实施对土壤环境产生污染影响。</w:t>
      </w:r>
    </w:p>
    <w:p w14:paraId="02F2152B">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5.4.4 土壤环境影响自查表</w:t>
      </w:r>
    </w:p>
    <w:p w14:paraId="6E6157B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Style w:val="164"/>
          <w:rFonts w:ascii="Times New Roman" w:hAnsi="Times New Roman" w:cs="Times New Roman"/>
          <w:color w:val="auto"/>
          <w:kern w:val="0"/>
          <w:sz w:val="24"/>
          <w:szCs w:val="20"/>
          <w:highlight w:val="none"/>
          <w:u w:val="none"/>
        </w:rPr>
      </w:pPr>
      <w:r>
        <w:rPr>
          <w:rStyle w:val="164"/>
          <w:rFonts w:hint="eastAsia" w:ascii="Times New Roman" w:hAnsi="Times New Roman" w:cs="Times New Roman"/>
          <w:color w:val="auto"/>
          <w:szCs w:val="20"/>
          <w:highlight w:val="none"/>
          <w:u w:val="none"/>
          <w:lang w:eastAsia="zh-CN"/>
        </w:rPr>
        <w:t>本工程</w:t>
      </w:r>
      <w:r>
        <w:rPr>
          <w:rStyle w:val="164"/>
          <w:rFonts w:ascii="Times New Roman" w:hAnsi="Times New Roman" w:cs="Times New Roman"/>
          <w:color w:val="auto"/>
          <w:szCs w:val="20"/>
          <w:highlight w:val="none"/>
          <w:u w:val="none"/>
        </w:rPr>
        <w:t>土壤环境影响评价自查表，见表5.</w:t>
      </w:r>
      <w:r>
        <w:rPr>
          <w:rStyle w:val="164"/>
          <w:rFonts w:hint="eastAsia" w:cs="Times New Roman"/>
          <w:color w:val="auto"/>
          <w:szCs w:val="20"/>
          <w:highlight w:val="none"/>
          <w:u w:val="none"/>
          <w:lang w:val="en-US" w:eastAsia="zh-CN"/>
        </w:rPr>
        <w:t>4-2</w:t>
      </w:r>
      <w:r>
        <w:rPr>
          <w:rStyle w:val="164"/>
          <w:rFonts w:ascii="Times New Roman" w:hAnsi="Times New Roman" w:cs="Times New Roman"/>
          <w:color w:val="auto"/>
          <w:szCs w:val="20"/>
          <w:highlight w:val="none"/>
          <w:u w:val="none"/>
        </w:rPr>
        <w:t>。</w:t>
      </w:r>
    </w:p>
    <w:p w14:paraId="1BB6DD33">
      <w:pPr>
        <w:rPr>
          <w:rFonts w:hint="eastAsia" w:asciiTheme="majorEastAsia" w:hAnsiTheme="majorEastAsia" w:eastAsiaTheme="majorEastAsia" w:cstheme="majorEastAsia"/>
          <w:b/>
          <w:bCs w:val="0"/>
          <w:color w:val="auto"/>
          <w:kern w:val="2"/>
          <w:sz w:val="24"/>
          <w:szCs w:val="24"/>
          <w:u w:val="none"/>
          <w:lang w:val="zh-CN" w:eastAsia="zh-CN" w:bidi="ar-SA"/>
        </w:rPr>
      </w:pPr>
      <w:r>
        <w:rPr>
          <w:rFonts w:hint="eastAsia" w:asciiTheme="majorEastAsia" w:hAnsiTheme="majorEastAsia" w:eastAsiaTheme="majorEastAsia" w:cstheme="majorEastAsia"/>
          <w:b/>
          <w:bCs w:val="0"/>
          <w:color w:val="auto"/>
          <w:kern w:val="2"/>
          <w:sz w:val="24"/>
          <w:szCs w:val="24"/>
          <w:u w:val="none"/>
          <w:lang w:val="zh-CN" w:eastAsia="zh-CN" w:bidi="ar-SA"/>
        </w:rPr>
        <w:br w:type="page"/>
      </w:r>
    </w:p>
    <w:p w14:paraId="74E2C2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color w:val="auto"/>
          <w:kern w:val="0"/>
          <w:sz w:val="21"/>
          <w:szCs w:val="21"/>
          <w:highlight w:val="none"/>
          <w:u w:val="none"/>
          <w:lang w:val="zh-CN"/>
        </w:rPr>
      </w:pPr>
      <w:r>
        <w:rPr>
          <w:rFonts w:hint="eastAsia" w:ascii="黑体" w:hAnsi="黑体" w:eastAsia="黑体" w:cs="黑体"/>
          <w:b w:val="0"/>
          <w:bCs/>
          <w:color w:val="auto"/>
          <w:kern w:val="2"/>
          <w:sz w:val="24"/>
          <w:szCs w:val="24"/>
          <w:u w:val="none"/>
          <w:lang w:val="zh-CN" w:eastAsia="zh-CN" w:bidi="ar-SA"/>
        </w:rPr>
        <w:t>表5.</w:t>
      </w:r>
      <w:r>
        <w:rPr>
          <w:rFonts w:hint="eastAsia" w:ascii="黑体" w:hAnsi="黑体" w:eastAsia="黑体" w:cs="黑体"/>
          <w:b w:val="0"/>
          <w:bCs/>
          <w:color w:val="auto"/>
          <w:kern w:val="2"/>
          <w:sz w:val="24"/>
          <w:szCs w:val="24"/>
          <w:u w:val="none"/>
          <w:lang w:val="en-US" w:eastAsia="zh-CN" w:bidi="ar-SA"/>
        </w:rPr>
        <w:t xml:space="preserve">4-2  </w:t>
      </w:r>
      <w:r>
        <w:rPr>
          <w:rFonts w:hint="eastAsia" w:ascii="黑体" w:hAnsi="黑体" w:eastAsia="黑体" w:cs="黑体"/>
          <w:b w:val="0"/>
          <w:bCs/>
          <w:color w:val="auto"/>
          <w:kern w:val="2"/>
          <w:sz w:val="24"/>
          <w:szCs w:val="24"/>
          <w:u w:val="none"/>
          <w:lang w:val="zh-CN" w:eastAsia="zh-CN" w:bidi="ar-SA"/>
        </w:rPr>
        <w:t>土壤环境影响评价自查表</w:t>
      </w:r>
    </w:p>
    <w:tbl>
      <w:tblPr>
        <w:tblStyle w:val="37"/>
        <w:tblW w:w="88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497"/>
        <w:gridCol w:w="723"/>
        <w:gridCol w:w="1142"/>
        <w:gridCol w:w="179"/>
        <w:gridCol w:w="664"/>
        <w:gridCol w:w="603"/>
        <w:gridCol w:w="182"/>
        <w:gridCol w:w="1086"/>
        <w:gridCol w:w="726"/>
        <w:gridCol w:w="1641"/>
      </w:tblGrid>
      <w:tr w14:paraId="0D4BA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2" w:type="dxa"/>
            <w:gridSpan w:val="2"/>
            <w:tcBorders>
              <w:tl2br w:val="nil"/>
              <w:tr2bl w:val="nil"/>
            </w:tcBorders>
            <w:noWrap w:val="0"/>
            <w:vAlign w:val="center"/>
          </w:tcPr>
          <w:p w14:paraId="1D0B9720">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工作内容</w:t>
            </w:r>
          </w:p>
        </w:tc>
        <w:tc>
          <w:tcPr>
            <w:tcW w:w="5305" w:type="dxa"/>
            <w:gridSpan w:val="8"/>
            <w:tcBorders>
              <w:tl2br w:val="nil"/>
              <w:tr2bl w:val="nil"/>
            </w:tcBorders>
            <w:noWrap w:val="0"/>
            <w:vAlign w:val="center"/>
          </w:tcPr>
          <w:p w14:paraId="175F929C">
            <w:pPr>
              <w:keepNext w:val="0"/>
              <w:keepLines w:val="0"/>
              <w:pageBreakBefore w:val="0"/>
              <w:widowControl/>
              <w:kinsoku/>
              <w:wordWrap/>
              <w:overflowPunct/>
              <w:topLinePunct w:val="0"/>
              <w:autoSpaceDE/>
              <w:autoSpaceDN/>
              <w:bidi w:val="0"/>
              <w:spacing w:line="220" w:lineRule="exact"/>
              <w:ind w:left="0" w:leftChars="0" w:right="0" w:rightChars="0" w:firstLine="0"/>
              <w:jc w:val="center"/>
              <w:rPr>
                <w:rFonts w:hint="default" w:ascii="Times New Roman" w:hAnsi="Times New Roman" w:cs="Times New Roman"/>
                <w:color w:val="auto"/>
                <w:kern w:val="0"/>
                <w:sz w:val="18"/>
                <w:szCs w:val="18"/>
                <w:highlight w:val="none"/>
                <w:u w:val="none"/>
              </w:rPr>
            </w:pPr>
            <w:r>
              <w:rPr>
                <w:rFonts w:hint="eastAsia" w:ascii="Times New Roman" w:hAnsi="Times New Roman" w:cs="Times New Roman"/>
                <w:color w:val="auto"/>
                <w:kern w:val="0"/>
                <w:sz w:val="18"/>
                <w:szCs w:val="18"/>
                <w:highlight w:val="none"/>
                <w:u w:val="none"/>
                <w:lang w:eastAsia="zh-CN"/>
              </w:rPr>
              <w:t>莫北油田莫116井区侏罗系三工河组气藏产能建设项目</w:t>
            </w:r>
          </w:p>
        </w:tc>
        <w:tc>
          <w:tcPr>
            <w:tcW w:w="1641" w:type="dxa"/>
            <w:tcBorders>
              <w:tl2br w:val="nil"/>
              <w:tr2bl w:val="nil"/>
            </w:tcBorders>
            <w:noWrap w:val="0"/>
            <w:vAlign w:val="center"/>
          </w:tcPr>
          <w:p w14:paraId="64E73DF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备注</w:t>
            </w:r>
          </w:p>
        </w:tc>
      </w:tr>
      <w:tr w14:paraId="119DC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restart"/>
            <w:tcBorders>
              <w:tl2br w:val="nil"/>
              <w:tr2bl w:val="nil"/>
            </w:tcBorders>
            <w:noWrap w:val="0"/>
            <w:vAlign w:val="center"/>
          </w:tcPr>
          <w:p w14:paraId="3FD5BB56">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影</w:t>
            </w:r>
            <w:r>
              <w:rPr>
                <w:rFonts w:hint="eastAsia" w:cs="Times New Roman"/>
                <w:color w:val="auto"/>
                <w:sz w:val="18"/>
                <w:szCs w:val="18"/>
                <w:highlight w:val="none"/>
                <w:u w:val="none"/>
                <w:lang w:val="en-US" w:eastAsia="zh-CN" w:bidi="ar-SA"/>
              </w:rPr>
              <w:t>影</w:t>
            </w:r>
            <w:r>
              <w:rPr>
                <w:rFonts w:hint="default" w:ascii="Times New Roman" w:hAnsi="Times New Roman" w:eastAsia="宋体" w:cs="Times New Roman"/>
                <w:color w:val="auto"/>
                <w:sz w:val="18"/>
                <w:szCs w:val="18"/>
                <w:highlight w:val="none"/>
                <w:u w:val="none"/>
                <w:lang w:val="en-US" w:eastAsia="zh-CN" w:bidi="ar-SA"/>
              </w:rPr>
              <w:t>响识别</w:t>
            </w:r>
          </w:p>
        </w:tc>
        <w:tc>
          <w:tcPr>
            <w:tcW w:w="1497" w:type="dxa"/>
            <w:tcBorders>
              <w:tl2br w:val="nil"/>
              <w:tr2bl w:val="nil"/>
            </w:tcBorders>
            <w:noWrap w:val="0"/>
            <w:vAlign w:val="center"/>
          </w:tcPr>
          <w:p w14:paraId="3B29C81F">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影响类型</w:t>
            </w:r>
          </w:p>
        </w:tc>
        <w:tc>
          <w:tcPr>
            <w:tcW w:w="5305" w:type="dxa"/>
            <w:gridSpan w:val="8"/>
            <w:tcBorders>
              <w:tl2br w:val="nil"/>
              <w:tr2bl w:val="nil"/>
            </w:tcBorders>
            <w:noWrap w:val="0"/>
            <w:vAlign w:val="center"/>
          </w:tcPr>
          <w:p w14:paraId="30385AF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污染影响</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；生态影响型</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；两种兼有</w:t>
            </w:r>
            <w:r>
              <w:rPr>
                <w:rFonts w:hint="eastAsia" w:cs="Times New Roman"/>
                <w:color w:val="auto"/>
                <w:sz w:val="18"/>
                <w:szCs w:val="18"/>
                <w:highlight w:val="none"/>
                <w:u w:val="none"/>
                <w:lang w:val="en-US" w:eastAsia="zh-CN" w:bidi="ar-SA"/>
              </w:rPr>
              <w:t>☑</w:t>
            </w:r>
          </w:p>
        </w:tc>
        <w:tc>
          <w:tcPr>
            <w:tcW w:w="1641" w:type="dxa"/>
            <w:tcBorders>
              <w:tl2br w:val="nil"/>
              <w:tr2bl w:val="nil"/>
            </w:tcBorders>
            <w:noWrap w:val="0"/>
            <w:vAlign w:val="center"/>
          </w:tcPr>
          <w:p w14:paraId="14ECD85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50441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7E42FA2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401D89BB">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土地利用类型</w:t>
            </w:r>
          </w:p>
        </w:tc>
        <w:tc>
          <w:tcPr>
            <w:tcW w:w="5305" w:type="dxa"/>
            <w:gridSpan w:val="8"/>
            <w:tcBorders>
              <w:tl2br w:val="nil"/>
              <w:tr2bl w:val="nil"/>
            </w:tcBorders>
            <w:noWrap w:val="0"/>
            <w:vAlign w:val="center"/>
          </w:tcPr>
          <w:p w14:paraId="3789034B">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建设用地</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；农用地</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；未利用地</w:t>
            </w:r>
            <w:r>
              <w:rPr>
                <w:rFonts w:hint="eastAsia" w:cs="Times New Roman"/>
                <w:color w:val="auto"/>
                <w:sz w:val="18"/>
                <w:szCs w:val="18"/>
                <w:highlight w:val="none"/>
                <w:u w:val="none"/>
                <w:lang w:val="en-US" w:eastAsia="zh-CN" w:bidi="ar-SA"/>
              </w:rPr>
              <w:t>☑</w:t>
            </w:r>
          </w:p>
        </w:tc>
        <w:tc>
          <w:tcPr>
            <w:tcW w:w="1641" w:type="dxa"/>
            <w:tcBorders>
              <w:tl2br w:val="nil"/>
              <w:tr2bl w:val="nil"/>
            </w:tcBorders>
            <w:noWrap w:val="0"/>
            <w:vAlign w:val="center"/>
          </w:tcPr>
          <w:p w14:paraId="740531E8">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土地利用类型图</w:t>
            </w:r>
          </w:p>
        </w:tc>
      </w:tr>
      <w:tr w14:paraId="652F8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61C24443">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76B7E7AA">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占地规模</w:t>
            </w:r>
          </w:p>
        </w:tc>
        <w:tc>
          <w:tcPr>
            <w:tcW w:w="5305" w:type="dxa"/>
            <w:gridSpan w:val="8"/>
            <w:tcBorders>
              <w:tl2br w:val="nil"/>
              <w:tr2bl w:val="nil"/>
            </w:tcBorders>
            <w:noWrap w:val="0"/>
            <w:vAlign w:val="center"/>
          </w:tcPr>
          <w:p w14:paraId="7428D1F6">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w:t>
            </w:r>
            <w:r>
              <w:rPr>
                <w:rFonts w:hint="eastAsia" w:cs="Times New Roman"/>
                <w:color w:val="auto"/>
                <w:sz w:val="18"/>
                <w:szCs w:val="18"/>
                <w:highlight w:val="none"/>
                <w:u w:val="none"/>
                <w:lang w:val="en-US" w:eastAsia="zh-CN" w:bidi="ar-SA"/>
              </w:rPr>
              <w:t>2.21</w:t>
            </w:r>
            <w:r>
              <w:rPr>
                <w:rFonts w:hint="default" w:ascii="Times New Roman" w:hAnsi="Times New Roman" w:eastAsia="宋体" w:cs="Times New Roman"/>
                <w:color w:val="auto"/>
                <w:sz w:val="18"/>
                <w:szCs w:val="18"/>
                <w:highlight w:val="none"/>
                <w:u w:val="none"/>
                <w:lang w:val="en-US" w:eastAsia="zh-CN" w:bidi="ar-SA"/>
              </w:rPr>
              <w:t>）hm</w:t>
            </w:r>
            <w:r>
              <w:rPr>
                <w:rFonts w:hint="default" w:ascii="Times New Roman" w:hAnsi="Times New Roman" w:eastAsia="宋体" w:cs="Times New Roman"/>
                <w:color w:val="auto"/>
                <w:sz w:val="18"/>
                <w:szCs w:val="18"/>
                <w:highlight w:val="none"/>
                <w:u w:val="none"/>
                <w:vertAlign w:val="superscript"/>
                <w:lang w:val="en-US" w:eastAsia="zh-CN" w:bidi="ar-SA"/>
              </w:rPr>
              <w:t>2</w:t>
            </w:r>
          </w:p>
        </w:tc>
        <w:tc>
          <w:tcPr>
            <w:tcW w:w="1641" w:type="dxa"/>
            <w:tcBorders>
              <w:tl2br w:val="nil"/>
              <w:tr2bl w:val="nil"/>
            </w:tcBorders>
            <w:noWrap w:val="0"/>
            <w:vAlign w:val="center"/>
          </w:tcPr>
          <w:p w14:paraId="5439F416">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eastAsia" w:cs="Times New Roman"/>
                <w:color w:val="auto"/>
                <w:sz w:val="18"/>
                <w:szCs w:val="18"/>
                <w:highlight w:val="none"/>
                <w:u w:val="none"/>
                <w:lang w:val="en-US" w:eastAsia="zh-CN" w:bidi="ar-SA"/>
              </w:rPr>
              <w:t>永久占地</w:t>
            </w:r>
          </w:p>
        </w:tc>
      </w:tr>
      <w:tr w14:paraId="2310E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6299684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4E867862">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敏感目标信息</w:t>
            </w:r>
          </w:p>
        </w:tc>
        <w:tc>
          <w:tcPr>
            <w:tcW w:w="5305" w:type="dxa"/>
            <w:gridSpan w:val="8"/>
            <w:tcBorders>
              <w:tl2br w:val="nil"/>
              <w:tr2bl w:val="nil"/>
            </w:tcBorders>
            <w:noWrap w:val="0"/>
            <w:vAlign w:val="center"/>
          </w:tcPr>
          <w:p w14:paraId="3F12371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敏感目标（</w:t>
            </w:r>
            <w:r>
              <w:rPr>
                <w:rFonts w:hint="eastAsia" w:ascii="Times New Roman" w:hAnsi="Times New Roman" w:eastAsia="宋体" w:cs="Times New Roman"/>
                <w:color w:val="auto"/>
                <w:sz w:val="18"/>
                <w:szCs w:val="18"/>
                <w:highlight w:val="none"/>
                <w:u w:val="none"/>
                <w:lang w:val="en-US" w:eastAsia="zh-CN" w:bidi="ar-SA"/>
              </w:rPr>
              <w:t>无</w:t>
            </w:r>
            <w:r>
              <w:rPr>
                <w:rFonts w:hint="default" w:ascii="Times New Roman" w:hAnsi="Times New Roman" w:eastAsia="宋体" w:cs="Times New Roman"/>
                <w:color w:val="auto"/>
                <w:sz w:val="18"/>
                <w:szCs w:val="18"/>
                <w:highlight w:val="none"/>
                <w:u w:val="none"/>
                <w:lang w:val="en-US" w:eastAsia="zh-CN" w:bidi="ar-SA"/>
              </w:rPr>
              <w:t>）、方位（/）、距离（/）</w:t>
            </w:r>
          </w:p>
        </w:tc>
        <w:tc>
          <w:tcPr>
            <w:tcW w:w="1641" w:type="dxa"/>
            <w:tcBorders>
              <w:tl2br w:val="nil"/>
              <w:tr2bl w:val="nil"/>
            </w:tcBorders>
            <w:noWrap w:val="0"/>
            <w:vAlign w:val="center"/>
          </w:tcPr>
          <w:p w14:paraId="22E41E7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56879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6973D863">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2C5D9F6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影响途径</w:t>
            </w:r>
          </w:p>
        </w:tc>
        <w:tc>
          <w:tcPr>
            <w:tcW w:w="5305" w:type="dxa"/>
            <w:gridSpan w:val="8"/>
            <w:tcBorders>
              <w:tl2br w:val="nil"/>
              <w:tr2bl w:val="nil"/>
            </w:tcBorders>
            <w:noWrap w:val="0"/>
            <w:vAlign w:val="center"/>
          </w:tcPr>
          <w:p w14:paraId="5FD5A4E5">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大气沉降□；地面漫流□；垂直入渗☑；地下水位□；其他□</w:t>
            </w:r>
          </w:p>
        </w:tc>
        <w:tc>
          <w:tcPr>
            <w:tcW w:w="1641" w:type="dxa"/>
            <w:tcBorders>
              <w:tl2br w:val="nil"/>
              <w:tr2bl w:val="nil"/>
            </w:tcBorders>
            <w:noWrap w:val="0"/>
            <w:vAlign w:val="center"/>
          </w:tcPr>
          <w:p w14:paraId="7C84611F">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076D1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7B1E6D1A">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2A8E9BF5">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全部污染物</w:t>
            </w:r>
          </w:p>
        </w:tc>
        <w:tc>
          <w:tcPr>
            <w:tcW w:w="5305" w:type="dxa"/>
            <w:gridSpan w:val="8"/>
            <w:tcBorders>
              <w:tl2br w:val="nil"/>
              <w:tr2bl w:val="nil"/>
            </w:tcBorders>
            <w:noWrap w:val="0"/>
            <w:vAlign w:val="center"/>
          </w:tcPr>
          <w:p w14:paraId="21CCB122">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eastAsia"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kern w:val="0"/>
                <w:sz w:val="18"/>
                <w:szCs w:val="18"/>
                <w:highlight w:val="none"/>
                <w:u w:val="none"/>
                <w:lang w:val="en-US" w:eastAsia="zh-CN" w:bidi="ar-SA"/>
              </w:rPr>
              <w:t>石油烃（</w:t>
            </w:r>
            <w:r>
              <w:rPr>
                <w:rFonts w:hint="default" w:ascii="Times New Roman" w:hAnsi="Times New Roman" w:eastAsia="宋体" w:cs="Times New Roman"/>
                <w:color w:val="auto"/>
                <w:spacing w:val="-10"/>
                <w:sz w:val="18"/>
                <w:szCs w:val="18"/>
                <w:highlight w:val="none"/>
                <w:u w:val="none"/>
                <w:lang w:val="en-US" w:eastAsia="zh-CN" w:bidi="ar-SA"/>
              </w:rPr>
              <w:t>C</w:t>
            </w:r>
            <w:r>
              <w:rPr>
                <w:rFonts w:hint="default" w:ascii="Times New Roman" w:hAnsi="Times New Roman" w:eastAsia="宋体" w:cs="Times New Roman"/>
                <w:color w:val="auto"/>
                <w:spacing w:val="-10"/>
                <w:sz w:val="18"/>
                <w:szCs w:val="18"/>
                <w:highlight w:val="none"/>
                <w:u w:val="none"/>
                <w:vertAlign w:val="subscript"/>
                <w:lang w:val="en-US" w:eastAsia="zh-CN" w:bidi="ar-SA"/>
              </w:rPr>
              <w:t>10</w:t>
            </w:r>
            <w:r>
              <w:rPr>
                <w:rFonts w:hint="default" w:ascii="Times New Roman" w:hAnsi="Times New Roman" w:eastAsia="宋体" w:cs="Times New Roman"/>
                <w:color w:val="auto"/>
                <w:spacing w:val="-10"/>
                <w:sz w:val="18"/>
                <w:szCs w:val="18"/>
                <w:highlight w:val="none"/>
                <w:u w:val="none"/>
                <w:lang w:val="en-US" w:eastAsia="zh-CN" w:bidi="ar-SA"/>
              </w:rPr>
              <w:t>-C</w:t>
            </w:r>
            <w:r>
              <w:rPr>
                <w:rFonts w:hint="default" w:ascii="Times New Roman" w:hAnsi="Times New Roman" w:eastAsia="宋体" w:cs="Times New Roman"/>
                <w:color w:val="auto"/>
                <w:spacing w:val="-10"/>
                <w:sz w:val="18"/>
                <w:szCs w:val="18"/>
                <w:highlight w:val="none"/>
                <w:u w:val="none"/>
                <w:vertAlign w:val="subscript"/>
                <w:lang w:val="en-US" w:eastAsia="zh-CN" w:bidi="ar-SA"/>
              </w:rPr>
              <w:t>40</w:t>
            </w:r>
            <w:r>
              <w:rPr>
                <w:rFonts w:hint="default" w:ascii="Times New Roman" w:hAnsi="Times New Roman" w:eastAsia="宋体" w:cs="Times New Roman"/>
                <w:color w:val="auto"/>
                <w:kern w:val="0"/>
                <w:sz w:val="18"/>
                <w:szCs w:val="18"/>
                <w:highlight w:val="none"/>
                <w:u w:val="none"/>
                <w:lang w:val="en-US" w:eastAsia="zh-CN" w:bidi="ar-SA"/>
              </w:rPr>
              <w:t>）</w:t>
            </w:r>
          </w:p>
        </w:tc>
        <w:tc>
          <w:tcPr>
            <w:tcW w:w="1641" w:type="dxa"/>
            <w:tcBorders>
              <w:tl2br w:val="nil"/>
              <w:tr2bl w:val="nil"/>
            </w:tcBorders>
            <w:noWrap w:val="0"/>
            <w:vAlign w:val="center"/>
          </w:tcPr>
          <w:p w14:paraId="5DCAB07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7E858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58AF4CE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0BC52C6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特征因子</w:t>
            </w:r>
          </w:p>
        </w:tc>
        <w:tc>
          <w:tcPr>
            <w:tcW w:w="5305" w:type="dxa"/>
            <w:gridSpan w:val="8"/>
            <w:tcBorders>
              <w:tl2br w:val="nil"/>
              <w:tr2bl w:val="nil"/>
            </w:tcBorders>
            <w:noWrap w:val="0"/>
            <w:vAlign w:val="center"/>
          </w:tcPr>
          <w:p w14:paraId="6B8CC3B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kern w:val="0"/>
                <w:sz w:val="18"/>
                <w:szCs w:val="18"/>
                <w:highlight w:val="none"/>
                <w:u w:val="none"/>
                <w:lang w:val="en-US" w:eastAsia="zh-CN" w:bidi="ar-SA"/>
              </w:rPr>
              <w:t>石油烃（</w:t>
            </w:r>
            <w:r>
              <w:rPr>
                <w:rFonts w:hint="default" w:ascii="Times New Roman" w:hAnsi="Times New Roman" w:eastAsia="宋体" w:cs="Times New Roman"/>
                <w:color w:val="auto"/>
                <w:spacing w:val="-10"/>
                <w:sz w:val="18"/>
                <w:szCs w:val="18"/>
                <w:highlight w:val="none"/>
                <w:u w:val="none"/>
                <w:lang w:val="en-US" w:eastAsia="zh-CN" w:bidi="ar-SA"/>
              </w:rPr>
              <w:t>C</w:t>
            </w:r>
            <w:r>
              <w:rPr>
                <w:rFonts w:hint="default" w:ascii="Times New Roman" w:hAnsi="Times New Roman" w:eastAsia="宋体" w:cs="Times New Roman"/>
                <w:color w:val="auto"/>
                <w:spacing w:val="-10"/>
                <w:sz w:val="18"/>
                <w:szCs w:val="18"/>
                <w:highlight w:val="none"/>
                <w:u w:val="none"/>
                <w:vertAlign w:val="subscript"/>
                <w:lang w:val="en-US" w:eastAsia="zh-CN" w:bidi="ar-SA"/>
              </w:rPr>
              <w:t>10</w:t>
            </w:r>
            <w:r>
              <w:rPr>
                <w:rFonts w:hint="default" w:ascii="Times New Roman" w:hAnsi="Times New Roman" w:eastAsia="宋体" w:cs="Times New Roman"/>
                <w:color w:val="auto"/>
                <w:spacing w:val="-10"/>
                <w:sz w:val="18"/>
                <w:szCs w:val="18"/>
                <w:highlight w:val="none"/>
                <w:u w:val="none"/>
                <w:lang w:val="en-US" w:eastAsia="zh-CN" w:bidi="ar-SA"/>
              </w:rPr>
              <w:t>-C</w:t>
            </w:r>
            <w:r>
              <w:rPr>
                <w:rFonts w:hint="default" w:ascii="Times New Roman" w:hAnsi="Times New Roman" w:eastAsia="宋体" w:cs="Times New Roman"/>
                <w:color w:val="auto"/>
                <w:spacing w:val="-10"/>
                <w:sz w:val="18"/>
                <w:szCs w:val="18"/>
                <w:highlight w:val="none"/>
                <w:u w:val="none"/>
                <w:vertAlign w:val="subscript"/>
                <w:lang w:val="en-US" w:eastAsia="zh-CN" w:bidi="ar-SA"/>
              </w:rPr>
              <w:t>40</w:t>
            </w:r>
            <w:r>
              <w:rPr>
                <w:rFonts w:hint="default" w:ascii="Times New Roman" w:hAnsi="Times New Roman" w:eastAsia="宋体" w:cs="Times New Roman"/>
                <w:color w:val="auto"/>
                <w:kern w:val="0"/>
                <w:sz w:val="18"/>
                <w:szCs w:val="18"/>
                <w:highlight w:val="none"/>
                <w:u w:val="none"/>
                <w:lang w:val="en-US" w:eastAsia="zh-CN" w:bidi="ar-SA"/>
              </w:rPr>
              <w:t>）</w:t>
            </w:r>
          </w:p>
        </w:tc>
        <w:tc>
          <w:tcPr>
            <w:tcW w:w="1641" w:type="dxa"/>
            <w:tcBorders>
              <w:tl2br w:val="nil"/>
              <w:tr2bl w:val="nil"/>
            </w:tcBorders>
            <w:noWrap w:val="0"/>
            <w:vAlign w:val="center"/>
          </w:tcPr>
          <w:p w14:paraId="2F27A266">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214B7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521935AE">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3CA57EBE">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所属土壤环境影响评价项目类别</w:t>
            </w:r>
          </w:p>
        </w:tc>
        <w:tc>
          <w:tcPr>
            <w:tcW w:w="5305" w:type="dxa"/>
            <w:gridSpan w:val="8"/>
            <w:tcBorders>
              <w:tl2br w:val="nil"/>
              <w:tr2bl w:val="nil"/>
            </w:tcBorders>
            <w:noWrap w:val="0"/>
            <w:vAlign w:val="center"/>
          </w:tcPr>
          <w:p w14:paraId="65E6D6B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Ⅰ类</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；Ⅱ类</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；Ⅲ类□；Ⅳ类</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w:t>
            </w:r>
          </w:p>
        </w:tc>
        <w:tc>
          <w:tcPr>
            <w:tcW w:w="1641" w:type="dxa"/>
            <w:vMerge w:val="restart"/>
            <w:tcBorders>
              <w:tl2br w:val="nil"/>
              <w:tr2bl w:val="nil"/>
            </w:tcBorders>
            <w:noWrap w:val="0"/>
            <w:vAlign w:val="center"/>
          </w:tcPr>
          <w:p w14:paraId="0E6A86B0">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both"/>
              <w:textAlignment w:val="baseline"/>
              <w:rPr>
                <w:rFonts w:hint="default" w:ascii="Times New Roman" w:hAnsi="Times New Roman" w:eastAsia="宋体" w:cs="Times New Roman"/>
                <w:color w:val="auto"/>
                <w:sz w:val="18"/>
                <w:szCs w:val="18"/>
                <w:highlight w:val="none"/>
                <w:u w:val="none"/>
                <w:lang w:val="en-US" w:eastAsia="zh-CN" w:bidi="ar-SA"/>
              </w:rPr>
            </w:pPr>
          </w:p>
        </w:tc>
      </w:tr>
      <w:tr w14:paraId="2CFE5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65A7282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4F1E5B28">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敏感程度</w:t>
            </w:r>
          </w:p>
        </w:tc>
        <w:tc>
          <w:tcPr>
            <w:tcW w:w="5305" w:type="dxa"/>
            <w:gridSpan w:val="8"/>
            <w:tcBorders>
              <w:tl2br w:val="nil"/>
              <w:tr2bl w:val="nil"/>
            </w:tcBorders>
            <w:noWrap w:val="0"/>
            <w:vAlign w:val="center"/>
          </w:tcPr>
          <w:p w14:paraId="697DD48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敏感</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；较敏感</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；不敏感☑；</w:t>
            </w:r>
          </w:p>
        </w:tc>
        <w:tc>
          <w:tcPr>
            <w:tcW w:w="1641" w:type="dxa"/>
            <w:vMerge w:val="continue"/>
            <w:tcBorders>
              <w:tl2br w:val="nil"/>
              <w:tr2bl w:val="nil"/>
            </w:tcBorders>
            <w:noWrap w:val="0"/>
            <w:vAlign w:val="center"/>
          </w:tcPr>
          <w:p w14:paraId="57445122">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590D5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2" w:type="dxa"/>
            <w:gridSpan w:val="2"/>
            <w:tcBorders>
              <w:tl2br w:val="nil"/>
              <w:tr2bl w:val="nil"/>
            </w:tcBorders>
            <w:noWrap w:val="0"/>
            <w:vAlign w:val="center"/>
          </w:tcPr>
          <w:p w14:paraId="54B5016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评价工作等级</w:t>
            </w:r>
          </w:p>
        </w:tc>
        <w:tc>
          <w:tcPr>
            <w:tcW w:w="5305" w:type="dxa"/>
            <w:gridSpan w:val="8"/>
            <w:tcBorders>
              <w:tl2br w:val="nil"/>
              <w:tr2bl w:val="nil"/>
            </w:tcBorders>
            <w:noWrap w:val="0"/>
            <w:vAlign w:val="center"/>
          </w:tcPr>
          <w:p w14:paraId="4D09647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一级</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；二级☑；三级</w:t>
            </w:r>
            <w:r>
              <w:rPr>
                <w:rFonts w:hint="eastAsia" w:cs="Times New Roman"/>
                <w:color w:val="auto"/>
                <w:sz w:val="18"/>
                <w:szCs w:val="18"/>
                <w:highlight w:val="none"/>
                <w:u w:val="none"/>
                <w:lang w:val="en-US" w:eastAsia="zh-CN" w:bidi="ar-SA"/>
              </w:rPr>
              <w:t>☑</w:t>
            </w:r>
          </w:p>
        </w:tc>
        <w:tc>
          <w:tcPr>
            <w:tcW w:w="1641" w:type="dxa"/>
            <w:vMerge w:val="continue"/>
            <w:tcBorders>
              <w:tl2br w:val="nil"/>
              <w:tr2bl w:val="nil"/>
            </w:tcBorders>
            <w:noWrap w:val="0"/>
            <w:vAlign w:val="center"/>
          </w:tcPr>
          <w:p w14:paraId="6980F4B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1A449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restart"/>
            <w:tcBorders>
              <w:tl2br w:val="nil"/>
              <w:tr2bl w:val="nil"/>
            </w:tcBorders>
            <w:noWrap w:val="0"/>
            <w:vAlign w:val="center"/>
          </w:tcPr>
          <w:p w14:paraId="44B60CC6">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现</w:t>
            </w:r>
            <w:r>
              <w:rPr>
                <w:rFonts w:hint="eastAsia" w:cs="Times New Roman"/>
                <w:color w:val="auto"/>
                <w:sz w:val="18"/>
                <w:szCs w:val="18"/>
                <w:highlight w:val="none"/>
                <w:u w:val="none"/>
                <w:lang w:val="en-US" w:eastAsia="zh-CN" w:bidi="ar-SA"/>
              </w:rPr>
              <w:t>现</w:t>
            </w:r>
            <w:r>
              <w:rPr>
                <w:rFonts w:hint="default" w:ascii="Times New Roman" w:hAnsi="Times New Roman" w:eastAsia="宋体" w:cs="Times New Roman"/>
                <w:color w:val="auto"/>
                <w:sz w:val="18"/>
                <w:szCs w:val="18"/>
                <w:highlight w:val="none"/>
                <w:u w:val="none"/>
                <w:lang w:val="en-US" w:eastAsia="zh-CN" w:bidi="ar-SA"/>
              </w:rPr>
              <w:t>状调查内容</w:t>
            </w:r>
          </w:p>
        </w:tc>
        <w:tc>
          <w:tcPr>
            <w:tcW w:w="1497" w:type="dxa"/>
            <w:tcBorders>
              <w:tl2br w:val="nil"/>
              <w:tr2bl w:val="nil"/>
            </w:tcBorders>
            <w:noWrap w:val="0"/>
            <w:vAlign w:val="center"/>
          </w:tcPr>
          <w:p w14:paraId="7DC1E513">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资料收集</w:t>
            </w:r>
          </w:p>
        </w:tc>
        <w:tc>
          <w:tcPr>
            <w:tcW w:w="5305" w:type="dxa"/>
            <w:gridSpan w:val="8"/>
            <w:tcBorders>
              <w:tl2br w:val="nil"/>
              <w:tr2bl w:val="nil"/>
            </w:tcBorders>
            <w:noWrap w:val="0"/>
            <w:vAlign w:val="center"/>
          </w:tcPr>
          <w:p w14:paraId="61265CF6">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a）☑；b）☑；c）☑；d）☑；</w:t>
            </w:r>
          </w:p>
        </w:tc>
        <w:tc>
          <w:tcPr>
            <w:tcW w:w="1641" w:type="dxa"/>
            <w:tcBorders>
              <w:tl2br w:val="nil"/>
              <w:tr2bl w:val="nil"/>
            </w:tcBorders>
            <w:noWrap w:val="0"/>
            <w:vAlign w:val="center"/>
          </w:tcPr>
          <w:p w14:paraId="3CF4813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484F1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4090A2F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6B2C1B8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理化特性</w:t>
            </w:r>
          </w:p>
        </w:tc>
        <w:tc>
          <w:tcPr>
            <w:tcW w:w="5305" w:type="dxa"/>
            <w:gridSpan w:val="8"/>
            <w:tcBorders>
              <w:tl2br w:val="nil"/>
              <w:tr2bl w:val="nil"/>
            </w:tcBorders>
            <w:noWrap w:val="0"/>
            <w:vAlign w:val="center"/>
          </w:tcPr>
          <w:p w14:paraId="1A87B2F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w:t>
            </w:r>
          </w:p>
        </w:tc>
        <w:tc>
          <w:tcPr>
            <w:tcW w:w="1641" w:type="dxa"/>
            <w:tcBorders>
              <w:tl2br w:val="nil"/>
              <w:tr2bl w:val="nil"/>
            </w:tcBorders>
            <w:noWrap w:val="0"/>
            <w:vAlign w:val="center"/>
          </w:tcPr>
          <w:p w14:paraId="3423A88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同附录C</w:t>
            </w:r>
          </w:p>
        </w:tc>
      </w:tr>
      <w:tr w14:paraId="20993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2D347C0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vMerge w:val="restart"/>
            <w:tcBorders>
              <w:tl2br w:val="nil"/>
              <w:tr2bl w:val="nil"/>
            </w:tcBorders>
            <w:noWrap w:val="0"/>
            <w:vAlign w:val="center"/>
          </w:tcPr>
          <w:p w14:paraId="095CE7B4">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现状监测点位</w:t>
            </w:r>
          </w:p>
        </w:tc>
        <w:tc>
          <w:tcPr>
            <w:tcW w:w="2044" w:type="dxa"/>
            <w:gridSpan w:val="3"/>
            <w:vMerge w:val="restart"/>
            <w:tcBorders>
              <w:tl2br w:val="nil"/>
              <w:tr2bl w:val="nil"/>
            </w:tcBorders>
            <w:noWrap w:val="0"/>
            <w:vAlign w:val="center"/>
          </w:tcPr>
          <w:p w14:paraId="5E1AA095">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层位</w:t>
            </w:r>
          </w:p>
        </w:tc>
        <w:tc>
          <w:tcPr>
            <w:tcW w:w="2535" w:type="dxa"/>
            <w:gridSpan w:val="4"/>
            <w:tcBorders>
              <w:tl2br w:val="nil"/>
              <w:tr2bl w:val="nil"/>
            </w:tcBorders>
            <w:noWrap w:val="0"/>
            <w:vAlign w:val="center"/>
          </w:tcPr>
          <w:p w14:paraId="6746DE9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井场</w:t>
            </w:r>
          </w:p>
        </w:tc>
        <w:tc>
          <w:tcPr>
            <w:tcW w:w="726" w:type="dxa"/>
            <w:vMerge w:val="restart"/>
            <w:tcBorders>
              <w:tl2br w:val="nil"/>
              <w:tr2bl w:val="nil"/>
            </w:tcBorders>
            <w:noWrap w:val="0"/>
            <w:vAlign w:val="center"/>
          </w:tcPr>
          <w:p w14:paraId="4BCBCB3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深度</w:t>
            </w:r>
          </w:p>
        </w:tc>
        <w:tc>
          <w:tcPr>
            <w:tcW w:w="1641" w:type="dxa"/>
            <w:vMerge w:val="restart"/>
            <w:tcBorders>
              <w:tl2br w:val="nil"/>
              <w:tr2bl w:val="nil"/>
            </w:tcBorders>
            <w:noWrap w:val="0"/>
            <w:vAlign w:val="center"/>
          </w:tcPr>
          <w:p w14:paraId="5D98CA8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点位布置图</w:t>
            </w:r>
          </w:p>
        </w:tc>
      </w:tr>
      <w:tr w14:paraId="5545D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6228A202">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vMerge w:val="continue"/>
            <w:tcBorders>
              <w:tl2br w:val="nil"/>
              <w:tr2bl w:val="nil"/>
            </w:tcBorders>
            <w:noWrap w:val="0"/>
            <w:vAlign w:val="center"/>
          </w:tcPr>
          <w:p w14:paraId="763E06DB">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2044" w:type="dxa"/>
            <w:gridSpan w:val="3"/>
            <w:vMerge w:val="continue"/>
            <w:tcBorders>
              <w:tl2br w:val="nil"/>
              <w:tr2bl w:val="nil"/>
            </w:tcBorders>
            <w:noWrap w:val="0"/>
            <w:vAlign w:val="center"/>
          </w:tcPr>
          <w:p w14:paraId="3C11429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267" w:type="dxa"/>
            <w:gridSpan w:val="2"/>
            <w:tcBorders>
              <w:tl2br w:val="nil"/>
              <w:tr2bl w:val="nil"/>
            </w:tcBorders>
            <w:noWrap w:val="0"/>
            <w:vAlign w:val="center"/>
          </w:tcPr>
          <w:p w14:paraId="4E65535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GB" w:eastAsia="zh-CN" w:bidi="ar-SA"/>
              </w:rPr>
            </w:pPr>
            <w:r>
              <w:rPr>
                <w:rFonts w:hint="default" w:ascii="Times New Roman" w:hAnsi="Times New Roman" w:eastAsia="宋体" w:cs="Times New Roman"/>
                <w:color w:val="auto"/>
                <w:sz w:val="18"/>
                <w:szCs w:val="18"/>
                <w:highlight w:val="none"/>
                <w:u w:val="none"/>
                <w:lang w:val="en-GB" w:eastAsia="zh-CN" w:bidi="ar-SA"/>
              </w:rPr>
              <w:t>占地范围内</w:t>
            </w:r>
          </w:p>
        </w:tc>
        <w:tc>
          <w:tcPr>
            <w:tcW w:w="1268" w:type="dxa"/>
            <w:gridSpan w:val="2"/>
            <w:tcBorders>
              <w:tl2br w:val="nil"/>
              <w:tr2bl w:val="nil"/>
            </w:tcBorders>
            <w:noWrap w:val="0"/>
            <w:vAlign w:val="center"/>
          </w:tcPr>
          <w:p w14:paraId="611380E6">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GB" w:eastAsia="zh-CN" w:bidi="ar-SA"/>
              </w:rPr>
            </w:pPr>
            <w:r>
              <w:rPr>
                <w:rFonts w:hint="default" w:ascii="Times New Roman" w:hAnsi="Times New Roman" w:eastAsia="宋体" w:cs="Times New Roman"/>
                <w:color w:val="auto"/>
                <w:sz w:val="18"/>
                <w:szCs w:val="18"/>
                <w:highlight w:val="none"/>
                <w:u w:val="none"/>
                <w:lang w:val="en-GB" w:eastAsia="zh-CN" w:bidi="ar-SA"/>
              </w:rPr>
              <w:t>占地范围外</w:t>
            </w:r>
          </w:p>
        </w:tc>
        <w:tc>
          <w:tcPr>
            <w:tcW w:w="726" w:type="dxa"/>
            <w:vMerge w:val="continue"/>
            <w:tcBorders>
              <w:tl2br w:val="nil"/>
              <w:tr2bl w:val="nil"/>
            </w:tcBorders>
            <w:noWrap w:val="0"/>
            <w:vAlign w:val="center"/>
          </w:tcPr>
          <w:p w14:paraId="238B0D73">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GB" w:eastAsia="zh-CN" w:bidi="ar-SA"/>
              </w:rPr>
            </w:pPr>
          </w:p>
        </w:tc>
        <w:tc>
          <w:tcPr>
            <w:tcW w:w="1641" w:type="dxa"/>
            <w:vMerge w:val="continue"/>
            <w:tcBorders>
              <w:tl2br w:val="nil"/>
              <w:tr2bl w:val="nil"/>
            </w:tcBorders>
            <w:noWrap w:val="0"/>
            <w:vAlign w:val="center"/>
          </w:tcPr>
          <w:p w14:paraId="1A4F9325">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78B22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0A5EC046">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vMerge w:val="continue"/>
            <w:tcBorders>
              <w:tl2br w:val="nil"/>
              <w:tr2bl w:val="nil"/>
            </w:tcBorders>
            <w:noWrap w:val="0"/>
            <w:vAlign w:val="center"/>
          </w:tcPr>
          <w:p w14:paraId="6702E2B0">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2044" w:type="dxa"/>
            <w:gridSpan w:val="3"/>
            <w:tcBorders>
              <w:tl2br w:val="nil"/>
              <w:tr2bl w:val="nil"/>
            </w:tcBorders>
            <w:noWrap w:val="0"/>
            <w:vAlign w:val="center"/>
          </w:tcPr>
          <w:p w14:paraId="5BBCAC6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GB" w:eastAsia="zh-CN" w:bidi="ar-SA"/>
              </w:rPr>
            </w:pPr>
            <w:r>
              <w:rPr>
                <w:rFonts w:hint="default" w:ascii="Times New Roman" w:hAnsi="Times New Roman" w:eastAsia="宋体" w:cs="Times New Roman"/>
                <w:color w:val="auto"/>
                <w:sz w:val="18"/>
                <w:szCs w:val="18"/>
                <w:highlight w:val="none"/>
                <w:u w:val="none"/>
                <w:lang w:val="en-GB" w:eastAsia="zh-CN" w:bidi="ar-SA"/>
              </w:rPr>
              <w:t>表层样点数</w:t>
            </w:r>
          </w:p>
        </w:tc>
        <w:tc>
          <w:tcPr>
            <w:tcW w:w="1267" w:type="dxa"/>
            <w:gridSpan w:val="2"/>
            <w:tcBorders>
              <w:tl2br w:val="nil"/>
              <w:tr2bl w:val="nil"/>
            </w:tcBorders>
            <w:noWrap w:val="0"/>
            <w:vAlign w:val="center"/>
          </w:tcPr>
          <w:p w14:paraId="4CDCB4FD">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kern w:val="2"/>
                <w:sz w:val="18"/>
                <w:szCs w:val="18"/>
                <w:highlight w:val="none"/>
                <w:u w:val="none"/>
                <w:lang w:val="en-GB" w:eastAsia="zh-CN" w:bidi="ar-SA"/>
              </w:rPr>
            </w:pPr>
            <w:r>
              <w:rPr>
                <w:rFonts w:hint="eastAsia" w:cs="Times New Roman"/>
                <w:color w:val="auto"/>
                <w:kern w:val="2"/>
                <w:sz w:val="18"/>
                <w:szCs w:val="18"/>
                <w:highlight w:val="none"/>
                <w:u w:val="none"/>
                <w:lang w:val="en-US" w:eastAsia="zh-CN" w:bidi="ar-SA"/>
              </w:rPr>
              <w:t>1</w:t>
            </w:r>
          </w:p>
        </w:tc>
        <w:tc>
          <w:tcPr>
            <w:tcW w:w="1268" w:type="dxa"/>
            <w:gridSpan w:val="2"/>
            <w:tcBorders>
              <w:tl2br w:val="nil"/>
              <w:tr2bl w:val="nil"/>
            </w:tcBorders>
            <w:noWrap w:val="0"/>
            <w:vAlign w:val="center"/>
          </w:tcPr>
          <w:p w14:paraId="40C1B202">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kern w:val="2"/>
                <w:sz w:val="18"/>
                <w:szCs w:val="18"/>
                <w:highlight w:val="none"/>
                <w:u w:val="none"/>
                <w:lang w:val="en-US" w:eastAsia="zh-CN" w:bidi="ar-SA"/>
              </w:rPr>
            </w:pPr>
            <w:r>
              <w:rPr>
                <w:rFonts w:hint="eastAsia" w:cs="Times New Roman"/>
                <w:color w:val="auto"/>
                <w:kern w:val="2"/>
                <w:sz w:val="18"/>
                <w:szCs w:val="18"/>
                <w:highlight w:val="none"/>
                <w:u w:val="none"/>
                <w:lang w:val="en-US" w:eastAsia="zh-CN" w:bidi="ar-SA"/>
              </w:rPr>
              <w:t>4</w:t>
            </w:r>
          </w:p>
        </w:tc>
        <w:tc>
          <w:tcPr>
            <w:tcW w:w="726" w:type="dxa"/>
            <w:tcBorders>
              <w:tl2br w:val="nil"/>
              <w:tr2bl w:val="nil"/>
            </w:tcBorders>
            <w:noWrap w:val="0"/>
            <w:vAlign w:val="center"/>
          </w:tcPr>
          <w:p w14:paraId="38524C30">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kern w:val="2"/>
                <w:sz w:val="18"/>
                <w:szCs w:val="18"/>
                <w:highlight w:val="none"/>
                <w:u w:val="none"/>
                <w:lang w:val="en-GB" w:eastAsia="zh-CN" w:bidi="ar-SA"/>
              </w:rPr>
            </w:pPr>
            <w:r>
              <w:rPr>
                <w:rFonts w:hint="default" w:ascii="Times New Roman" w:hAnsi="Times New Roman" w:eastAsia="宋体" w:cs="Times New Roman"/>
                <w:color w:val="auto"/>
                <w:kern w:val="2"/>
                <w:sz w:val="18"/>
                <w:szCs w:val="18"/>
                <w:highlight w:val="none"/>
                <w:u w:val="none"/>
                <w:lang w:val="en-US" w:eastAsia="zh-CN" w:bidi="ar-SA"/>
              </w:rPr>
              <w:t>0-0.2m</w:t>
            </w:r>
          </w:p>
        </w:tc>
        <w:tc>
          <w:tcPr>
            <w:tcW w:w="1641" w:type="dxa"/>
            <w:vMerge w:val="continue"/>
            <w:tcBorders>
              <w:tl2br w:val="nil"/>
              <w:tr2bl w:val="nil"/>
            </w:tcBorders>
            <w:noWrap w:val="0"/>
            <w:vAlign w:val="center"/>
          </w:tcPr>
          <w:p w14:paraId="3061963B">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190ED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15" w:type="dxa"/>
            <w:vMerge w:val="continue"/>
            <w:tcBorders>
              <w:tl2br w:val="nil"/>
              <w:tr2bl w:val="nil"/>
            </w:tcBorders>
            <w:noWrap w:val="0"/>
            <w:vAlign w:val="center"/>
          </w:tcPr>
          <w:p w14:paraId="1BDFADC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vMerge w:val="continue"/>
            <w:tcBorders>
              <w:tl2br w:val="nil"/>
              <w:tr2bl w:val="nil"/>
            </w:tcBorders>
            <w:noWrap w:val="0"/>
            <w:vAlign w:val="center"/>
          </w:tcPr>
          <w:p w14:paraId="54CF5EA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2044" w:type="dxa"/>
            <w:gridSpan w:val="3"/>
            <w:tcBorders>
              <w:tl2br w:val="nil"/>
              <w:tr2bl w:val="nil"/>
            </w:tcBorders>
            <w:noWrap w:val="0"/>
            <w:vAlign w:val="center"/>
          </w:tcPr>
          <w:p w14:paraId="580EF9E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GB" w:eastAsia="zh-CN" w:bidi="ar-SA"/>
              </w:rPr>
            </w:pPr>
            <w:r>
              <w:rPr>
                <w:rFonts w:hint="default" w:ascii="Times New Roman" w:hAnsi="Times New Roman" w:eastAsia="宋体" w:cs="Times New Roman"/>
                <w:color w:val="auto"/>
                <w:sz w:val="18"/>
                <w:szCs w:val="18"/>
                <w:highlight w:val="none"/>
                <w:u w:val="none"/>
                <w:lang w:val="en-GB" w:eastAsia="zh-CN" w:bidi="ar-SA"/>
              </w:rPr>
              <w:t>柱状样点数</w:t>
            </w:r>
          </w:p>
        </w:tc>
        <w:tc>
          <w:tcPr>
            <w:tcW w:w="1267" w:type="dxa"/>
            <w:gridSpan w:val="2"/>
            <w:tcBorders>
              <w:tl2br w:val="nil"/>
              <w:tr2bl w:val="nil"/>
            </w:tcBorders>
            <w:noWrap w:val="0"/>
            <w:vAlign w:val="center"/>
          </w:tcPr>
          <w:p w14:paraId="5E95D3F3">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kern w:val="2"/>
                <w:sz w:val="18"/>
                <w:szCs w:val="18"/>
                <w:highlight w:val="none"/>
                <w:u w:val="none"/>
                <w:lang w:val="en-GB" w:eastAsia="zh-CN" w:bidi="ar-SA"/>
              </w:rPr>
            </w:pPr>
            <w:r>
              <w:rPr>
                <w:rFonts w:hint="eastAsia" w:cs="Times New Roman"/>
                <w:color w:val="auto"/>
                <w:kern w:val="2"/>
                <w:sz w:val="18"/>
                <w:szCs w:val="18"/>
                <w:highlight w:val="none"/>
                <w:u w:val="none"/>
                <w:lang w:val="en-US" w:eastAsia="zh-CN" w:bidi="ar-SA"/>
              </w:rPr>
              <w:t>3</w:t>
            </w:r>
          </w:p>
        </w:tc>
        <w:tc>
          <w:tcPr>
            <w:tcW w:w="1268" w:type="dxa"/>
            <w:gridSpan w:val="2"/>
            <w:tcBorders>
              <w:tl2br w:val="nil"/>
              <w:tr2bl w:val="nil"/>
            </w:tcBorders>
            <w:noWrap w:val="0"/>
            <w:vAlign w:val="center"/>
          </w:tcPr>
          <w:p w14:paraId="086C7BA0">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kern w:val="2"/>
                <w:sz w:val="18"/>
                <w:szCs w:val="18"/>
                <w:highlight w:val="none"/>
                <w:u w:val="none"/>
                <w:lang w:val="en-GB" w:eastAsia="zh-CN" w:bidi="ar-SA"/>
              </w:rPr>
            </w:pPr>
            <w:r>
              <w:rPr>
                <w:rFonts w:hint="default" w:ascii="Times New Roman" w:hAnsi="Times New Roman" w:eastAsia="宋体" w:cs="Times New Roman"/>
                <w:color w:val="auto"/>
                <w:kern w:val="2"/>
                <w:sz w:val="18"/>
                <w:szCs w:val="18"/>
                <w:highlight w:val="none"/>
                <w:u w:val="none"/>
                <w:lang w:val="en-US" w:eastAsia="zh-CN" w:bidi="ar-SA"/>
              </w:rPr>
              <w:t>-</w:t>
            </w:r>
          </w:p>
        </w:tc>
        <w:tc>
          <w:tcPr>
            <w:tcW w:w="726" w:type="dxa"/>
            <w:tcBorders>
              <w:tl2br w:val="nil"/>
              <w:tr2bl w:val="nil"/>
            </w:tcBorders>
            <w:noWrap w:val="0"/>
            <w:vAlign w:val="center"/>
          </w:tcPr>
          <w:p w14:paraId="39786A38">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kern w:val="2"/>
                <w:sz w:val="18"/>
                <w:szCs w:val="18"/>
                <w:highlight w:val="none"/>
                <w:u w:val="none"/>
                <w:lang w:val="en-GB" w:eastAsia="zh-CN" w:bidi="ar-SA"/>
              </w:rPr>
            </w:pPr>
            <w:r>
              <w:rPr>
                <w:rFonts w:hint="default" w:ascii="Times New Roman" w:hAnsi="Times New Roman" w:eastAsia="宋体" w:cs="Times New Roman"/>
                <w:color w:val="auto"/>
                <w:kern w:val="2"/>
                <w:sz w:val="18"/>
                <w:szCs w:val="18"/>
                <w:highlight w:val="none"/>
                <w:u w:val="none"/>
                <w:lang w:val="en-US" w:eastAsia="zh-CN" w:bidi="ar-SA"/>
              </w:rPr>
              <w:t>0-3m</w:t>
            </w:r>
          </w:p>
        </w:tc>
        <w:tc>
          <w:tcPr>
            <w:tcW w:w="1641" w:type="dxa"/>
            <w:vMerge w:val="continue"/>
            <w:tcBorders>
              <w:tl2br w:val="nil"/>
              <w:tr2bl w:val="nil"/>
            </w:tcBorders>
            <w:noWrap w:val="0"/>
            <w:vAlign w:val="center"/>
          </w:tcPr>
          <w:p w14:paraId="22B9D5C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04E95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15" w:type="dxa"/>
            <w:vMerge w:val="continue"/>
            <w:tcBorders>
              <w:tl2br w:val="nil"/>
              <w:tr2bl w:val="nil"/>
            </w:tcBorders>
            <w:noWrap w:val="0"/>
            <w:vAlign w:val="center"/>
          </w:tcPr>
          <w:p w14:paraId="68DABEE2">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283E65AB">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现状监测因子</w:t>
            </w:r>
          </w:p>
        </w:tc>
        <w:tc>
          <w:tcPr>
            <w:tcW w:w="5305" w:type="dxa"/>
            <w:gridSpan w:val="8"/>
            <w:tcBorders>
              <w:tl2br w:val="nil"/>
              <w:tr2bl w:val="nil"/>
            </w:tcBorders>
            <w:noWrap w:val="0"/>
            <w:vAlign w:val="center"/>
          </w:tcPr>
          <w:p w14:paraId="5726A195">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both"/>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pacing w:val="-10"/>
                <w:sz w:val="18"/>
                <w:szCs w:val="18"/>
                <w:highlight w:val="none"/>
                <w:u w:val="none"/>
                <w:lang w:val="en-GB" w:eastAsia="zh-CN" w:bidi="ar-SA"/>
              </w:rPr>
              <w:t>《土壤环境质量建设用地土壤污染风险管控标准（试行）》（Gb36600-2018）第二类用地的45项基本因子、</w:t>
            </w:r>
            <w:r>
              <w:rPr>
                <w:rFonts w:hint="default" w:ascii="Times New Roman" w:hAnsi="Times New Roman" w:eastAsia="宋体" w:cs="Times New Roman"/>
                <w:color w:val="auto"/>
                <w:spacing w:val="-10"/>
                <w:sz w:val="18"/>
                <w:szCs w:val="18"/>
                <w:highlight w:val="none"/>
                <w:u w:val="none"/>
                <w:lang w:val="en-US" w:eastAsia="zh-CN" w:bidi="ar-SA"/>
              </w:rPr>
              <w:t>pH、</w:t>
            </w:r>
            <w:r>
              <w:rPr>
                <w:rFonts w:hint="default" w:ascii="Times New Roman" w:hAnsi="Times New Roman" w:eastAsia="宋体" w:cs="Times New Roman"/>
                <w:color w:val="auto"/>
                <w:spacing w:val="-10"/>
                <w:sz w:val="18"/>
                <w:szCs w:val="18"/>
                <w:highlight w:val="none"/>
                <w:u w:val="none"/>
                <w:lang w:val="en-GB" w:eastAsia="zh-CN" w:bidi="ar-SA"/>
              </w:rPr>
              <w:t>石油烃</w:t>
            </w:r>
          </w:p>
        </w:tc>
        <w:tc>
          <w:tcPr>
            <w:tcW w:w="1641" w:type="dxa"/>
            <w:vMerge w:val="restart"/>
            <w:tcBorders>
              <w:tl2br w:val="nil"/>
              <w:tr2bl w:val="nil"/>
            </w:tcBorders>
            <w:noWrap w:val="0"/>
            <w:vAlign w:val="center"/>
          </w:tcPr>
          <w:p w14:paraId="7620F99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743BF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restart"/>
            <w:tcBorders>
              <w:tl2br w:val="nil"/>
              <w:tr2bl w:val="nil"/>
            </w:tcBorders>
            <w:noWrap w:val="0"/>
            <w:vAlign w:val="center"/>
          </w:tcPr>
          <w:p w14:paraId="212C52AF">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eastAsia" w:cs="Times New Roman"/>
                <w:color w:val="auto"/>
                <w:sz w:val="18"/>
                <w:szCs w:val="18"/>
                <w:highlight w:val="none"/>
                <w:u w:val="none"/>
                <w:lang w:val="en-US" w:eastAsia="zh-CN" w:bidi="ar-SA"/>
              </w:rPr>
              <w:t>现</w:t>
            </w:r>
            <w:r>
              <w:rPr>
                <w:rFonts w:hint="default" w:ascii="Times New Roman" w:hAnsi="Times New Roman" w:eastAsia="宋体" w:cs="Times New Roman"/>
                <w:color w:val="auto"/>
                <w:sz w:val="18"/>
                <w:szCs w:val="18"/>
                <w:highlight w:val="none"/>
                <w:u w:val="none"/>
                <w:lang w:val="en-US" w:eastAsia="zh-CN" w:bidi="ar-SA"/>
              </w:rPr>
              <w:t>现状评价</w:t>
            </w:r>
          </w:p>
        </w:tc>
        <w:tc>
          <w:tcPr>
            <w:tcW w:w="1497" w:type="dxa"/>
            <w:tcBorders>
              <w:tl2br w:val="nil"/>
              <w:tr2bl w:val="nil"/>
            </w:tcBorders>
            <w:noWrap w:val="0"/>
            <w:vAlign w:val="center"/>
          </w:tcPr>
          <w:p w14:paraId="308A96F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评价因子</w:t>
            </w:r>
          </w:p>
        </w:tc>
        <w:tc>
          <w:tcPr>
            <w:tcW w:w="5305" w:type="dxa"/>
            <w:gridSpan w:val="8"/>
            <w:tcBorders>
              <w:tl2br w:val="nil"/>
              <w:tr2bl w:val="nil"/>
            </w:tcBorders>
            <w:noWrap w:val="0"/>
            <w:vAlign w:val="center"/>
          </w:tcPr>
          <w:p w14:paraId="67DFD2E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pacing w:val="-10"/>
                <w:sz w:val="18"/>
                <w:szCs w:val="18"/>
                <w:highlight w:val="none"/>
                <w:u w:val="none"/>
                <w:lang w:val="en-GB" w:eastAsia="zh-CN" w:bidi="ar-SA"/>
              </w:rPr>
              <w:t>石油烃</w:t>
            </w:r>
          </w:p>
        </w:tc>
        <w:tc>
          <w:tcPr>
            <w:tcW w:w="1641" w:type="dxa"/>
            <w:vMerge w:val="continue"/>
            <w:tcBorders>
              <w:tl2br w:val="nil"/>
              <w:tr2bl w:val="nil"/>
            </w:tcBorders>
            <w:noWrap w:val="0"/>
            <w:vAlign w:val="center"/>
          </w:tcPr>
          <w:p w14:paraId="7C48A0A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45237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284F984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09FAA86A">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评价标准</w:t>
            </w:r>
          </w:p>
        </w:tc>
        <w:tc>
          <w:tcPr>
            <w:tcW w:w="5305" w:type="dxa"/>
            <w:gridSpan w:val="8"/>
            <w:tcBorders>
              <w:tl2br w:val="nil"/>
              <w:tr2bl w:val="nil"/>
            </w:tcBorders>
            <w:noWrap w:val="0"/>
            <w:vAlign w:val="center"/>
          </w:tcPr>
          <w:p w14:paraId="551003C0">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GB15618</w:t>
            </w:r>
            <w:r>
              <w:rPr>
                <w:rFonts w:hint="eastAsia" w:cs="Times New Roman"/>
                <w:color w:val="auto"/>
                <w:sz w:val="18"/>
                <w:szCs w:val="18"/>
                <w:highlight w:val="none"/>
                <w:u w:val="none"/>
                <w:lang w:val="en-US" w:eastAsia="zh-CN" w:bidi="ar-SA"/>
              </w:rPr>
              <w:t>□</w:t>
            </w:r>
            <w:r>
              <w:rPr>
                <w:rFonts w:hint="default" w:ascii="Times New Roman" w:hAnsi="Times New Roman" w:eastAsia="宋体" w:cs="Times New Roman"/>
                <w:color w:val="auto"/>
                <w:sz w:val="18"/>
                <w:szCs w:val="18"/>
                <w:highlight w:val="none"/>
                <w:u w:val="none"/>
                <w:lang w:val="en-US" w:eastAsia="zh-CN" w:bidi="ar-SA"/>
              </w:rPr>
              <w:t>；GB36600☑；表D.2□；其他（）</w:t>
            </w:r>
          </w:p>
        </w:tc>
        <w:tc>
          <w:tcPr>
            <w:tcW w:w="1641" w:type="dxa"/>
            <w:tcBorders>
              <w:tl2br w:val="nil"/>
              <w:tr2bl w:val="nil"/>
            </w:tcBorders>
            <w:noWrap w:val="0"/>
            <w:vAlign w:val="center"/>
          </w:tcPr>
          <w:p w14:paraId="06D8C2F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58158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6EB41B08">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0E6A12B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现状评价结论</w:t>
            </w:r>
          </w:p>
        </w:tc>
        <w:tc>
          <w:tcPr>
            <w:tcW w:w="5305" w:type="dxa"/>
            <w:gridSpan w:val="8"/>
            <w:tcBorders>
              <w:tl2br w:val="nil"/>
              <w:tr2bl w:val="nil"/>
            </w:tcBorders>
            <w:noWrap w:val="0"/>
            <w:vAlign w:val="center"/>
          </w:tcPr>
          <w:p w14:paraId="3612BE2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both"/>
              <w:textAlignment w:val="baseline"/>
              <w:rPr>
                <w:rFonts w:hint="default" w:ascii="Times New Roman" w:hAnsi="Times New Roman" w:eastAsia="宋体" w:cs="Times New Roman"/>
                <w:color w:val="auto"/>
                <w:sz w:val="18"/>
                <w:szCs w:val="18"/>
                <w:highlight w:val="none"/>
                <w:u w:val="none"/>
                <w:lang w:val="en-US" w:eastAsia="zh-CN" w:bidi="ar-SA"/>
              </w:rPr>
            </w:pPr>
            <w:r>
              <w:rPr>
                <w:rFonts w:hint="eastAsia" w:ascii="宋体" w:hAnsi="宋体" w:eastAsia="宋体" w:cs="宋体"/>
                <w:color w:val="auto"/>
                <w:sz w:val="18"/>
                <w:szCs w:val="18"/>
                <w:highlight w:val="none"/>
                <w:u w:val="none"/>
                <w:lang w:val="en-US" w:eastAsia="zh-CN" w:bidi="ar-SA"/>
              </w:rPr>
              <w:t>项目区占地范围内</w:t>
            </w:r>
            <w:r>
              <w:rPr>
                <w:rFonts w:hint="eastAsia" w:ascii="Times New Roman" w:hAnsi="Times New Roman" w:eastAsia="宋体" w:cs="Times New Roman"/>
                <w:color w:val="auto"/>
                <w:sz w:val="18"/>
                <w:szCs w:val="18"/>
                <w:highlight w:val="none"/>
                <w:u w:val="none"/>
                <w:lang w:val="en-US" w:eastAsia="zh-CN" w:bidi="ar-SA"/>
              </w:rPr>
              <w:t>土壤监测因子满足《土壤环境质量 建设用地土壤污染风险管控标准（试行）》（GB36600-2018）第二类用地风险筛选值要求</w:t>
            </w:r>
          </w:p>
        </w:tc>
        <w:tc>
          <w:tcPr>
            <w:tcW w:w="1641" w:type="dxa"/>
            <w:tcBorders>
              <w:tl2br w:val="nil"/>
              <w:tr2bl w:val="nil"/>
            </w:tcBorders>
            <w:noWrap w:val="0"/>
            <w:vAlign w:val="center"/>
          </w:tcPr>
          <w:p w14:paraId="0178C9CF">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5DA77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restart"/>
            <w:tcBorders>
              <w:tl2br w:val="nil"/>
              <w:tr2bl w:val="nil"/>
            </w:tcBorders>
            <w:noWrap w:val="0"/>
            <w:vAlign w:val="center"/>
          </w:tcPr>
          <w:p w14:paraId="6AA52FF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影响预测</w:t>
            </w:r>
          </w:p>
        </w:tc>
        <w:tc>
          <w:tcPr>
            <w:tcW w:w="1497" w:type="dxa"/>
            <w:tcBorders>
              <w:tl2br w:val="nil"/>
              <w:tr2bl w:val="nil"/>
            </w:tcBorders>
            <w:noWrap w:val="0"/>
            <w:vAlign w:val="center"/>
          </w:tcPr>
          <w:p w14:paraId="023CBBBE">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预测因子</w:t>
            </w:r>
          </w:p>
        </w:tc>
        <w:tc>
          <w:tcPr>
            <w:tcW w:w="5305" w:type="dxa"/>
            <w:gridSpan w:val="8"/>
            <w:tcBorders>
              <w:tl2br w:val="nil"/>
              <w:tr2bl w:val="nil"/>
            </w:tcBorders>
            <w:noWrap w:val="0"/>
            <w:vAlign w:val="center"/>
          </w:tcPr>
          <w:p w14:paraId="2F84A2D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eastAsia" w:ascii="宋体" w:hAnsi="宋体" w:eastAsia="宋体" w:cs="宋体"/>
                <w:color w:val="auto"/>
                <w:sz w:val="18"/>
                <w:szCs w:val="18"/>
                <w:highlight w:val="none"/>
                <w:u w:val="none"/>
                <w:lang w:val="en-US" w:eastAsia="zh-CN" w:bidi="ar-SA"/>
              </w:rPr>
              <w:t>石油烃</w:t>
            </w:r>
          </w:p>
        </w:tc>
        <w:tc>
          <w:tcPr>
            <w:tcW w:w="1641" w:type="dxa"/>
            <w:tcBorders>
              <w:tl2br w:val="nil"/>
              <w:tr2bl w:val="nil"/>
            </w:tcBorders>
            <w:noWrap w:val="0"/>
            <w:vAlign w:val="center"/>
          </w:tcPr>
          <w:p w14:paraId="7B16CD4F">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70733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6905071B">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384B088D">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预测方法</w:t>
            </w:r>
          </w:p>
        </w:tc>
        <w:tc>
          <w:tcPr>
            <w:tcW w:w="5305" w:type="dxa"/>
            <w:gridSpan w:val="8"/>
            <w:tcBorders>
              <w:tl2br w:val="nil"/>
              <w:tr2bl w:val="nil"/>
            </w:tcBorders>
            <w:noWrap w:val="0"/>
            <w:vAlign w:val="center"/>
          </w:tcPr>
          <w:p w14:paraId="3A868764">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附录E□；附录F□；其他（类比）</w:t>
            </w:r>
          </w:p>
        </w:tc>
        <w:tc>
          <w:tcPr>
            <w:tcW w:w="1641" w:type="dxa"/>
            <w:tcBorders>
              <w:tl2br w:val="nil"/>
              <w:tr2bl w:val="nil"/>
            </w:tcBorders>
            <w:noWrap w:val="0"/>
            <w:vAlign w:val="center"/>
          </w:tcPr>
          <w:p w14:paraId="0C21FDD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1A786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2CF509B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0D1A4B93">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预测分析内容</w:t>
            </w:r>
          </w:p>
        </w:tc>
        <w:tc>
          <w:tcPr>
            <w:tcW w:w="5305" w:type="dxa"/>
            <w:gridSpan w:val="8"/>
            <w:tcBorders>
              <w:tl2br w:val="nil"/>
              <w:tr2bl w:val="nil"/>
            </w:tcBorders>
            <w:noWrap w:val="0"/>
            <w:vAlign w:val="center"/>
          </w:tcPr>
          <w:p w14:paraId="253A7526">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both"/>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影响范围（事故状态下，</w:t>
            </w:r>
            <w:r>
              <w:rPr>
                <w:rFonts w:hint="eastAsia" w:cs="Times New Roman"/>
                <w:color w:val="auto"/>
                <w:sz w:val="18"/>
                <w:szCs w:val="18"/>
                <w:highlight w:val="none"/>
                <w:u w:val="none"/>
                <w:lang w:val="en-US" w:eastAsia="zh-CN" w:bidi="ar-SA"/>
              </w:rPr>
              <w:t>集输管线泄漏，油类物质</w:t>
            </w:r>
            <w:r>
              <w:rPr>
                <w:rFonts w:hint="default" w:ascii="Times New Roman" w:hAnsi="Times New Roman" w:eastAsia="宋体" w:cs="Times New Roman"/>
                <w:color w:val="auto"/>
                <w:sz w:val="18"/>
                <w:szCs w:val="18"/>
                <w:highlight w:val="none"/>
                <w:u w:val="none"/>
                <w:lang w:val="en-US" w:eastAsia="zh-CN" w:bidi="ar-SA"/>
              </w:rPr>
              <w:t>进入土壤的0-3m土层）影响程度（较小）</w:t>
            </w:r>
          </w:p>
        </w:tc>
        <w:tc>
          <w:tcPr>
            <w:tcW w:w="1641" w:type="dxa"/>
            <w:tcBorders>
              <w:tl2br w:val="nil"/>
              <w:tr2bl w:val="nil"/>
            </w:tcBorders>
            <w:noWrap w:val="0"/>
            <w:vAlign w:val="center"/>
          </w:tcPr>
          <w:p w14:paraId="5B3F639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032A5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1B4E37CA">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3C0A4D3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预测结论</w:t>
            </w:r>
          </w:p>
        </w:tc>
        <w:tc>
          <w:tcPr>
            <w:tcW w:w="5305" w:type="dxa"/>
            <w:gridSpan w:val="8"/>
            <w:tcBorders>
              <w:tl2br w:val="nil"/>
              <w:tr2bl w:val="nil"/>
            </w:tcBorders>
            <w:noWrap w:val="0"/>
            <w:vAlign w:val="center"/>
          </w:tcPr>
          <w:p w14:paraId="4ACE6DD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达标结论：a）□；b）□；c）☑</w:t>
            </w:r>
          </w:p>
          <w:p w14:paraId="6A0757F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不达标结论：a）□；b）□</w:t>
            </w:r>
          </w:p>
        </w:tc>
        <w:tc>
          <w:tcPr>
            <w:tcW w:w="1641" w:type="dxa"/>
            <w:tcBorders>
              <w:tl2br w:val="nil"/>
              <w:tr2bl w:val="nil"/>
            </w:tcBorders>
            <w:noWrap w:val="0"/>
            <w:vAlign w:val="center"/>
          </w:tcPr>
          <w:p w14:paraId="6B8E9AD4">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756A8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15" w:type="dxa"/>
            <w:vMerge w:val="restart"/>
            <w:tcBorders>
              <w:tl2br w:val="nil"/>
              <w:tr2bl w:val="nil"/>
            </w:tcBorders>
            <w:noWrap w:val="0"/>
            <w:vAlign w:val="center"/>
          </w:tcPr>
          <w:p w14:paraId="380065B3">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eastAsia" w:cs="Times New Roman"/>
                <w:color w:val="auto"/>
                <w:sz w:val="18"/>
                <w:szCs w:val="18"/>
                <w:highlight w:val="none"/>
                <w:u w:val="none"/>
                <w:lang w:val="en-US" w:eastAsia="zh-CN" w:bidi="ar-SA"/>
              </w:rPr>
              <w:t>防</w:t>
            </w:r>
            <w:r>
              <w:rPr>
                <w:rFonts w:hint="default" w:ascii="Times New Roman" w:hAnsi="Times New Roman" w:eastAsia="宋体" w:cs="Times New Roman"/>
                <w:color w:val="auto"/>
                <w:sz w:val="18"/>
                <w:szCs w:val="18"/>
                <w:highlight w:val="none"/>
                <w:u w:val="none"/>
                <w:lang w:val="en-US" w:eastAsia="zh-CN" w:bidi="ar-SA"/>
              </w:rPr>
              <w:t>防治措施</w:t>
            </w:r>
          </w:p>
        </w:tc>
        <w:tc>
          <w:tcPr>
            <w:tcW w:w="1497" w:type="dxa"/>
            <w:tcBorders>
              <w:tl2br w:val="nil"/>
              <w:tr2bl w:val="nil"/>
            </w:tcBorders>
            <w:noWrap w:val="0"/>
            <w:vAlign w:val="center"/>
          </w:tcPr>
          <w:p w14:paraId="4D34B6CA">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防控措施</w:t>
            </w:r>
          </w:p>
        </w:tc>
        <w:tc>
          <w:tcPr>
            <w:tcW w:w="5305" w:type="dxa"/>
            <w:gridSpan w:val="8"/>
            <w:tcBorders>
              <w:tl2br w:val="nil"/>
              <w:tr2bl w:val="nil"/>
            </w:tcBorders>
            <w:noWrap w:val="0"/>
            <w:vAlign w:val="center"/>
          </w:tcPr>
          <w:p w14:paraId="07792187">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both"/>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土壤环境质量现状保障☑；源头控制☑；过程防控☑；其他（）</w:t>
            </w:r>
          </w:p>
        </w:tc>
        <w:tc>
          <w:tcPr>
            <w:tcW w:w="1641" w:type="dxa"/>
            <w:tcBorders>
              <w:tl2br w:val="nil"/>
              <w:tr2bl w:val="nil"/>
            </w:tcBorders>
            <w:noWrap w:val="0"/>
            <w:vAlign w:val="center"/>
          </w:tcPr>
          <w:p w14:paraId="5842CFE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66CA6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7E098D44">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vMerge w:val="restart"/>
            <w:tcBorders>
              <w:tl2br w:val="nil"/>
              <w:tr2bl w:val="nil"/>
            </w:tcBorders>
            <w:noWrap w:val="0"/>
            <w:vAlign w:val="center"/>
          </w:tcPr>
          <w:p w14:paraId="15C3B805">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跟踪监测</w:t>
            </w:r>
          </w:p>
        </w:tc>
        <w:tc>
          <w:tcPr>
            <w:tcW w:w="723" w:type="dxa"/>
            <w:tcBorders>
              <w:tl2br w:val="nil"/>
              <w:tr2bl w:val="nil"/>
            </w:tcBorders>
            <w:noWrap w:val="0"/>
            <w:vAlign w:val="center"/>
          </w:tcPr>
          <w:p w14:paraId="19FC50A5">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层位</w:t>
            </w:r>
          </w:p>
        </w:tc>
        <w:tc>
          <w:tcPr>
            <w:tcW w:w="1142" w:type="dxa"/>
            <w:tcBorders>
              <w:tl2br w:val="nil"/>
              <w:tr2bl w:val="nil"/>
            </w:tcBorders>
            <w:noWrap w:val="0"/>
            <w:vAlign w:val="center"/>
          </w:tcPr>
          <w:p w14:paraId="08B48AB5">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spacing w:val="-6"/>
                <w:kern w:val="2"/>
                <w:sz w:val="18"/>
                <w:szCs w:val="18"/>
                <w:highlight w:val="none"/>
                <w:u w:val="none"/>
                <w:lang w:val="en-US" w:eastAsia="zh-CN" w:bidi="ar-SA"/>
              </w:rPr>
            </w:pPr>
            <w:r>
              <w:rPr>
                <w:rFonts w:hint="eastAsia" w:cs="Times New Roman"/>
                <w:color w:val="auto"/>
                <w:spacing w:val="-6"/>
                <w:kern w:val="2"/>
                <w:sz w:val="18"/>
                <w:szCs w:val="18"/>
                <w:highlight w:val="none"/>
                <w:u w:val="none"/>
                <w:lang w:val="en-US" w:eastAsia="zh-CN" w:bidi="ar-SA"/>
              </w:rPr>
              <w:t>井场</w:t>
            </w:r>
            <w:r>
              <w:rPr>
                <w:rFonts w:hint="default" w:ascii="Times New Roman" w:hAnsi="Times New Roman" w:eastAsia="宋体" w:cs="Times New Roman"/>
                <w:color w:val="auto"/>
                <w:spacing w:val="-6"/>
                <w:kern w:val="2"/>
                <w:sz w:val="18"/>
                <w:szCs w:val="18"/>
                <w:highlight w:val="none"/>
                <w:u w:val="none"/>
                <w:lang w:val="en-US" w:eastAsia="zh-CN" w:bidi="ar-SA"/>
              </w:rPr>
              <w:t>占地范围内</w:t>
            </w:r>
          </w:p>
        </w:tc>
        <w:tc>
          <w:tcPr>
            <w:tcW w:w="843" w:type="dxa"/>
            <w:gridSpan w:val="2"/>
            <w:tcBorders>
              <w:tl2br w:val="nil"/>
              <w:tr2bl w:val="nil"/>
            </w:tcBorders>
            <w:noWrap w:val="0"/>
            <w:vAlign w:val="center"/>
          </w:tcPr>
          <w:p w14:paraId="2BAC0D9E">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spacing w:val="-6"/>
                <w:kern w:val="2"/>
                <w:sz w:val="18"/>
                <w:szCs w:val="18"/>
                <w:highlight w:val="none"/>
                <w:u w:val="none"/>
                <w:lang w:val="en-US" w:eastAsia="zh-CN" w:bidi="ar-SA"/>
              </w:rPr>
            </w:pPr>
            <w:r>
              <w:rPr>
                <w:rFonts w:hint="default" w:ascii="Times New Roman" w:hAnsi="Times New Roman" w:eastAsia="宋体" w:cs="Times New Roman"/>
                <w:color w:val="auto"/>
                <w:spacing w:val="-6"/>
                <w:kern w:val="2"/>
                <w:sz w:val="18"/>
                <w:szCs w:val="18"/>
                <w:highlight w:val="none"/>
                <w:u w:val="none"/>
                <w:lang w:val="en-US" w:eastAsia="zh-CN" w:bidi="ar-SA"/>
              </w:rPr>
              <w:t>占地范围外</w:t>
            </w:r>
          </w:p>
        </w:tc>
        <w:tc>
          <w:tcPr>
            <w:tcW w:w="785" w:type="dxa"/>
            <w:gridSpan w:val="2"/>
            <w:tcBorders>
              <w:tl2br w:val="nil"/>
              <w:tr2bl w:val="nil"/>
            </w:tcBorders>
            <w:noWrap w:val="0"/>
            <w:vAlign w:val="center"/>
          </w:tcPr>
          <w:p w14:paraId="70D50A6F">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深度</w:t>
            </w:r>
          </w:p>
        </w:tc>
        <w:tc>
          <w:tcPr>
            <w:tcW w:w="1086" w:type="dxa"/>
            <w:tcBorders>
              <w:tl2br w:val="nil"/>
              <w:tr2bl w:val="nil"/>
            </w:tcBorders>
            <w:noWrap w:val="0"/>
            <w:vAlign w:val="center"/>
          </w:tcPr>
          <w:p w14:paraId="07E1959A">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监测指标</w:t>
            </w:r>
          </w:p>
        </w:tc>
        <w:tc>
          <w:tcPr>
            <w:tcW w:w="726" w:type="dxa"/>
            <w:tcBorders>
              <w:tl2br w:val="nil"/>
              <w:tr2bl w:val="nil"/>
            </w:tcBorders>
            <w:noWrap w:val="0"/>
            <w:vAlign w:val="center"/>
          </w:tcPr>
          <w:p w14:paraId="759CF75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监测频次</w:t>
            </w:r>
          </w:p>
        </w:tc>
        <w:tc>
          <w:tcPr>
            <w:tcW w:w="1641" w:type="dxa"/>
            <w:vMerge w:val="restart"/>
            <w:tcBorders>
              <w:tl2br w:val="nil"/>
              <w:tr2bl w:val="nil"/>
            </w:tcBorders>
            <w:noWrap w:val="0"/>
            <w:vAlign w:val="center"/>
          </w:tcPr>
          <w:p w14:paraId="07C2ACD9">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6C4CA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15" w:type="dxa"/>
            <w:vMerge w:val="continue"/>
            <w:tcBorders>
              <w:tl2br w:val="nil"/>
              <w:tr2bl w:val="nil"/>
            </w:tcBorders>
            <w:noWrap w:val="0"/>
            <w:vAlign w:val="center"/>
          </w:tcPr>
          <w:p w14:paraId="0187719F">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vMerge w:val="continue"/>
            <w:tcBorders>
              <w:tl2br w:val="nil"/>
              <w:tr2bl w:val="nil"/>
            </w:tcBorders>
            <w:noWrap w:val="0"/>
            <w:vAlign w:val="center"/>
          </w:tcPr>
          <w:p w14:paraId="1D52CDAB">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723" w:type="dxa"/>
            <w:tcBorders>
              <w:tl2br w:val="nil"/>
              <w:tr2bl w:val="nil"/>
            </w:tcBorders>
            <w:noWrap w:val="0"/>
            <w:vAlign w:val="center"/>
          </w:tcPr>
          <w:p w14:paraId="7D90A87B">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表层</w:t>
            </w:r>
          </w:p>
        </w:tc>
        <w:tc>
          <w:tcPr>
            <w:tcW w:w="1142" w:type="dxa"/>
            <w:tcBorders>
              <w:tl2br w:val="nil"/>
              <w:tr2bl w:val="nil"/>
            </w:tcBorders>
            <w:noWrap w:val="0"/>
            <w:vAlign w:val="center"/>
          </w:tcPr>
          <w:p w14:paraId="07E65C8D">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kern w:val="2"/>
                <w:sz w:val="18"/>
                <w:szCs w:val="18"/>
                <w:highlight w:val="none"/>
                <w:u w:val="none"/>
                <w:lang w:val="en-US" w:eastAsia="zh-CN" w:bidi="ar-SA"/>
              </w:rPr>
            </w:pPr>
            <w:r>
              <w:rPr>
                <w:rFonts w:ascii="Times New Roman" w:hAnsi="Times New Roman" w:eastAsia="宋体" w:cs="Times New Roman"/>
                <w:color w:val="auto"/>
                <w:kern w:val="2"/>
                <w:sz w:val="18"/>
                <w:szCs w:val="18"/>
                <w:highlight w:val="none"/>
                <w:u w:val="none"/>
                <w:lang w:val="en-US" w:eastAsia="zh-CN" w:bidi="ar-SA"/>
              </w:rPr>
              <w:t>1</w:t>
            </w:r>
          </w:p>
        </w:tc>
        <w:tc>
          <w:tcPr>
            <w:tcW w:w="843" w:type="dxa"/>
            <w:gridSpan w:val="2"/>
            <w:tcBorders>
              <w:tl2br w:val="nil"/>
              <w:tr2bl w:val="nil"/>
            </w:tcBorders>
            <w:noWrap w:val="0"/>
            <w:vAlign w:val="center"/>
          </w:tcPr>
          <w:p w14:paraId="271E694A">
            <w:pPr>
              <w:keepNext w:val="0"/>
              <w:keepLines w:val="0"/>
              <w:pageBreakBefore w:val="0"/>
              <w:widowControl w:val="0"/>
              <w:kinsoku/>
              <w:wordWrap/>
              <w:overflowPunct/>
              <w:topLinePunct w:val="0"/>
              <w:autoSpaceDE/>
              <w:autoSpaceDN/>
              <w:bidi w:val="0"/>
              <w:spacing w:line="220" w:lineRule="exact"/>
              <w:ind w:left="0" w:leftChars="0" w:right="0" w:rightChars="0" w:firstLine="0"/>
              <w:jc w:val="center"/>
              <w:textAlignment w:val="center"/>
              <w:rPr>
                <w:rFonts w:hint="default" w:ascii="Times New Roman" w:hAnsi="Times New Roman" w:eastAsia="宋体" w:cs="Times New Roman"/>
                <w:color w:val="auto"/>
                <w:kern w:val="2"/>
                <w:sz w:val="18"/>
                <w:szCs w:val="18"/>
                <w:highlight w:val="none"/>
                <w:u w:val="none"/>
                <w:lang w:val="en-US" w:eastAsia="zh-CN" w:bidi="ar-SA"/>
              </w:rPr>
            </w:pPr>
            <w:r>
              <w:rPr>
                <w:rFonts w:ascii="Times New Roman" w:hAnsi="Times New Roman" w:eastAsia="宋体" w:cs="Times New Roman"/>
                <w:color w:val="auto"/>
                <w:kern w:val="2"/>
                <w:sz w:val="18"/>
                <w:szCs w:val="18"/>
                <w:highlight w:val="none"/>
                <w:u w:val="none"/>
                <w:lang w:val="en-US" w:eastAsia="zh-CN" w:bidi="ar-SA"/>
              </w:rPr>
              <w:t>-</w:t>
            </w:r>
          </w:p>
        </w:tc>
        <w:tc>
          <w:tcPr>
            <w:tcW w:w="785" w:type="dxa"/>
            <w:gridSpan w:val="2"/>
            <w:tcBorders>
              <w:tl2br w:val="nil"/>
              <w:tr2bl w:val="nil"/>
            </w:tcBorders>
            <w:noWrap w:val="0"/>
            <w:vAlign w:val="center"/>
          </w:tcPr>
          <w:p w14:paraId="2E664E3A">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both"/>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0-0.2m</w:t>
            </w:r>
          </w:p>
        </w:tc>
        <w:tc>
          <w:tcPr>
            <w:tcW w:w="1086" w:type="dxa"/>
            <w:tcBorders>
              <w:tl2br w:val="nil"/>
              <w:tr2bl w:val="nil"/>
            </w:tcBorders>
            <w:noWrap w:val="0"/>
            <w:vAlign w:val="center"/>
          </w:tcPr>
          <w:p w14:paraId="072A77E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eastAsia" w:ascii="Times New Roman" w:hAnsi="Times New Roman" w:eastAsia="宋体" w:cs="Times New Roman"/>
                <w:color w:val="auto"/>
                <w:spacing w:val="-6"/>
                <w:sz w:val="18"/>
                <w:szCs w:val="18"/>
                <w:highlight w:val="none"/>
                <w:u w:val="none"/>
                <w:lang w:val="en-US" w:eastAsia="zh-CN" w:bidi="ar-SA"/>
              </w:rPr>
              <w:t>石油类、石油烃（C6～C9）、石油烃（C10～C40）、汞、砷、六价铬</w:t>
            </w:r>
          </w:p>
        </w:tc>
        <w:tc>
          <w:tcPr>
            <w:tcW w:w="726" w:type="dxa"/>
            <w:tcBorders>
              <w:tl2br w:val="nil"/>
              <w:tr2bl w:val="nil"/>
            </w:tcBorders>
            <w:noWrap w:val="0"/>
            <w:vAlign w:val="center"/>
          </w:tcPr>
          <w:p w14:paraId="4B91DC38">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每</w:t>
            </w:r>
            <w:r>
              <w:rPr>
                <w:rFonts w:hint="eastAsia" w:cs="Times New Roman"/>
                <w:color w:val="auto"/>
                <w:sz w:val="18"/>
                <w:szCs w:val="18"/>
                <w:highlight w:val="none"/>
                <w:u w:val="none"/>
                <w:lang w:val="en-US" w:eastAsia="zh-CN" w:bidi="ar-SA"/>
              </w:rPr>
              <w:t>5</w:t>
            </w:r>
            <w:r>
              <w:rPr>
                <w:rFonts w:hint="default" w:ascii="Times New Roman" w:hAnsi="Times New Roman" w:eastAsia="宋体" w:cs="Times New Roman"/>
                <w:color w:val="auto"/>
                <w:sz w:val="18"/>
                <w:szCs w:val="18"/>
                <w:highlight w:val="none"/>
                <w:u w:val="none"/>
                <w:lang w:val="en-US" w:eastAsia="zh-CN" w:bidi="ar-SA"/>
              </w:rPr>
              <w:t>年1次</w:t>
            </w:r>
          </w:p>
        </w:tc>
        <w:tc>
          <w:tcPr>
            <w:tcW w:w="1641" w:type="dxa"/>
            <w:vMerge w:val="continue"/>
            <w:tcBorders>
              <w:tl2br w:val="nil"/>
              <w:tr2bl w:val="nil"/>
            </w:tcBorders>
            <w:noWrap w:val="0"/>
            <w:vAlign w:val="center"/>
          </w:tcPr>
          <w:p w14:paraId="2CFA1EA4">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112CF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vMerge w:val="continue"/>
            <w:tcBorders>
              <w:tl2br w:val="nil"/>
              <w:tr2bl w:val="nil"/>
            </w:tcBorders>
            <w:noWrap w:val="0"/>
            <w:vAlign w:val="center"/>
          </w:tcPr>
          <w:p w14:paraId="47082FA3">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c>
          <w:tcPr>
            <w:tcW w:w="1497" w:type="dxa"/>
            <w:tcBorders>
              <w:tl2br w:val="nil"/>
              <w:tr2bl w:val="nil"/>
            </w:tcBorders>
            <w:noWrap w:val="0"/>
            <w:vAlign w:val="center"/>
          </w:tcPr>
          <w:p w14:paraId="4592479B">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信息公开指标</w:t>
            </w:r>
          </w:p>
        </w:tc>
        <w:tc>
          <w:tcPr>
            <w:tcW w:w="5305" w:type="dxa"/>
            <w:gridSpan w:val="8"/>
            <w:tcBorders>
              <w:tl2br w:val="nil"/>
              <w:tr2bl w:val="nil"/>
            </w:tcBorders>
            <w:noWrap w:val="0"/>
            <w:vAlign w:val="center"/>
          </w:tcPr>
          <w:p w14:paraId="1CCEEC8C">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w:t>
            </w:r>
          </w:p>
        </w:tc>
        <w:tc>
          <w:tcPr>
            <w:tcW w:w="1641" w:type="dxa"/>
            <w:vMerge w:val="continue"/>
            <w:tcBorders>
              <w:tl2br w:val="nil"/>
              <w:tr2bl w:val="nil"/>
            </w:tcBorders>
            <w:noWrap w:val="0"/>
            <w:vAlign w:val="center"/>
          </w:tcPr>
          <w:p w14:paraId="04392B52">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18E18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912" w:type="dxa"/>
            <w:gridSpan w:val="2"/>
            <w:tcBorders>
              <w:tl2br w:val="nil"/>
              <w:tr2bl w:val="nil"/>
            </w:tcBorders>
            <w:noWrap w:val="0"/>
            <w:vAlign w:val="center"/>
          </w:tcPr>
          <w:p w14:paraId="4639BE51">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评价结论</w:t>
            </w:r>
          </w:p>
        </w:tc>
        <w:tc>
          <w:tcPr>
            <w:tcW w:w="5305" w:type="dxa"/>
            <w:gridSpan w:val="8"/>
            <w:tcBorders>
              <w:tl2br w:val="nil"/>
              <w:tr2bl w:val="nil"/>
            </w:tcBorders>
            <w:noWrap w:val="0"/>
            <w:vAlign w:val="center"/>
          </w:tcPr>
          <w:p w14:paraId="0AAEEC04">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left"/>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在工程做好分区防渗、定期监测、严格执行本次环评提出的污染防治措施的前提下</w:t>
            </w:r>
            <w:r>
              <w:rPr>
                <w:rFonts w:hint="eastAsia" w:ascii="Times New Roman" w:hAnsi="Times New Roman" w:eastAsia="宋体" w:cs="Times New Roman"/>
                <w:color w:val="auto"/>
                <w:sz w:val="18"/>
                <w:szCs w:val="18"/>
                <w:highlight w:val="none"/>
                <w:u w:val="none"/>
                <w:lang w:val="en-US" w:eastAsia="zh-CN" w:bidi="ar-SA"/>
              </w:rPr>
              <w:t>本工程</w:t>
            </w:r>
            <w:r>
              <w:rPr>
                <w:rFonts w:hint="default" w:ascii="Times New Roman" w:hAnsi="Times New Roman" w:eastAsia="宋体" w:cs="Times New Roman"/>
                <w:color w:val="auto"/>
                <w:sz w:val="18"/>
                <w:szCs w:val="18"/>
                <w:highlight w:val="none"/>
                <w:u w:val="none"/>
                <w:lang w:val="en-US" w:eastAsia="zh-CN" w:bidi="ar-SA"/>
              </w:rPr>
              <w:t>对土壤环境影响可接受</w:t>
            </w:r>
          </w:p>
        </w:tc>
        <w:tc>
          <w:tcPr>
            <w:tcW w:w="1641" w:type="dxa"/>
            <w:tcBorders>
              <w:tl2br w:val="nil"/>
              <w:tr2bl w:val="nil"/>
            </w:tcBorders>
            <w:noWrap w:val="0"/>
            <w:vAlign w:val="center"/>
          </w:tcPr>
          <w:p w14:paraId="1D555F58">
            <w:pPr>
              <w:keepNext w:val="0"/>
              <w:keepLines w:val="0"/>
              <w:pageBreakBefore w:val="0"/>
              <w:kinsoku/>
              <w:wordWrap/>
              <w:overflowPunct/>
              <w:topLinePunct w:val="0"/>
              <w:autoSpaceDE/>
              <w:autoSpaceDN/>
              <w:bidi w:val="0"/>
              <w:adjustRightInd w:val="0"/>
              <w:snapToGrid w:val="0"/>
              <w:spacing w:line="220" w:lineRule="exact"/>
              <w:ind w:left="0" w:leftChars="0" w:right="0" w:rightChars="0" w:firstLine="0"/>
              <w:jc w:val="center"/>
              <w:textAlignment w:val="baseline"/>
              <w:rPr>
                <w:rFonts w:hint="default" w:ascii="Times New Roman" w:hAnsi="Times New Roman" w:eastAsia="宋体" w:cs="Times New Roman"/>
                <w:color w:val="auto"/>
                <w:sz w:val="18"/>
                <w:szCs w:val="18"/>
                <w:highlight w:val="none"/>
                <w:u w:val="none"/>
                <w:lang w:val="en-US" w:eastAsia="zh-CN" w:bidi="ar-SA"/>
              </w:rPr>
            </w:pPr>
          </w:p>
        </w:tc>
      </w:tr>
      <w:tr w14:paraId="3F963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8" w:type="dxa"/>
            <w:gridSpan w:val="11"/>
            <w:tcBorders>
              <w:tl2br w:val="nil"/>
              <w:tr2bl w:val="nil"/>
            </w:tcBorders>
            <w:noWrap w:val="0"/>
            <w:vAlign w:val="center"/>
          </w:tcPr>
          <w:p w14:paraId="5AE985B6">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jc w:val="left"/>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注1：“□”为勾选项，可√；“（）”为内容填写项；“备注”为其他补充内容。</w:t>
            </w:r>
          </w:p>
          <w:p w14:paraId="3739F0F4">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jc w:val="left"/>
              <w:textAlignment w:val="baseline"/>
              <w:rPr>
                <w:rFonts w:hint="default" w:ascii="Times New Roman" w:hAnsi="Times New Roman" w:eastAsia="宋体" w:cs="Times New Roman"/>
                <w:color w:val="auto"/>
                <w:sz w:val="18"/>
                <w:szCs w:val="18"/>
                <w:highlight w:val="none"/>
                <w:u w:val="none"/>
                <w:lang w:val="en-US" w:eastAsia="zh-CN" w:bidi="ar-SA"/>
              </w:rPr>
            </w:pPr>
            <w:r>
              <w:rPr>
                <w:rFonts w:hint="default" w:ascii="Times New Roman" w:hAnsi="Times New Roman" w:eastAsia="宋体" w:cs="Times New Roman"/>
                <w:color w:val="auto"/>
                <w:sz w:val="18"/>
                <w:szCs w:val="18"/>
                <w:highlight w:val="none"/>
                <w:u w:val="none"/>
                <w:lang w:val="en-US" w:eastAsia="zh-CN" w:bidi="ar-SA"/>
              </w:rPr>
              <w:t>注2：需要分别开展土壤环境影响评价等级工作的，分别填写自查表。</w:t>
            </w:r>
          </w:p>
        </w:tc>
      </w:tr>
    </w:tbl>
    <w:p w14:paraId="5FF47D8E">
      <w:pPr>
        <w:rPr>
          <w:rFonts w:hint="default" w:ascii="Times New Roman" w:hAnsi="Times New Roman" w:cs="Times New Roman"/>
          <w:color w:val="auto"/>
          <w:u w:val="none"/>
        </w:rPr>
      </w:pPr>
      <w:r>
        <w:rPr>
          <w:rFonts w:hint="default" w:ascii="Times New Roman" w:hAnsi="Times New Roman" w:cs="Times New Roman"/>
          <w:color w:val="auto"/>
          <w:u w:val="none"/>
        </w:rPr>
        <w:br w:type="page"/>
      </w:r>
    </w:p>
    <w:p w14:paraId="7C7EF90D">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429" w:name="_Toc29189"/>
      <w:r>
        <w:rPr>
          <w:rFonts w:hint="default" w:ascii="黑体" w:hAnsi="黑体" w:eastAsia="黑体" w:cs="黑体"/>
          <w:color w:val="auto"/>
          <w:sz w:val="28"/>
          <w:szCs w:val="28"/>
          <w:u w:val="none"/>
          <w:lang w:val="en-US" w:eastAsia="zh-CN"/>
        </w:rPr>
        <w:t>5.</w:t>
      </w:r>
      <w:r>
        <w:rPr>
          <w:rFonts w:hint="eastAsia" w:ascii="黑体" w:hAnsi="黑体" w:eastAsia="黑体" w:cs="黑体"/>
          <w:color w:val="auto"/>
          <w:sz w:val="28"/>
          <w:szCs w:val="28"/>
          <w:u w:val="none"/>
          <w:lang w:val="en-US" w:eastAsia="zh-CN"/>
        </w:rPr>
        <w:t>5</w:t>
      </w:r>
      <w:r>
        <w:rPr>
          <w:rFonts w:hint="default" w:ascii="黑体" w:hAnsi="黑体" w:eastAsia="黑体" w:cs="黑体"/>
          <w:color w:val="auto"/>
          <w:sz w:val="28"/>
          <w:szCs w:val="28"/>
          <w:u w:val="none"/>
          <w:lang w:val="en-US" w:eastAsia="zh-CN"/>
        </w:rPr>
        <w:t xml:space="preserve"> 大气环境影响</w:t>
      </w:r>
      <w:bookmarkEnd w:id="425"/>
      <w:bookmarkEnd w:id="426"/>
      <w:r>
        <w:rPr>
          <w:rFonts w:hint="eastAsia" w:ascii="黑体" w:hAnsi="黑体" w:eastAsia="黑体" w:cs="黑体"/>
          <w:color w:val="auto"/>
          <w:sz w:val="28"/>
          <w:szCs w:val="28"/>
          <w:u w:val="none"/>
          <w:lang w:val="en-US" w:eastAsia="zh-CN"/>
        </w:rPr>
        <w:t>评价</w:t>
      </w:r>
      <w:bookmarkEnd w:id="429"/>
    </w:p>
    <w:p w14:paraId="28F1B777">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430" w:name="_Toc13532"/>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.1 施工期环境空气影响分析</w:t>
      </w:r>
    </w:p>
    <w:p w14:paraId="57504CE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cs="Times New Roman"/>
          <w:color w:val="auto"/>
          <w:kern w:val="0"/>
          <w:sz w:val="24"/>
          <w:szCs w:val="24"/>
          <w:highlight w:val="none"/>
          <w:u w:val="none"/>
        </w:rPr>
      </w:pPr>
      <w:r>
        <w:rPr>
          <w:rFonts w:hint="eastAsia" w:ascii="Times New Roman" w:hAnsi="Times New Roman" w:cs="Times New Roman"/>
          <w:color w:val="auto"/>
          <w:kern w:val="0"/>
          <w:sz w:val="24"/>
          <w:szCs w:val="24"/>
          <w:highlight w:val="none"/>
          <w:u w:val="none"/>
        </w:rPr>
        <w:t>本项目施工期产生的废气主要为钻井工程产生的燃料燃烧废气</w:t>
      </w:r>
      <w:r>
        <w:rPr>
          <w:rFonts w:hint="eastAsia"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施工扬尘</w:t>
      </w:r>
      <w:r>
        <w:rPr>
          <w:rFonts w:hint="eastAsia" w:cs="Times New Roman"/>
          <w:color w:val="auto"/>
          <w:kern w:val="0"/>
          <w:sz w:val="24"/>
          <w:szCs w:val="24"/>
          <w:highlight w:val="none"/>
          <w:u w:val="none"/>
          <w:lang w:val="en-US" w:eastAsia="zh-CN"/>
        </w:rPr>
        <w:t>以及</w:t>
      </w:r>
      <w:r>
        <w:rPr>
          <w:rFonts w:hint="eastAsia" w:ascii="Times New Roman" w:hAnsi="Times New Roman" w:cs="Times New Roman"/>
          <w:color w:val="auto"/>
          <w:kern w:val="0"/>
          <w:sz w:val="24"/>
          <w:szCs w:val="24"/>
          <w:highlight w:val="none"/>
          <w:u w:val="none"/>
        </w:rPr>
        <w:t>汽车尾气排放。</w:t>
      </w:r>
    </w:p>
    <w:p w14:paraId="4B2428DF">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w:t>
      </w:r>
      <w:r>
        <w:rPr>
          <w:rFonts w:hint="eastAsia" w:cs="Times New Roman"/>
          <w:color w:val="auto"/>
          <w:kern w:val="0"/>
          <w:sz w:val="24"/>
          <w:szCs w:val="24"/>
          <w:highlight w:val="none"/>
          <w:u w:val="none"/>
          <w:lang w:val="en-US" w:eastAsia="zh-CN"/>
        </w:rPr>
        <w:t>1</w:t>
      </w:r>
      <w:r>
        <w:rPr>
          <w:rFonts w:hint="default" w:ascii="Times New Roman" w:hAnsi="Times New Roman" w:cs="Times New Roman"/>
          <w:color w:val="auto"/>
          <w:kern w:val="0"/>
          <w:sz w:val="24"/>
          <w:szCs w:val="24"/>
          <w:highlight w:val="none"/>
          <w:u w:val="none"/>
        </w:rPr>
        <w:t>）运输车辆扬尘的影响分析</w:t>
      </w:r>
    </w:p>
    <w:p w14:paraId="38E17C6A">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施工期运输车辆产生扬尘，采用洒水降尘，在施工场地实施每天洒水抑尘作业4</w:t>
      </w:r>
      <w:r>
        <w:rPr>
          <w:rFonts w:hint="eastAsia"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5次，其扬尘造成的污染距离可缩小到20</w:t>
      </w:r>
      <w:r>
        <w:rPr>
          <w:rFonts w:hint="eastAsia"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50m范围，由此车辆产生的扬尘对周围环境影响较小。</w:t>
      </w:r>
      <w:r>
        <w:rPr>
          <w:rFonts w:ascii="Times New Roman" w:hAnsi="Times New Roman" w:cs="Times New Roman"/>
          <w:color w:val="auto"/>
          <w:kern w:val="0"/>
          <w:sz w:val="24"/>
          <w:szCs w:val="24"/>
          <w:highlight w:val="none"/>
          <w:u w:val="none"/>
        </w:rPr>
        <w:t>从影响时间、范围和程度来看，</w:t>
      </w:r>
      <w:r>
        <w:rPr>
          <w:rFonts w:hint="eastAsia" w:ascii="Times New Roman" w:hAnsi="Times New Roman" w:cs="Times New Roman"/>
          <w:color w:val="auto"/>
          <w:kern w:val="0"/>
          <w:sz w:val="24"/>
          <w:szCs w:val="24"/>
          <w:highlight w:val="none"/>
          <w:u w:val="none"/>
        </w:rPr>
        <w:t>施工车辆</w:t>
      </w:r>
      <w:r>
        <w:rPr>
          <w:rFonts w:ascii="Times New Roman" w:hAnsi="Times New Roman" w:cs="Times New Roman"/>
          <w:color w:val="auto"/>
          <w:kern w:val="0"/>
          <w:sz w:val="24"/>
          <w:szCs w:val="24"/>
          <w:highlight w:val="none"/>
          <w:u w:val="none"/>
        </w:rPr>
        <w:t>废气对周围大气环境质量影响是有限的。</w:t>
      </w:r>
    </w:p>
    <w:p w14:paraId="523222A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kern w:val="2"/>
          <w:sz w:val="24"/>
          <w:szCs w:val="24"/>
          <w:highlight w:val="none"/>
          <w:u w:val="none"/>
          <w:lang w:val="en-US" w:eastAsia="zh-CN" w:bidi="ar-SA"/>
        </w:rPr>
      </w:pPr>
      <w:r>
        <w:rPr>
          <w:rFonts w:hint="default" w:ascii="Times New Roman" w:hAnsi="Times New Roman" w:eastAsia="宋体" w:cs="Times New Roman"/>
          <w:snapToGrid w:val="0"/>
          <w:color w:val="auto"/>
          <w:kern w:val="2"/>
          <w:sz w:val="24"/>
          <w:szCs w:val="24"/>
          <w:highlight w:val="none"/>
          <w:u w:val="none"/>
          <w:lang w:val="en-US" w:eastAsia="zh-CN" w:bidi="ar-SA"/>
        </w:rPr>
        <w:t>在</w:t>
      </w:r>
      <w:r>
        <w:rPr>
          <w:rFonts w:hint="eastAsia" w:ascii="Times New Roman" w:hAnsi="Times New Roman" w:eastAsia="宋体" w:cs="Times New Roman"/>
          <w:snapToGrid w:val="0"/>
          <w:color w:val="auto"/>
          <w:kern w:val="2"/>
          <w:sz w:val="24"/>
          <w:szCs w:val="24"/>
          <w:highlight w:val="none"/>
          <w:u w:val="none"/>
          <w:lang w:val="en-US" w:eastAsia="zh-CN" w:bidi="ar-SA"/>
        </w:rPr>
        <w:t>油田</w:t>
      </w:r>
      <w:r>
        <w:rPr>
          <w:rFonts w:hint="default" w:ascii="Times New Roman" w:hAnsi="Times New Roman" w:eastAsia="宋体" w:cs="Times New Roman"/>
          <w:snapToGrid w:val="0"/>
          <w:color w:val="auto"/>
          <w:kern w:val="2"/>
          <w:sz w:val="24"/>
          <w:szCs w:val="24"/>
          <w:highlight w:val="none"/>
          <w:u w:val="none"/>
          <w:lang w:val="en-US" w:eastAsia="zh-CN" w:bidi="ar-SA"/>
        </w:rPr>
        <w:t>区块开发前期，由于主要进行地面建筑、道路等施工，区块内大量出入中型车辆，因此区块内道路主要为砂石路，车辆行驶的扬尘污染较重，要求适当洒水降尘，减轻污染。</w:t>
      </w:r>
      <w:r>
        <w:rPr>
          <w:rFonts w:ascii="Times New Roman" w:hAnsi="Times New Roman" w:eastAsia="宋体" w:cs="Times New Roman"/>
          <w:snapToGrid w:val="0"/>
          <w:color w:val="auto"/>
          <w:kern w:val="2"/>
          <w:sz w:val="24"/>
          <w:szCs w:val="20"/>
          <w:highlight w:val="none"/>
          <w:u w:val="none"/>
          <w:lang w:val="en-US" w:eastAsia="zh-CN" w:bidi="ar-SA"/>
        </w:rPr>
        <w:t>合理规划、选择最短的运输路线，利用油气田现有公路网络，禁止随意开辟道路，运输车辆应以中、低速行驶，减少车辆行驶动力起尘。</w:t>
      </w:r>
      <w:r>
        <w:rPr>
          <w:rFonts w:hint="default" w:ascii="Times New Roman" w:hAnsi="Times New Roman" w:eastAsia="宋体" w:cs="Times New Roman"/>
          <w:snapToGrid w:val="0"/>
          <w:color w:val="auto"/>
          <w:kern w:val="2"/>
          <w:sz w:val="24"/>
          <w:szCs w:val="24"/>
          <w:highlight w:val="none"/>
          <w:u w:val="none"/>
          <w:lang w:val="en-US" w:eastAsia="zh-CN" w:bidi="ar-SA"/>
        </w:rPr>
        <w:t>随油田开发进入产液期，区块道路</w:t>
      </w:r>
      <w:r>
        <w:rPr>
          <w:rFonts w:hint="eastAsia" w:ascii="Times New Roman" w:hAnsi="Times New Roman" w:eastAsia="宋体" w:cs="Times New Roman"/>
          <w:snapToGrid w:val="0"/>
          <w:color w:val="auto"/>
          <w:kern w:val="2"/>
          <w:sz w:val="24"/>
          <w:szCs w:val="24"/>
          <w:highlight w:val="none"/>
          <w:u w:val="none"/>
          <w:lang w:val="en-US" w:eastAsia="zh-CN" w:bidi="ar-SA"/>
        </w:rPr>
        <w:t>路面</w:t>
      </w:r>
      <w:r>
        <w:rPr>
          <w:rFonts w:hint="default" w:ascii="Times New Roman" w:hAnsi="Times New Roman" w:eastAsia="宋体" w:cs="Times New Roman"/>
          <w:snapToGrid w:val="0"/>
          <w:color w:val="auto"/>
          <w:kern w:val="2"/>
          <w:sz w:val="24"/>
          <w:szCs w:val="24"/>
          <w:highlight w:val="none"/>
          <w:u w:val="none"/>
          <w:lang w:val="en-US" w:eastAsia="zh-CN" w:bidi="ar-SA"/>
        </w:rPr>
        <w:t>硬化，这部分扬尘影响大大减轻。</w:t>
      </w:r>
    </w:p>
    <w:p w14:paraId="597A38CE">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w:t>
      </w:r>
      <w:r>
        <w:rPr>
          <w:rFonts w:hint="eastAsia" w:cs="Times New Roman"/>
          <w:color w:val="auto"/>
          <w:kern w:val="0"/>
          <w:sz w:val="24"/>
          <w:szCs w:val="24"/>
          <w:highlight w:val="none"/>
          <w:u w:val="none"/>
          <w:lang w:val="en-US" w:eastAsia="zh-CN"/>
        </w:rPr>
        <w:t>2</w:t>
      </w:r>
      <w:r>
        <w:rPr>
          <w:rFonts w:hint="default" w:ascii="Times New Roman" w:hAnsi="Times New Roman" w:cs="Times New Roman"/>
          <w:color w:val="auto"/>
          <w:kern w:val="0"/>
          <w:sz w:val="24"/>
          <w:szCs w:val="24"/>
          <w:highlight w:val="none"/>
          <w:u w:val="none"/>
        </w:rPr>
        <w:t>）地面工程施工过程中扬尘的影响</w:t>
      </w:r>
    </w:p>
    <w:p w14:paraId="7680450E">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施工扬尘污染主要来自：①井场、管沟、地基、路基开挖、土地平整及井场、地基、路基填筑等施工过程，遇大风天气，会造成粉尘、扬尘等大气污染；②水泥、砂石、混凝土等建筑材料的运输、装卸和仓储过程不可避免会产生一定的泄漏，产生扬尘污染；③物料运输车辆在施工场地运行过程中将产生大量尘土。</w:t>
      </w:r>
    </w:p>
    <w:p w14:paraId="1089D81C">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施工期扬尘最大产生时间将出现在土方开挖阶段，由于该阶段裸露浮土较多，产尘量较大。由于本工程的土方运输量较大，比较容易造成物料沿路撒落后风吹起尘，同时随着大型车辆的行驶和碾压，在工程区内和道路上较易带起扬尘，污染环境。因此必须做到施工现场及场外道路泥土及时清理，减少二次扬尘。</w:t>
      </w:r>
    </w:p>
    <w:p w14:paraId="4B3C1971">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工程施工在混合土工序阶段，灰土拌和、混凝土拌和是扬尘的主要来源。必须采取封闭作业或洒水措施，控制扬尘量。</w:t>
      </w:r>
    </w:p>
    <w:p w14:paraId="00DE3C83">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w:t>
      </w:r>
      <w:r>
        <w:rPr>
          <w:rFonts w:hint="eastAsia" w:ascii="Times New Roman" w:hAnsi="Times New Roman" w:cs="Times New Roman"/>
          <w:color w:val="auto"/>
          <w:kern w:val="0"/>
          <w:sz w:val="24"/>
          <w:szCs w:val="24"/>
          <w:highlight w:val="none"/>
          <w:u w:val="none"/>
          <w:lang w:val="en-US" w:eastAsia="zh-CN"/>
        </w:rPr>
        <w:t>3</w:t>
      </w:r>
      <w:r>
        <w:rPr>
          <w:rFonts w:hint="default" w:ascii="Times New Roman" w:hAnsi="Times New Roman" w:cs="Times New Roman"/>
          <w:color w:val="auto"/>
          <w:kern w:val="0"/>
          <w:sz w:val="24"/>
          <w:szCs w:val="24"/>
          <w:highlight w:val="none"/>
          <w:u w:val="none"/>
        </w:rPr>
        <w:t>）施工机械及运输车辆尾气影响分析</w:t>
      </w:r>
    </w:p>
    <w:p w14:paraId="72F603CF">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施工机械及运输车辆所排放的废气主要污染物为NOx、CO、SO</w:t>
      </w:r>
      <w:r>
        <w:rPr>
          <w:rFonts w:hint="default" w:ascii="Times New Roman" w:hAnsi="Times New Roman" w:cs="Times New Roman"/>
          <w:color w:val="auto"/>
          <w:kern w:val="0"/>
          <w:sz w:val="24"/>
          <w:szCs w:val="24"/>
          <w:highlight w:val="none"/>
          <w:u w:val="none"/>
          <w:vertAlign w:val="subscript"/>
        </w:rPr>
        <w:t>2</w:t>
      </w:r>
      <w:r>
        <w:rPr>
          <w:rFonts w:hint="default" w:ascii="Times New Roman" w:hAnsi="Times New Roman" w:cs="Times New Roman"/>
          <w:color w:val="auto"/>
          <w:kern w:val="0"/>
          <w:sz w:val="24"/>
          <w:szCs w:val="24"/>
          <w:highlight w:val="none"/>
          <w:u w:val="none"/>
        </w:rPr>
        <w:t>、THC等。在空间上和时间上具有较集中的特点，在局部的范围内污染物的浓度较高。</w:t>
      </w:r>
      <w:r>
        <w:rPr>
          <w:rFonts w:hint="eastAsia" w:ascii="Times New Roman" w:hAnsi="Times New Roman" w:cs="Times New Roman"/>
          <w:color w:val="auto"/>
          <w:kern w:val="0"/>
          <w:sz w:val="24"/>
          <w:szCs w:val="24"/>
          <w:highlight w:val="none"/>
          <w:u w:val="none"/>
          <w:lang w:eastAsia="zh-CN"/>
        </w:rPr>
        <w:t>本工程</w:t>
      </w:r>
      <w:r>
        <w:rPr>
          <w:rFonts w:hint="default" w:ascii="Times New Roman" w:hAnsi="Times New Roman" w:cs="Times New Roman"/>
          <w:color w:val="auto"/>
          <w:kern w:val="0"/>
          <w:sz w:val="24"/>
          <w:szCs w:val="24"/>
          <w:highlight w:val="none"/>
          <w:u w:val="none"/>
        </w:rPr>
        <w:t>所在区域扩散条件良好，施工机械及运输车辆产生的尾气很快被空气稀释，且大气污染物随钻井工程的结束而消失，井场进入</w:t>
      </w:r>
      <w:r>
        <w:rPr>
          <w:rFonts w:hint="eastAsia" w:ascii="Times New Roman" w:hAnsi="Times New Roman" w:cs="宋体"/>
          <w:color w:val="auto"/>
          <w:kern w:val="0"/>
          <w:sz w:val="24"/>
          <w:szCs w:val="24"/>
          <w:highlight w:val="none"/>
          <w:u w:val="none"/>
          <w:lang w:val="en-US" w:eastAsia="zh-CN"/>
        </w:rPr>
        <w:t>采</w:t>
      </w:r>
      <w:r>
        <w:rPr>
          <w:rFonts w:hint="eastAsia" w:cs="宋体"/>
          <w:color w:val="auto"/>
          <w:kern w:val="0"/>
          <w:sz w:val="24"/>
          <w:szCs w:val="24"/>
          <w:highlight w:val="none"/>
          <w:u w:val="none"/>
          <w:lang w:val="en-US" w:eastAsia="zh-CN"/>
        </w:rPr>
        <w:t>气</w:t>
      </w:r>
      <w:r>
        <w:rPr>
          <w:rFonts w:hint="default" w:ascii="Times New Roman" w:hAnsi="Times New Roman" w:cs="Times New Roman"/>
          <w:color w:val="auto"/>
          <w:kern w:val="0"/>
          <w:sz w:val="24"/>
          <w:szCs w:val="24"/>
          <w:highlight w:val="none"/>
          <w:u w:val="none"/>
        </w:rPr>
        <w:t>阶段，区域空气环境质量将会有所改善。</w:t>
      </w:r>
    </w:p>
    <w:p w14:paraId="4EA4546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
          <w:bCs/>
          <w:color w:val="auto"/>
          <w:sz w:val="24"/>
          <w:szCs w:val="24"/>
          <w:u w:val="none"/>
        </w:rPr>
      </w:pPr>
      <w:r>
        <w:rPr>
          <w:rFonts w:hint="eastAsia" w:ascii="Times New Roman" w:hAnsi="Times New Roman" w:eastAsia="宋体" w:cs="Times New Roman"/>
          <w:color w:val="auto"/>
          <w:kern w:val="0"/>
          <w:sz w:val="24"/>
          <w:szCs w:val="24"/>
          <w:highlight w:val="none"/>
          <w:u w:val="none"/>
          <w:lang w:eastAsia="zh-CN"/>
        </w:rPr>
        <w:t>施工期产生的污染是暂时性的，对环境的影响随着施工期的结束而消失，项目周边无集中固定人群居住，从影响时间、范围和程度来看，施工期废气对周围大气环境质量影响较小。</w:t>
      </w:r>
    </w:p>
    <w:p w14:paraId="19A59AEA">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2 </w:t>
      </w:r>
      <w:r>
        <w:rPr>
          <w:rFonts w:hint="default" w:ascii="黑体" w:hAnsi="黑体" w:eastAsia="黑体" w:cs="黑体"/>
          <w:b/>
          <w:color w:val="auto"/>
          <w:kern w:val="0"/>
          <w:sz w:val="24"/>
          <w:szCs w:val="24"/>
          <w:highlight w:val="none"/>
          <w:u w:val="none"/>
          <w:lang w:val="en-US" w:eastAsia="zh-CN"/>
        </w:rPr>
        <w:t>运营期大气环境影响分析</w:t>
      </w:r>
    </w:p>
    <w:p w14:paraId="39AC5A08">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本工程运营期间，对大气环境影响主要为油气集输过程中产生一定量的</w:t>
      </w:r>
      <w:r>
        <w:rPr>
          <w:rFonts w:hint="eastAsia" w:cs="Times New Roman"/>
          <w:color w:val="auto"/>
          <w:kern w:val="0"/>
          <w:sz w:val="24"/>
          <w:szCs w:val="24"/>
          <w:highlight w:val="none"/>
          <w:u w:val="none"/>
          <w:lang w:val="en-US" w:eastAsia="zh-CN"/>
        </w:rPr>
        <w:t>非甲烷总烃</w:t>
      </w:r>
      <w:r>
        <w:rPr>
          <w:rFonts w:hint="default" w:ascii="Times New Roman" w:hAnsi="Times New Roman" w:eastAsia="宋体" w:cs="Times New Roman"/>
          <w:color w:val="auto"/>
          <w:kern w:val="0"/>
          <w:sz w:val="24"/>
          <w:szCs w:val="24"/>
          <w:highlight w:val="none"/>
          <w:u w:val="none"/>
        </w:rPr>
        <w:t>、</w:t>
      </w:r>
      <w:r>
        <w:rPr>
          <w:rFonts w:hint="eastAsia" w:cs="Times New Roman"/>
          <w:color w:val="auto"/>
          <w:kern w:val="0"/>
          <w:sz w:val="24"/>
          <w:szCs w:val="24"/>
          <w:highlight w:val="none"/>
          <w:u w:val="none"/>
          <w:lang w:val="en-US" w:eastAsia="zh-CN"/>
        </w:rPr>
        <w:t>硫化氢以及</w:t>
      </w:r>
      <w:r>
        <w:rPr>
          <w:rFonts w:hint="default" w:ascii="Times New Roman" w:hAnsi="Times New Roman" w:eastAsia="宋体" w:cs="Times New Roman"/>
          <w:color w:val="auto"/>
          <w:kern w:val="0"/>
          <w:sz w:val="24"/>
          <w:szCs w:val="24"/>
          <w:highlight w:val="none"/>
          <w:u w:val="none"/>
        </w:rPr>
        <w:t>温室气体排放。</w:t>
      </w:r>
    </w:p>
    <w:p w14:paraId="09CF22C0">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highlight w:val="none"/>
          <w:u w:val="none"/>
          <w:lang w:val="en-US" w:eastAsia="zh-CN"/>
        </w:rPr>
      </w:pPr>
      <w:r>
        <w:rPr>
          <w:rFonts w:hint="default" w:ascii="宋体" w:hAnsi="宋体" w:eastAsia="宋体" w:cs="宋体"/>
          <w:color w:val="auto"/>
          <w:highlight w:val="none"/>
          <w:u w:val="none"/>
          <w:lang w:val="en-US" w:eastAsia="zh-CN"/>
        </w:rPr>
        <w:t>5.</w:t>
      </w:r>
      <w:r>
        <w:rPr>
          <w:rFonts w:hint="eastAsia" w:ascii="宋体" w:hAnsi="宋体" w:cs="宋体"/>
          <w:color w:val="auto"/>
          <w:highlight w:val="none"/>
          <w:u w:val="none"/>
          <w:lang w:val="en-US" w:eastAsia="zh-CN"/>
        </w:rPr>
        <w:t>5</w:t>
      </w:r>
      <w:r>
        <w:rPr>
          <w:rFonts w:hint="default" w:ascii="宋体" w:hAnsi="宋体" w:eastAsia="宋体" w:cs="宋体"/>
          <w:color w:val="auto"/>
          <w:highlight w:val="none"/>
          <w:u w:val="none"/>
          <w:lang w:val="en-US" w:eastAsia="zh-CN"/>
        </w:rPr>
        <w:t>.2.</w:t>
      </w:r>
      <w:r>
        <w:rPr>
          <w:rFonts w:hint="eastAsia" w:ascii="宋体" w:hAnsi="宋体" w:eastAsia="宋体" w:cs="宋体"/>
          <w:color w:val="auto"/>
          <w:highlight w:val="none"/>
          <w:u w:val="none"/>
          <w:lang w:val="en-US" w:eastAsia="zh-CN"/>
        </w:rPr>
        <w:t xml:space="preserve">1 </w:t>
      </w:r>
      <w:r>
        <w:rPr>
          <w:rFonts w:hint="default" w:ascii="宋体" w:hAnsi="宋体" w:eastAsia="宋体" w:cs="宋体"/>
          <w:color w:val="auto"/>
          <w:highlight w:val="none"/>
          <w:u w:val="none"/>
          <w:lang w:val="en-US" w:eastAsia="zh-CN"/>
        </w:rPr>
        <w:t>大气环境影响预测与评价</w:t>
      </w:r>
    </w:p>
    <w:p w14:paraId="34E1ACBA">
      <w:pPr>
        <w:widowControl/>
        <w:spacing w:line="360" w:lineRule="auto"/>
        <w:ind w:firstLine="482" w:firstLineChars="200"/>
        <w:jc w:val="left"/>
        <w:rPr>
          <w:rFonts w:hint="default" w:ascii="Times New Roman" w:hAnsi="Times New Roman" w:eastAsia="宋体" w:cs="Times New Roman"/>
          <w:b/>
          <w:bCs/>
          <w:color w:val="auto"/>
          <w:kern w:val="24"/>
          <w:sz w:val="24"/>
          <w:szCs w:val="24"/>
          <w:highlight w:val="none"/>
          <w:u w:val="none"/>
        </w:rPr>
      </w:pPr>
      <w:r>
        <w:rPr>
          <w:rFonts w:hint="default" w:ascii="Times New Roman" w:hAnsi="Times New Roman" w:eastAsia="宋体" w:cs="Times New Roman"/>
          <w:b/>
          <w:bCs/>
          <w:color w:val="auto"/>
          <w:kern w:val="24"/>
          <w:sz w:val="24"/>
          <w:szCs w:val="24"/>
          <w:highlight w:val="none"/>
          <w:u w:val="none"/>
        </w:rPr>
        <w:t>（1）预测因子及标准</w:t>
      </w:r>
    </w:p>
    <w:p w14:paraId="3C46D42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24"/>
          <w:sz w:val="24"/>
          <w:szCs w:val="24"/>
          <w:highlight w:val="none"/>
          <w:u w:val="none"/>
        </w:rPr>
      </w:pPr>
      <w:r>
        <w:rPr>
          <w:rFonts w:hint="default" w:ascii="Times New Roman" w:hAnsi="Times New Roman" w:eastAsia="宋体" w:cs="Times New Roman"/>
          <w:color w:val="auto"/>
          <w:kern w:val="24"/>
          <w:sz w:val="24"/>
          <w:szCs w:val="24"/>
          <w:highlight w:val="none"/>
          <w:u w:val="none"/>
        </w:rPr>
        <w:t>根据工程污染源、区域环境的特点，结合环境影响因素分析结果，确定本次评价的大气环境影响预测因子为油气集输过程中无组织排放的非甲烷总烃</w:t>
      </w:r>
      <w:r>
        <w:rPr>
          <w:rFonts w:hint="eastAsia" w:cs="Times New Roman"/>
          <w:color w:val="auto"/>
          <w:kern w:val="24"/>
          <w:sz w:val="24"/>
          <w:szCs w:val="24"/>
          <w:highlight w:val="none"/>
          <w:u w:val="none"/>
          <w:lang w:eastAsia="zh-CN"/>
        </w:rPr>
        <w:t>、</w:t>
      </w:r>
      <w:r>
        <w:rPr>
          <w:rFonts w:hint="eastAsia" w:cs="Times New Roman"/>
          <w:color w:val="auto"/>
          <w:kern w:val="24"/>
          <w:sz w:val="24"/>
          <w:szCs w:val="24"/>
          <w:highlight w:val="none"/>
          <w:u w:val="none"/>
          <w:lang w:val="en-US" w:eastAsia="zh-CN"/>
        </w:rPr>
        <w:t>硫化氢</w:t>
      </w:r>
      <w:r>
        <w:rPr>
          <w:rFonts w:hint="default" w:ascii="Times New Roman" w:hAnsi="Times New Roman" w:eastAsia="宋体" w:cs="Times New Roman"/>
          <w:color w:val="auto"/>
          <w:kern w:val="24"/>
          <w:sz w:val="24"/>
          <w:szCs w:val="24"/>
          <w:highlight w:val="none"/>
          <w:u w:val="none"/>
        </w:rPr>
        <w:t>。</w:t>
      </w:r>
    </w:p>
    <w:p w14:paraId="4993C9D8">
      <w:pPr>
        <w:widowControl/>
        <w:spacing w:line="360" w:lineRule="auto"/>
        <w:ind w:firstLine="498" w:firstLineChars="200"/>
        <w:jc w:val="left"/>
        <w:rPr>
          <w:rFonts w:hint="default" w:ascii="Times New Roman" w:hAnsi="Times New Roman" w:eastAsia="宋体" w:cs="Times New Roman"/>
          <w:b/>
          <w:bCs/>
          <w:color w:val="auto"/>
          <w:spacing w:val="4"/>
          <w:kern w:val="24"/>
          <w:sz w:val="24"/>
          <w:szCs w:val="24"/>
          <w:highlight w:val="none"/>
          <w:u w:val="none"/>
        </w:rPr>
      </w:pPr>
      <w:r>
        <w:rPr>
          <w:rFonts w:hint="default" w:ascii="Times New Roman" w:hAnsi="Times New Roman" w:eastAsia="宋体" w:cs="Times New Roman"/>
          <w:b/>
          <w:bCs/>
          <w:color w:val="auto"/>
          <w:spacing w:val="4"/>
          <w:kern w:val="24"/>
          <w:sz w:val="24"/>
          <w:szCs w:val="24"/>
          <w:highlight w:val="none"/>
          <w:u w:val="none"/>
        </w:rPr>
        <w:t>（2）评价标准</w:t>
      </w:r>
    </w:p>
    <w:p w14:paraId="55561DE5">
      <w:pPr>
        <w:keepNext w:val="0"/>
        <w:keepLines w:val="0"/>
        <w:pageBreakBefore w:val="0"/>
        <w:widowControl/>
        <w:kinsoku/>
        <w:wordWrap/>
        <w:overflowPunct/>
        <w:topLinePunct w:val="0"/>
        <w:autoSpaceDE/>
        <w:autoSpaceDN/>
        <w:bidi w:val="0"/>
        <w:adjustRightInd/>
        <w:snapToGrid/>
        <w:spacing w:line="480" w:lineRule="exact"/>
        <w:ind w:firstLine="496"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spacing w:val="4"/>
          <w:kern w:val="24"/>
          <w:sz w:val="24"/>
          <w:szCs w:val="24"/>
          <w:highlight w:val="none"/>
          <w:u w:val="none"/>
        </w:rPr>
        <w:t>非甲烷总烃参考《大气污染物综合排放标准详解》，以2.0mg/m</w:t>
      </w:r>
      <w:r>
        <w:rPr>
          <w:rFonts w:hint="default" w:ascii="Times New Roman" w:hAnsi="Times New Roman" w:eastAsia="宋体" w:cs="Times New Roman"/>
          <w:color w:val="auto"/>
          <w:spacing w:val="4"/>
          <w:kern w:val="24"/>
          <w:sz w:val="24"/>
          <w:szCs w:val="24"/>
          <w:highlight w:val="none"/>
          <w:u w:val="none"/>
          <w:vertAlign w:val="superscript"/>
        </w:rPr>
        <w:t>3</w:t>
      </w:r>
      <w:r>
        <w:rPr>
          <w:rFonts w:hint="default" w:ascii="Times New Roman" w:hAnsi="Times New Roman" w:eastAsia="宋体" w:cs="Times New Roman"/>
          <w:color w:val="auto"/>
          <w:spacing w:val="4"/>
          <w:kern w:val="24"/>
          <w:sz w:val="24"/>
          <w:szCs w:val="24"/>
          <w:highlight w:val="none"/>
          <w:u w:val="none"/>
        </w:rPr>
        <w:t>作为环境质量标准限值</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硫化氢</w:t>
      </w:r>
      <w:r>
        <w:rPr>
          <w:rFonts w:hint="default" w:ascii="Times New Roman" w:hAnsi="Times New Roman" w:eastAsia="宋体" w:cs="Times New Roman"/>
          <w:color w:val="auto"/>
          <w:kern w:val="0"/>
          <w:sz w:val="24"/>
          <w:szCs w:val="24"/>
          <w:highlight w:val="none"/>
          <w:u w:val="none"/>
        </w:rPr>
        <w:t>参考《环境影响评价技术导则 大气环境》（HJ2.2-2018）附录D</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以</w:t>
      </w:r>
      <w:r>
        <w:rPr>
          <w:rFonts w:hint="default" w:ascii="Times New Roman" w:hAnsi="Times New Roman" w:eastAsia="宋体" w:cs="Times New Roman"/>
          <w:color w:val="auto"/>
          <w:kern w:val="0"/>
          <w:sz w:val="24"/>
          <w:szCs w:val="24"/>
          <w:highlight w:val="none"/>
          <w:u w:val="none"/>
        </w:rPr>
        <w:t>10μg/m</w:t>
      </w:r>
      <w:r>
        <w:rPr>
          <w:rFonts w:hint="default" w:ascii="Times New Roman" w:hAnsi="Times New Roman" w:eastAsia="宋体" w:cs="Times New Roman"/>
          <w:color w:val="auto"/>
          <w:kern w:val="0"/>
          <w:sz w:val="24"/>
          <w:szCs w:val="24"/>
          <w:highlight w:val="none"/>
          <w:u w:val="none"/>
          <w:vertAlign w:val="superscript"/>
        </w:rPr>
        <w:t>3</w:t>
      </w:r>
      <w:r>
        <w:rPr>
          <w:rFonts w:hint="default" w:ascii="Times New Roman" w:hAnsi="Times New Roman" w:eastAsia="宋体" w:cs="Times New Roman"/>
          <w:color w:val="auto"/>
          <w:kern w:val="0"/>
          <w:sz w:val="24"/>
          <w:szCs w:val="24"/>
          <w:highlight w:val="none"/>
          <w:u w:val="none"/>
          <w:vertAlign w:val="baseline"/>
        </w:rPr>
        <w:t>作为环境质量标准限值</w:t>
      </w:r>
      <w:r>
        <w:rPr>
          <w:rFonts w:hint="default" w:ascii="Times New Roman" w:hAnsi="Times New Roman" w:eastAsia="宋体" w:cs="Times New Roman"/>
          <w:color w:val="auto"/>
          <w:kern w:val="0"/>
          <w:sz w:val="24"/>
          <w:szCs w:val="24"/>
          <w:highlight w:val="none"/>
          <w:u w:val="none"/>
        </w:rPr>
        <w:t>。</w:t>
      </w:r>
    </w:p>
    <w:p w14:paraId="459715BE">
      <w:pPr>
        <w:widowControl/>
        <w:spacing w:line="360" w:lineRule="auto"/>
        <w:ind w:firstLine="482" w:firstLineChars="200"/>
        <w:jc w:val="left"/>
        <w:rPr>
          <w:rFonts w:hint="default" w:ascii="Times New Roman" w:hAnsi="Times New Roman" w:eastAsia="宋体" w:cs="Times New Roman"/>
          <w:b/>
          <w:bCs/>
          <w:color w:val="auto"/>
          <w:kern w:val="24"/>
          <w:sz w:val="24"/>
          <w:szCs w:val="24"/>
          <w:highlight w:val="none"/>
          <w:u w:val="none"/>
        </w:rPr>
      </w:pPr>
      <w:r>
        <w:rPr>
          <w:rFonts w:hint="default" w:ascii="Times New Roman" w:hAnsi="Times New Roman" w:eastAsia="宋体" w:cs="Times New Roman"/>
          <w:b/>
          <w:bCs/>
          <w:color w:val="auto"/>
          <w:kern w:val="24"/>
          <w:sz w:val="24"/>
          <w:szCs w:val="24"/>
          <w:highlight w:val="none"/>
          <w:u w:val="none"/>
        </w:rPr>
        <w:t>（3）预测模式</w:t>
      </w:r>
    </w:p>
    <w:p w14:paraId="62DB124E">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24"/>
          <w:sz w:val="24"/>
          <w:szCs w:val="24"/>
          <w:highlight w:val="none"/>
          <w:u w:val="none"/>
        </w:rPr>
        <w:t>根据《环境影响评价技术导则 大气环境》（HJ2.2-2018）的相关规定，本次环境影响预测采用</w:t>
      </w:r>
      <w:r>
        <w:rPr>
          <w:rFonts w:hint="default" w:ascii="Times New Roman" w:hAnsi="Times New Roman" w:eastAsia="宋体" w:cs="Times New Roman"/>
          <w:color w:val="auto"/>
          <w:kern w:val="0"/>
          <w:sz w:val="24"/>
          <w:szCs w:val="24"/>
          <w:highlight w:val="none"/>
          <w:u w:val="none"/>
        </w:rPr>
        <w:t>AERSCREEN</w:t>
      </w:r>
      <w:r>
        <w:rPr>
          <w:rFonts w:hint="default" w:ascii="Times New Roman" w:hAnsi="Times New Roman" w:eastAsia="宋体" w:cs="Times New Roman"/>
          <w:color w:val="auto"/>
          <w:kern w:val="24"/>
          <w:sz w:val="24"/>
          <w:szCs w:val="24"/>
          <w:highlight w:val="none"/>
          <w:u w:val="none"/>
        </w:rPr>
        <w:t>估算模式。估算模式</w:t>
      </w:r>
      <w:r>
        <w:rPr>
          <w:rFonts w:hint="default" w:ascii="Times New Roman" w:hAnsi="Times New Roman" w:eastAsia="宋体" w:cs="Times New Roman"/>
          <w:color w:val="auto"/>
          <w:kern w:val="0"/>
          <w:sz w:val="24"/>
          <w:szCs w:val="24"/>
          <w:highlight w:val="none"/>
          <w:u w:val="none"/>
        </w:rPr>
        <w:t>AERSCREEN</w:t>
      </w:r>
      <w:r>
        <w:rPr>
          <w:rFonts w:hint="default" w:ascii="Times New Roman" w:hAnsi="Times New Roman" w:eastAsia="宋体" w:cs="Times New Roman"/>
          <w:color w:val="auto"/>
          <w:kern w:val="24"/>
          <w:sz w:val="24"/>
          <w:szCs w:val="24"/>
          <w:highlight w:val="none"/>
          <w:u w:val="none"/>
        </w:rPr>
        <w:t>是一个单源高斯烟羽模式，可计算点源、火炬源、面源和体源的最大地面浓度，以及下洗和岸边熏烟等特殊条件下最大地面落地浓度。估算模式中嵌入了多种预测的气象组合条件，包括一些最不利的气象条件，在某个地区有可能发生，也有可能没有此种不利气象条件。所以经估算模式计算出的是某一污染源对</w:t>
      </w:r>
      <w:r>
        <w:rPr>
          <w:rFonts w:hint="eastAsia" w:cs="Times New Roman"/>
          <w:color w:val="auto"/>
          <w:kern w:val="24"/>
          <w:sz w:val="24"/>
          <w:szCs w:val="24"/>
          <w:highlight w:val="none"/>
          <w:u w:val="none"/>
          <w:lang w:eastAsia="zh-CN"/>
        </w:rPr>
        <w:t>环境空气质量</w:t>
      </w:r>
      <w:r>
        <w:rPr>
          <w:rFonts w:hint="default" w:ascii="Times New Roman" w:hAnsi="Times New Roman" w:eastAsia="宋体" w:cs="Times New Roman"/>
          <w:color w:val="auto"/>
          <w:kern w:val="24"/>
          <w:sz w:val="24"/>
          <w:szCs w:val="24"/>
          <w:highlight w:val="none"/>
          <w:u w:val="none"/>
        </w:rPr>
        <w:t>的最大影响程度和影响范围的保守计算结果。</w:t>
      </w:r>
    </w:p>
    <w:p w14:paraId="0BF1E6E2">
      <w:pPr>
        <w:widowControl/>
        <w:spacing w:line="360" w:lineRule="auto"/>
        <w:ind w:firstLine="480"/>
        <w:jc w:val="left"/>
        <w:rPr>
          <w:rFonts w:hint="default" w:ascii="Times New Roman" w:hAnsi="Times New Roman" w:eastAsia="宋体" w:cs="Times New Roman"/>
          <w:b/>
          <w:bCs/>
          <w:color w:val="auto"/>
          <w:kern w:val="0"/>
          <w:sz w:val="24"/>
          <w:szCs w:val="24"/>
          <w:highlight w:val="none"/>
          <w:u w:val="none"/>
        </w:rPr>
      </w:pPr>
      <w:r>
        <w:rPr>
          <w:rFonts w:hint="default" w:ascii="Times New Roman" w:hAnsi="Times New Roman" w:eastAsia="宋体" w:cs="Times New Roman"/>
          <w:b/>
          <w:bCs/>
          <w:color w:val="auto"/>
          <w:kern w:val="0"/>
          <w:sz w:val="24"/>
          <w:szCs w:val="24"/>
          <w:highlight w:val="none"/>
          <w:u w:val="none"/>
        </w:rPr>
        <w:t>（4）污染源参数</w:t>
      </w:r>
    </w:p>
    <w:p w14:paraId="134C100D">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运营期间</w:t>
      </w:r>
      <w:r>
        <w:rPr>
          <w:rFonts w:hint="default" w:ascii="Times New Roman" w:hAnsi="Times New Roman" w:eastAsia="宋体" w:cs="Times New Roman"/>
          <w:color w:val="auto"/>
          <w:kern w:val="0"/>
          <w:sz w:val="24"/>
          <w:szCs w:val="24"/>
          <w:highlight w:val="none"/>
          <w:u w:val="none"/>
          <w:lang w:eastAsia="zh-CN"/>
        </w:rPr>
        <w:t>本工程</w:t>
      </w:r>
      <w:r>
        <w:rPr>
          <w:rFonts w:hint="default" w:ascii="Times New Roman" w:hAnsi="Times New Roman" w:eastAsia="宋体" w:cs="Times New Roman"/>
          <w:color w:val="auto"/>
          <w:kern w:val="0"/>
          <w:sz w:val="24"/>
          <w:szCs w:val="24"/>
          <w:highlight w:val="none"/>
          <w:u w:val="none"/>
        </w:rPr>
        <w:t>产生的大气污染物主要为油气集输过程中产生一定量的非甲烷总烃</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硫化氢</w:t>
      </w:r>
      <w:r>
        <w:rPr>
          <w:rFonts w:hint="eastAsia" w:ascii="Times New Roman" w:hAnsi="Times New Roman" w:eastAsia="宋体" w:cs="Times New Roman"/>
          <w:color w:val="auto"/>
          <w:kern w:val="0"/>
          <w:sz w:val="24"/>
          <w:szCs w:val="24"/>
          <w:highlight w:val="none"/>
          <w:u w:val="none"/>
          <w:lang w:val="en-US" w:eastAsia="zh-CN"/>
        </w:rPr>
        <w:t>无组织</w:t>
      </w:r>
      <w:r>
        <w:rPr>
          <w:rFonts w:hint="default" w:ascii="Times New Roman" w:hAnsi="Times New Roman" w:eastAsia="宋体" w:cs="Times New Roman"/>
          <w:color w:val="auto"/>
          <w:kern w:val="0"/>
          <w:sz w:val="24"/>
          <w:szCs w:val="24"/>
          <w:highlight w:val="none"/>
          <w:u w:val="none"/>
        </w:rPr>
        <w:t>挥发，污染物排放参数</w:t>
      </w:r>
      <w:r>
        <w:rPr>
          <w:rFonts w:hint="eastAsia"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见表5.</w:t>
      </w:r>
      <w:r>
        <w:rPr>
          <w:rFonts w:hint="eastAsia" w:cs="Times New Roman"/>
          <w:color w:val="auto"/>
          <w:kern w:val="0"/>
          <w:sz w:val="24"/>
          <w:szCs w:val="24"/>
          <w:highlight w:val="none"/>
          <w:u w:val="none"/>
          <w:lang w:val="en-US" w:eastAsia="zh-CN"/>
        </w:rPr>
        <w:t>5</w:t>
      </w:r>
      <w:r>
        <w:rPr>
          <w:rFonts w:hint="default" w:ascii="Times New Roman" w:hAnsi="Times New Roman" w:eastAsia="宋体" w:cs="Times New Roman"/>
          <w:color w:val="auto"/>
          <w:kern w:val="0"/>
          <w:sz w:val="24"/>
          <w:szCs w:val="24"/>
          <w:highlight w:val="none"/>
          <w:u w:val="none"/>
        </w:rPr>
        <w:t>-</w:t>
      </w:r>
      <w:r>
        <w:rPr>
          <w:rFonts w:hint="eastAsia" w:cs="Times New Roman"/>
          <w:color w:val="auto"/>
          <w:kern w:val="0"/>
          <w:sz w:val="24"/>
          <w:szCs w:val="24"/>
          <w:highlight w:val="none"/>
          <w:u w:val="none"/>
          <w:lang w:val="en-US" w:eastAsia="zh-CN"/>
        </w:rPr>
        <w:t>1</w:t>
      </w:r>
      <w:r>
        <w:rPr>
          <w:rFonts w:hint="default" w:ascii="Times New Roman" w:hAnsi="Times New Roman" w:eastAsia="宋体" w:cs="Times New Roman"/>
          <w:color w:val="auto"/>
          <w:kern w:val="0"/>
          <w:sz w:val="24"/>
          <w:szCs w:val="24"/>
          <w:highlight w:val="none"/>
          <w:u w:val="none"/>
        </w:rPr>
        <w:t>。</w:t>
      </w:r>
    </w:p>
    <w:p w14:paraId="2B7134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heme="majorEastAsia" w:hAnsiTheme="majorEastAsia" w:eastAsiaTheme="majorEastAsia" w:cstheme="majorEastAsia"/>
          <w:b/>
          <w:bCs w:val="0"/>
          <w:color w:val="auto"/>
          <w:kern w:val="2"/>
          <w:sz w:val="24"/>
          <w:szCs w:val="24"/>
          <w:highlight w:val="none"/>
          <w:u w:val="none"/>
          <w:lang w:val="en-US" w:eastAsia="zh-CN" w:bidi="ar-SA"/>
        </w:rPr>
      </w:pPr>
      <w:r>
        <w:rPr>
          <w:rFonts w:hint="default" w:ascii="黑体" w:hAnsi="黑体" w:eastAsia="黑体" w:cs="黑体"/>
          <w:b w:val="0"/>
          <w:bCs/>
          <w:color w:val="auto"/>
          <w:kern w:val="2"/>
          <w:sz w:val="24"/>
          <w:szCs w:val="24"/>
          <w:highlight w:val="none"/>
          <w:u w:val="none"/>
          <w:lang w:val="en-US" w:eastAsia="zh-CN" w:bidi="ar-SA"/>
        </w:rPr>
        <w:t>表5.</w:t>
      </w:r>
      <w:r>
        <w:rPr>
          <w:rFonts w:hint="eastAsia" w:ascii="黑体" w:hAnsi="黑体" w:eastAsia="黑体" w:cs="黑体"/>
          <w:b w:val="0"/>
          <w:bCs/>
          <w:color w:val="auto"/>
          <w:kern w:val="2"/>
          <w:sz w:val="24"/>
          <w:szCs w:val="24"/>
          <w:highlight w:val="none"/>
          <w:u w:val="none"/>
          <w:lang w:val="en-US" w:eastAsia="zh-CN" w:bidi="ar-SA"/>
        </w:rPr>
        <w:t>5</w:t>
      </w:r>
      <w:r>
        <w:rPr>
          <w:rFonts w:hint="default" w:ascii="黑体" w:hAnsi="黑体" w:eastAsia="黑体" w:cs="黑体"/>
          <w:b w:val="0"/>
          <w:bCs/>
          <w:color w:val="auto"/>
          <w:kern w:val="2"/>
          <w:sz w:val="24"/>
          <w:szCs w:val="24"/>
          <w:highlight w:val="none"/>
          <w:u w:val="none"/>
          <w:lang w:val="en-US" w:eastAsia="zh-CN" w:bidi="ar-SA"/>
        </w:rPr>
        <w:t>-</w:t>
      </w:r>
      <w:r>
        <w:rPr>
          <w:rFonts w:hint="eastAsia" w:ascii="黑体" w:hAnsi="黑体" w:eastAsia="黑体" w:cs="黑体"/>
          <w:b w:val="0"/>
          <w:bCs/>
          <w:color w:val="auto"/>
          <w:kern w:val="2"/>
          <w:sz w:val="24"/>
          <w:szCs w:val="24"/>
          <w:highlight w:val="none"/>
          <w:u w:val="none"/>
          <w:lang w:val="en-US" w:eastAsia="zh-CN" w:bidi="ar-SA"/>
        </w:rPr>
        <w:t xml:space="preserve">1   </w:t>
      </w:r>
      <w:r>
        <w:rPr>
          <w:rFonts w:hint="default" w:ascii="黑体" w:hAnsi="黑体" w:eastAsia="黑体" w:cs="黑体"/>
          <w:b w:val="0"/>
          <w:bCs/>
          <w:color w:val="auto"/>
          <w:kern w:val="2"/>
          <w:sz w:val="24"/>
          <w:szCs w:val="24"/>
          <w:highlight w:val="none"/>
          <w:u w:val="none"/>
          <w:lang w:val="en-US" w:eastAsia="zh-CN" w:bidi="ar-SA"/>
        </w:rPr>
        <w:t>运营期大气污染物排放参数一览表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
        <w:gridCol w:w="707"/>
        <w:gridCol w:w="750"/>
        <w:gridCol w:w="536"/>
        <w:gridCol w:w="750"/>
        <w:gridCol w:w="661"/>
        <w:gridCol w:w="610"/>
        <w:gridCol w:w="800"/>
        <w:gridCol w:w="673"/>
        <w:gridCol w:w="667"/>
        <w:gridCol w:w="690"/>
        <w:gridCol w:w="1007"/>
      </w:tblGrid>
      <w:tr w14:paraId="01365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53" w:type="pct"/>
            <w:vMerge w:val="restart"/>
            <w:tcBorders>
              <w:tl2br w:val="nil"/>
              <w:tr2bl w:val="nil"/>
            </w:tcBorders>
            <w:noWrap w:val="0"/>
            <w:vAlign w:val="center"/>
          </w:tcPr>
          <w:p w14:paraId="2314612F">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污染源名称</w:t>
            </w:r>
          </w:p>
        </w:tc>
        <w:tc>
          <w:tcPr>
            <w:tcW w:w="825" w:type="pct"/>
            <w:gridSpan w:val="2"/>
            <w:tcBorders>
              <w:tl2br w:val="nil"/>
              <w:tr2bl w:val="nil"/>
            </w:tcBorders>
            <w:noWrap w:val="0"/>
            <w:vAlign w:val="center"/>
          </w:tcPr>
          <w:p w14:paraId="0BBE34E2">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面源起点坐标/m</w:t>
            </w:r>
          </w:p>
        </w:tc>
        <w:tc>
          <w:tcPr>
            <w:tcW w:w="303" w:type="pct"/>
            <w:vMerge w:val="restart"/>
            <w:tcBorders>
              <w:tl2br w:val="nil"/>
              <w:tr2bl w:val="nil"/>
            </w:tcBorders>
            <w:noWrap w:val="0"/>
            <w:vAlign w:val="center"/>
          </w:tcPr>
          <w:p w14:paraId="683B0F2D">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6"/>
                <w:kern w:val="2"/>
                <w:sz w:val="21"/>
                <w:szCs w:val="21"/>
                <w:highlight w:val="none"/>
                <w:u w:val="none"/>
                <w:lang w:val="en-US" w:eastAsia="zh-CN" w:bidi="ar-SA"/>
              </w:rPr>
              <w:t>海拔高度（m）</w:t>
            </w:r>
          </w:p>
        </w:tc>
        <w:tc>
          <w:tcPr>
            <w:tcW w:w="799" w:type="pct"/>
            <w:gridSpan w:val="2"/>
            <w:tcBorders>
              <w:tl2br w:val="nil"/>
              <w:tr2bl w:val="nil"/>
            </w:tcBorders>
            <w:noWrap w:val="0"/>
            <w:vAlign w:val="center"/>
          </w:tcPr>
          <w:p w14:paraId="6A9EE3ED">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矩形面源</w:t>
            </w:r>
          </w:p>
        </w:tc>
        <w:tc>
          <w:tcPr>
            <w:tcW w:w="345" w:type="pct"/>
            <w:vMerge w:val="restart"/>
            <w:tcBorders>
              <w:tl2br w:val="nil"/>
              <w:tr2bl w:val="nil"/>
            </w:tcBorders>
            <w:noWrap w:val="0"/>
            <w:vAlign w:val="center"/>
          </w:tcPr>
          <w:p w14:paraId="37D20717">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与正北向夹角/°</w:t>
            </w:r>
          </w:p>
        </w:tc>
        <w:tc>
          <w:tcPr>
            <w:tcW w:w="453" w:type="pct"/>
            <w:vMerge w:val="restart"/>
            <w:tcBorders>
              <w:tl2br w:val="nil"/>
              <w:tr2bl w:val="nil"/>
            </w:tcBorders>
            <w:noWrap w:val="0"/>
            <w:vAlign w:val="center"/>
          </w:tcPr>
          <w:p w14:paraId="6306FB34">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面源有效排放高度（m）</w:t>
            </w:r>
          </w:p>
        </w:tc>
        <w:tc>
          <w:tcPr>
            <w:tcW w:w="381" w:type="pct"/>
            <w:vMerge w:val="restart"/>
            <w:tcBorders>
              <w:tl2br w:val="nil"/>
              <w:tr2bl w:val="nil"/>
            </w:tcBorders>
            <w:noWrap w:val="0"/>
            <w:vAlign w:val="center"/>
          </w:tcPr>
          <w:p w14:paraId="54728704">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年排放小时数（h）</w:t>
            </w:r>
          </w:p>
        </w:tc>
        <w:tc>
          <w:tcPr>
            <w:tcW w:w="377" w:type="pct"/>
            <w:vMerge w:val="restart"/>
            <w:tcBorders>
              <w:tl2br w:val="nil"/>
              <w:tr2bl w:val="nil"/>
            </w:tcBorders>
            <w:noWrap w:val="0"/>
            <w:vAlign w:val="center"/>
          </w:tcPr>
          <w:p w14:paraId="725A22D0">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排放工况</w:t>
            </w:r>
          </w:p>
        </w:tc>
        <w:tc>
          <w:tcPr>
            <w:tcW w:w="961" w:type="pct"/>
            <w:gridSpan w:val="2"/>
            <w:tcBorders>
              <w:tl2br w:val="nil"/>
              <w:tr2bl w:val="nil"/>
            </w:tcBorders>
            <w:noWrap w:val="0"/>
            <w:vAlign w:val="center"/>
          </w:tcPr>
          <w:p w14:paraId="5022BABC">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污染物排放速率（kg/h）</w:t>
            </w:r>
          </w:p>
        </w:tc>
      </w:tr>
      <w:tr w14:paraId="3F75F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vMerge w:val="continue"/>
            <w:tcBorders>
              <w:tl2br w:val="nil"/>
              <w:tr2bl w:val="nil"/>
            </w:tcBorders>
            <w:noWrap w:val="0"/>
            <w:vAlign w:val="center"/>
          </w:tcPr>
          <w:p w14:paraId="0E4B3290">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p>
        </w:tc>
        <w:tc>
          <w:tcPr>
            <w:tcW w:w="400" w:type="pct"/>
            <w:tcBorders>
              <w:tl2br w:val="nil"/>
              <w:tr2bl w:val="nil"/>
            </w:tcBorders>
            <w:noWrap w:val="0"/>
            <w:vAlign w:val="center"/>
          </w:tcPr>
          <w:p w14:paraId="730E5E1F">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x</w:t>
            </w:r>
          </w:p>
        </w:tc>
        <w:tc>
          <w:tcPr>
            <w:tcW w:w="424" w:type="pct"/>
            <w:tcBorders>
              <w:tl2br w:val="nil"/>
              <w:tr2bl w:val="nil"/>
            </w:tcBorders>
            <w:noWrap w:val="0"/>
            <w:vAlign w:val="center"/>
          </w:tcPr>
          <w:p w14:paraId="6C020279">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y</w:t>
            </w:r>
          </w:p>
        </w:tc>
        <w:tc>
          <w:tcPr>
            <w:tcW w:w="303" w:type="pct"/>
            <w:vMerge w:val="continue"/>
            <w:tcBorders>
              <w:tl2br w:val="nil"/>
              <w:tr2bl w:val="nil"/>
            </w:tcBorders>
            <w:noWrap w:val="0"/>
            <w:vAlign w:val="center"/>
          </w:tcPr>
          <w:p w14:paraId="76714373">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p>
        </w:tc>
        <w:tc>
          <w:tcPr>
            <w:tcW w:w="424" w:type="pct"/>
            <w:tcBorders>
              <w:tl2br w:val="nil"/>
              <w:tr2bl w:val="nil"/>
            </w:tcBorders>
            <w:noWrap w:val="0"/>
            <w:vAlign w:val="center"/>
          </w:tcPr>
          <w:p w14:paraId="3B48C9E1">
            <w:pPr>
              <w:keepNext w:val="0"/>
              <w:keepLines w:val="0"/>
              <w:pageBreakBefore w:val="0"/>
              <w:widowControl/>
              <w:shd w:val="clear" w:color="auto" w:fill="FFFFFF"/>
              <w:kinsoku/>
              <w:wordWrap/>
              <w:overflowPunct w:val="0"/>
              <w:topLinePunct w:val="0"/>
              <w:autoSpaceDE w:val="0"/>
              <w:autoSpaceDN w:val="0"/>
              <w:bidi w:val="0"/>
              <w:adjustRightInd w:val="0"/>
              <w:snapToGrid w:val="0"/>
              <w:spacing w:line="400" w:lineRule="exact"/>
              <w:jc w:val="center"/>
              <w:textAlignment w:val="baseline"/>
              <w:rPr>
                <w:rFonts w:hint="default" w:ascii="Times New Roman" w:hAnsi="Times New Roman" w:eastAsia="宋体" w:cs="Times New Roman"/>
                <w:color w:val="auto"/>
                <w:spacing w:val="-11"/>
                <w:kern w:val="2"/>
                <w:sz w:val="21"/>
                <w:szCs w:val="21"/>
                <w:highlight w:val="none"/>
                <w:u w:val="none"/>
                <w:lang w:val="en-US" w:eastAsia="zh-CN" w:bidi="ar-SA"/>
              </w:rPr>
            </w:pPr>
            <w:r>
              <w:rPr>
                <w:rFonts w:hint="default" w:ascii="Times New Roman" w:hAnsi="Times New Roman" w:eastAsia="宋体" w:cs="Times New Roman"/>
                <w:color w:val="auto"/>
                <w:spacing w:val="-11"/>
                <w:kern w:val="2"/>
                <w:sz w:val="21"/>
                <w:szCs w:val="21"/>
                <w:highlight w:val="none"/>
                <w:u w:val="none"/>
                <w:lang w:val="en-US" w:eastAsia="zh-CN" w:bidi="ar-SA"/>
              </w:rPr>
              <w:t>长度（m）</w:t>
            </w:r>
          </w:p>
        </w:tc>
        <w:tc>
          <w:tcPr>
            <w:tcW w:w="374" w:type="pct"/>
            <w:tcBorders>
              <w:tl2br w:val="nil"/>
              <w:tr2bl w:val="nil"/>
            </w:tcBorders>
            <w:noWrap w:val="0"/>
            <w:vAlign w:val="center"/>
          </w:tcPr>
          <w:p w14:paraId="6B463E1C">
            <w:pPr>
              <w:keepNext w:val="0"/>
              <w:keepLines w:val="0"/>
              <w:pageBreakBefore w:val="0"/>
              <w:widowControl/>
              <w:shd w:val="clear" w:color="auto" w:fill="FFFFFF"/>
              <w:kinsoku/>
              <w:wordWrap/>
              <w:overflowPunct w:val="0"/>
              <w:topLinePunct w:val="0"/>
              <w:autoSpaceDE w:val="0"/>
              <w:autoSpaceDN w:val="0"/>
              <w:bidi w:val="0"/>
              <w:adjustRightInd w:val="0"/>
              <w:snapToGrid w:val="0"/>
              <w:spacing w:line="400" w:lineRule="exact"/>
              <w:jc w:val="center"/>
              <w:textAlignment w:val="baseline"/>
              <w:rPr>
                <w:rFonts w:hint="default" w:ascii="Times New Roman" w:hAnsi="Times New Roman" w:eastAsia="宋体" w:cs="Times New Roman"/>
                <w:color w:val="auto"/>
                <w:spacing w:val="-11"/>
                <w:kern w:val="2"/>
                <w:sz w:val="21"/>
                <w:szCs w:val="21"/>
                <w:highlight w:val="none"/>
                <w:u w:val="none"/>
                <w:lang w:val="en-US" w:eastAsia="zh-CN" w:bidi="ar-SA"/>
              </w:rPr>
            </w:pPr>
            <w:r>
              <w:rPr>
                <w:rFonts w:hint="default" w:ascii="Times New Roman" w:hAnsi="Times New Roman" w:eastAsia="宋体" w:cs="Times New Roman"/>
                <w:color w:val="auto"/>
                <w:spacing w:val="-11"/>
                <w:kern w:val="2"/>
                <w:sz w:val="21"/>
                <w:szCs w:val="21"/>
                <w:highlight w:val="none"/>
                <w:u w:val="none"/>
                <w:lang w:val="en-US" w:eastAsia="zh-CN" w:bidi="ar-SA"/>
              </w:rPr>
              <w:t>宽度（m）</w:t>
            </w:r>
          </w:p>
        </w:tc>
        <w:tc>
          <w:tcPr>
            <w:tcW w:w="345" w:type="pct"/>
            <w:vMerge w:val="continue"/>
            <w:tcBorders>
              <w:tl2br w:val="nil"/>
              <w:tr2bl w:val="nil"/>
            </w:tcBorders>
            <w:noWrap w:val="0"/>
            <w:vAlign w:val="center"/>
          </w:tcPr>
          <w:p w14:paraId="323B05CD">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p>
        </w:tc>
        <w:tc>
          <w:tcPr>
            <w:tcW w:w="453" w:type="pct"/>
            <w:vMerge w:val="continue"/>
            <w:tcBorders>
              <w:tl2br w:val="nil"/>
              <w:tr2bl w:val="nil"/>
            </w:tcBorders>
            <w:noWrap w:val="0"/>
            <w:vAlign w:val="center"/>
          </w:tcPr>
          <w:p w14:paraId="3B23DDD3">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p>
        </w:tc>
        <w:tc>
          <w:tcPr>
            <w:tcW w:w="381" w:type="pct"/>
            <w:vMerge w:val="continue"/>
            <w:tcBorders>
              <w:tl2br w:val="nil"/>
              <w:tr2bl w:val="nil"/>
            </w:tcBorders>
            <w:noWrap w:val="0"/>
            <w:vAlign w:val="center"/>
          </w:tcPr>
          <w:p w14:paraId="26B78CF9">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p>
        </w:tc>
        <w:tc>
          <w:tcPr>
            <w:tcW w:w="377" w:type="pct"/>
            <w:vMerge w:val="continue"/>
            <w:tcBorders>
              <w:tl2br w:val="nil"/>
              <w:tr2bl w:val="nil"/>
            </w:tcBorders>
            <w:noWrap w:val="0"/>
            <w:vAlign w:val="center"/>
          </w:tcPr>
          <w:p w14:paraId="6AADE69D">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p>
        </w:tc>
        <w:tc>
          <w:tcPr>
            <w:tcW w:w="390" w:type="pct"/>
            <w:tcBorders>
              <w:tl2br w:val="nil"/>
              <w:tr2bl w:val="nil"/>
            </w:tcBorders>
            <w:noWrap w:val="0"/>
            <w:vAlign w:val="center"/>
          </w:tcPr>
          <w:p w14:paraId="07DEFB89">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非甲烷总烃</w:t>
            </w:r>
          </w:p>
        </w:tc>
        <w:tc>
          <w:tcPr>
            <w:tcW w:w="570" w:type="pct"/>
            <w:tcBorders>
              <w:tl2br w:val="nil"/>
              <w:tr2bl w:val="nil"/>
            </w:tcBorders>
            <w:noWrap w:val="0"/>
            <w:vAlign w:val="center"/>
          </w:tcPr>
          <w:p w14:paraId="748B3BFE">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硫化氢</w:t>
            </w:r>
          </w:p>
        </w:tc>
      </w:tr>
      <w:tr w14:paraId="501FB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tcBorders>
              <w:tl2br w:val="nil"/>
              <w:tr2bl w:val="nil"/>
            </w:tcBorders>
            <w:noWrap w:val="0"/>
            <w:vAlign w:val="center"/>
          </w:tcPr>
          <w:p w14:paraId="3D7B329B">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黑体" w:cs="Times New Roman"/>
                <w:color w:val="auto"/>
                <w:spacing w:val="0"/>
                <w:kern w:val="2"/>
                <w:sz w:val="21"/>
                <w:szCs w:val="21"/>
                <w:highlight w:val="none"/>
                <w:u w:val="none"/>
                <w:lang w:val="en-US" w:eastAsia="zh-CN" w:bidi="ar-SA"/>
              </w:rPr>
            </w:pPr>
            <w:r>
              <w:rPr>
                <w:rFonts w:hint="eastAsia"/>
                <w:color w:val="auto"/>
                <w:highlight w:val="none"/>
                <w:u w:val="none"/>
              </w:rPr>
              <w:t>MBHW6009</w:t>
            </w:r>
          </w:p>
        </w:tc>
        <w:tc>
          <w:tcPr>
            <w:tcW w:w="400" w:type="pct"/>
            <w:tcBorders>
              <w:tl2br w:val="nil"/>
              <w:tr2bl w:val="nil"/>
            </w:tcBorders>
            <w:noWrap w:val="0"/>
            <w:vAlign w:val="center"/>
          </w:tcPr>
          <w:p w14:paraId="3316EF75">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0</w:t>
            </w:r>
          </w:p>
        </w:tc>
        <w:tc>
          <w:tcPr>
            <w:tcW w:w="424" w:type="pct"/>
            <w:tcBorders>
              <w:tl2br w:val="nil"/>
              <w:tr2bl w:val="nil"/>
            </w:tcBorders>
            <w:noWrap w:val="0"/>
            <w:vAlign w:val="center"/>
          </w:tcPr>
          <w:p w14:paraId="5482E44A">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13</w:t>
            </w:r>
          </w:p>
        </w:tc>
        <w:tc>
          <w:tcPr>
            <w:tcW w:w="303" w:type="pct"/>
            <w:tcBorders>
              <w:tl2br w:val="nil"/>
              <w:tr2bl w:val="nil"/>
            </w:tcBorders>
            <w:noWrap w:val="0"/>
            <w:vAlign w:val="center"/>
          </w:tcPr>
          <w:p w14:paraId="68234956">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418</w:t>
            </w:r>
          </w:p>
        </w:tc>
        <w:tc>
          <w:tcPr>
            <w:tcW w:w="424" w:type="pct"/>
            <w:tcBorders>
              <w:tl2br w:val="nil"/>
              <w:tr2bl w:val="nil"/>
            </w:tcBorders>
            <w:noWrap w:val="0"/>
            <w:vAlign w:val="center"/>
          </w:tcPr>
          <w:p w14:paraId="4593FAA6">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30</w:t>
            </w:r>
          </w:p>
        </w:tc>
        <w:tc>
          <w:tcPr>
            <w:tcW w:w="374" w:type="pct"/>
            <w:tcBorders>
              <w:tl2br w:val="nil"/>
              <w:tr2bl w:val="nil"/>
            </w:tcBorders>
            <w:noWrap w:val="0"/>
            <w:vAlign w:val="center"/>
          </w:tcPr>
          <w:p w14:paraId="1EC855A5">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25</w:t>
            </w:r>
          </w:p>
        </w:tc>
        <w:tc>
          <w:tcPr>
            <w:tcW w:w="345" w:type="pct"/>
            <w:tcBorders>
              <w:tl2br w:val="nil"/>
              <w:tr2bl w:val="nil"/>
            </w:tcBorders>
            <w:noWrap w:val="0"/>
            <w:vAlign w:val="center"/>
          </w:tcPr>
          <w:p w14:paraId="74A5A5C9">
            <w:pPr>
              <w:keepNext w:val="0"/>
              <w:keepLines w:val="0"/>
              <w:pageBreakBefore w:val="0"/>
              <w:widowControl w:val="0"/>
              <w:kinsoku/>
              <w:wordWrap/>
              <w:topLinePunct w:val="0"/>
              <w:bidi w:val="0"/>
              <w:spacing w:line="400" w:lineRule="exact"/>
              <w:jc w:val="center"/>
              <w:textAlignment w:val="center"/>
              <w:rPr>
                <w:rFonts w:hint="eastAsia" w:ascii="Times New Roman" w:hAnsi="Times New Roman" w:eastAsia="宋体" w:cs="Times New Roman"/>
                <w:color w:val="auto"/>
                <w:spacing w:val="0"/>
                <w:kern w:val="2"/>
                <w:sz w:val="21"/>
                <w:szCs w:val="21"/>
                <w:highlight w:val="none"/>
                <w:u w:val="none"/>
                <w:lang w:val="en-US" w:eastAsia="zh-CN" w:bidi="ar-SA"/>
              </w:rPr>
            </w:pPr>
            <w:r>
              <w:rPr>
                <w:rFonts w:hint="eastAsia" w:ascii="Times New Roman" w:hAnsi="Times New Roman" w:eastAsia="宋体" w:cs="Times New Roman"/>
                <w:color w:val="auto"/>
                <w:spacing w:val="0"/>
                <w:kern w:val="2"/>
                <w:sz w:val="21"/>
                <w:szCs w:val="21"/>
                <w:highlight w:val="none"/>
                <w:u w:val="none"/>
                <w:lang w:val="en-US" w:eastAsia="zh-CN" w:bidi="ar-SA"/>
              </w:rPr>
              <w:t>0</w:t>
            </w:r>
          </w:p>
        </w:tc>
        <w:tc>
          <w:tcPr>
            <w:tcW w:w="453" w:type="pct"/>
            <w:tcBorders>
              <w:tl2br w:val="nil"/>
              <w:tr2bl w:val="nil"/>
            </w:tcBorders>
            <w:noWrap w:val="0"/>
            <w:vAlign w:val="center"/>
          </w:tcPr>
          <w:p w14:paraId="5B4E8E47">
            <w:pPr>
              <w:keepNext w:val="0"/>
              <w:keepLines w:val="0"/>
              <w:pageBreakBefore w:val="0"/>
              <w:widowControl w:val="0"/>
              <w:kinsoku/>
              <w:wordWrap/>
              <w:topLinePunct w:val="0"/>
              <w:bidi w:val="0"/>
              <w:spacing w:line="400" w:lineRule="exact"/>
              <w:jc w:val="center"/>
              <w:textAlignment w:val="center"/>
              <w:rPr>
                <w:rFonts w:hint="eastAsia" w:ascii="Times New Roman" w:hAnsi="Times New Roman" w:eastAsia="宋体" w:cs="Times New Roman"/>
                <w:color w:val="auto"/>
                <w:spacing w:val="0"/>
                <w:kern w:val="2"/>
                <w:sz w:val="21"/>
                <w:szCs w:val="21"/>
                <w:highlight w:val="none"/>
                <w:u w:val="none"/>
                <w:lang w:val="en-US" w:eastAsia="zh-CN" w:bidi="ar-SA"/>
              </w:rPr>
            </w:pPr>
            <w:r>
              <w:rPr>
                <w:rFonts w:hint="eastAsia" w:ascii="Times New Roman" w:hAnsi="Times New Roman" w:eastAsia="宋体" w:cs="Times New Roman"/>
                <w:color w:val="auto"/>
                <w:spacing w:val="0"/>
                <w:kern w:val="2"/>
                <w:sz w:val="21"/>
                <w:szCs w:val="21"/>
                <w:highlight w:val="none"/>
                <w:u w:val="none"/>
                <w:lang w:val="en-US" w:eastAsia="zh-CN" w:bidi="ar-SA"/>
              </w:rPr>
              <w:t>6</w:t>
            </w:r>
          </w:p>
        </w:tc>
        <w:tc>
          <w:tcPr>
            <w:tcW w:w="381" w:type="pct"/>
            <w:tcBorders>
              <w:tl2br w:val="nil"/>
              <w:tr2bl w:val="nil"/>
            </w:tcBorders>
            <w:noWrap w:val="0"/>
            <w:vAlign w:val="center"/>
          </w:tcPr>
          <w:p w14:paraId="57E0042A">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7920</w:t>
            </w:r>
          </w:p>
        </w:tc>
        <w:tc>
          <w:tcPr>
            <w:tcW w:w="377" w:type="pct"/>
            <w:tcBorders>
              <w:tl2br w:val="nil"/>
              <w:tr2bl w:val="nil"/>
            </w:tcBorders>
            <w:noWrap w:val="0"/>
            <w:vAlign w:val="center"/>
          </w:tcPr>
          <w:p w14:paraId="7545363D">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正常</w:t>
            </w:r>
          </w:p>
        </w:tc>
        <w:tc>
          <w:tcPr>
            <w:tcW w:w="390" w:type="pct"/>
            <w:tcBorders>
              <w:tl2br w:val="nil"/>
              <w:tr2bl w:val="nil"/>
            </w:tcBorders>
            <w:noWrap w:val="0"/>
            <w:vAlign w:val="center"/>
          </w:tcPr>
          <w:p w14:paraId="3DA9F1E8">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i w:val="0"/>
                <w:iCs w:val="0"/>
                <w:snapToGrid w:val="0"/>
                <w:color w:val="auto"/>
                <w:spacing w:val="0"/>
                <w:kern w:val="2"/>
                <w:sz w:val="21"/>
                <w:szCs w:val="21"/>
                <w:highlight w:val="none"/>
                <w:u w:val="none"/>
                <w:lang w:val="en-US" w:eastAsia="zh-CN" w:bidi="ar-SA"/>
              </w:rPr>
            </w:pPr>
            <w:r>
              <w:rPr>
                <w:rFonts w:hint="eastAsia" w:cs="Times New Roman"/>
                <w:i w:val="0"/>
                <w:iCs w:val="0"/>
                <w:color w:val="auto"/>
                <w:spacing w:val="0"/>
                <w:kern w:val="2"/>
                <w:sz w:val="21"/>
                <w:szCs w:val="21"/>
                <w:highlight w:val="none"/>
                <w:u w:val="none"/>
                <w:lang w:val="en-US" w:eastAsia="zh-CN" w:bidi="ar-SA"/>
              </w:rPr>
              <w:t>0.025</w:t>
            </w:r>
          </w:p>
        </w:tc>
        <w:tc>
          <w:tcPr>
            <w:tcW w:w="570" w:type="pct"/>
            <w:tcBorders>
              <w:tl2br w:val="nil"/>
              <w:tr2bl w:val="nil"/>
            </w:tcBorders>
            <w:noWrap w:val="0"/>
            <w:vAlign w:val="center"/>
          </w:tcPr>
          <w:p w14:paraId="0C65805A">
            <w:pPr>
              <w:keepNext w:val="0"/>
              <w:keepLines w:val="0"/>
              <w:pageBreakBefore w:val="0"/>
              <w:widowControl w:val="0"/>
              <w:kinsoku/>
              <w:wordWrap/>
              <w:topLinePunct w:val="0"/>
              <w:bidi w:val="0"/>
              <w:spacing w:line="400" w:lineRule="exact"/>
              <w:jc w:val="center"/>
              <w:textAlignment w:val="center"/>
              <w:rPr>
                <w:rFonts w:hint="default" w:cs="Times New Roman"/>
                <w:i w:val="0"/>
                <w:iCs w:val="0"/>
                <w:color w:val="auto"/>
                <w:spacing w:val="0"/>
                <w:kern w:val="2"/>
                <w:sz w:val="21"/>
                <w:szCs w:val="21"/>
                <w:highlight w:val="none"/>
                <w:u w:val="none"/>
                <w:lang w:val="en-US" w:eastAsia="zh-CN" w:bidi="ar-SA"/>
              </w:rPr>
            </w:pPr>
            <w:r>
              <w:rPr>
                <w:rFonts w:hint="eastAsia" w:cs="Times New Roman"/>
                <w:i w:val="0"/>
                <w:iCs w:val="0"/>
                <w:color w:val="auto"/>
                <w:spacing w:val="0"/>
                <w:kern w:val="2"/>
                <w:sz w:val="21"/>
                <w:szCs w:val="21"/>
                <w:highlight w:val="none"/>
                <w:u w:val="none"/>
                <w:lang w:val="en-US" w:eastAsia="zh-CN" w:bidi="ar-SA"/>
              </w:rPr>
              <w:t>0.000005</w:t>
            </w:r>
          </w:p>
        </w:tc>
      </w:tr>
      <w:tr w14:paraId="6BD57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tcBorders>
              <w:tl2br w:val="nil"/>
              <w:tr2bl w:val="nil"/>
            </w:tcBorders>
            <w:noWrap w:val="0"/>
            <w:vAlign w:val="center"/>
          </w:tcPr>
          <w:p w14:paraId="44151929">
            <w:pPr>
              <w:keepNext w:val="0"/>
              <w:keepLines w:val="0"/>
              <w:pageBreakBefore w:val="0"/>
              <w:widowControl w:val="0"/>
              <w:kinsoku/>
              <w:wordWrap/>
              <w:topLinePunct w:val="0"/>
              <w:bidi w:val="0"/>
              <w:spacing w:line="400" w:lineRule="exact"/>
              <w:jc w:val="center"/>
              <w:textAlignment w:val="center"/>
              <w:rPr>
                <w:rFonts w:hint="eastAsia"/>
                <w:color w:val="auto"/>
                <w:highlight w:val="none"/>
                <w:u w:val="none"/>
              </w:rPr>
            </w:pPr>
            <w:r>
              <w:rPr>
                <w:rFonts w:hint="eastAsia"/>
                <w:color w:val="auto"/>
                <w:highlight w:val="none"/>
                <w:u w:val="none"/>
              </w:rPr>
              <w:t>MBHW6006</w:t>
            </w:r>
          </w:p>
        </w:tc>
        <w:tc>
          <w:tcPr>
            <w:tcW w:w="400" w:type="pct"/>
            <w:tcBorders>
              <w:tl2br w:val="nil"/>
              <w:tr2bl w:val="nil"/>
            </w:tcBorders>
            <w:noWrap w:val="0"/>
            <w:vAlign w:val="center"/>
          </w:tcPr>
          <w:p w14:paraId="4988F343">
            <w:pPr>
              <w:keepNext w:val="0"/>
              <w:keepLines w:val="0"/>
              <w:pageBreakBefore w:val="0"/>
              <w:widowControl w:val="0"/>
              <w:kinsoku/>
              <w:wordWrap/>
              <w:topLinePunct w:val="0"/>
              <w:bidi w:val="0"/>
              <w:spacing w:line="400" w:lineRule="exact"/>
              <w:jc w:val="center"/>
              <w:textAlignment w:val="center"/>
              <w:rPr>
                <w:rFonts w:hint="default"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-826</w:t>
            </w:r>
          </w:p>
        </w:tc>
        <w:tc>
          <w:tcPr>
            <w:tcW w:w="424" w:type="pct"/>
            <w:tcBorders>
              <w:tl2br w:val="nil"/>
              <w:tr2bl w:val="nil"/>
            </w:tcBorders>
            <w:noWrap w:val="0"/>
            <w:vAlign w:val="center"/>
          </w:tcPr>
          <w:p w14:paraId="6381AD57">
            <w:pPr>
              <w:keepNext w:val="0"/>
              <w:keepLines w:val="0"/>
              <w:pageBreakBefore w:val="0"/>
              <w:widowControl w:val="0"/>
              <w:kinsoku/>
              <w:wordWrap/>
              <w:topLinePunct w:val="0"/>
              <w:bidi w:val="0"/>
              <w:spacing w:line="400" w:lineRule="exact"/>
              <w:jc w:val="center"/>
              <w:textAlignment w:val="center"/>
              <w:rPr>
                <w:rFonts w:hint="default"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-1266</w:t>
            </w:r>
          </w:p>
        </w:tc>
        <w:tc>
          <w:tcPr>
            <w:tcW w:w="303" w:type="pct"/>
            <w:tcBorders>
              <w:tl2br w:val="nil"/>
              <w:tr2bl w:val="nil"/>
            </w:tcBorders>
            <w:noWrap w:val="0"/>
            <w:vAlign w:val="center"/>
          </w:tcPr>
          <w:p w14:paraId="15F6B3F0">
            <w:pPr>
              <w:keepNext w:val="0"/>
              <w:keepLines w:val="0"/>
              <w:pageBreakBefore w:val="0"/>
              <w:widowControl w:val="0"/>
              <w:kinsoku/>
              <w:wordWrap/>
              <w:topLinePunct w:val="0"/>
              <w:bidi w:val="0"/>
              <w:spacing w:line="400" w:lineRule="exact"/>
              <w:jc w:val="center"/>
              <w:textAlignment w:val="center"/>
              <w:rPr>
                <w:rFonts w:hint="default"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395</w:t>
            </w:r>
          </w:p>
        </w:tc>
        <w:tc>
          <w:tcPr>
            <w:tcW w:w="424" w:type="pct"/>
            <w:tcBorders>
              <w:tl2br w:val="nil"/>
              <w:tr2bl w:val="nil"/>
            </w:tcBorders>
            <w:noWrap w:val="0"/>
            <w:vAlign w:val="center"/>
          </w:tcPr>
          <w:p w14:paraId="667ADD49">
            <w:pPr>
              <w:keepNext w:val="0"/>
              <w:keepLines w:val="0"/>
              <w:pageBreakBefore w:val="0"/>
              <w:widowControl w:val="0"/>
              <w:kinsoku/>
              <w:wordWrap/>
              <w:topLinePunct w:val="0"/>
              <w:bidi w:val="0"/>
              <w:spacing w:line="400" w:lineRule="exact"/>
              <w:jc w:val="center"/>
              <w:textAlignment w:val="center"/>
              <w:rPr>
                <w:rFonts w:hint="eastAsia"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30</w:t>
            </w:r>
          </w:p>
        </w:tc>
        <w:tc>
          <w:tcPr>
            <w:tcW w:w="374" w:type="pct"/>
            <w:tcBorders>
              <w:tl2br w:val="nil"/>
              <w:tr2bl w:val="nil"/>
            </w:tcBorders>
            <w:noWrap w:val="0"/>
            <w:vAlign w:val="center"/>
          </w:tcPr>
          <w:p w14:paraId="189490F9">
            <w:pPr>
              <w:keepNext w:val="0"/>
              <w:keepLines w:val="0"/>
              <w:pageBreakBefore w:val="0"/>
              <w:widowControl w:val="0"/>
              <w:kinsoku/>
              <w:wordWrap/>
              <w:topLinePunct w:val="0"/>
              <w:bidi w:val="0"/>
              <w:spacing w:line="400" w:lineRule="exact"/>
              <w:jc w:val="center"/>
              <w:textAlignment w:val="center"/>
              <w:rPr>
                <w:rFonts w:hint="eastAsia"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25</w:t>
            </w:r>
          </w:p>
        </w:tc>
        <w:tc>
          <w:tcPr>
            <w:tcW w:w="345" w:type="pct"/>
            <w:tcBorders>
              <w:tl2br w:val="nil"/>
              <w:tr2bl w:val="nil"/>
            </w:tcBorders>
            <w:noWrap w:val="0"/>
            <w:vAlign w:val="center"/>
          </w:tcPr>
          <w:p w14:paraId="486DE624">
            <w:pPr>
              <w:keepNext w:val="0"/>
              <w:keepLines w:val="0"/>
              <w:pageBreakBefore w:val="0"/>
              <w:widowControl w:val="0"/>
              <w:kinsoku/>
              <w:wordWrap/>
              <w:topLinePunct w:val="0"/>
              <w:bidi w:val="0"/>
              <w:spacing w:line="400" w:lineRule="exact"/>
              <w:jc w:val="center"/>
              <w:textAlignment w:val="center"/>
              <w:rPr>
                <w:rFonts w:hint="eastAsia" w:ascii="Times New Roman" w:hAnsi="Times New Roman" w:eastAsia="宋体" w:cs="Times New Roman"/>
                <w:color w:val="auto"/>
                <w:spacing w:val="0"/>
                <w:kern w:val="2"/>
                <w:sz w:val="21"/>
                <w:szCs w:val="21"/>
                <w:highlight w:val="none"/>
                <w:u w:val="none"/>
                <w:lang w:val="en-US" w:eastAsia="zh-CN" w:bidi="ar-SA"/>
              </w:rPr>
            </w:pPr>
            <w:r>
              <w:rPr>
                <w:rFonts w:hint="eastAsia" w:ascii="Times New Roman" w:hAnsi="Times New Roman" w:eastAsia="宋体" w:cs="Times New Roman"/>
                <w:color w:val="auto"/>
                <w:spacing w:val="0"/>
                <w:kern w:val="2"/>
                <w:sz w:val="21"/>
                <w:szCs w:val="21"/>
                <w:highlight w:val="none"/>
                <w:u w:val="none"/>
                <w:lang w:val="en-US" w:eastAsia="zh-CN" w:bidi="ar-SA"/>
              </w:rPr>
              <w:t>0</w:t>
            </w:r>
          </w:p>
        </w:tc>
        <w:tc>
          <w:tcPr>
            <w:tcW w:w="453" w:type="pct"/>
            <w:tcBorders>
              <w:tl2br w:val="nil"/>
              <w:tr2bl w:val="nil"/>
            </w:tcBorders>
            <w:noWrap w:val="0"/>
            <w:vAlign w:val="center"/>
          </w:tcPr>
          <w:p w14:paraId="6DB49DF3">
            <w:pPr>
              <w:keepNext w:val="0"/>
              <w:keepLines w:val="0"/>
              <w:pageBreakBefore w:val="0"/>
              <w:widowControl w:val="0"/>
              <w:kinsoku/>
              <w:wordWrap/>
              <w:topLinePunct w:val="0"/>
              <w:bidi w:val="0"/>
              <w:spacing w:line="400" w:lineRule="exact"/>
              <w:jc w:val="center"/>
              <w:textAlignment w:val="center"/>
              <w:rPr>
                <w:rFonts w:hint="eastAsia" w:ascii="Times New Roman" w:hAnsi="Times New Roman" w:eastAsia="宋体" w:cs="Times New Roman"/>
                <w:color w:val="auto"/>
                <w:spacing w:val="0"/>
                <w:kern w:val="2"/>
                <w:sz w:val="21"/>
                <w:szCs w:val="21"/>
                <w:highlight w:val="none"/>
                <w:u w:val="none"/>
                <w:lang w:val="en-US" w:eastAsia="zh-CN" w:bidi="ar-SA"/>
              </w:rPr>
            </w:pPr>
            <w:r>
              <w:rPr>
                <w:rFonts w:hint="eastAsia" w:ascii="Times New Roman" w:hAnsi="Times New Roman" w:eastAsia="宋体" w:cs="Times New Roman"/>
                <w:color w:val="auto"/>
                <w:spacing w:val="0"/>
                <w:kern w:val="2"/>
                <w:sz w:val="21"/>
                <w:szCs w:val="21"/>
                <w:highlight w:val="none"/>
                <w:u w:val="none"/>
                <w:lang w:val="en-US" w:eastAsia="zh-CN" w:bidi="ar-SA"/>
              </w:rPr>
              <w:t>6</w:t>
            </w:r>
          </w:p>
        </w:tc>
        <w:tc>
          <w:tcPr>
            <w:tcW w:w="381" w:type="pct"/>
            <w:tcBorders>
              <w:tl2br w:val="nil"/>
              <w:tr2bl w:val="nil"/>
            </w:tcBorders>
            <w:noWrap w:val="0"/>
            <w:vAlign w:val="center"/>
          </w:tcPr>
          <w:p w14:paraId="544B6995">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7920</w:t>
            </w:r>
          </w:p>
        </w:tc>
        <w:tc>
          <w:tcPr>
            <w:tcW w:w="377" w:type="pct"/>
            <w:tcBorders>
              <w:tl2br w:val="nil"/>
              <w:tr2bl w:val="nil"/>
            </w:tcBorders>
            <w:noWrap w:val="0"/>
            <w:vAlign w:val="center"/>
          </w:tcPr>
          <w:p w14:paraId="42138300">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正常</w:t>
            </w:r>
          </w:p>
        </w:tc>
        <w:tc>
          <w:tcPr>
            <w:tcW w:w="390" w:type="pct"/>
            <w:tcBorders>
              <w:tl2br w:val="nil"/>
              <w:tr2bl w:val="nil"/>
            </w:tcBorders>
            <w:noWrap w:val="0"/>
            <w:vAlign w:val="center"/>
          </w:tcPr>
          <w:p w14:paraId="546C2A38">
            <w:pPr>
              <w:keepNext w:val="0"/>
              <w:keepLines w:val="0"/>
              <w:pageBreakBefore w:val="0"/>
              <w:widowControl w:val="0"/>
              <w:kinsoku/>
              <w:wordWrap/>
              <w:topLinePunct w:val="0"/>
              <w:bidi w:val="0"/>
              <w:spacing w:line="400" w:lineRule="exact"/>
              <w:jc w:val="center"/>
              <w:textAlignment w:val="center"/>
              <w:rPr>
                <w:rFonts w:hint="eastAsia" w:cs="Times New Roman"/>
                <w:i w:val="0"/>
                <w:iCs w:val="0"/>
                <w:color w:val="auto"/>
                <w:spacing w:val="0"/>
                <w:kern w:val="2"/>
                <w:sz w:val="21"/>
                <w:szCs w:val="21"/>
                <w:highlight w:val="none"/>
                <w:u w:val="none"/>
                <w:lang w:val="en-US" w:eastAsia="zh-CN" w:bidi="ar-SA"/>
              </w:rPr>
            </w:pPr>
            <w:r>
              <w:rPr>
                <w:rFonts w:hint="eastAsia" w:cs="Times New Roman"/>
                <w:i w:val="0"/>
                <w:iCs w:val="0"/>
                <w:color w:val="auto"/>
                <w:spacing w:val="0"/>
                <w:kern w:val="2"/>
                <w:sz w:val="21"/>
                <w:szCs w:val="21"/>
                <w:highlight w:val="none"/>
                <w:u w:val="none"/>
                <w:lang w:val="en-US" w:eastAsia="zh-CN" w:bidi="ar-SA"/>
              </w:rPr>
              <w:t>0.025</w:t>
            </w:r>
          </w:p>
        </w:tc>
        <w:tc>
          <w:tcPr>
            <w:tcW w:w="570" w:type="pct"/>
            <w:tcBorders>
              <w:tl2br w:val="nil"/>
              <w:tr2bl w:val="nil"/>
            </w:tcBorders>
            <w:noWrap w:val="0"/>
            <w:vAlign w:val="center"/>
          </w:tcPr>
          <w:p w14:paraId="547624B3">
            <w:pPr>
              <w:keepNext w:val="0"/>
              <w:keepLines w:val="0"/>
              <w:pageBreakBefore w:val="0"/>
              <w:widowControl w:val="0"/>
              <w:kinsoku/>
              <w:wordWrap/>
              <w:topLinePunct w:val="0"/>
              <w:bidi w:val="0"/>
              <w:spacing w:line="400" w:lineRule="exact"/>
              <w:jc w:val="center"/>
              <w:textAlignment w:val="center"/>
              <w:rPr>
                <w:rFonts w:hint="eastAsia" w:cs="Times New Roman"/>
                <w:i w:val="0"/>
                <w:iCs w:val="0"/>
                <w:color w:val="auto"/>
                <w:spacing w:val="0"/>
                <w:kern w:val="2"/>
                <w:sz w:val="21"/>
                <w:szCs w:val="21"/>
                <w:highlight w:val="none"/>
                <w:u w:val="none"/>
                <w:lang w:val="en-US" w:eastAsia="zh-CN" w:bidi="ar-SA"/>
              </w:rPr>
            </w:pPr>
            <w:r>
              <w:rPr>
                <w:rFonts w:hint="eastAsia" w:cs="Times New Roman"/>
                <w:i w:val="0"/>
                <w:iCs w:val="0"/>
                <w:color w:val="auto"/>
                <w:spacing w:val="0"/>
                <w:kern w:val="2"/>
                <w:sz w:val="21"/>
                <w:szCs w:val="21"/>
                <w:highlight w:val="none"/>
                <w:u w:val="none"/>
                <w:lang w:val="en-US" w:eastAsia="zh-CN" w:bidi="ar-SA"/>
              </w:rPr>
              <w:t>0.000005</w:t>
            </w:r>
          </w:p>
        </w:tc>
      </w:tr>
      <w:tr w14:paraId="1C88A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tcBorders>
              <w:tl2br w:val="nil"/>
              <w:tr2bl w:val="nil"/>
            </w:tcBorders>
            <w:noWrap w:val="0"/>
            <w:vAlign w:val="center"/>
          </w:tcPr>
          <w:p w14:paraId="5E772C82">
            <w:pPr>
              <w:keepNext w:val="0"/>
              <w:keepLines w:val="0"/>
              <w:pageBreakBefore w:val="0"/>
              <w:widowControl w:val="0"/>
              <w:kinsoku/>
              <w:wordWrap/>
              <w:topLinePunct w:val="0"/>
              <w:bidi w:val="0"/>
              <w:spacing w:line="400" w:lineRule="exact"/>
              <w:jc w:val="center"/>
              <w:textAlignment w:val="center"/>
              <w:rPr>
                <w:rFonts w:hint="eastAsia"/>
                <w:color w:val="auto"/>
                <w:highlight w:val="none"/>
                <w:u w:val="none"/>
              </w:rPr>
            </w:pPr>
            <w:r>
              <w:rPr>
                <w:rFonts w:hint="eastAsia"/>
                <w:color w:val="auto"/>
                <w:highlight w:val="none"/>
                <w:u w:val="none"/>
              </w:rPr>
              <w:t>MBHW6008</w:t>
            </w:r>
          </w:p>
        </w:tc>
        <w:tc>
          <w:tcPr>
            <w:tcW w:w="400" w:type="pct"/>
            <w:tcBorders>
              <w:tl2br w:val="nil"/>
              <w:tr2bl w:val="nil"/>
            </w:tcBorders>
            <w:noWrap w:val="0"/>
            <w:vAlign w:val="center"/>
          </w:tcPr>
          <w:p w14:paraId="1E640575">
            <w:pPr>
              <w:keepNext w:val="0"/>
              <w:keepLines w:val="0"/>
              <w:pageBreakBefore w:val="0"/>
              <w:widowControl w:val="0"/>
              <w:kinsoku/>
              <w:wordWrap/>
              <w:topLinePunct w:val="0"/>
              <w:bidi w:val="0"/>
              <w:spacing w:line="400" w:lineRule="exact"/>
              <w:jc w:val="center"/>
              <w:textAlignment w:val="center"/>
              <w:rPr>
                <w:rFonts w:hint="default"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-1359</w:t>
            </w:r>
          </w:p>
        </w:tc>
        <w:tc>
          <w:tcPr>
            <w:tcW w:w="424" w:type="pct"/>
            <w:tcBorders>
              <w:tl2br w:val="nil"/>
              <w:tr2bl w:val="nil"/>
            </w:tcBorders>
            <w:noWrap w:val="0"/>
            <w:vAlign w:val="center"/>
          </w:tcPr>
          <w:p w14:paraId="4916323B">
            <w:pPr>
              <w:keepNext w:val="0"/>
              <w:keepLines w:val="0"/>
              <w:pageBreakBefore w:val="0"/>
              <w:widowControl w:val="0"/>
              <w:kinsoku/>
              <w:wordWrap/>
              <w:topLinePunct w:val="0"/>
              <w:bidi w:val="0"/>
              <w:spacing w:line="400" w:lineRule="exact"/>
              <w:jc w:val="center"/>
              <w:textAlignment w:val="center"/>
              <w:rPr>
                <w:rFonts w:hint="default"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1266</w:t>
            </w:r>
          </w:p>
        </w:tc>
        <w:tc>
          <w:tcPr>
            <w:tcW w:w="303" w:type="pct"/>
            <w:tcBorders>
              <w:tl2br w:val="nil"/>
              <w:tr2bl w:val="nil"/>
            </w:tcBorders>
            <w:noWrap w:val="0"/>
            <w:vAlign w:val="center"/>
          </w:tcPr>
          <w:p w14:paraId="5100BE5C">
            <w:pPr>
              <w:keepNext w:val="0"/>
              <w:keepLines w:val="0"/>
              <w:pageBreakBefore w:val="0"/>
              <w:widowControl w:val="0"/>
              <w:kinsoku/>
              <w:wordWrap/>
              <w:topLinePunct w:val="0"/>
              <w:bidi w:val="0"/>
              <w:spacing w:line="400" w:lineRule="exact"/>
              <w:jc w:val="center"/>
              <w:textAlignment w:val="center"/>
              <w:rPr>
                <w:rFonts w:hint="default"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412</w:t>
            </w:r>
          </w:p>
        </w:tc>
        <w:tc>
          <w:tcPr>
            <w:tcW w:w="424" w:type="pct"/>
            <w:tcBorders>
              <w:tl2br w:val="nil"/>
              <w:tr2bl w:val="nil"/>
            </w:tcBorders>
            <w:noWrap w:val="0"/>
            <w:vAlign w:val="center"/>
          </w:tcPr>
          <w:p w14:paraId="39134D33">
            <w:pPr>
              <w:keepNext w:val="0"/>
              <w:keepLines w:val="0"/>
              <w:pageBreakBefore w:val="0"/>
              <w:widowControl w:val="0"/>
              <w:kinsoku/>
              <w:wordWrap/>
              <w:topLinePunct w:val="0"/>
              <w:bidi w:val="0"/>
              <w:spacing w:line="400" w:lineRule="exact"/>
              <w:jc w:val="center"/>
              <w:textAlignment w:val="center"/>
              <w:rPr>
                <w:rFonts w:hint="eastAsia"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30</w:t>
            </w:r>
          </w:p>
        </w:tc>
        <w:tc>
          <w:tcPr>
            <w:tcW w:w="374" w:type="pct"/>
            <w:tcBorders>
              <w:tl2br w:val="nil"/>
              <w:tr2bl w:val="nil"/>
            </w:tcBorders>
            <w:noWrap w:val="0"/>
            <w:vAlign w:val="center"/>
          </w:tcPr>
          <w:p w14:paraId="1C26EB52">
            <w:pPr>
              <w:keepNext w:val="0"/>
              <w:keepLines w:val="0"/>
              <w:pageBreakBefore w:val="0"/>
              <w:widowControl w:val="0"/>
              <w:kinsoku/>
              <w:wordWrap/>
              <w:topLinePunct w:val="0"/>
              <w:bidi w:val="0"/>
              <w:spacing w:line="400" w:lineRule="exact"/>
              <w:jc w:val="center"/>
              <w:textAlignment w:val="center"/>
              <w:rPr>
                <w:rFonts w:hint="eastAsia" w:cs="Times New Roman"/>
                <w:color w:val="auto"/>
                <w:spacing w:val="0"/>
                <w:kern w:val="2"/>
                <w:sz w:val="21"/>
                <w:szCs w:val="21"/>
                <w:highlight w:val="none"/>
                <w:u w:val="none"/>
                <w:lang w:val="en-US" w:eastAsia="zh-CN" w:bidi="ar-SA"/>
              </w:rPr>
            </w:pPr>
            <w:r>
              <w:rPr>
                <w:rFonts w:hint="eastAsia" w:cs="Times New Roman"/>
                <w:color w:val="auto"/>
                <w:spacing w:val="0"/>
                <w:kern w:val="2"/>
                <w:sz w:val="21"/>
                <w:szCs w:val="21"/>
                <w:highlight w:val="none"/>
                <w:u w:val="none"/>
                <w:lang w:val="en-US" w:eastAsia="zh-CN" w:bidi="ar-SA"/>
              </w:rPr>
              <w:t>25</w:t>
            </w:r>
          </w:p>
        </w:tc>
        <w:tc>
          <w:tcPr>
            <w:tcW w:w="345" w:type="pct"/>
            <w:tcBorders>
              <w:tl2br w:val="nil"/>
              <w:tr2bl w:val="nil"/>
            </w:tcBorders>
            <w:noWrap w:val="0"/>
            <w:vAlign w:val="center"/>
          </w:tcPr>
          <w:p w14:paraId="74D32CBB">
            <w:pPr>
              <w:keepNext w:val="0"/>
              <w:keepLines w:val="0"/>
              <w:pageBreakBefore w:val="0"/>
              <w:widowControl w:val="0"/>
              <w:kinsoku/>
              <w:wordWrap/>
              <w:topLinePunct w:val="0"/>
              <w:bidi w:val="0"/>
              <w:spacing w:line="400" w:lineRule="exact"/>
              <w:jc w:val="center"/>
              <w:textAlignment w:val="center"/>
              <w:rPr>
                <w:rFonts w:hint="eastAsia" w:ascii="Times New Roman" w:hAnsi="Times New Roman" w:eastAsia="宋体" w:cs="Times New Roman"/>
                <w:color w:val="auto"/>
                <w:spacing w:val="0"/>
                <w:kern w:val="2"/>
                <w:sz w:val="21"/>
                <w:szCs w:val="21"/>
                <w:highlight w:val="none"/>
                <w:u w:val="none"/>
                <w:lang w:val="en-US" w:eastAsia="zh-CN" w:bidi="ar-SA"/>
              </w:rPr>
            </w:pPr>
            <w:r>
              <w:rPr>
                <w:rFonts w:hint="eastAsia" w:ascii="Times New Roman" w:hAnsi="Times New Roman" w:eastAsia="宋体" w:cs="Times New Roman"/>
                <w:color w:val="auto"/>
                <w:spacing w:val="0"/>
                <w:kern w:val="2"/>
                <w:sz w:val="21"/>
                <w:szCs w:val="21"/>
                <w:highlight w:val="none"/>
                <w:u w:val="none"/>
                <w:lang w:val="en-US" w:eastAsia="zh-CN" w:bidi="ar-SA"/>
              </w:rPr>
              <w:t>0</w:t>
            </w:r>
          </w:p>
        </w:tc>
        <w:tc>
          <w:tcPr>
            <w:tcW w:w="453" w:type="pct"/>
            <w:tcBorders>
              <w:tl2br w:val="nil"/>
              <w:tr2bl w:val="nil"/>
            </w:tcBorders>
            <w:noWrap w:val="0"/>
            <w:vAlign w:val="center"/>
          </w:tcPr>
          <w:p w14:paraId="7634F2B4">
            <w:pPr>
              <w:keepNext w:val="0"/>
              <w:keepLines w:val="0"/>
              <w:pageBreakBefore w:val="0"/>
              <w:widowControl w:val="0"/>
              <w:kinsoku/>
              <w:wordWrap/>
              <w:topLinePunct w:val="0"/>
              <w:bidi w:val="0"/>
              <w:spacing w:line="400" w:lineRule="exact"/>
              <w:jc w:val="center"/>
              <w:textAlignment w:val="center"/>
              <w:rPr>
                <w:rFonts w:hint="eastAsia" w:ascii="Times New Roman" w:hAnsi="Times New Roman" w:eastAsia="宋体" w:cs="Times New Roman"/>
                <w:color w:val="auto"/>
                <w:spacing w:val="0"/>
                <w:kern w:val="2"/>
                <w:sz w:val="21"/>
                <w:szCs w:val="21"/>
                <w:highlight w:val="none"/>
                <w:u w:val="none"/>
                <w:lang w:val="en-US" w:eastAsia="zh-CN" w:bidi="ar-SA"/>
              </w:rPr>
            </w:pPr>
            <w:r>
              <w:rPr>
                <w:rFonts w:hint="eastAsia" w:ascii="Times New Roman" w:hAnsi="Times New Roman" w:eastAsia="宋体" w:cs="Times New Roman"/>
                <w:color w:val="auto"/>
                <w:spacing w:val="0"/>
                <w:kern w:val="2"/>
                <w:sz w:val="21"/>
                <w:szCs w:val="21"/>
                <w:highlight w:val="none"/>
                <w:u w:val="none"/>
                <w:lang w:val="en-US" w:eastAsia="zh-CN" w:bidi="ar-SA"/>
              </w:rPr>
              <w:t>6</w:t>
            </w:r>
          </w:p>
        </w:tc>
        <w:tc>
          <w:tcPr>
            <w:tcW w:w="381" w:type="pct"/>
            <w:tcBorders>
              <w:tl2br w:val="nil"/>
              <w:tr2bl w:val="nil"/>
            </w:tcBorders>
            <w:noWrap w:val="0"/>
            <w:vAlign w:val="center"/>
          </w:tcPr>
          <w:p w14:paraId="68BD6C92">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7920</w:t>
            </w:r>
          </w:p>
        </w:tc>
        <w:tc>
          <w:tcPr>
            <w:tcW w:w="377" w:type="pct"/>
            <w:tcBorders>
              <w:tl2br w:val="nil"/>
              <w:tr2bl w:val="nil"/>
            </w:tcBorders>
            <w:noWrap w:val="0"/>
            <w:vAlign w:val="center"/>
          </w:tcPr>
          <w:p w14:paraId="4E6B3348">
            <w:pPr>
              <w:keepNext w:val="0"/>
              <w:keepLines w:val="0"/>
              <w:pageBreakBefore w:val="0"/>
              <w:widowControl w:val="0"/>
              <w:kinsoku/>
              <w:wordWrap/>
              <w:topLinePunct w:val="0"/>
              <w:bidi w:val="0"/>
              <w:spacing w:line="400" w:lineRule="exact"/>
              <w:jc w:val="center"/>
              <w:textAlignment w:val="center"/>
              <w:rPr>
                <w:rFonts w:hint="default" w:ascii="Times New Roman" w:hAnsi="Times New Roman" w:eastAsia="宋体" w:cs="Times New Roman"/>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kern w:val="2"/>
                <w:sz w:val="21"/>
                <w:szCs w:val="21"/>
                <w:highlight w:val="none"/>
                <w:u w:val="none"/>
                <w:lang w:val="en-US" w:eastAsia="zh-CN" w:bidi="ar-SA"/>
              </w:rPr>
              <w:t>正常</w:t>
            </w:r>
          </w:p>
        </w:tc>
        <w:tc>
          <w:tcPr>
            <w:tcW w:w="390" w:type="pct"/>
            <w:tcBorders>
              <w:tl2br w:val="nil"/>
              <w:tr2bl w:val="nil"/>
            </w:tcBorders>
            <w:noWrap w:val="0"/>
            <w:vAlign w:val="center"/>
          </w:tcPr>
          <w:p w14:paraId="494C9E52">
            <w:pPr>
              <w:keepNext w:val="0"/>
              <w:keepLines w:val="0"/>
              <w:pageBreakBefore w:val="0"/>
              <w:widowControl w:val="0"/>
              <w:kinsoku/>
              <w:wordWrap/>
              <w:topLinePunct w:val="0"/>
              <w:bidi w:val="0"/>
              <w:spacing w:line="400" w:lineRule="exact"/>
              <w:jc w:val="center"/>
              <w:textAlignment w:val="center"/>
              <w:rPr>
                <w:rFonts w:hint="eastAsia" w:cs="Times New Roman"/>
                <w:i w:val="0"/>
                <w:iCs w:val="0"/>
                <w:color w:val="auto"/>
                <w:spacing w:val="0"/>
                <w:kern w:val="2"/>
                <w:sz w:val="21"/>
                <w:szCs w:val="21"/>
                <w:highlight w:val="none"/>
                <w:u w:val="none"/>
                <w:lang w:val="en-US" w:eastAsia="zh-CN" w:bidi="ar-SA"/>
              </w:rPr>
            </w:pPr>
            <w:r>
              <w:rPr>
                <w:rFonts w:hint="eastAsia" w:cs="Times New Roman"/>
                <w:i w:val="0"/>
                <w:iCs w:val="0"/>
                <w:color w:val="auto"/>
                <w:spacing w:val="0"/>
                <w:kern w:val="2"/>
                <w:sz w:val="21"/>
                <w:szCs w:val="21"/>
                <w:highlight w:val="none"/>
                <w:u w:val="none"/>
                <w:lang w:val="en-US" w:eastAsia="zh-CN" w:bidi="ar-SA"/>
              </w:rPr>
              <w:t>0.025</w:t>
            </w:r>
          </w:p>
        </w:tc>
        <w:tc>
          <w:tcPr>
            <w:tcW w:w="570" w:type="pct"/>
            <w:tcBorders>
              <w:tl2br w:val="nil"/>
              <w:tr2bl w:val="nil"/>
            </w:tcBorders>
            <w:noWrap w:val="0"/>
            <w:vAlign w:val="center"/>
          </w:tcPr>
          <w:p w14:paraId="5FB33EF0">
            <w:pPr>
              <w:keepNext w:val="0"/>
              <w:keepLines w:val="0"/>
              <w:pageBreakBefore w:val="0"/>
              <w:widowControl w:val="0"/>
              <w:kinsoku/>
              <w:wordWrap/>
              <w:topLinePunct w:val="0"/>
              <w:bidi w:val="0"/>
              <w:spacing w:line="400" w:lineRule="exact"/>
              <w:jc w:val="center"/>
              <w:textAlignment w:val="center"/>
              <w:rPr>
                <w:rFonts w:hint="eastAsia" w:cs="Times New Roman"/>
                <w:i w:val="0"/>
                <w:iCs w:val="0"/>
                <w:color w:val="auto"/>
                <w:spacing w:val="0"/>
                <w:kern w:val="2"/>
                <w:sz w:val="21"/>
                <w:szCs w:val="21"/>
                <w:highlight w:val="none"/>
                <w:u w:val="none"/>
                <w:lang w:val="en-US" w:eastAsia="zh-CN" w:bidi="ar-SA"/>
              </w:rPr>
            </w:pPr>
            <w:r>
              <w:rPr>
                <w:rFonts w:hint="eastAsia" w:cs="Times New Roman"/>
                <w:i w:val="0"/>
                <w:iCs w:val="0"/>
                <w:color w:val="auto"/>
                <w:spacing w:val="0"/>
                <w:kern w:val="2"/>
                <w:sz w:val="21"/>
                <w:szCs w:val="21"/>
                <w:highlight w:val="none"/>
                <w:u w:val="none"/>
                <w:lang w:val="en-US" w:eastAsia="zh-CN" w:bidi="ar-SA"/>
              </w:rPr>
              <w:t>0.000005</w:t>
            </w:r>
          </w:p>
        </w:tc>
      </w:tr>
    </w:tbl>
    <w:p w14:paraId="72A348E2">
      <w:pPr>
        <w:keepNext w:val="0"/>
        <w:keepLines w:val="0"/>
        <w:pageBreakBefore w:val="0"/>
        <w:widowControl/>
        <w:kinsoku/>
        <w:wordWrap/>
        <w:overflowPunct/>
        <w:topLinePunct w:val="0"/>
        <w:autoSpaceDE/>
        <w:autoSpaceDN/>
        <w:bidi w:val="0"/>
        <w:adjustRightInd/>
        <w:snapToGrid/>
        <w:spacing w:before="157" w:beforeLines="50" w:line="480" w:lineRule="exact"/>
        <w:ind w:firstLine="482"/>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rPr>
        <w:t>估算模型参数</w:t>
      </w:r>
      <w:r>
        <w:rPr>
          <w:rFonts w:hint="eastAsia"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见表5.</w:t>
      </w:r>
      <w:r>
        <w:rPr>
          <w:rFonts w:hint="eastAsia" w:cs="Times New Roman"/>
          <w:color w:val="auto"/>
          <w:kern w:val="0"/>
          <w:sz w:val="24"/>
          <w:szCs w:val="24"/>
          <w:highlight w:val="none"/>
          <w:u w:val="none"/>
          <w:lang w:val="en-US" w:eastAsia="zh-CN"/>
        </w:rPr>
        <w:t>5</w:t>
      </w:r>
      <w:r>
        <w:rPr>
          <w:rFonts w:hint="default" w:ascii="Times New Roman" w:hAnsi="Times New Roman" w:eastAsia="宋体" w:cs="Times New Roman"/>
          <w:color w:val="auto"/>
          <w:kern w:val="0"/>
          <w:sz w:val="24"/>
          <w:szCs w:val="24"/>
          <w:highlight w:val="none"/>
          <w:u w:val="none"/>
        </w:rPr>
        <w:t>-</w:t>
      </w:r>
      <w:r>
        <w:rPr>
          <w:rFonts w:hint="eastAsia" w:cs="Times New Roman"/>
          <w:color w:val="auto"/>
          <w:kern w:val="0"/>
          <w:sz w:val="24"/>
          <w:szCs w:val="24"/>
          <w:highlight w:val="none"/>
          <w:u w:val="none"/>
          <w:lang w:val="en-US" w:eastAsia="zh-CN"/>
        </w:rPr>
        <w:t>2</w:t>
      </w:r>
      <w:r>
        <w:rPr>
          <w:rFonts w:hint="default" w:ascii="Times New Roman" w:hAnsi="Times New Roman" w:eastAsia="宋体" w:cs="Times New Roman"/>
          <w:color w:val="auto"/>
          <w:kern w:val="0"/>
          <w:sz w:val="24"/>
          <w:szCs w:val="24"/>
          <w:highlight w:val="none"/>
          <w:u w:val="none"/>
        </w:rPr>
        <w:t>。</w:t>
      </w:r>
    </w:p>
    <w:p w14:paraId="0F4A4A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color w:val="auto"/>
          <w:kern w:val="0"/>
          <w:sz w:val="21"/>
          <w:szCs w:val="21"/>
          <w:highlight w:val="none"/>
          <w:u w:val="none"/>
          <w:lang w:val="en-US" w:eastAsia="zh-CN" w:bidi="ar-SA"/>
        </w:rPr>
      </w:pPr>
      <w:r>
        <w:rPr>
          <w:rFonts w:hint="default" w:ascii="黑体" w:hAnsi="黑体" w:eastAsia="黑体" w:cs="黑体"/>
          <w:b w:val="0"/>
          <w:bCs/>
          <w:color w:val="auto"/>
          <w:kern w:val="2"/>
          <w:sz w:val="24"/>
          <w:szCs w:val="24"/>
          <w:highlight w:val="none"/>
          <w:u w:val="none"/>
          <w:lang w:val="en-US" w:eastAsia="zh-CN" w:bidi="ar-SA"/>
        </w:rPr>
        <w:t>表</w:t>
      </w:r>
      <w:r>
        <w:rPr>
          <w:rFonts w:hint="eastAsia" w:ascii="黑体" w:hAnsi="黑体" w:eastAsia="黑体" w:cs="黑体"/>
          <w:b w:val="0"/>
          <w:bCs/>
          <w:color w:val="auto"/>
          <w:kern w:val="2"/>
          <w:sz w:val="24"/>
          <w:szCs w:val="24"/>
          <w:highlight w:val="none"/>
          <w:u w:val="none"/>
          <w:lang w:val="en-US" w:eastAsia="zh-CN" w:bidi="ar-SA"/>
        </w:rPr>
        <w:t>5.5</w:t>
      </w:r>
      <w:r>
        <w:rPr>
          <w:rFonts w:hint="default" w:ascii="黑体" w:hAnsi="黑体" w:eastAsia="黑体" w:cs="黑体"/>
          <w:b w:val="0"/>
          <w:bCs/>
          <w:color w:val="auto"/>
          <w:kern w:val="2"/>
          <w:sz w:val="24"/>
          <w:szCs w:val="24"/>
          <w:highlight w:val="none"/>
          <w:u w:val="none"/>
          <w:lang w:val="en-US" w:eastAsia="zh-CN" w:bidi="ar-SA"/>
        </w:rPr>
        <w:t>-</w:t>
      </w:r>
      <w:r>
        <w:rPr>
          <w:rFonts w:hint="eastAsia" w:ascii="黑体" w:hAnsi="黑体" w:eastAsia="黑体" w:cs="黑体"/>
          <w:b w:val="0"/>
          <w:bCs/>
          <w:color w:val="auto"/>
          <w:kern w:val="2"/>
          <w:sz w:val="24"/>
          <w:szCs w:val="24"/>
          <w:highlight w:val="none"/>
          <w:u w:val="none"/>
          <w:lang w:val="en-US" w:eastAsia="zh-CN" w:bidi="ar-SA"/>
        </w:rPr>
        <w:t>2</w:t>
      </w:r>
      <w:r>
        <w:rPr>
          <w:rFonts w:hint="default" w:ascii="黑体" w:hAnsi="黑体" w:eastAsia="黑体" w:cs="黑体"/>
          <w:b w:val="0"/>
          <w:bCs/>
          <w:color w:val="auto"/>
          <w:kern w:val="2"/>
          <w:sz w:val="24"/>
          <w:szCs w:val="24"/>
          <w:highlight w:val="none"/>
          <w:u w:val="none"/>
          <w:lang w:val="en-US" w:eastAsia="zh-CN" w:bidi="ar-SA"/>
        </w:rPr>
        <w:tab/>
      </w:r>
      <w:r>
        <w:rPr>
          <w:rFonts w:hint="eastAsia" w:ascii="黑体" w:hAnsi="黑体" w:eastAsia="黑体" w:cs="黑体"/>
          <w:b w:val="0"/>
          <w:bCs/>
          <w:color w:val="auto"/>
          <w:kern w:val="2"/>
          <w:sz w:val="24"/>
          <w:szCs w:val="24"/>
          <w:highlight w:val="none"/>
          <w:u w:val="none"/>
          <w:lang w:val="en-US" w:eastAsia="zh-CN" w:bidi="ar-SA"/>
        </w:rPr>
        <w:t xml:space="preserve">   </w:t>
      </w:r>
      <w:r>
        <w:rPr>
          <w:rFonts w:hint="default" w:ascii="黑体" w:hAnsi="黑体" w:eastAsia="黑体" w:cs="黑体"/>
          <w:b w:val="0"/>
          <w:bCs/>
          <w:color w:val="auto"/>
          <w:kern w:val="2"/>
          <w:sz w:val="24"/>
          <w:szCs w:val="24"/>
          <w:highlight w:val="none"/>
          <w:u w:val="none"/>
          <w:lang w:val="en-US" w:eastAsia="zh-CN" w:bidi="ar-SA"/>
        </w:rPr>
        <w:t>估算模型参数表</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119"/>
        <w:gridCol w:w="1345"/>
        <w:gridCol w:w="279"/>
        <w:gridCol w:w="3975"/>
        <w:gridCol w:w="1954"/>
      </w:tblGrid>
      <w:tr w14:paraId="3A986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tcBorders>
              <w:tl2br w:val="nil"/>
              <w:tr2bl w:val="nil"/>
            </w:tcBorders>
            <w:noWrap w:val="0"/>
            <w:vAlign w:val="center"/>
          </w:tcPr>
          <w:p w14:paraId="7A4355CD">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环境要素</w:t>
            </w:r>
          </w:p>
        </w:tc>
        <w:tc>
          <w:tcPr>
            <w:tcW w:w="775" w:type="pct"/>
            <w:tcBorders>
              <w:tl2br w:val="nil"/>
              <w:tr2bl w:val="nil"/>
            </w:tcBorders>
            <w:noWrap w:val="0"/>
            <w:vAlign w:val="center"/>
          </w:tcPr>
          <w:p w14:paraId="1062C747">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项  目</w:t>
            </w:r>
          </w:p>
        </w:tc>
        <w:tc>
          <w:tcPr>
            <w:tcW w:w="3578" w:type="pct"/>
            <w:gridSpan w:val="3"/>
            <w:tcBorders>
              <w:tl2br w:val="nil"/>
              <w:tr2bl w:val="nil"/>
            </w:tcBorders>
            <w:noWrap w:val="0"/>
            <w:vAlign w:val="center"/>
          </w:tcPr>
          <w:p w14:paraId="5183C4FA">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评 价 因 子</w:t>
            </w:r>
          </w:p>
        </w:tc>
      </w:tr>
      <w:tr w14:paraId="1F4E0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vMerge w:val="restart"/>
            <w:tcBorders>
              <w:tl2br w:val="nil"/>
              <w:tr2bl w:val="nil"/>
            </w:tcBorders>
            <w:noWrap w:val="0"/>
            <w:vAlign w:val="center"/>
          </w:tcPr>
          <w:p w14:paraId="60391C0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775" w:type="pct"/>
            <w:vMerge w:val="restart"/>
            <w:tcBorders>
              <w:tl2br w:val="nil"/>
              <w:tr2bl w:val="nil"/>
            </w:tcBorders>
            <w:noWrap w:val="0"/>
            <w:vAlign w:val="center"/>
          </w:tcPr>
          <w:p w14:paraId="04BFC845">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城市/农村选项</w:t>
            </w:r>
          </w:p>
        </w:tc>
        <w:tc>
          <w:tcPr>
            <w:tcW w:w="2451" w:type="pct"/>
            <w:gridSpan w:val="2"/>
            <w:tcBorders>
              <w:tl2br w:val="nil"/>
              <w:tr2bl w:val="nil"/>
            </w:tcBorders>
            <w:noWrap w:val="0"/>
            <w:vAlign w:val="center"/>
          </w:tcPr>
          <w:p w14:paraId="6CC9DEB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城市/农村</w:t>
            </w:r>
          </w:p>
        </w:tc>
        <w:tc>
          <w:tcPr>
            <w:tcW w:w="1126" w:type="pct"/>
            <w:tcBorders>
              <w:tl2br w:val="nil"/>
              <w:tr2bl w:val="nil"/>
            </w:tcBorders>
            <w:noWrap w:val="0"/>
            <w:vAlign w:val="center"/>
          </w:tcPr>
          <w:p w14:paraId="0E98A2C0">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农</w:t>
            </w:r>
            <w:r>
              <w:rPr>
                <w:rFonts w:hint="eastAsia" w:ascii="宋体" w:hAnsi="宋体" w:cs="宋体"/>
                <w:color w:val="auto"/>
                <w:spacing w:val="0"/>
                <w:kern w:val="0"/>
                <w:sz w:val="21"/>
                <w:szCs w:val="21"/>
                <w:highlight w:val="none"/>
                <w:u w:val="none"/>
                <w:lang w:val="en-US" w:eastAsia="zh-CN"/>
              </w:rPr>
              <w:t xml:space="preserve">  </w:t>
            </w:r>
            <w:r>
              <w:rPr>
                <w:rFonts w:hint="eastAsia" w:ascii="宋体" w:hAnsi="宋体" w:eastAsia="宋体" w:cs="宋体"/>
                <w:color w:val="auto"/>
                <w:spacing w:val="0"/>
                <w:kern w:val="0"/>
                <w:sz w:val="21"/>
                <w:szCs w:val="21"/>
                <w:highlight w:val="none"/>
                <w:u w:val="none"/>
              </w:rPr>
              <w:t>村</w:t>
            </w:r>
          </w:p>
        </w:tc>
      </w:tr>
      <w:tr w14:paraId="7F3B9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vMerge w:val="continue"/>
            <w:tcBorders>
              <w:tl2br w:val="nil"/>
              <w:tr2bl w:val="nil"/>
            </w:tcBorders>
            <w:noWrap w:val="0"/>
            <w:vAlign w:val="center"/>
          </w:tcPr>
          <w:p w14:paraId="622A4E9B">
            <w:pPr>
              <w:keepNext w:val="0"/>
              <w:keepLines w:val="0"/>
              <w:pageBreakBefore w:val="0"/>
              <w:widowControl/>
              <w:kinsoku/>
              <w:wordWrap/>
              <w:overflowPunct/>
              <w:topLinePunct w:val="0"/>
              <w:bidi w:val="0"/>
              <w:snapToGrid/>
              <w:spacing w:line="400" w:lineRule="exact"/>
              <w:jc w:val="left"/>
              <w:textAlignment w:val="auto"/>
              <w:rPr>
                <w:rFonts w:hint="eastAsia" w:ascii="宋体" w:hAnsi="宋体" w:eastAsia="宋体" w:cs="宋体"/>
                <w:color w:val="auto"/>
                <w:spacing w:val="0"/>
                <w:kern w:val="0"/>
                <w:sz w:val="21"/>
                <w:szCs w:val="21"/>
                <w:highlight w:val="none"/>
                <w:u w:val="none"/>
              </w:rPr>
            </w:pPr>
          </w:p>
        </w:tc>
        <w:tc>
          <w:tcPr>
            <w:tcW w:w="775" w:type="pct"/>
            <w:vMerge w:val="continue"/>
            <w:tcBorders>
              <w:tl2br w:val="nil"/>
              <w:tr2bl w:val="nil"/>
            </w:tcBorders>
            <w:noWrap w:val="0"/>
            <w:vAlign w:val="center"/>
          </w:tcPr>
          <w:p w14:paraId="10B33197">
            <w:pPr>
              <w:keepNext w:val="0"/>
              <w:keepLines w:val="0"/>
              <w:pageBreakBefore w:val="0"/>
              <w:widowControl/>
              <w:kinsoku/>
              <w:wordWrap/>
              <w:overflowPunct/>
              <w:topLinePunct w:val="0"/>
              <w:bidi w:val="0"/>
              <w:snapToGrid/>
              <w:spacing w:line="400" w:lineRule="exact"/>
              <w:jc w:val="left"/>
              <w:textAlignment w:val="auto"/>
              <w:rPr>
                <w:rFonts w:hint="eastAsia" w:ascii="宋体" w:hAnsi="宋体" w:eastAsia="宋体" w:cs="宋体"/>
                <w:color w:val="auto"/>
                <w:spacing w:val="0"/>
                <w:kern w:val="0"/>
                <w:sz w:val="21"/>
                <w:szCs w:val="21"/>
                <w:highlight w:val="none"/>
                <w:u w:val="none"/>
              </w:rPr>
            </w:pPr>
          </w:p>
        </w:tc>
        <w:tc>
          <w:tcPr>
            <w:tcW w:w="2451" w:type="pct"/>
            <w:gridSpan w:val="2"/>
            <w:tcBorders>
              <w:tl2br w:val="nil"/>
              <w:tr2bl w:val="nil"/>
            </w:tcBorders>
            <w:noWrap w:val="0"/>
            <w:vAlign w:val="center"/>
          </w:tcPr>
          <w:p w14:paraId="5FC9AF4F">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人口数</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城市选项时</w:t>
            </w:r>
            <w:r>
              <w:rPr>
                <w:rFonts w:hint="eastAsia" w:ascii="宋体" w:hAnsi="宋体" w:eastAsia="宋体" w:cs="宋体"/>
                <w:color w:val="auto"/>
                <w:spacing w:val="0"/>
                <w:kern w:val="0"/>
                <w:sz w:val="21"/>
                <w:szCs w:val="21"/>
                <w:highlight w:val="none"/>
                <w:u w:val="none"/>
                <w:lang w:eastAsia="zh-CN"/>
              </w:rPr>
              <w:t>）</w:t>
            </w:r>
          </w:p>
        </w:tc>
        <w:tc>
          <w:tcPr>
            <w:tcW w:w="1126" w:type="pct"/>
            <w:tcBorders>
              <w:tl2br w:val="nil"/>
              <w:tr2bl w:val="nil"/>
            </w:tcBorders>
            <w:noWrap w:val="0"/>
            <w:vAlign w:val="center"/>
          </w:tcPr>
          <w:p w14:paraId="257DE05F">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528A1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tcBorders>
              <w:tl2br w:val="nil"/>
              <w:tr2bl w:val="nil"/>
            </w:tcBorders>
            <w:noWrap w:val="0"/>
            <w:vAlign w:val="center"/>
          </w:tcPr>
          <w:p w14:paraId="6E4C09F7">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2</w:t>
            </w:r>
          </w:p>
        </w:tc>
        <w:tc>
          <w:tcPr>
            <w:tcW w:w="3227" w:type="pct"/>
            <w:gridSpan w:val="3"/>
            <w:tcBorders>
              <w:tl2br w:val="nil"/>
              <w:tr2bl w:val="nil"/>
            </w:tcBorders>
            <w:noWrap w:val="0"/>
            <w:vAlign w:val="center"/>
          </w:tcPr>
          <w:p w14:paraId="02FFE930">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最高环境温度/℃</w:t>
            </w:r>
          </w:p>
        </w:tc>
        <w:tc>
          <w:tcPr>
            <w:tcW w:w="1126" w:type="pct"/>
            <w:tcBorders>
              <w:tl2br w:val="nil"/>
              <w:tr2bl w:val="nil"/>
            </w:tcBorders>
            <w:noWrap w:val="0"/>
            <w:vAlign w:val="center"/>
          </w:tcPr>
          <w:p w14:paraId="6A04C3E5">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default" w:ascii="宋体" w:hAnsi="宋体" w:eastAsia="宋体" w:cs="宋体"/>
                <w:color w:val="auto"/>
                <w:spacing w:val="0"/>
                <w:kern w:val="0"/>
                <w:sz w:val="21"/>
                <w:szCs w:val="21"/>
                <w:highlight w:val="none"/>
                <w:u w:val="none"/>
                <w:lang w:val="en-US" w:eastAsia="zh-CN"/>
              </w:rPr>
            </w:pPr>
            <w:r>
              <w:rPr>
                <w:rFonts w:hint="eastAsia" w:ascii="宋体" w:hAnsi="宋体" w:cs="宋体"/>
                <w:color w:val="auto"/>
                <w:spacing w:val="0"/>
                <w:kern w:val="0"/>
                <w:sz w:val="21"/>
                <w:szCs w:val="21"/>
                <w:highlight w:val="none"/>
                <w:u w:val="none"/>
                <w:lang w:val="en-US" w:eastAsia="zh-CN"/>
              </w:rPr>
              <w:t>42.3</w:t>
            </w:r>
          </w:p>
        </w:tc>
      </w:tr>
      <w:tr w14:paraId="6A32A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tcBorders>
              <w:tl2br w:val="nil"/>
              <w:tr2bl w:val="nil"/>
            </w:tcBorders>
            <w:noWrap w:val="0"/>
            <w:vAlign w:val="center"/>
          </w:tcPr>
          <w:p w14:paraId="233300C6">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3</w:t>
            </w:r>
          </w:p>
        </w:tc>
        <w:tc>
          <w:tcPr>
            <w:tcW w:w="3227" w:type="pct"/>
            <w:gridSpan w:val="3"/>
            <w:tcBorders>
              <w:tl2br w:val="nil"/>
              <w:tr2bl w:val="nil"/>
            </w:tcBorders>
            <w:noWrap w:val="0"/>
            <w:vAlign w:val="center"/>
          </w:tcPr>
          <w:p w14:paraId="2AA1894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最低环境温度/℃</w:t>
            </w:r>
          </w:p>
        </w:tc>
        <w:tc>
          <w:tcPr>
            <w:tcW w:w="1126" w:type="pct"/>
            <w:tcBorders>
              <w:tl2br w:val="nil"/>
              <w:tr2bl w:val="nil"/>
            </w:tcBorders>
            <w:noWrap w:val="0"/>
            <w:vAlign w:val="center"/>
          </w:tcPr>
          <w:p w14:paraId="5F559998">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default"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rPr>
              <w:t>-</w:t>
            </w:r>
            <w:r>
              <w:rPr>
                <w:rFonts w:hint="eastAsia" w:ascii="宋体" w:hAnsi="宋体" w:cs="宋体"/>
                <w:color w:val="auto"/>
                <w:spacing w:val="0"/>
                <w:kern w:val="0"/>
                <w:sz w:val="21"/>
                <w:szCs w:val="21"/>
                <w:highlight w:val="none"/>
                <w:u w:val="none"/>
                <w:lang w:val="en-US" w:eastAsia="zh-CN"/>
              </w:rPr>
              <w:t>34.5</w:t>
            </w:r>
          </w:p>
        </w:tc>
      </w:tr>
      <w:tr w14:paraId="09A1B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tcBorders>
              <w:tl2br w:val="nil"/>
              <w:tr2bl w:val="nil"/>
            </w:tcBorders>
            <w:noWrap w:val="0"/>
            <w:vAlign w:val="center"/>
          </w:tcPr>
          <w:p w14:paraId="51718B01">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4</w:t>
            </w:r>
          </w:p>
        </w:tc>
        <w:tc>
          <w:tcPr>
            <w:tcW w:w="3227" w:type="pct"/>
            <w:gridSpan w:val="3"/>
            <w:tcBorders>
              <w:tl2br w:val="nil"/>
              <w:tr2bl w:val="nil"/>
            </w:tcBorders>
            <w:noWrap w:val="0"/>
            <w:vAlign w:val="center"/>
          </w:tcPr>
          <w:p w14:paraId="64E7D380">
            <w:pPr>
              <w:keepNext w:val="0"/>
              <w:keepLines w:val="0"/>
              <w:pageBreakBefore w:val="0"/>
              <w:widowControl/>
              <w:kinsoku/>
              <w:wordWrap/>
              <w:overflowPunct/>
              <w:topLinePunct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测风高度/m</w:t>
            </w:r>
          </w:p>
        </w:tc>
        <w:tc>
          <w:tcPr>
            <w:tcW w:w="1126" w:type="pct"/>
            <w:tcBorders>
              <w:tl2br w:val="nil"/>
              <w:tr2bl w:val="nil"/>
            </w:tcBorders>
            <w:noWrap w:val="0"/>
            <w:vAlign w:val="center"/>
          </w:tcPr>
          <w:p w14:paraId="0306526F">
            <w:pPr>
              <w:keepNext w:val="0"/>
              <w:keepLines w:val="0"/>
              <w:pageBreakBefore w:val="0"/>
              <w:widowControl/>
              <w:kinsoku/>
              <w:wordWrap/>
              <w:overflowPunct/>
              <w:topLinePunct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10</w:t>
            </w:r>
          </w:p>
        </w:tc>
      </w:tr>
      <w:tr w14:paraId="0C178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tcBorders>
              <w:tl2br w:val="nil"/>
              <w:tr2bl w:val="nil"/>
            </w:tcBorders>
            <w:noWrap w:val="0"/>
            <w:vAlign w:val="center"/>
          </w:tcPr>
          <w:p w14:paraId="6E3218D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5</w:t>
            </w:r>
          </w:p>
        </w:tc>
        <w:tc>
          <w:tcPr>
            <w:tcW w:w="3227" w:type="pct"/>
            <w:gridSpan w:val="3"/>
            <w:tcBorders>
              <w:tl2br w:val="nil"/>
              <w:tr2bl w:val="nil"/>
            </w:tcBorders>
            <w:noWrap w:val="0"/>
            <w:vAlign w:val="center"/>
          </w:tcPr>
          <w:p w14:paraId="1EA7A36A">
            <w:pPr>
              <w:keepNext w:val="0"/>
              <w:keepLines w:val="0"/>
              <w:pageBreakBefore w:val="0"/>
              <w:widowControl/>
              <w:kinsoku/>
              <w:wordWrap/>
              <w:overflowPunct/>
              <w:topLinePunct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允许使用的最小风速</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m/s</w:t>
            </w:r>
            <w:r>
              <w:rPr>
                <w:rFonts w:hint="eastAsia" w:ascii="宋体" w:hAnsi="宋体" w:eastAsia="宋体" w:cs="宋体"/>
                <w:color w:val="auto"/>
                <w:spacing w:val="0"/>
                <w:kern w:val="0"/>
                <w:sz w:val="21"/>
                <w:szCs w:val="21"/>
                <w:highlight w:val="none"/>
                <w:u w:val="none"/>
                <w:lang w:eastAsia="zh-CN"/>
              </w:rPr>
              <w:t>）</w:t>
            </w:r>
          </w:p>
        </w:tc>
        <w:tc>
          <w:tcPr>
            <w:tcW w:w="1126" w:type="pct"/>
            <w:tcBorders>
              <w:tl2br w:val="nil"/>
              <w:tr2bl w:val="nil"/>
            </w:tcBorders>
            <w:noWrap w:val="0"/>
            <w:vAlign w:val="center"/>
          </w:tcPr>
          <w:p w14:paraId="00ACF68D">
            <w:pPr>
              <w:keepNext w:val="0"/>
              <w:keepLines w:val="0"/>
              <w:pageBreakBefore w:val="0"/>
              <w:widowControl/>
              <w:kinsoku/>
              <w:wordWrap/>
              <w:overflowPunct/>
              <w:topLinePunct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0.5</w:t>
            </w:r>
          </w:p>
        </w:tc>
      </w:tr>
      <w:tr w14:paraId="176D2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tcBorders>
              <w:tl2br w:val="nil"/>
              <w:tr2bl w:val="nil"/>
            </w:tcBorders>
            <w:noWrap w:val="0"/>
            <w:vAlign w:val="center"/>
          </w:tcPr>
          <w:p w14:paraId="55D71BDA">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6</w:t>
            </w:r>
          </w:p>
        </w:tc>
        <w:tc>
          <w:tcPr>
            <w:tcW w:w="3227" w:type="pct"/>
            <w:gridSpan w:val="3"/>
            <w:tcBorders>
              <w:tl2br w:val="nil"/>
              <w:tr2bl w:val="nil"/>
            </w:tcBorders>
            <w:noWrap w:val="0"/>
            <w:vAlign w:val="center"/>
          </w:tcPr>
          <w:p w14:paraId="3DBAFB29">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土地利用类型</w:t>
            </w:r>
          </w:p>
        </w:tc>
        <w:tc>
          <w:tcPr>
            <w:tcW w:w="1126" w:type="pct"/>
            <w:tcBorders>
              <w:tl2br w:val="nil"/>
              <w:tr2bl w:val="nil"/>
            </w:tcBorders>
            <w:noWrap w:val="0"/>
            <w:vAlign w:val="center"/>
          </w:tcPr>
          <w:p w14:paraId="608A49EC">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沙漠</w:t>
            </w:r>
          </w:p>
        </w:tc>
      </w:tr>
      <w:tr w14:paraId="637B6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tcBorders>
              <w:tl2br w:val="nil"/>
              <w:tr2bl w:val="nil"/>
            </w:tcBorders>
            <w:noWrap w:val="0"/>
            <w:vAlign w:val="center"/>
          </w:tcPr>
          <w:p w14:paraId="36A9CF86">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7</w:t>
            </w:r>
          </w:p>
        </w:tc>
        <w:tc>
          <w:tcPr>
            <w:tcW w:w="3227" w:type="pct"/>
            <w:gridSpan w:val="3"/>
            <w:tcBorders>
              <w:tl2br w:val="nil"/>
              <w:tr2bl w:val="nil"/>
            </w:tcBorders>
            <w:noWrap w:val="0"/>
            <w:vAlign w:val="center"/>
          </w:tcPr>
          <w:p w14:paraId="6733E0E7">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区域湿度条件</w:t>
            </w:r>
          </w:p>
        </w:tc>
        <w:tc>
          <w:tcPr>
            <w:tcW w:w="1126" w:type="pct"/>
            <w:tcBorders>
              <w:tl2br w:val="nil"/>
              <w:tr2bl w:val="nil"/>
            </w:tcBorders>
            <w:noWrap w:val="0"/>
            <w:vAlign w:val="center"/>
          </w:tcPr>
          <w:p w14:paraId="076E2683">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干燥气候</w:t>
            </w:r>
          </w:p>
        </w:tc>
      </w:tr>
      <w:tr w14:paraId="3B0E8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vMerge w:val="restart"/>
            <w:tcBorders>
              <w:tl2br w:val="nil"/>
              <w:tr2bl w:val="nil"/>
            </w:tcBorders>
            <w:noWrap w:val="0"/>
            <w:vAlign w:val="center"/>
          </w:tcPr>
          <w:p w14:paraId="46F33443">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8</w:t>
            </w:r>
          </w:p>
        </w:tc>
        <w:tc>
          <w:tcPr>
            <w:tcW w:w="936" w:type="pct"/>
            <w:gridSpan w:val="2"/>
            <w:vMerge w:val="restart"/>
            <w:tcBorders>
              <w:tl2br w:val="nil"/>
              <w:tr2bl w:val="nil"/>
            </w:tcBorders>
            <w:noWrap w:val="0"/>
            <w:vAlign w:val="center"/>
          </w:tcPr>
          <w:p w14:paraId="193C61CA">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是否考虑地形</w:t>
            </w:r>
          </w:p>
        </w:tc>
        <w:tc>
          <w:tcPr>
            <w:tcW w:w="2291" w:type="pct"/>
            <w:tcBorders>
              <w:tl2br w:val="nil"/>
              <w:tr2bl w:val="nil"/>
            </w:tcBorders>
            <w:noWrap w:val="0"/>
            <w:vAlign w:val="center"/>
          </w:tcPr>
          <w:p w14:paraId="54CAA5B1">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考虑地形</w:t>
            </w:r>
          </w:p>
        </w:tc>
        <w:tc>
          <w:tcPr>
            <w:tcW w:w="1126" w:type="pct"/>
            <w:tcBorders>
              <w:tl2br w:val="nil"/>
              <w:tr2bl w:val="nil"/>
            </w:tcBorders>
            <w:noWrap w:val="0"/>
            <w:vAlign w:val="center"/>
          </w:tcPr>
          <w:p w14:paraId="0D5870E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 xml:space="preserve">是     </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否</w:t>
            </w:r>
          </w:p>
        </w:tc>
      </w:tr>
      <w:tr w14:paraId="5B387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vMerge w:val="continue"/>
            <w:tcBorders>
              <w:tl2br w:val="nil"/>
              <w:tr2bl w:val="nil"/>
            </w:tcBorders>
            <w:noWrap w:val="0"/>
            <w:vAlign w:val="center"/>
          </w:tcPr>
          <w:p w14:paraId="184B0299">
            <w:pPr>
              <w:keepNext w:val="0"/>
              <w:keepLines w:val="0"/>
              <w:pageBreakBefore w:val="0"/>
              <w:widowControl/>
              <w:kinsoku/>
              <w:wordWrap/>
              <w:overflowPunct/>
              <w:topLinePunct w:val="0"/>
              <w:bidi w:val="0"/>
              <w:snapToGrid/>
              <w:spacing w:line="400" w:lineRule="exact"/>
              <w:jc w:val="left"/>
              <w:textAlignment w:val="auto"/>
              <w:rPr>
                <w:rFonts w:hint="eastAsia" w:ascii="宋体" w:hAnsi="宋体" w:eastAsia="宋体" w:cs="宋体"/>
                <w:color w:val="auto"/>
                <w:spacing w:val="0"/>
                <w:kern w:val="0"/>
                <w:sz w:val="21"/>
                <w:szCs w:val="21"/>
                <w:highlight w:val="none"/>
                <w:u w:val="none"/>
              </w:rPr>
            </w:pPr>
          </w:p>
        </w:tc>
        <w:tc>
          <w:tcPr>
            <w:tcW w:w="936" w:type="pct"/>
            <w:gridSpan w:val="2"/>
            <w:vMerge w:val="continue"/>
            <w:tcBorders>
              <w:tl2br w:val="nil"/>
              <w:tr2bl w:val="nil"/>
            </w:tcBorders>
            <w:noWrap w:val="0"/>
            <w:vAlign w:val="center"/>
          </w:tcPr>
          <w:p w14:paraId="233B9E3E">
            <w:pPr>
              <w:keepNext w:val="0"/>
              <w:keepLines w:val="0"/>
              <w:pageBreakBefore w:val="0"/>
              <w:widowControl/>
              <w:kinsoku/>
              <w:wordWrap/>
              <w:overflowPunct/>
              <w:topLinePunct w:val="0"/>
              <w:bidi w:val="0"/>
              <w:snapToGrid/>
              <w:spacing w:line="400" w:lineRule="exact"/>
              <w:jc w:val="left"/>
              <w:textAlignment w:val="auto"/>
              <w:rPr>
                <w:rFonts w:hint="eastAsia" w:ascii="宋体" w:hAnsi="宋体" w:eastAsia="宋体" w:cs="宋体"/>
                <w:color w:val="auto"/>
                <w:spacing w:val="0"/>
                <w:kern w:val="0"/>
                <w:sz w:val="21"/>
                <w:szCs w:val="21"/>
                <w:highlight w:val="none"/>
                <w:u w:val="none"/>
              </w:rPr>
            </w:pPr>
          </w:p>
        </w:tc>
        <w:tc>
          <w:tcPr>
            <w:tcW w:w="2291" w:type="pct"/>
            <w:tcBorders>
              <w:tl2br w:val="nil"/>
              <w:tr2bl w:val="nil"/>
            </w:tcBorders>
            <w:noWrap w:val="0"/>
            <w:vAlign w:val="center"/>
          </w:tcPr>
          <w:p w14:paraId="3E484C41">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地形数据分辨率/m</w:t>
            </w:r>
          </w:p>
        </w:tc>
        <w:tc>
          <w:tcPr>
            <w:tcW w:w="1126" w:type="pct"/>
            <w:tcBorders>
              <w:tl2br w:val="nil"/>
              <w:tr2bl w:val="nil"/>
            </w:tcBorders>
            <w:noWrap w:val="0"/>
            <w:vAlign w:val="center"/>
          </w:tcPr>
          <w:p w14:paraId="18B4ADCD">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90×90</w:t>
            </w:r>
          </w:p>
        </w:tc>
      </w:tr>
      <w:tr w14:paraId="195B5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vMerge w:val="restart"/>
            <w:tcBorders>
              <w:tl2br w:val="nil"/>
              <w:tr2bl w:val="nil"/>
            </w:tcBorders>
            <w:noWrap w:val="0"/>
            <w:vAlign w:val="center"/>
          </w:tcPr>
          <w:p w14:paraId="063AB557">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9</w:t>
            </w:r>
          </w:p>
        </w:tc>
        <w:tc>
          <w:tcPr>
            <w:tcW w:w="936" w:type="pct"/>
            <w:gridSpan w:val="2"/>
            <w:vMerge w:val="restart"/>
            <w:tcBorders>
              <w:tl2br w:val="nil"/>
              <w:tr2bl w:val="nil"/>
            </w:tcBorders>
            <w:noWrap w:val="0"/>
            <w:vAlign w:val="center"/>
          </w:tcPr>
          <w:p w14:paraId="110CE1DC">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是否考虑岸线</w:t>
            </w:r>
          </w:p>
          <w:p w14:paraId="11332BA0">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熏烟</w:t>
            </w:r>
          </w:p>
        </w:tc>
        <w:tc>
          <w:tcPr>
            <w:tcW w:w="2291" w:type="pct"/>
            <w:tcBorders>
              <w:tl2br w:val="nil"/>
              <w:tr2bl w:val="nil"/>
            </w:tcBorders>
            <w:noWrap w:val="0"/>
            <w:vAlign w:val="center"/>
          </w:tcPr>
          <w:p w14:paraId="1936B9F5">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考虑岸线熏烟</w:t>
            </w:r>
          </w:p>
        </w:tc>
        <w:tc>
          <w:tcPr>
            <w:tcW w:w="1126" w:type="pct"/>
            <w:tcBorders>
              <w:tl2br w:val="nil"/>
              <w:tr2bl w:val="nil"/>
            </w:tcBorders>
            <w:noWrap w:val="0"/>
            <w:vAlign w:val="center"/>
          </w:tcPr>
          <w:p w14:paraId="060A5F3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 xml:space="preserve">是     </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否</w:t>
            </w:r>
          </w:p>
        </w:tc>
      </w:tr>
      <w:tr w14:paraId="0752A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vMerge w:val="continue"/>
            <w:tcBorders>
              <w:tl2br w:val="nil"/>
              <w:tr2bl w:val="nil"/>
            </w:tcBorders>
            <w:noWrap w:val="0"/>
            <w:vAlign w:val="center"/>
          </w:tcPr>
          <w:p w14:paraId="5A44C747">
            <w:pPr>
              <w:keepNext w:val="0"/>
              <w:keepLines w:val="0"/>
              <w:pageBreakBefore w:val="0"/>
              <w:widowControl/>
              <w:kinsoku/>
              <w:wordWrap/>
              <w:overflowPunct/>
              <w:topLinePunct w:val="0"/>
              <w:bidi w:val="0"/>
              <w:snapToGrid/>
              <w:spacing w:line="400" w:lineRule="exact"/>
              <w:jc w:val="left"/>
              <w:textAlignment w:val="auto"/>
              <w:rPr>
                <w:rFonts w:hint="eastAsia" w:ascii="宋体" w:hAnsi="宋体" w:eastAsia="宋体" w:cs="宋体"/>
                <w:color w:val="auto"/>
                <w:spacing w:val="0"/>
                <w:kern w:val="0"/>
                <w:sz w:val="21"/>
                <w:szCs w:val="21"/>
                <w:highlight w:val="none"/>
                <w:u w:val="none"/>
              </w:rPr>
            </w:pPr>
          </w:p>
        </w:tc>
        <w:tc>
          <w:tcPr>
            <w:tcW w:w="936" w:type="pct"/>
            <w:gridSpan w:val="2"/>
            <w:vMerge w:val="continue"/>
            <w:tcBorders>
              <w:tl2br w:val="nil"/>
              <w:tr2bl w:val="nil"/>
            </w:tcBorders>
            <w:noWrap w:val="0"/>
            <w:vAlign w:val="center"/>
          </w:tcPr>
          <w:p w14:paraId="5B4736AA">
            <w:pPr>
              <w:keepNext w:val="0"/>
              <w:keepLines w:val="0"/>
              <w:pageBreakBefore w:val="0"/>
              <w:widowControl/>
              <w:kinsoku/>
              <w:wordWrap/>
              <w:overflowPunct/>
              <w:topLinePunct w:val="0"/>
              <w:bidi w:val="0"/>
              <w:snapToGrid/>
              <w:spacing w:line="400" w:lineRule="exact"/>
              <w:jc w:val="left"/>
              <w:textAlignment w:val="auto"/>
              <w:rPr>
                <w:rFonts w:hint="eastAsia" w:ascii="宋体" w:hAnsi="宋体" w:eastAsia="宋体" w:cs="宋体"/>
                <w:color w:val="auto"/>
                <w:spacing w:val="0"/>
                <w:kern w:val="0"/>
                <w:sz w:val="21"/>
                <w:szCs w:val="21"/>
                <w:highlight w:val="none"/>
                <w:u w:val="none"/>
              </w:rPr>
            </w:pPr>
          </w:p>
        </w:tc>
        <w:tc>
          <w:tcPr>
            <w:tcW w:w="2291" w:type="pct"/>
            <w:tcBorders>
              <w:tl2br w:val="nil"/>
              <w:tr2bl w:val="nil"/>
            </w:tcBorders>
            <w:noWrap w:val="0"/>
            <w:vAlign w:val="center"/>
          </w:tcPr>
          <w:p w14:paraId="1289B8C9">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岸线距离/km</w:t>
            </w:r>
          </w:p>
        </w:tc>
        <w:tc>
          <w:tcPr>
            <w:tcW w:w="1126" w:type="pct"/>
            <w:tcBorders>
              <w:tl2br w:val="nil"/>
              <w:tr2bl w:val="nil"/>
            </w:tcBorders>
            <w:noWrap w:val="0"/>
            <w:vAlign w:val="center"/>
          </w:tcPr>
          <w:p w14:paraId="0CECAE4E">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5B58E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6" w:hRule="atLeast"/>
          <w:jc w:val="center"/>
        </w:trPr>
        <w:tc>
          <w:tcPr>
            <w:tcW w:w="645" w:type="pct"/>
            <w:vMerge w:val="continue"/>
            <w:tcBorders>
              <w:tl2br w:val="nil"/>
              <w:tr2bl w:val="nil"/>
            </w:tcBorders>
            <w:noWrap w:val="0"/>
            <w:vAlign w:val="center"/>
          </w:tcPr>
          <w:p w14:paraId="387CEF3F">
            <w:pPr>
              <w:keepNext w:val="0"/>
              <w:keepLines w:val="0"/>
              <w:pageBreakBefore w:val="0"/>
              <w:widowControl/>
              <w:kinsoku/>
              <w:wordWrap/>
              <w:overflowPunct/>
              <w:topLinePunct w:val="0"/>
              <w:bidi w:val="0"/>
              <w:snapToGrid/>
              <w:spacing w:line="400" w:lineRule="exact"/>
              <w:jc w:val="left"/>
              <w:textAlignment w:val="auto"/>
              <w:rPr>
                <w:rFonts w:hint="eastAsia" w:ascii="宋体" w:hAnsi="宋体" w:eastAsia="宋体" w:cs="宋体"/>
                <w:color w:val="auto"/>
                <w:spacing w:val="0"/>
                <w:kern w:val="0"/>
                <w:sz w:val="21"/>
                <w:szCs w:val="21"/>
                <w:highlight w:val="none"/>
                <w:u w:val="none"/>
              </w:rPr>
            </w:pPr>
          </w:p>
        </w:tc>
        <w:tc>
          <w:tcPr>
            <w:tcW w:w="936" w:type="pct"/>
            <w:gridSpan w:val="2"/>
            <w:vMerge w:val="continue"/>
            <w:tcBorders>
              <w:tl2br w:val="nil"/>
              <w:tr2bl w:val="nil"/>
            </w:tcBorders>
            <w:noWrap w:val="0"/>
            <w:vAlign w:val="center"/>
          </w:tcPr>
          <w:p w14:paraId="6F92DF4E">
            <w:pPr>
              <w:keepNext w:val="0"/>
              <w:keepLines w:val="0"/>
              <w:pageBreakBefore w:val="0"/>
              <w:widowControl/>
              <w:kinsoku/>
              <w:wordWrap/>
              <w:overflowPunct/>
              <w:topLinePunct w:val="0"/>
              <w:bidi w:val="0"/>
              <w:snapToGrid/>
              <w:spacing w:line="400" w:lineRule="exact"/>
              <w:jc w:val="left"/>
              <w:textAlignment w:val="auto"/>
              <w:rPr>
                <w:rFonts w:hint="eastAsia" w:ascii="宋体" w:hAnsi="宋体" w:eastAsia="宋体" w:cs="宋体"/>
                <w:color w:val="auto"/>
                <w:spacing w:val="0"/>
                <w:kern w:val="0"/>
                <w:sz w:val="21"/>
                <w:szCs w:val="21"/>
                <w:highlight w:val="none"/>
                <w:u w:val="none"/>
              </w:rPr>
            </w:pPr>
          </w:p>
        </w:tc>
        <w:tc>
          <w:tcPr>
            <w:tcW w:w="2291" w:type="pct"/>
            <w:tcBorders>
              <w:tl2br w:val="nil"/>
              <w:tr2bl w:val="nil"/>
            </w:tcBorders>
            <w:noWrap w:val="0"/>
            <w:vAlign w:val="center"/>
          </w:tcPr>
          <w:p w14:paraId="3E54AEF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岸线方向/°</w:t>
            </w:r>
          </w:p>
        </w:tc>
        <w:tc>
          <w:tcPr>
            <w:tcW w:w="1126" w:type="pct"/>
            <w:tcBorders>
              <w:tl2br w:val="nil"/>
              <w:tr2bl w:val="nil"/>
            </w:tcBorders>
            <w:noWrap w:val="0"/>
            <w:vAlign w:val="center"/>
          </w:tcPr>
          <w:p w14:paraId="76452330">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bl>
    <w:p w14:paraId="1E7977F2">
      <w:pPr>
        <w:keepNext w:val="0"/>
        <w:keepLines w:val="0"/>
        <w:pageBreakBefore w:val="0"/>
        <w:widowControl/>
        <w:kinsoku/>
        <w:wordWrap/>
        <w:overflowPunct/>
        <w:topLinePunct w:val="0"/>
        <w:autoSpaceDE/>
        <w:autoSpaceDN/>
        <w:bidi w:val="0"/>
        <w:adjustRightInd/>
        <w:snapToGrid/>
        <w:spacing w:before="157" w:beforeLines="50" w:line="480" w:lineRule="exact"/>
        <w:ind w:firstLine="482" w:firstLineChars="20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b/>
          <w:bCs/>
          <w:color w:val="auto"/>
          <w:kern w:val="0"/>
          <w:sz w:val="24"/>
          <w:szCs w:val="24"/>
          <w:highlight w:val="none"/>
          <w:u w:val="none"/>
          <w:lang w:eastAsia="zh-CN"/>
        </w:rPr>
        <w:t>（</w:t>
      </w:r>
      <w:r>
        <w:rPr>
          <w:rFonts w:hint="default" w:ascii="Times New Roman" w:hAnsi="Times New Roman" w:eastAsia="宋体" w:cs="Times New Roman"/>
          <w:b/>
          <w:bCs/>
          <w:color w:val="auto"/>
          <w:kern w:val="0"/>
          <w:sz w:val="24"/>
          <w:szCs w:val="24"/>
          <w:highlight w:val="none"/>
          <w:u w:val="none"/>
          <w:lang w:val="en-US" w:eastAsia="zh-CN"/>
        </w:rPr>
        <w:t>5</w:t>
      </w:r>
      <w:r>
        <w:rPr>
          <w:rFonts w:hint="default" w:ascii="Times New Roman" w:hAnsi="Times New Roman" w:eastAsia="宋体" w:cs="Times New Roman"/>
          <w:b/>
          <w:bCs/>
          <w:color w:val="auto"/>
          <w:kern w:val="0"/>
          <w:sz w:val="24"/>
          <w:szCs w:val="24"/>
          <w:highlight w:val="none"/>
          <w:u w:val="none"/>
          <w:lang w:eastAsia="zh-CN"/>
        </w:rPr>
        <w:t>）</w:t>
      </w:r>
      <w:r>
        <w:rPr>
          <w:rFonts w:hint="default" w:ascii="Times New Roman" w:hAnsi="Times New Roman" w:eastAsia="宋体" w:cs="Times New Roman"/>
          <w:b/>
          <w:bCs/>
          <w:color w:val="auto"/>
          <w:kern w:val="0"/>
          <w:sz w:val="24"/>
          <w:szCs w:val="24"/>
          <w:highlight w:val="none"/>
          <w:u w:val="none"/>
        </w:rPr>
        <w:t>无组织废气环境影响预测</w:t>
      </w:r>
      <w:r>
        <w:rPr>
          <w:rFonts w:hint="default" w:ascii="Times New Roman" w:hAnsi="Times New Roman" w:eastAsia="宋体" w:cs="Times New Roman"/>
          <w:b/>
          <w:bCs/>
          <w:color w:val="auto"/>
          <w:kern w:val="0"/>
          <w:sz w:val="24"/>
          <w:szCs w:val="24"/>
          <w:highlight w:val="none"/>
          <w:u w:val="none"/>
          <w:lang w:val="en-US" w:eastAsia="zh-CN"/>
        </w:rPr>
        <w:t>结果</w:t>
      </w:r>
    </w:p>
    <w:p w14:paraId="5FA6F2CD">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Times New Roman"/>
          <w:color w:val="auto"/>
          <w:kern w:val="0"/>
          <w:sz w:val="24"/>
          <w:szCs w:val="21"/>
          <w:highlight w:val="none"/>
          <w:u w:val="none"/>
        </w:rPr>
      </w:pPr>
      <w:r>
        <w:rPr>
          <w:rFonts w:hint="default" w:ascii="Times New Roman" w:hAnsi="Times New Roman" w:eastAsia="宋体" w:cs="Times New Roman"/>
          <w:color w:val="auto"/>
          <w:kern w:val="0"/>
          <w:sz w:val="24"/>
          <w:szCs w:val="24"/>
          <w:highlight w:val="none"/>
          <w:u w:val="none"/>
          <w:lang w:eastAsia="zh-CN"/>
        </w:rPr>
        <w:t>本工程大气环境影响评价等级为</w:t>
      </w:r>
      <w:r>
        <w:rPr>
          <w:rFonts w:hint="eastAsia" w:cs="Times New Roman"/>
          <w:color w:val="auto"/>
          <w:kern w:val="0"/>
          <w:sz w:val="24"/>
          <w:szCs w:val="24"/>
          <w:highlight w:val="none"/>
          <w:u w:val="none"/>
          <w:lang w:val="en-US" w:eastAsia="zh-CN"/>
        </w:rPr>
        <w:t>二</w:t>
      </w:r>
      <w:r>
        <w:rPr>
          <w:rFonts w:hint="default" w:ascii="Times New Roman" w:hAnsi="Times New Roman" w:eastAsia="宋体" w:cs="Times New Roman"/>
          <w:color w:val="auto"/>
          <w:kern w:val="0"/>
          <w:sz w:val="24"/>
          <w:szCs w:val="24"/>
          <w:highlight w:val="none"/>
          <w:u w:val="none"/>
          <w:lang w:eastAsia="zh-CN"/>
        </w:rPr>
        <w:t>级。根据《环境影响评价技术导则 大气环境》（HJ2.2-2018）的相关规定：“</w:t>
      </w:r>
      <w:r>
        <w:rPr>
          <w:rFonts w:hint="eastAsia" w:cs="Times New Roman"/>
          <w:color w:val="auto"/>
          <w:kern w:val="0"/>
          <w:sz w:val="24"/>
          <w:szCs w:val="24"/>
          <w:highlight w:val="none"/>
          <w:u w:val="none"/>
          <w:lang w:val="en-US" w:eastAsia="zh-CN"/>
        </w:rPr>
        <w:t>二</w:t>
      </w:r>
      <w:r>
        <w:rPr>
          <w:rFonts w:hint="default" w:ascii="Times New Roman" w:hAnsi="Times New Roman" w:eastAsia="宋体" w:cs="Times New Roman"/>
          <w:color w:val="auto"/>
          <w:kern w:val="0"/>
          <w:sz w:val="24"/>
          <w:szCs w:val="24"/>
          <w:highlight w:val="none"/>
          <w:u w:val="none"/>
          <w:lang w:eastAsia="zh-CN"/>
        </w:rPr>
        <w:t>级评价项目不进行进一步预测</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只对污染物排放量进行核算</w:t>
      </w:r>
      <w:r>
        <w:rPr>
          <w:rFonts w:hint="default" w:ascii="Times New Roman" w:hAnsi="Times New Roman" w:eastAsia="宋体" w:cs="Times New Roman"/>
          <w:color w:val="auto"/>
          <w:kern w:val="0"/>
          <w:sz w:val="24"/>
          <w:szCs w:val="24"/>
          <w:highlight w:val="none"/>
          <w:u w:val="none"/>
          <w:lang w:eastAsia="zh-CN"/>
        </w:rPr>
        <w:t>”。故本次只对采用AERSCREEN模式预测的结果进行评价，不进行进一步预测。</w:t>
      </w:r>
      <w:r>
        <w:rPr>
          <w:rFonts w:hint="default" w:ascii="Times New Roman" w:hAnsi="Times New Roman" w:eastAsia="宋体" w:cs="Times New Roman"/>
          <w:color w:val="auto"/>
          <w:kern w:val="0"/>
          <w:sz w:val="24"/>
          <w:szCs w:val="24"/>
          <w:highlight w:val="none"/>
          <w:u w:val="none"/>
        </w:rPr>
        <w:t>估算模式预测结果</w:t>
      </w:r>
      <w:r>
        <w:rPr>
          <w:rFonts w:hint="eastAsia"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见表</w:t>
      </w:r>
      <w:r>
        <w:rPr>
          <w:rFonts w:hint="default" w:ascii="Times New Roman" w:hAnsi="Times New Roman" w:eastAsia="宋体" w:cs="Times New Roman"/>
          <w:b w:val="0"/>
          <w:bCs/>
          <w:color w:val="auto"/>
          <w:kern w:val="0"/>
          <w:sz w:val="24"/>
          <w:szCs w:val="24"/>
          <w:highlight w:val="none"/>
          <w:u w:val="none"/>
        </w:rPr>
        <w:t>5.</w:t>
      </w:r>
      <w:r>
        <w:rPr>
          <w:rFonts w:hint="eastAsia" w:cs="Times New Roman"/>
          <w:b w:val="0"/>
          <w:bCs/>
          <w:color w:val="auto"/>
          <w:kern w:val="0"/>
          <w:sz w:val="24"/>
          <w:szCs w:val="24"/>
          <w:highlight w:val="none"/>
          <w:u w:val="none"/>
          <w:lang w:val="en-US" w:eastAsia="zh-CN"/>
        </w:rPr>
        <w:t>5</w:t>
      </w:r>
      <w:r>
        <w:rPr>
          <w:rFonts w:hint="default" w:ascii="Times New Roman" w:hAnsi="Times New Roman" w:eastAsia="宋体" w:cs="Times New Roman"/>
          <w:b w:val="0"/>
          <w:bCs/>
          <w:color w:val="auto"/>
          <w:kern w:val="0"/>
          <w:sz w:val="24"/>
          <w:szCs w:val="24"/>
          <w:highlight w:val="none"/>
          <w:u w:val="none"/>
        </w:rPr>
        <w:t>-</w:t>
      </w:r>
      <w:r>
        <w:rPr>
          <w:rFonts w:hint="eastAsia" w:cs="Times New Roman"/>
          <w:b w:val="0"/>
          <w:bCs/>
          <w:color w:val="auto"/>
          <w:kern w:val="0"/>
          <w:sz w:val="24"/>
          <w:szCs w:val="24"/>
          <w:highlight w:val="none"/>
          <w:u w:val="none"/>
          <w:lang w:val="en-US" w:eastAsia="zh-CN"/>
        </w:rPr>
        <w:t>3、5.5-4、5.5-5</w:t>
      </w:r>
      <w:r>
        <w:rPr>
          <w:rFonts w:hint="default" w:ascii="Times New Roman" w:hAnsi="Times New Roman" w:eastAsia="宋体" w:cs="Times New Roman"/>
          <w:b w:val="0"/>
          <w:bCs/>
          <w:color w:val="auto"/>
          <w:kern w:val="0"/>
          <w:sz w:val="24"/>
          <w:szCs w:val="24"/>
          <w:highlight w:val="none"/>
          <w:u w:val="none"/>
        </w:rPr>
        <w:t>。</w:t>
      </w:r>
    </w:p>
    <w:p w14:paraId="5F8C1B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color w:val="auto"/>
          <w:kern w:val="0"/>
          <w:sz w:val="21"/>
          <w:szCs w:val="21"/>
          <w:highlight w:val="none"/>
          <w:u w:val="none"/>
          <w:lang w:val="en-US" w:eastAsia="zh-CN" w:bidi="ar-SA"/>
        </w:rPr>
      </w:pPr>
      <w:r>
        <w:rPr>
          <w:rFonts w:hint="default" w:ascii="黑体" w:hAnsi="黑体" w:eastAsia="黑体" w:cs="黑体"/>
          <w:b w:val="0"/>
          <w:bCs/>
          <w:color w:val="auto"/>
          <w:kern w:val="2"/>
          <w:sz w:val="24"/>
          <w:szCs w:val="24"/>
          <w:highlight w:val="none"/>
          <w:u w:val="none"/>
          <w:lang w:val="en-US" w:eastAsia="zh-CN" w:bidi="ar-SA"/>
        </w:rPr>
        <w:t>表5.</w:t>
      </w:r>
      <w:r>
        <w:rPr>
          <w:rFonts w:hint="eastAsia" w:ascii="黑体" w:hAnsi="黑体" w:eastAsia="黑体" w:cs="黑体"/>
          <w:b w:val="0"/>
          <w:bCs/>
          <w:color w:val="auto"/>
          <w:kern w:val="2"/>
          <w:sz w:val="24"/>
          <w:szCs w:val="24"/>
          <w:highlight w:val="none"/>
          <w:u w:val="none"/>
          <w:lang w:val="en-US" w:eastAsia="zh-CN" w:bidi="ar-SA"/>
        </w:rPr>
        <w:t>5</w:t>
      </w:r>
      <w:r>
        <w:rPr>
          <w:rFonts w:hint="default" w:ascii="黑体" w:hAnsi="黑体" w:eastAsia="黑体" w:cs="黑体"/>
          <w:b w:val="0"/>
          <w:bCs/>
          <w:color w:val="auto"/>
          <w:kern w:val="2"/>
          <w:sz w:val="24"/>
          <w:szCs w:val="24"/>
          <w:highlight w:val="none"/>
          <w:u w:val="none"/>
          <w:lang w:val="en-US" w:eastAsia="zh-CN" w:bidi="ar-SA"/>
        </w:rPr>
        <w:t>-</w:t>
      </w:r>
      <w:r>
        <w:rPr>
          <w:rFonts w:hint="eastAsia" w:ascii="黑体" w:hAnsi="黑体" w:eastAsia="黑体" w:cs="黑体"/>
          <w:b w:val="0"/>
          <w:bCs/>
          <w:color w:val="auto"/>
          <w:kern w:val="2"/>
          <w:sz w:val="24"/>
          <w:szCs w:val="24"/>
          <w:highlight w:val="none"/>
          <w:u w:val="none"/>
          <w:lang w:val="en-US" w:eastAsia="zh-CN" w:bidi="ar-SA"/>
        </w:rPr>
        <w:t>3   MBHW6009井</w:t>
      </w:r>
      <w:r>
        <w:rPr>
          <w:rFonts w:hint="default" w:ascii="黑体" w:hAnsi="黑体" w:eastAsia="黑体" w:cs="黑体"/>
          <w:b w:val="0"/>
          <w:bCs/>
          <w:color w:val="auto"/>
          <w:kern w:val="2"/>
          <w:sz w:val="24"/>
          <w:szCs w:val="24"/>
          <w:highlight w:val="none"/>
          <w:u w:val="none"/>
          <w:lang w:val="en-US" w:eastAsia="zh-CN" w:bidi="ar-SA"/>
        </w:rPr>
        <w:t>估算模式预测污染物扩散结果</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19"/>
        <w:gridCol w:w="1454"/>
        <w:gridCol w:w="992"/>
        <w:gridCol w:w="1737"/>
        <w:gridCol w:w="1409"/>
        <w:gridCol w:w="963"/>
      </w:tblGrid>
      <w:tr w14:paraId="231D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2CA7A5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MBHW6009井</w:t>
            </w:r>
          </w:p>
        </w:tc>
      </w:tr>
      <w:tr w14:paraId="3E7F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32" w:type="pct"/>
            <w:gridSpan w:val="3"/>
            <w:tcBorders>
              <w:top w:val="single" w:color="auto" w:sz="4" w:space="0"/>
              <w:left w:val="single" w:color="auto" w:sz="4" w:space="0"/>
              <w:right w:val="single" w:color="auto" w:sz="4" w:space="0"/>
            </w:tcBorders>
            <w:noWrap w:val="0"/>
            <w:vAlign w:val="center"/>
          </w:tcPr>
          <w:p w14:paraId="632B04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NMHC</w:t>
            </w:r>
          </w:p>
        </w:tc>
        <w:tc>
          <w:tcPr>
            <w:tcW w:w="2367" w:type="pct"/>
            <w:gridSpan w:val="3"/>
            <w:tcBorders>
              <w:top w:val="single" w:color="auto" w:sz="4" w:space="0"/>
              <w:left w:val="single" w:color="auto" w:sz="4" w:space="0"/>
              <w:bottom w:val="single" w:color="auto" w:sz="4" w:space="0"/>
              <w:right w:val="single" w:color="auto" w:sz="4" w:space="0"/>
            </w:tcBorders>
            <w:noWrap w:val="0"/>
            <w:vAlign w:val="center"/>
          </w:tcPr>
          <w:p w14:paraId="3512EC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H</w:t>
            </w:r>
            <w:r>
              <w:rPr>
                <w:rFonts w:hint="eastAsia" w:ascii="宋体" w:hAnsi="宋体" w:eastAsia="宋体" w:cs="宋体"/>
                <w:b w:val="0"/>
                <w:bCs w:val="0"/>
                <w:color w:val="auto"/>
                <w:sz w:val="21"/>
                <w:szCs w:val="21"/>
                <w:highlight w:val="none"/>
                <w:u w:val="none"/>
                <w:vertAlign w:val="subscript"/>
                <w:lang w:val="en-US" w:eastAsia="zh-CN"/>
              </w:rPr>
              <w:t>2</w:t>
            </w:r>
            <w:r>
              <w:rPr>
                <w:rFonts w:hint="eastAsia" w:ascii="宋体" w:hAnsi="宋体" w:eastAsia="宋体" w:cs="宋体"/>
                <w:b w:val="0"/>
                <w:bCs w:val="0"/>
                <w:color w:val="auto"/>
                <w:sz w:val="21"/>
                <w:szCs w:val="21"/>
                <w:highlight w:val="none"/>
                <w:u w:val="none"/>
                <w:lang w:val="en-US" w:eastAsia="zh-CN"/>
              </w:rPr>
              <w:t>S</w:t>
            </w:r>
          </w:p>
        </w:tc>
      </w:tr>
      <w:tr w14:paraId="3EF2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54C5EE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距源中心下风向距离(m)</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09011D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下风向预测浓度（mg/m</w:t>
            </w:r>
            <w:r>
              <w:rPr>
                <w:rFonts w:hint="eastAsia" w:ascii="宋体" w:hAnsi="宋体" w:eastAsia="宋体" w:cs="宋体"/>
                <w:b w:val="0"/>
                <w:bCs w:val="0"/>
                <w:color w:val="auto"/>
                <w:sz w:val="21"/>
                <w:szCs w:val="21"/>
                <w:highlight w:val="none"/>
                <w:u w:val="none"/>
                <w:vertAlign w:val="superscript"/>
                <w:lang w:val="en-US" w:eastAsia="zh-CN"/>
              </w:rPr>
              <w:t>3</w:t>
            </w:r>
            <w:r>
              <w:rPr>
                <w:rFonts w:hint="eastAsia" w:ascii="宋体" w:hAnsi="宋体" w:eastAsia="宋体" w:cs="宋体"/>
                <w:b w:val="0"/>
                <w:bCs w:val="0"/>
                <w:color w:val="auto"/>
                <w:sz w:val="21"/>
                <w:szCs w:val="21"/>
                <w:highlight w:val="none"/>
                <w:u w:val="none"/>
                <w:lang w:val="en-US" w:eastAsia="zh-CN"/>
              </w:rPr>
              <w:t>）</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371BD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占标率（%）</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4E5102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距源中心下风向距离(m)</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7FF584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下风向预测浓度（mg/m</w:t>
            </w:r>
            <w:r>
              <w:rPr>
                <w:rFonts w:hint="eastAsia" w:ascii="宋体" w:hAnsi="宋体" w:eastAsia="宋体" w:cs="宋体"/>
                <w:b w:val="0"/>
                <w:bCs w:val="0"/>
                <w:color w:val="auto"/>
                <w:sz w:val="21"/>
                <w:szCs w:val="21"/>
                <w:highlight w:val="none"/>
                <w:u w:val="none"/>
                <w:vertAlign w:val="superscript"/>
                <w:lang w:val="en-US" w:eastAsia="zh-CN"/>
              </w:rPr>
              <w:t>3</w:t>
            </w:r>
            <w:r>
              <w:rPr>
                <w:rFonts w:hint="eastAsia" w:ascii="宋体" w:hAnsi="宋体" w:eastAsia="宋体" w:cs="宋体"/>
                <w:b w:val="0"/>
                <w:bCs w:val="0"/>
                <w:color w:val="auto"/>
                <w:sz w:val="21"/>
                <w:szCs w:val="21"/>
                <w:highlight w:val="none"/>
                <w:u w:val="none"/>
                <w:lang w:val="en-US" w:eastAsia="zh-CN"/>
              </w:rPr>
              <w:t>）</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5036C6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占标率（%）</w:t>
            </w:r>
          </w:p>
        </w:tc>
      </w:tr>
      <w:tr w14:paraId="516A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3C5B85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10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170AD4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u w:val="none"/>
                <w:lang w:val="en-US" w:eastAsia="zh-CN" w:bidi="ar"/>
              </w:rPr>
              <w:t>0.039429</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06F70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u w:val="none"/>
                <w:lang w:val="en-US" w:eastAsia="zh-CN" w:bidi="ar"/>
              </w:rPr>
              <w:t>1.97</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5042D2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61F964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0.000008</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6F5626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0.08</w:t>
            </w:r>
          </w:p>
        </w:tc>
      </w:tr>
      <w:tr w14:paraId="11B5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268374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i w:val="0"/>
                <w:iCs w:val="0"/>
                <w:color w:val="auto"/>
                <w:kern w:val="0"/>
                <w:sz w:val="21"/>
                <w:szCs w:val="21"/>
                <w:u w:val="none"/>
                <w:lang w:val="en-US" w:eastAsia="zh-CN" w:bidi="ar"/>
              </w:rPr>
              <w:t>20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90DD7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i w:val="0"/>
                <w:iCs w:val="0"/>
                <w:color w:val="auto"/>
                <w:kern w:val="0"/>
                <w:sz w:val="21"/>
                <w:szCs w:val="21"/>
                <w:u w:val="none"/>
                <w:lang w:val="en-US" w:eastAsia="zh-CN" w:bidi="ar"/>
              </w:rPr>
              <w:t>0.050742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FA718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i w:val="0"/>
                <w:iCs w:val="0"/>
                <w:color w:val="auto"/>
                <w:kern w:val="0"/>
                <w:sz w:val="21"/>
                <w:szCs w:val="21"/>
                <w:u w:val="none"/>
                <w:lang w:val="en-US" w:eastAsia="zh-CN" w:bidi="ar"/>
              </w:rPr>
              <w:t>2.54</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22A9D3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20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54D57A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0.00001</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3A7057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0.1</w:t>
            </w:r>
          </w:p>
        </w:tc>
      </w:tr>
      <w:tr w14:paraId="2830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380D93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u w:val="none"/>
                <w:lang w:val="en-US" w:eastAsia="zh-CN" w:bidi="ar"/>
              </w:rPr>
              <w:t>25</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0368AC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u w:val="none"/>
                <w:lang w:val="en-US" w:eastAsia="zh-CN" w:bidi="ar"/>
              </w:rPr>
              <w:t>0.046538</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A4739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u w:val="none"/>
                <w:lang w:val="en-US" w:eastAsia="zh-CN" w:bidi="ar"/>
              </w:rPr>
              <w:t>2.33</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78D1D4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25</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6CDAE1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0.000009</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5ECEBB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0.09</w:t>
            </w:r>
          </w:p>
        </w:tc>
      </w:tr>
      <w:tr w14:paraId="68B3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34D286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50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4160FC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0.031834</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249D4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1.59</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3ADA49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20EFE2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0.000006</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7B9F1C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0.06</w:t>
            </w:r>
          </w:p>
        </w:tc>
      </w:tr>
      <w:tr w14:paraId="0285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148F3B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75</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6A0FB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0.030234</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1F957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1.51</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3D6E91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75</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2B91FC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0.000006</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15FC3B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0.06</w:t>
            </w:r>
          </w:p>
        </w:tc>
      </w:tr>
      <w:tr w14:paraId="52E7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5D79C0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100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8BBCF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0.028312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1C640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1.42</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632E72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45413F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0.000006</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10DF3D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0.06</w:t>
            </w:r>
          </w:p>
        </w:tc>
      </w:tr>
      <w:tr w14:paraId="309B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4254CD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400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43450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0.012955</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57519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0.65</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5CEF51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5D23A0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0.000003</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118384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0.03</w:t>
            </w:r>
          </w:p>
        </w:tc>
      </w:tr>
      <w:tr w14:paraId="0C5E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33FE2E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800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0A9EF2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0.007748</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01A46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0.39</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5D864A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7DD416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0.000002</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1A444B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0.02</w:t>
            </w:r>
          </w:p>
        </w:tc>
      </w:tr>
      <w:tr w14:paraId="4BCA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36E561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1200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AAA2E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0.005287</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B2055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0.26</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10AB3F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2F3113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0.000001</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2F2C06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0.01</w:t>
            </w:r>
          </w:p>
        </w:tc>
      </w:tr>
      <w:tr w14:paraId="49BF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452B09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1600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FE6CC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0.00391</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AC84F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0.2</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777B46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1600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1B1D56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0.000001</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3BFE50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0.01</w:t>
            </w:r>
          </w:p>
        </w:tc>
      </w:tr>
      <w:tr w14:paraId="419B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502376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2000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70BFD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0.003052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23DC7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0.15</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272A9F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2000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47BE1A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0.000001</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03191F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0.01</w:t>
            </w:r>
          </w:p>
        </w:tc>
      </w:tr>
      <w:tr w14:paraId="10CC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599A4B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2200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58C2F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0.002737</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13224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0.14</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82043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2200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135B1A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0.000001</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31DCD0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0.01</w:t>
            </w:r>
          </w:p>
        </w:tc>
      </w:tr>
      <w:tr w14:paraId="671F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495303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2500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88339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0.002359</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CDF61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i w:val="0"/>
                <w:iCs w:val="0"/>
                <w:color w:val="auto"/>
                <w:kern w:val="0"/>
                <w:sz w:val="21"/>
                <w:szCs w:val="21"/>
                <w:u w:val="none"/>
                <w:lang w:val="en-US" w:eastAsia="zh-CN" w:bidi="ar"/>
              </w:rPr>
              <w:t>0.12</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491B12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2500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228D37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w:t>
            </w:r>
          </w:p>
        </w:tc>
        <w:tc>
          <w:tcPr>
            <w:tcW w:w="553" w:type="pct"/>
            <w:tcBorders>
              <w:top w:val="single" w:color="auto" w:sz="4" w:space="0"/>
              <w:left w:val="single" w:color="auto" w:sz="4" w:space="0"/>
              <w:bottom w:val="single" w:color="auto" w:sz="4" w:space="0"/>
              <w:right w:val="single" w:color="auto" w:sz="4" w:space="0"/>
            </w:tcBorders>
            <w:noWrap w:val="0"/>
            <w:vAlign w:val="center"/>
          </w:tcPr>
          <w:p w14:paraId="711CC6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w:t>
            </w:r>
          </w:p>
        </w:tc>
      </w:tr>
      <w:tr w14:paraId="2DFC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1409A6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下风向最大地面空气质量浓度及占标率%</w:t>
            </w:r>
          </w:p>
        </w:tc>
        <w:tc>
          <w:tcPr>
            <w:tcW w:w="1454" w:type="dxa"/>
            <w:tcBorders>
              <w:top w:val="single" w:color="auto" w:sz="4" w:space="0"/>
              <w:left w:val="single" w:color="auto" w:sz="4" w:space="0"/>
              <w:bottom w:val="single" w:color="auto" w:sz="4" w:space="0"/>
              <w:right w:val="single" w:color="auto" w:sz="4" w:space="0"/>
            </w:tcBorders>
            <w:noWrap w:val="0"/>
            <w:vAlign w:val="center"/>
          </w:tcPr>
          <w:p w14:paraId="7AB949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bCs/>
                <w:i w:val="0"/>
                <w:iCs w:val="0"/>
                <w:color w:val="auto"/>
                <w:kern w:val="0"/>
                <w:sz w:val="21"/>
                <w:szCs w:val="21"/>
                <w:u w:val="none"/>
                <w:lang w:val="en-US" w:eastAsia="zh-CN" w:bidi="ar"/>
              </w:rPr>
              <w:t>0.050742</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4DAA9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rPr>
            </w:pPr>
            <w:r>
              <w:rPr>
                <w:rFonts w:hint="eastAsia" w:ascii="宋体" w:hAnsi="宋体" w:eastAsia="宋体" w:cs="宋体"/>
                <w:b/>
                <w:bCs/>
                <w:i w:val="0"/>
                <w:iCs w:val="0"/>
                <w:color w:val="auto"/>
                <w:kern w:val="0"/>
                <w:sz w:val="21"/>
                <w:szCs w:val="21"/>
                <w:u w:val="none"/>
                <w:lang w:val="en-US" w:eastAsia="zh-CN" w:bidi="ar"/>
              </w:rPr>
              <w:t>2.54</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8B8D5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color w:val="auto"/>
                <w:sz w:val="21"/>
                <w:szCs w:val="21"/>
                <w:highlight w:val="none"/>
                <w:u w:val="none"/>
                <w:lang w:val="en-US" w:eastAsia="zh-CN"/>
              </w:rPr>
              <w:t>下风向最大地面空气质量浓度及占标率%</w:t>
            </w:r>
          </w:p>
        </w:tc>
        <w:tc>
          <w:tcPr>
            <w:tcW w:w="1409" w:type="dxa"/>
            <w:tcBorders>
              <w:top w:val="single" w:color="auto" w:sz="4" w:space="0"/>
              <w:left w:val="single" w:color="auto" w:sz="4" w:space="0"/>
              <w:bottom w:val="single" w:color="auto" w:sz="4" w:space="0"/>
              <w:right w:val="single" w:color="auto" w:sz="4" w:space="0"/>
            </w:tcBorders>
            <w:noWrap w:val="0"/>
            <w:vAlign w:val="center"/>
          </w:tcPr>
          <w:p w14:paraId="64FEEB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0.00001</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389074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0.1</w:t>
            </w:r>
          </w:p>
        </w:tc>
      </w:tr>
      <w:tr w14:paraId="0633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7EB64E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D10%最远距离（m）</w:t>
            </w:r>
          </w:p>
        </w:tc>
        <w:tc>
          <w:tcPr>
            <w:tcW w:w="1409" w:type="pct"/>
            <w:gridSpan w:val="2"/>
            <w:tcBorders>
              <w:top w:val="single" w:color="auto" w:sz="4" w:space="0"/>
              <w:left w:val="single" w:color="auto" w:sz="4" w:space="0"/>
              <w:bottom w:val="single" w:color="auto" w:sz="4" w:space="0"/>
              <w:right w:val="single" w:color="auto" w:sz="4" w:space="0"/>
            </w:tcBorders>
            <w:noWrap w:val="0"/>
            <w:vAlign w:val="center"/>
          </w:tcPr>
          <w:p w14:paraId="466FAB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74F705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D10%最远距离（m）</w:t>
            </w:r>
          </w:p>
        </w:tc>
        <w:tc>
          <w:tcPr>
            <w:tcW w:w="1366" w:type="pct"/>
            <w:gridSpan w:val="2"/>
            <w:tcBorders>
              <w:top w:val="single" w:color="auto" w:sz="4" w:space="0"/>
              <w:left w:val="single" w:color="auto" w:sz="4" w:space="0"/>
              <w:bottom w:val="single" w:color="auto" w:sz="4" w:space="0"/>
              <w:right w:val="single" w:color="auto" w:sz="4" w:space="0"/>
            </w:tcBorders>
            <w:noWrap w:val="0"/>
            <w:vAlign w:val="center"/>
          </w:tcPr>
          <w:p w14:paraId="6A3DE5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r>
      <w:tr w14:paraId="1BBE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157F10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最大落地空气质量浓度距源距离（m）</w:t>
            </w:r>
          </w:p>
        </w:tc>
        <w:tc>
          <w:tcPr>
            <w:tcW w:w="1409" w:type="pct"/>
            <w:gridSpan w:val="2"/>
            <w:tcBorders>
              <w:top w:val="single" w:color="auto" w:sz="4" w:space="0"/>
              <w:left w:val="single" w:color="auto" w:sz="4" w:space="0"/>
              <w:bottom w:val="single" w:color="auto" w:sz="4" w:space="0"/>
              <w:right w:val="single" w:color="auto" w:sz="4" w:space="0"/>
            </w:tcBorders>
            <w:noWrap w:val="0"/>
            <w:vAlign w:val="center"/>
          </w:tcPr>
          <w:p w14:paraId="20F8B9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617584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最大落地空气质量浓度距源距离（m）</w:t>
            </w:r>
          </w:p>
        </w:tc>
        <w:tc>
          <w:tcPr>
            <w:tcW w:w="1366" w:type="pct"/>
            <w:gridSpan w:val="2"/>
            <w:tcBorders>
              <w:top w:val="single" w:color="auto" w:sz="4" w:space="0"/>
              <w:left w:val="single" w:color="auto" w:sz="4" w:space="0"/>
              <w:bottom w:val="single" w:color="auto" w:sz="4" w:space="0"/>
              <w:right w:val="single" w:color="auto" w:sz="4" w:space="0"/>
            </w:tcBorders>
            <w:noWrap w:val="0"/>
            <w:vAlign w:val="center"/>
          </w:tcPr>
          <w:p w14:paraId="3E1718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r>
    </w:tbl>
    <w:p w14:paraId="0BCD92EE">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宋体" w:hAnsi="宋体" w:eastAsia="宋体" w:cs="宋体"/>
          <w:b/>
          <w:color w:val="auto"/>
          <w:kern w:val="0"/>
          <w:sz w:val="21"/>
          <w:szCs w:val="21"/>
          <w:highlight w:val="none"/>
          <w:u w:val="none"/>
          <w:lang w:val="en-US" w:eastAsia="zh-CN" w:bidi="ar-SA"/>
        </w:rPr>
      </w:pPr>
      <w:r>
        <w:rPr>
          <w:rFonts w:hint="default" w:ascii="黑体" w:hAnsi="黑体" w:eastAsia="黑体" w:cs="黑体"/>
          <w:b w:val="0"/>
          <w:bCs/>
          <w:color w:val="auto"/>
          <w:kern w:val="2"/>
          <w:sz w:val="24"/>
          <w:szCs w:val="24"/>
          <w:highlight w:val="none"/>
          <w:u w:val="none"/>
          <w:lang w:val="en-US" w:eastAsia="zh-CN" w:bidi="ar-SA"/>
        </w:rPr>
        <w:t>表5.</w:t>
      </w:r>
      <w:r>
        <w:rPr>
          <w:rFonts w:hint="eastAsia" w:ascii="黑体" w:hAnsi="黑体" w:eastAsia="黑体" w:cs="黑体"/>
          <w:b w:val="0"/>
          <w:bCs/>
          <w:color w:val="auto"/>
          <w:kern w:val="2"/>
          <w:sz w:val="24"/>
          <w:szCs w:val="24"/>
          <w:highlight w:val="none"/>
          <w:u w:val="none"/>
          <w:lang w:val="en-US" w:eastAsia="zh-CN" w:bidi="ar-SA"/>
        </w:rPr>
        <w:t>5</w:t>
      </w:r>
      <w:r>
        <w:rPr>
          <w:rFonts w:hint="default" w:ascii="黑体" w:hAnsi="黑体" w:eastAsia="黑体" w:cs="黑体"/>
          <w:b w:val="0"/>
          <w:bCs/>
          <w:color w:val="auto"/>
          <w:kern w:val="2"/>
          <w:sz w:val="24"/>
          <w:szCs w:val="24"/>
          <w:highlight w:val="none"/>
          <w:u w:val="none"/>
          <w:lang w:val="en-US" w:eastAsia="zh-CN" w:bidi="ar-SA"/>
        </w:rPr>
        <w:t>-</w:t>
      </w:r>
      <w:r>
        <w:rPr>
          <w:rFonts w:hint="eastAsia" w:ascii="黑体" w:hAnsi="黑体" w:eastAsia="黑体" w:cs="黑体"/>
          <w:b w:val="0"/>
          <w:bCs/>
          <w:color w:val="auto"/>
          <w:kern w:val="2"/>
          <w:sz w:val="24"/>
          <w:szCs w:val="24"/>
          <w:highlight w:val="none"/>
          <w:u w:val="none"/>
          <w:lang w:val="en-US" w:eastAsia="zh-CN" w:bidi="ar-SA"/>
        </w:rPr>
        <w:t>4   MBHW6006</w:t>
      </w:r>
      <w:r>
        <w:rPr>
          <w:rFonts w:hint="default" w:ascii="黑体" w:hAnsi="黑体" w:eastAsia="黑体" w:cs="黑体"/>
          <w:b w:val="0"/>
          <w:bCs/>
          <w:color w:val="auto"/>
          <w:kern w:val="2"/>
          <w:sz w:val="24"/>
          <w:szCs w:val="24"/>
          <w:highlight w:val="none"/>
          <w:u w:val="none"/>
          <w:lang w:val="en-US" w:eastAsia="zh-CN" w:bidi="ar-SA"/>
        </w:rPr>
        <w:t>估算模式预测污染物扩散结果</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17"/>
        <w:gridCol w:w="1454"/>
        <w:gridCol w:w="992"/>
        <w:gridCol w:w="1737"/>
        <w:gridCol w:w="1409"/>
        <w:gridCol w:w="965"/>
      </w:tblGrid>
      <w:tr w14:paraId="5E8B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5730A1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MBHW6006</w:t>
            </w:r>
          </w:p>
        </w:tc>
      </w:tr>
      <w:tr w14:paraId="4E59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31" w:type="pct"/>
            <w:gridSpan w:val="3"/>
            <w:tcBorders>
              <w:top w:val="single" w:color="auto" w:sz="4" w:space="0"/>
              <w:left w:val="single" w:color="auto" w:sz="4" w:space="0"/>
              <w:right w:val="single" w:color="auto" w:sz="4" w:space="0"/>
            </w:tcBorders>
            <w:noWrap w:val="0"/>
            <w:vAlign w:val="center"/>
          </w:tcPr>
          <w:p w14:paraId="63D6B3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NMHC</w:t>
            </w:r>
          </w:p>
        </w:tc>
        <w:tc>
          <w:tcPr>
            <w:tcW w:w="2368" w:type="pct"/>
            <w:gridSpan w:val="3"/>
            <w:tcBorders>
              <w:top w:val="single" w:color="auto" w:sz="4" w:space="0"/>
              <w:left w:val="single" w:color="auto" w:sz="4" w:space="0"/>
              <w:bottom w:val="single" w:color="auto" w:sz="4" w:space="0"/>
              <w:right w:val="single" w:color="auto" w:sz="4" w:space="0"/>
            </w:tcBorders>
            <w:noWrap w:val="0"/>
            <w:vAlign w:val="center"/>
          </w:tcPr>
          <w:p w14:paraId="3EF338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H</w:t>
            </w:r>
            <w:r>
              <w:rPr>
                <w:rFonts w:hint="eastAsia" w:ascii="宋体" w:hAnsi="宋体" w:eastAsia="宋体" w:cs="宋体"/>
                <w:b w:val="0"/>
                <w:bCs w:val="0"/>
                <w:color w:val="auto"/>
                <w:sz w:val="21"/>
                <w:szCs w:val="21"/>
                <w:highlight w:val="none"/>
                <w:u w:val="none"/>
                <w:vertAlign w:val="subscript"/>
                <w:lang w:val="en-US" w:eastAsia="zh-CN"/>
              </w:rPr>
              <w:t>2</w:t>
            </w:r>
            <w:r>
              <w:rPr>
                <w:rFonts w:hint="eastAsia" w:ascii="宋体" w:hAnsi="宋体" w:eastAsia="宋体" w:cs="宋体"/>
                <w:b w:val="0"/>
                <w:bCs w:val="0"/>
                <w:color w:val="auto"/>
                <w:sz w:val="21"/>
                <w:szCs w:val="21"/>
                <w:highlight w:val="none"/>
                <w:u w:val="none"/>
                <w:lang w:val="en-US" w:eastAsia="zh-CN"/>
              </w:rPr>
              <w:t>S</w:t>
            </w:r>
          </w:p>
        </w:tc>
      </w:tr>
      <w:tr w14:paraId="5819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3981A7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距源中心下风向距离(m)</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409D98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下风向预测浓度（mg/m</w:t>
            </w:r>
            <w:r>
              <w:rPr>
                <w:rFonts w:hint="eastAsia" w:ascii="宋体" w:hAnsi="宋体" w:eastAsia="宋体" w:cs="宋体"/>
                <w:b w:val="0"/>
                <w:bCs w:val="0"/>
                <w:color w:val="auto"/>
                <w:sz w:val="21"/>
                <w:szCs w:val="21"/>
                <w:highlight w:val="none"/>
                <w:u w:val="none"/>
                <w:vertAlign w:val="superscript"/>
                <w:lang w:val="en-US" w:eastAsia="zh-CN"/>
              </w:rPr>
              <w:t>3</w:t>
            </w:r>
            <w:r>
              <w:rPr>
                <w:rFonts w:hint="eastAsia" w:ascii="宋体" w:hAnsi="宋体" w:eastAsia="宋体" w:cs="宋体"/>
                <w:b w:val="0"/>
                <w:bCs w:val="0"/>
                <w:color w:val="auto"/>
                <w:sz w:val="21"/>
                <w:szCs w:val="21"/>
                <w:highlight w:val="none"/>
                <w:u w:val="none"/>
                <w:lang w:val="en-US" w:eastAsia="zh-CN"/>
              </w:rPr>
              <w:t>）</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F9284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占标率（%）</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4469CE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距源中心下风向距离(m)</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74CBA8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下风向预测浓度（mg/m</w:t>
            </w:r>
            <w:r>
              <w:rPr>
                <w:rFonts w:hint="eastAsia" w:ascii="宋体" w:hAnsi="宋体" w:eastAsia="宋体" w:cs="宋体"/>
                <w:b w:val="0"/>
                <w:bCs w:val="0"/>
                <w:color w:val="auto"/>
                <w:sz w:val="21"/>
                <w:szCs w:val="21"/>
                <w:highlight w:val="none"/>
                <w:u w:val="none"/>
                <w:vertAlign w:val="superscript"/>
                <w:lang w:val="en-US" w:eastAsia="zh-CN"/>
              </w:rPr>
              <w:t>3</w:t>
            </w:r>
            <w:r>
              <w:rPr>
                <w:rFonts w:hint="eastAsia" w:ascii="宋体" w:hAnsi="宋体" w:eastAsia="宋体" w:cs="宋体"/>
                <w:b w:val="0"/>
                <w:bCs w:val="0"/>
                <w:color w:val="auto"/>
                <w:sz w:val="21"/>
                <w:szCs w:val="21"/>
                <w:highlight w:val="none"/>
                <w:u w:val="none"/>
                <w:lang w:val="en-US" w:eastAsia="zh-CN"/>
              </w:rPr>
              <w:t>）</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79A590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占标率（%）</w:t>
            </w:r>
          </w:p>
        </w:tc>
      </w:tr>
      <w:tr w14:paraId="5F91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4A1852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28982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0.039429</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0FFF9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1.97</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E057A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488293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0.000008</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34FA02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0.08</w:t>
            </w:r>
          </w:p>
        </w:tc>
      </w:tr>
      <w:tr w14:paraId="32B3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709958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i w:val="0"/>
                <w:iCs w:val="0"/>
                <w:color w:val="auto"/>
                <w:kern w:val="0"/>
                <w:sz w:val="21"/>
                <w:szCs w:val="21"/>
                <w:u w:val="none"/>
                <w:lang w:val="en-US" w:eastAsia="zh-CN" w:bidi="ar"/>
              </w:rPr>
              <w:t>20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E5529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i w:val="0"/>
                <w:iCs w:val="0"/>
                <w:color w:val="auto"/>
                <w:kern w:val="0"/>
                <w:sz w:val="21"/>
                <w:szCs w:val="21"/>
                <w:u w:val="none"/>
                <w:lang w:val="en-US" w:eastAsia="zh-CN" w:bidi="ar"/>
              </w:rPr>
              <w:t>0.050742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0E8EA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i w:val="0"/>
                <w:iCs w:val="0"/>
                <w:color w:val="auto"/>
                <w:kern w:val="0"/>
                <w:sz w:val="21"/>
                <w:szCs w:val="21"/>
                <w:u w:val="none"/>
                <w:lang w:val="en-US" w:eastAsia="zh-CN" w:bidi="ar"/>
              </w:rPr>
              <w:t>2.54</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3EDB80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20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39FC6F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77B340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0.1</w:t>
            </w:r>
          </w:p>
        </w:tc>
      </w:tr>
      <w:tr w14:paraId="75B1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4187DB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25</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23D6FA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0.046538</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24134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2.33</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4116A5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25</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5D75D3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0.000009</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46C458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0.09</w:t>
            </w:r>
          </w:p>
        </w:tc>
      </w:tr>
      <w:tr w14:paraId="7E1F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00764C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50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1EA27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0.031832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D7463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1.59</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433E54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50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7B1D32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0.000006</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6F2FCB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0.06</w:t>
            </w:r>
          </w:p>
        </w:tc>
      </w:tr>
      <w:tr w14:paraId="06EC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3275DB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75</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1DED2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0.030232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86A92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1.51</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6E7AB4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75</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7187F6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0.000006</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052360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0.06</w:t>
            </w:r>
          </w:p>
        </w:tc>
      </w:tr>
      <w:tr w14:paraId="73FA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36AFA2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1C2921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0.028311</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7B8C1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1.42</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CC66D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2B6861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0.000006</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40FC4F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0.06</w:t>
            </w:r>
          </w:p>
        </w:tc>
      </w:tr>
      <w:tr w14:paraId="3572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379C9F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400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487119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0.012955</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A40D2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0.65</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57669B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400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6125BA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0.000003</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3378B7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0.03</w:t>
            </w:r>
          </w:p>
        </w:tc>
      </w:tr>
      <w:tr w14:paraId="6C73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05AA0A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800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130ABE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0.007748</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2B51F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0.39</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9E70F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800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65218E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0.000002</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6C216B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0.02</w:t>
            </w:r>
          </w:p>
        </w:tc>
      </w:tr>
      <w:tr w14:paraId="4D68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44E9CA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1200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2533EC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0.005288</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8A56F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0.26</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3F2629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1200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3EE1B7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13D9BB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0.01</w:t>
            </w:r>
          </w:p>
        </w:tc>
      </w:tr>
      <w:tr w14:paraId="0E5F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7316ED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1600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45673F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0.00391</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6EA7A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0.2</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46A937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1600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5BF0BF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2539C3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0.01</w:t>
            </w:r>
          </w:p>
        </w:tc>
      </w:tr>
      <w:tr w14:paraId="0AF3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57ED96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2000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2AA573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0.003052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CDB59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0.15</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12228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2000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7587D5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24A8F6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0.01</w:t>
            </w:r>
          </w:p>
        </w:tc>
      </w:tr>
      <w:tr w14:paraId="3FA2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57FED2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2200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F8136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0.002737</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14481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0.14</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58E459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2200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2FE1BC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097148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0.01</w:t>
            </w:r>
          </w:p>
        </w:tc>
      </w:tr>
      <w:tr w14:paraId="6A74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5D2F4B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2500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A8B21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0.002359</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6497F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0.12</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4F63EA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2500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0B3E0B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290221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w:t>
            </w:r>
          </w:p>
        </w:tc>
      </w:tr>
      <w:tr w14:paraId="633B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5B1989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下风向最大地面空气质量浓度及占标率%</w:t>
            </w:r>
          </w:p>
        </w:tc>
        <w:tc>
          <w:tcPr>
            <w:tcW w:w="1454" w:type="dxa"/>
            <w:tcBorders>
              <w:top w:val="single" w:color="auto" w:sz="4" w:space="0"/>
              <w:left w:val="single" w:color="auto" w:sz="4" w:space="0"/>
              <w:bottom w:val="single" w:color="auto" w:sz="4" w:space="0"/>
              <w:right w:val="single" w:color="auto" w:sz="4" w:space="0"/>
            </w:tcBorders>
            <w:noWrap w:val="0"/>
            <w:vAlign w:val="center"/>
          </w:tcPr>
          <w:p w14:paraId="09F2F1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bCs/>
                <w:i w:val="0"/>
                <w:iCs w:val="0"/>
                <w:color w:val="auto"/>
                <w:kern w:val="0"/>
                <w:sz w:val="21"/>
                <w:szCs w:val="21"/>
                <w:u w:val="none"/>
                <w:lang w:val="en-US" w:eastAsia="zh-CN" w:bidi="ar"/>
              </w:rPr>
              <w:t>0.050742</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1BEAB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rPr>
            </w:pPr>
            <w:r>
              <w:rPr>
                <w:rFonts w:hint="eastAsia" w:ascii="宋体" w:hAnsi="宋体" w:eastAsia="宋体" w:cs="宋体"/>
                <w:b/>
                <w:bCs/>
                <w:i w:val="0"/>
                <w:iCs w:val="0"/>
                <w:color w:val="auto"/>
                <w:kern w:val="0"/>
                <w:sz w:val="21"/>
                <w:szCs w:val="21"/>
                <w:u w:val="none"/>
                <w:lang w:val="en-US" w:eastAsia="zh-CN" w:bidi="ar"/>
              </w:rPr>
              <w:t>2.54</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43B965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color w:val="auto"/>
                <w:sz w:val="21"/>
                <w:szCs w:val="21"/>
                <w:highlight w:val="none"/>
                <w:u w:val="none"/>
                <w:lang w:val="en-US" w:eastAsia="zh-CN"/>
              </w:rPr>
              <w:t>下风向最大地面空气质量浓度及占标率%</w:t>
            </w:r>
          </w:p>
        </w:tc>
        <w:tc>
          <w:tcPr>
            <w:tcW w:w="1409" w:type="dxa"/>
            <w:tcBorders>
              <w:top w:val="single" w:color="auto" w:sz="4" w:space="0"/>
              <w:left w:val="single" w:color="auto" w:sz="4" w:space="0"/>
              <w:bottom w:val="single" w:color="auto" w:sz="4" w:space="0"/>
              <w:right w:val="single" w:color="auto" w:sz="4" w:space="0"/>
            </w:tcBorders>
            <w:noWrap w:val="0"/>
            <w:vAlign w:val="center"/>
          </w:tcPr>
          <w:p w14:paraId="65F25F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0.00001</w:t>
            </w:r>
          </w:p>
        </w:tc>
        <w:tc>
          <w:tcPr>
            <w:tcW w:w="965" w:type="dxa"/>
            <w:tcBorders>
              <w:top w:val="single" w:color="auto" w:sz="4" w:space="0"/>
              <w:left w:val="single" w:color="auto" w:sz="4" w:space="0"/>
              <w:bottom w:val="single" w:color="auto" w:sz="4" w:space="0"/>
              <w:right w:val="single" w:color="auto" w:sz="4" w:space="0"/>
            </w:tcBorders>
            <w:noWrap w:val="0"/>
            <w:vAlign w:val="center"/>
          </w:tcPr>
          <w:p w14:paraId="794D35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0.1</w:t>
            </w:r>
          </w:p>
        </w:tc>
      </w:tr>
      <w:tr w14:paraId="5824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373975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D10%最远距离（m）</w:t>
            </w:r>
          </w:p>
        </w:tc>
        <w:tc>
          <w:tcPr>
            <w:tcW w:w="1409" w:type="pct"/>
            <w:gridSpan w:val="2"/>
            <w:tcBorders>
              <w:top w:val="single" w:color="auto" w:sz="4" w:space="0"/>
              <w:left w:val="single" w:color="auto" w:sz="4" w:space="0"/>
              <w:bottom w:val="single" w:color="auto" w:sz="4" w:space="0"/>
              <w:right w:val="single" w:color="auto" w:sz="4" w:space="0"/>
            </w:tcBorders>
            <w:noWrap w:val="0"/>
            <w:vAlign w:val="center"/>
          </w:tcPr>
          <w:p w14:paraId="04566F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1B41E6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D10%最远距离（m）</w:t>
            </w:r>
          </w:p>
        </w:tc>
        <w:tc>
          <w:tcPr>
            <w:tcW w:w="1367" w:type="pct"/>
            <w:gridSpan w:val="2"/>
            <w:tcBorders>
              <w:top w:val="single" w:color="auto" w:sz="4" w:space="0"/>
              <w:left w:val="single" w:color="auto" w:sz="4" w:space="0"/>
              <w:bottom w:val="single" w:color="auto" w:sz="4" w:space="0"/>
              <w:right w:val="single" w:color="auto" w:sz="4" w:space="0"/>
            </w:tcBorders>
            <w:noWrap w:val="0"/>
            <w:vAlign w:val="center"/>
          </w:tcPr>
          <w:p w14:paraId="131981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r>
      <w:tr w14:paraId="0C42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6DEBAD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最大落地空气质量浓度距源距离（m）</w:t>
            </w:r>
          </w:p>
        </w:tc>
        <w:tc>
          <w:tcPr>
            <w:tcW w:w="1409" w:type="pct"/>
            <w:gridSpan w:val="2"/>
            <w:tcBorders>
              <w:top w:val="single" w:color="auto" w:sz="4" w:space="0"/>
              <w:left w:val="single" w:color="auto" w:sz="4" w:space="0"/>
              <w:bottom w:val="single" w:color="auto" w:sz="4" w:space="0"/>
              <w:right w:val="single" w:color="auto" w:sz="4" w:space="0"/>
            </w:tcBorders>
            <w:noWrap w:val="0"/>
            <w:vAlign w:val="center"/>
          </w:tcPr>
          <w:p w14:paraId="088989A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52284B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最大落地空气质量浓度距源距离（m）</w:t>
            </w:r>
          </w:p>
        </w:tc>
        <w:tc>
          <w:tcPr>
            <w:tcW w:w="1367" w:type="pct"/>
            <w:gridSpan w:val="2"/>
            <w:tcBorders>
              <w:top w:val="single" w:color="auto" w:sz="4" w:space="0"/>
              <w:left w:val="single" w:color="auto" w:sz="4" w:space="0"/>
              <w:bottom w:val="single" w:color="auto" w:sz="4" w:space="0"/>
              <w:right w:val="single" w:color="auto" w:sz="4" w:space="0"/>
            </w:tcBorders>
            <w:noWrap w:val="0"/>
            <w:vAlign w:val="center"/>
          </w:tcPr>
          <w:p w14:paraId="3F674D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r>
    </w:tbl>
    <w:p w14:paraId="45ABB8B0">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宋体" w:hAnsi="宋体" w:eastAsia="宋体" w:cs="宋体"/>
          <w:b/>
          <w:color w:val="auto"/>
          <w:kern w:val="0"/>
          <w:sz w:val="21"/>
          <w:szCs w:val="21"/>
          <w:highlight w:val="none"/>
          <w:u w:val="none"/>
          <w:lang w:val="en-US" w:eastAsia="zh-CN" w:bidi="ar-SA"/>
        </w:rPr>
      </w:pPr>
      <w:r>
        <w:rPr>
          <w:rFonts w:hint="default" w:ascii="黑体" w:hAnsi="黑体" w:eastAsia="黑体" w:cs="黑体"/>
          <w:b w:val="0"/>
          <w:bCs/>
          <w:color w:val="auto"/>
          <w:kern w:val="2"/>
          <w:sz w:val="24"/>
          <w:szCs w:val="24"/>
          <w:highlight w:val="none"/>
          <w:u w:val="none"/>
          <w:lang w:val="en-US" w:eastAsia="zh-CN" w:bidi="ar-SA"/>
        </w:rPr>
        <w:t>表5.</w:t>
      </w:r>
      <w:r>
        <w:rPr>
          <w:rFonts w:hint="eastAsia" w:ascii="黑体" w:hAnsi="黑体" w:eastAsia="黑体" w:cs="黑体"/>
          <w:b w:val="0"/>
          <w:bCs/>
          <w:color w:val="auto"/>
          <w:kern w:val="2"/>
          <w:sz w:val="24"/>
          <w:szCs w:val="24"/>
          <w:highlight w:val="none"/>
          <w:u w:val="none"/>
          <w:lang w:val="en-US" w:eastAsia="zh-CN" w:bidi="ar-SA"/>
        </w:rPr>
        <w:t>5</w:t>
      </w:r>
      <w:r>
        <w:rPr>
          <w:rFonts w:hint="default" w:ascii="黑体" w:hAnsi="黑体" w:eastAsia="黑体" w:cs="黑体"/>
          <w:b w:val="0"/>
          <w:bCs/>
          <w:color w:val="auto"/>
          <w:kern w:val="2"/>
          <w:sz w:val="24"/>
          <w:szCs w:val="24"/>
          <w:highlight w:val="none"/>
          <w:u w:val="none"/>
          <w:lang w:val="en-US" w:eastAsia="zh-CN" w:bidi="ar-SA"/>
        </w:rPr>
        <w:t>-</w:t>
      </w:r>
      <w:r>
        <w:rPr>
          <w:rFonts w:hint="eastAsia" w:ascii="黑体" w:hAnsi="黑体" w:eastAsia="黑体" w:cs="黑体"/>
          <w:b w:val="0"/>
          <w:bCs/>
          <w:color w:val="auto"/>
          <w:kern w:val="2"/>
          <w:sz w:val="24"/>
          <w:szCs w:val="24"/>
          <w:highlight w:val="none"/>
          <w:u w:val="none"/>
          <w:lang w:val="en-US" w:eastAsia="zh-CN" w:bidi="ar-SA"/>
        </w:rPr>
        <w:t>5   MBHW6008</w:t>
      </w:r>
      <w:r>
        <w:rPr>
          <w:rFonts w:hint="default" w:ascii="黑体" w:hAnsi="黑体" w:eastAsia="黑体" w:cs="黑体"/>
          <w:b w:val="0"/>
          <w:bCs/>
          <w:color w:val="auto"/>
          <w:kern w:val="2"/>
          <w:sz w:val="24"/>
          <w:szCs w:val="24"/>
          <w:highlight w:val="none"/>
          <w:u w:val="none"/>
          <w:lang w:val="en-US" w:eastAsia="zh-CN" w:bidi="ar-SA"/>
        </w:rPr>
        <w:t>估算模式预测污染物扩散结果</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17"/>
        <w:gridCol w:w="1454"/>
        <w:gridCol w:w="992"/>
        <w:gridCol w:w="1737"/>
        <w:gridCol w:w="1409"/>
        <w:gridCol w:w="965"/>
      </w:tblGrid>
      <w:tr w14:paraId="21E6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02D810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MBHW6008井</w:t>
            </w:r>
          </w:p>
        </w:tc>
      </w:tr>
      <w:tr w14:paraId="55A9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31" w:type="pct"/>
            <w:gridSpan w:val="3"/>
            <w:tcBorders>
              <w:top w:val="single" w:color="auto" w:sz="4" w:space="0"/>
              <w:left w:val="single" w:color="auto" w:sz="4" w:space="0"/>
              <w:right w:val="single" w:color="auto" w:sz="4" w:space="0"/>
            </w:tcBorders>
            <w:noWrap w:val="0"/>
            <w:vAlign w:val="center"/>
          </w:tcPr>
          <w:p w14:paraId="679F87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NMHC</w:t>
            </w:r>
          </w:p>
        </w:tc>
        <w:tc>
          <w:tcPr>
            <w:tcW w:w="2368" w:type="pct"/>
            <w:gridSpan w:val="3"/>
            <w:tcBorders>
              <w:top w:val="single" w:color="auto" w:sz="4" w:space="0"/>
              <w:left w:val="single" w:color="auto" w:sz="4" w:space="0"/>
              <w:bottom w:val="single" w:color="auto" w:sz="4" w:space="0"/>
              <w:right w:val="single" w:color="auto" w:sz="4" w:space="0"/>
            </w:tcBorders>
            <w:noWrap w:val="0"/>
            <w:vAlign w:val="center"/>
          </w:tcPr>
          <w:p w14:paraId="1B9E7F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H</w:t>
            </w:r>
            <w:r>
              <w:rPr>
                <w:rFonts w:hint="eastAsia" w:ascii="宋体" w:hAnsi="宋体" w:eastAsia="宋体" w:cs="宋体"/>
                <w:b w:val="0"/>
                <w:bCs w:val="0"/>
                <w:color w:val="auto"/>
                <w:sz w:val="21"/>
                <w:szCs w:val="21"/>
                <w:highlight w:val="none"/>
                <w:u w:val="none"/>
                <w:vertAlign w:val="subscript"/>
                <w:lang w:val="en-US" w:eastAsia="zh-CN"/>
              </w:rPr>
              <w:t>2</w:t>
            </w:r>
            <w:r>
              <w:rPr>
                <w:rFonts w:hint="eastAsia" w:ascii="宋体" w:hAnsi="宋体" w:eastAsia="宋体" w:cs="宋体"/>
                <w:b w:val="0"/>
                <w:bCs w:val="0"/>
                <w:color w:val="auto"/>
                <w:sz w:val="21"/>
                <w:szCs w:val="21"/>
                <w:highlight w:val="none"/>
                <w:u w:val="none"/>
                <w:lang w:val="en-US" w:eastAsia="zh-CN"/>
              </w:rPr>
              <w:t>S</w:t>
            </w:r>
          </w:p>
        </w:tc>
      </w:tr>
      <w:tr w14:paraId="331F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31F06F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距源中心下风向距离(m)</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20859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下风向预测浓度（mg/m</w:t>
            </w:r>
            <w:r>
              <w:rPr>
                <w:rFonts w:hint="eastAsia" w:ascii="宋体" w:hAnsi="宋体" w:eastAsia="宋体" w:cs="宋体"/>
                <w:b w:val="0"/>
                <w:bCs w:val="0"/>
                <w:color w:val="auto"/>
                <w:sz w:val="21"/>
                <w:szCs w:val="21"/>
                <w:highlight w:val="none"/>
                <w:u w:val="none"/>
                <w:vertAlign w:val="superscript"/>
                <w:lang w:val="en-US" w:eastAsia="zh-CN"/>
              </w:rPr>
              <w:t>3</w:t>
            </w:r>
            <w:r>
              <w:rPr>
                <w:rFonts w:hint="eastAsia" w:ascii="宋体" w:hAnsi="宋体" w:eastAsia="宋体" w:cs="宋体"/>
                <w:b w:val="0"/>
                <w:bCs w:val="0"/>
                <w:color w:val="auto"/>
                <w:sz w:val="21"/>
                <w:szCs w:val="21"/>
                <w:highlight w:val="none"/>
                <w:u w:val="none"/>
                <w:lang w:val="en-US" w:eastAsia="zh-CN"/>
              </w:rPr>
              <w:t>）</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4ED28A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占标率（%）</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391077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距源中心下风向距离(m)</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7D247B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下风向预测浓度（mg/m</w:t>
            </w:r>
            <w:r>
              <w:rPr>
                <w:rFonts w:hint="eastAsia" w:ascii="宋体" w:hAnsi="宋体" w:eastAsia="宋体" w:cs="宋体"/>
                <w:b w:val="0"/>
                <w:bCs w:val="0"/>
                <w:color w:val="auto"/>
                <w:sz w:val="21"/>
                <w:szCs w:val="21"/>
                <w:highlight w:val="none"/>
                <w:u w:val="none"/>
                <w:vertAlign w:val="superscript"/>
                <w:lang w:val="en-US" w:eastAsia="zh-CN"/>
              </w:rPr>
              <w:t>3</w:t>
            </w:r>
            <w:r>
              <w:rPr>
                <w:rFonts w:hint="eastAsia" w:ascii="宋体" w:hAnsi="宋体" w:eastAsia="宋体" w:cs="宋体"/>
                <w:b w:val="0"/>
                <w:bCs w:val="0"/>
                <w:color w:val="auto"/>
                <w:sz w:val="21"/>
                <w:szCs w:val="21"/>
                <w:highlight w:val="none"/>
                <w:u w:val="none"/>
                <w:lang w:val="en-US" w:eastAsia="zh-CN"/>
              </w:rPr>
              <w:t>）</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63AF66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占标率（%）</w:t>
            </w:r>
          </w:p>
        </w:tc>
      </w:tr>
      <w:tr w14:paraId="4E09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67F050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59ACA6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0.039429</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35601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1.97</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716846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434495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0.000008</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6B8342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0.08</w:t>
            </w:r>
          </w:p>
        </w:tc>
      </w:tr>
      <w:tr w14:paraId="6B4F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3C617D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i w:val="0"/>
                <w:iCs w:val="0"/>
                <w:color w:val="auto"/>
                <w:kern w:val="0"/>
                <w:sz w:val="21"/>
                <w:szCs w:val="21"/>
                <w:u w:val="none"/>
                <w:lang w:val="en-US" w:eastAsia="zh-CN" w:bidi="ar"/>
              </w:rPr>
              <w:t>20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5D8CA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i w:val="0"/>
                <w:iCs w:val="0"/>
                <w:color w:val="auto"/>
                <w:kern w:val="0"/>
                <w:sz w:val="21"/>
                <w:szCs w:val="21"/>
                <w:u w:val="none"/>
                <w:lang w:val="en-US" w:eastAsia="zh-CN" w:bidi="ar"/>
              </w:rPr>
              <w:t>0.050742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FF025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i w:val="0"/>
                <w:iCs w:val="0"/>
                <w:color w:val="auto"/>
                <w:kern w:val="0"/>
                <w:sz w:val="21"/>
                <w:szCs w:val="21"/>
                <w:u w:val="none"/>
                <w:lang w:val="en-US" w:eastAsia="zh-CN" w:bidi="ar"/>
              </w:rPr>
              <w:t>2.54</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68CCCC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20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4360B0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0299A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0.1</w:t>
            </w:r>
          </w:p>
        </w:tc>
      </w:tr>
      <w:tr w14:paraId="0CCD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12AFEA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25</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301F6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0.046538</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20BEE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 w:val="0"/>
                <w:iCs w:val="0"/>
                <w:color w:val="auto"/>
                <w:kern w:val="0"/>
                <w:sz w:val="21"/>
                <w:szCs w:val="21"/>
                <w:u w:val="none"/>
                <w:lang w:val="en-US" w:eastAsia="zh-CN" w:bidi="ar"/>
              </w:rPr>
              <w:t>2.33</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3C56AA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25</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59E567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0.000009</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603C05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0.09</w:t>
            </w:r>
          </w:p>
        </w:tc>
      </w:tr>
      <w:tr w14:paraId="6B72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27F5DF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50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55805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0.031834</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E5108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1.59</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4DE420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50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465DDA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0.000006</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60FA06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0.06</w:t>
            </w:r>
          </w:p>
        </w:tc>
      </w:tr>
      <w:tr w14:paraId="5027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744C48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75</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1B6F4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0.030233</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7843A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1.51</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2BF2CB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75</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17857E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0.000006</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0B109D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0.06</w:t>
            </w:r>
          </w:p>
        </w:tc>
      </w:tr>
      <w:tr w14:paraId="2184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5FB61B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5EBC89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0.028312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5F117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1.42</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5786C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6E7BEB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0.000006</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721C7E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0.06</w:t>
            </w:r>
          </w:p>
        </w:tc>
      </w:tr>
      <w:tr w14:paraId="7A9E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5FA000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400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0A7042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0.012955</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D3AE2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0.65</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03073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400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23B089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0.000003</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177F9F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0.03</w:t>
            </w:r>
          </w:p>
        </w:tc>
      </w:tr>
      <w:tr w14:paraId="56C2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2938E1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800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9FC0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0.007748</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7C9199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0.39</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1BB7B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800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71B17E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0.000002</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4B7F68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0.02</w:t>
            </w:r>
          </w:p>
        </w:tc>
      </w:tr>
      <w:tr w14:paraId="3C52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5E6EC9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1200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0399DA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0.005287</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2A41F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0.26</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B5827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1200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53DA35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16DEC5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0.01</w:t>
            </w:r>
          </w:p>
        </w:tc>
      </w:tr>
      <w:tr w14:paraId="4C30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1A0F01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1600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17D6EA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0.00391</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07C9B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0.2</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28C07E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1600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5D3209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04F558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0.01</w:t>
            </w:r>
          </w:p>
        </w:tc>
      </w:tr>
      <w:tr w14:paraId="51EC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3B4631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2000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0DD6B2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0.003052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FBF94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0.15</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01B35A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2000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17243D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315F38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0.01</w:t>
            </w:r>
          </w:p>
        </w:tc>
      </w:tr>
      <w:tr w14:paraId="0C69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24F980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2200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4AB87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0.002737</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DC769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0.14</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5D0CC7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2200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3FEA4A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2C6EC6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0.01</w:t>
            </w:r>
          </w:p>
        </w:tc>
      </w:tr>
      <w:tr w14:paraId="5770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437720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2500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2D300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0.002359</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AB877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i w:val="0"/>
                <w:iCs w:val="0"/>
                <w:color w:val="auto"/>
                <w:kern w:val="0"/>
                <w:sz w:val="21"/>
                <w:szCs w:val="21"/>
                <w:u w:val="none"/>
                <w:lang w:val="en-US" w:eastAsia="zh-CN" w:bidi="ar"/>
              </w:rPr>
              <w:t>0.12</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3D5FF5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2500</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06ED0E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35205E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0</w:t>
            </w:r>
          </w:p>
        </w:tc>
      </w:tr>
      <w:tr w14:paraId="1E76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5B8DFD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下风向最大地面空气质量浓度及占标率%</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2048AC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rPr>
            </w:pPr>
            <w:r>
              <w:rPr>
                <w:rFonts w:hint="eastAsia" w:ascii="宋体" w:hAnsi="宋体" w:eastAsia="宋体" w:cs="宋体"/>
                <w:b/>
                <w:bCs/>
                <w:i w:val="0"/>
                <w:iCs w:val="0"/>
                <w:color w:val="auto"/>
                <w:kern w:val="0"/>
                <w:sz w:val="21"/>
                <w:szCs w:val="21"/>
                <w:u w:val="none"/>
                <w:lang w:val="en-US" w:eastAsia="zh-CN" w:bidi="ar"/>
              </w:rPr>
              <w:t>0.050742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6F168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color w:val="auto"/>
                <w:sz w:val="21"/>
                <w:szCs w:val="21"/>
                <w:highlight w:val="none"/>
                <w:u w:val="none"/>
                <w:lang w:val="en-US"/>
              </w:rPr>
            </w:pPr>
            <w:r>
              <w:rPr>
                <w:rFonts w:hint="eastAsia" w:ascii="宋体" w:hAnsi="宋体" w:eastAsia="宋体" w:cs="宋体"/>
                <w:b/>
                <w:bCs/>
                <w:i w:val="0"/>
                <w:iCs w:val="0"/>
                <w:color w:val="auto"/>
                <w:kern w:val="0"/>
                <w:sz w:val="21"/>
                <w:szCs w:val="21"/>
                <w:u w:val="none"/>
                <w:lang w:val="en-US" w:eastAsia="zh-CN" w:bidi="ar"/>
              </w:rPr>
              <w:t>2.54</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3FEB84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color w:val="auto"/>
                <w:sz w:val="21"/>
                <w:szCs w:val="21"/>
                <w:highlight w:val="none"/>
                <w:u w:val="none"/>
                <w:lang w:val="en-US" w:eastAsia="zh-CN"/>
              </w:rPr>
              <w:t>下风向最大地面空气质量浓度及占标率%</w:t>
            </w:r>
          </w:p>
        </w:tc>
        <w:tc>
          <w:tcPr>
            <w:tcW w:w="812" w:type="pct"/>
            <w:tcBorders>
              <w:top w:val="single" w:color="auto" w:sz="4" w:space="0"/>
              <w:left w:val="single" w:color="auto" w:sz="4" w:space="0"/>
              <w:bottom w:val="single" w:color="auto" w:sz="4" w:space="0"/>
              <w:right w:val="single" w:color="auto" w:sz="4" w:space="0"/>
            </w:tcBorders>
            <w:noWrap w:val="0"/>
            <w:vAlign w:val="center"/>
          </w:tcPr>
          <w:p w14:paraId="4AF25A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0.00001</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1A4B3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u w:val="none"/>
                <w:lang w:val="en-US" w:eastAsia="zh-CN" w:bidi="ar"/>
              </w:rPr>
              <w:t>0.1</w:t>
            </w:r>
          </w:p>
        </w:tc>
      </w:tr>
      <w:tr w14:paraId="10A6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0648C3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D10%最远距离（m）</w:t>
            </w:r>
          </w:p>
        </w:tc>
        <w:tc>
          <w:tcPr>
            <w:tcW w:w="1409" w:type="pct"/>
            <w:gridSpan w:val="2"/>
            <w:tcBorders>
              <w:top w:val="single" w:color="auto" w:sz="4" w:space="0"/>
              <w:left w:val="single" w:color="auto" w:sz="4" w:space="0"/>
              <w:bottom w:val="single" w:color="auto" w:sz="4" w:space="0"/>
              <w:right w:val="single" w:color="auto" w:sz="4" w:space="0"/>
            </w:tcBorders>
            <w:noWrap w:val="0"/>
            <w:vAlign w:val="center"/>
          </w:tcPr>
          <w:p w14:paraId="4BFBE9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314507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D10%最远距离（m）</w:t>
            </w:r>
          </w:p>
        </w:tc>
        <w:tc>
          <w:tcPr>
            <w:tcW w:w="1367" w:type="pct"/>
            <w:gridSpan w:val="2"/>
            <w:tcBorders>
              <w:top w:val="single" w:color="auto" w:sz="4" w:space="0"/>
              <w:left w:val="single" w:color="auto" w:sz="4" w:space="0"/>
              <w:bottom w:val="single" w:color="auto" w:sz="4" w:space="0"/>
              <w:right w:val="single" w:color="auto" w:sz="4" w:space="0"/>
            </w:tcBorders>
            <w:noWrap w:val="0"/>
            <w:vAlign w:val="center"/>
          </w:tcPr>
          <w:p w14:paraId="3B30C3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0</w:t>
            </w:r>
          </w:p>
        </w:tc>
      </w:tr>
      <w:tr w14:paraId="3A88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221" w:type="pct"/>
            <w:tcBorders>
              <w:top w:val="single" w:color="auto" w:sz="4" w:space="0"/>
              <w:left w:val="single" w:color="auto" w:sz="4" w:space="0"/>
              <w:bottom w:val="single" w:color="auto" w:sz="4" w:space="0"/>
              <w:right w:val="single" w:color="auto" w:sz="4" w:space="0"/>
            </w:tcBorders>
            <w:noWrap w:val="0"/>
            <w:vAlign w:val="center"/>
          </w:tcPr>
          <w:p w14:paraId="63BCD1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最大落地空气质量浓度距源距离（m）</w:t>
            </w:r>
          </w:p>
        </w:tc>
        <w:tc>
          <w:tcPr>
            <w:tcW w:w="1409" w:type="pct"/>
            <w:gridSpan w:val="2"/>
            <w:tcBorders>
              <w:top w:val="single" w:color="auto" w:sz="4" w:space="0"/>
              <w:left w:val="single" w:color="auto" w:sz="4" w:space="0"/>
              <w:bottom w:val="single" w:color="auto" w:sz="4" w:space="0"/>
              <w:right w:val="single" w:color="auto" w:sz="4" w:space="0"/>
            </w:tcBorders>
            <w:noWrap w:val="0"/>
            <w:vAlign w:val="center"/>
          </w:tcPr>
          <w:p w14:paraId="698183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c>
          <w:tcPr>
            <w:tcW w:w="1001" w:type="pct"/>
            <w:tcBorders>
              <w:top w:val="single" w:color="auto" w:sz="4" w:space="0"/>
              <w:left w:val="single" w:color="auto" w:sz="4" w:space="0"/>
              <w:bottom w:val="single" w:color="auto" w:sz="4" w:space="0"/>
              <w:right w:val="single" w:color="auto" w:sz="4" w:space="0"/>
            </w:tcBorders>
            <w:noWrap w:val="0"/>
            <w:vAlign w:val="center"/>
          </w:tcPr>
          <w:p w14:paraId="6550ED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最大落地空气质量浓度距源距离（m）</w:t>
            </w:r>
          </w:p>
        </w:tc>
        <w:tc>
          <w:tcPr>
            <w:tcW w:w="1367" w:type="pct"/>
            <w:gridSpan w:val="2"/>
            <w:tcBorders>
              <w:top w:val="single" w:color="auto" w:sz="4" w:space="0"/>
              <w:left w:val="single" w:color="auto" w:sz="4" w:space="0"/>
              <w:bottom w:val="single" w:color="auto" w:sz="4" w:space="0"/>
              <w:right w:val="single" w:color="auto" w:sz="4" w:space="0"/>
            </w:tcBorders>
            <w:noWrap w:val="0"/>
            <w:vAlign w:val="center"/>
          </w:tcPr>
          <w:p w14:paraId="5F3586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20</w:t>
            </w:r>
          </w:p>
        </w:tc>
      </w:tr>
    </w:tbl>
    <w:p w14:paraId="1DBE1D02">
      <w:pPr>
        <w:keepNext w:val="0"/>
        <w:keepLines w:val="0"/>
        <w:pageBreakBefore w:val="0"/>
        <w:widowControl/>
        <w:kinsoku/>
        <w:wordWrap/>
        <w:overflowPunct/>
        <w:topLinePunct w:val="0"/>
        <w:autoSpaceDE/>
        <w:autoSpaceDN/>
        <w:bidi w:val="0"/>
        <w:adjustRightInd/>
        <w:snapToGrid/>
        <w:spacing w:before="157" w:beforeLines="50"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根据</w:t>
      </w:r>
      <w:r>
        <w:rPr>
          <w:rFonts w:hint="eastAsia" w:cs="Times New Roman"/>
          <w:color w:val="auto"/>
          <w:kern w:val="0"/>
          <w:sz w:val="24"/>
          <w:szCs w:val="24"/>
          <w:highlight w:val="none"/>
          <w:u w:val="none"/>
          <w:lang w:val="en-US" w:eastAsia="zh-CN"/>
        </w:rPr>
        <w:t>表5.5-3</w:t>
      </w:r>
      <w:r>
        <w:rPr>
          <w:rFonts w:hint="default" w:ascii="Times New Roman" w:hAnsi="Times New Roman" w:eastAsia="宋体" w:cs="Times New Roman"/>
          <w:color w:val="auto"/>
          <w:kern w:val="0"/>
          <w:sz w:val="24"/>
          <w:szCs w:val="24"/>
          <w:highlight w:val="none"/>
          <w:u w:val="none"/>
        </w:rPr>
        <w:t>可知：</w:t>
      </w:r>
    </w:p>
    <w:p w14:paraId="35C165C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val="0"/>
          <w:bCs w:val="0"/>
          <w:color w:val="auto"/>
          <w:kern w:val="0"/>
          <w:sz w:val="24"/>
          <w:szCs w:val="24"/>
          <w:highlight w:val="none"/>
          <w:u w:val="none"/>
        </w:rPr>
      </w:pPr>
      <w:r>
        <w:rPr>
          <w:rFonts w:hint="eastAsia" w:cs="Times New Roman"/>
          <w:b w:val="0"/>
          <w:bCs w:val="0"/>
          <w:color w:val="auto"/>
          <w:kern w:val="0"/>
          <w:sz w:val="24"/>
          <w:szCs w:val="24"/>
          <w:highlight w:val="none"/>
          <w:u w:val="none"/>
          <w:lang w:val="en-US" w:eastAsia="zh-CN"/>
        </w:rPr>
        <w:t>本项目</w:t>
      </w:r>
      <w:r>
        <w:rPr>
          <w:rFonts w:hint="default" w:ascii="Times New Roman" w:hAnsi="Times New Roman" w:eastAsia="宋体" w:cs="Times New Roman"/>
          <w:b w:val="0"/>
          <w:bCs w:val="0"/>
          <w:color w:val="auto"/>
          <w:kern w:val="0"/>
          <w:sz w:val="24"/>
          <w:szCs w:val="24"/>
          <w:highlight w:val="none"/>
          <w:u w:val="none"/>
        </w:rPr>
        <w:t>生产过程中无组织排放的污染物非甲烷总烃最大地面浓度点预测浓度</w:t>
      </w:r>
      <w:r>
        <w:rPr>
          <w:rFonts w:hint="eastAsia" w:cs="Times New Roman"/>
          <w:b w:val="0"/>
          <w:bCs w:val="0"/>
          <w:color w:val="auto"/>
          <w:kern w:val="0"/>
          <w:sz w:val="24"/>
          <w:szCs w:val="24"/>
          <w:highlight w:val="none"/>
          <w:u w:val="none"/>
          <w:lang w:val="en-US" w:eastAsia="zh-CN"/>
        </w:rPr>
        <w:t>0.050742</w:t>
      </w:r>
      <w:r>
        <w:rPr>
          <w:rFonts w:hint="default" w:ascii="Times New Roman" w:hAnsi="Times New Roman" w:eastAsia="宋体" w:cs="Times New Roman"/>
          <w:b w:val="0"/>
          <w:bCs w:val="0"/>
          <w:color w:val="auto"/>
          <w:kern w:val="0"/>
          <w:sz w:val="24"/>
          <w:szCs w:val="24"/>
          <w:highlight w:val="none"/>
          <w:u w:val="none"/>
        </w:rPr>
        <w:t>mg/m</w:t>
      </w:r>
      <w:r>
        <w:rPr>
          <w:rFonts w:hint="default" w:ascii="Times New Roman" w:hAnsi="Times New Roman" w:eastAsia="宋体" w:cs="Times New Roman"/>
          <w:b w:val="0"/>
          <w:bCs w:val="0"/>
          <w:color w:val="auto"/>
          <w:kern w:val="0"/>
          <w:sz w:val="24"/>
          <w:szCs w:val="24"/>
          <w:highlight w:val="none"/>
          <w:u w:val="none"/>
          <w:vertAlign w:val="superscript"/>
        </w:rPr>
        <w:t>3</w:t>
      </w:r>
      <w:r>
        <w:rPr>
          <w:rFonts w:hint="default" w:ascii="Times New Roman" w:hAnsi="Times New Roman" w:eastAsia="宋体" w:cs="Times New Roman"/>
          <w:b w:val="0"/>
          <w:bCs w:val="0"/>
          <w:color w:val="auto"/>
          <w:kern w:val="0"/>
          <w:sz w:val="24"/>
          <w:szCs w:val="24"/>
          <w:highlight w:val="none"/>
          <w:u w:val="none"/>
        </w:rPr>
        <w:t>，最大占标率</w:t>
      </w:r>
      <w:r>
        <w:rPr>
          <w:rFonts w:hint="eastAsia" w:cs="Times New Roman"/>
          <w:b w:val="0"/>
          <w:bCs w:val="0"/>
          <w:color w:val="auto"/>
          <w:kern w:val="0"/>
          <w:sz w:val="24"/>
          <w:szCs w:val="24"/>
          <w:highlight w:val="none"/>
          <w:u w:val="none"/>
          <w:lang w:val="en-US" w:eastAsia="zh-CN"/>
        </w:rPr>
        <w:t>2.54</w:t>
      </w:r>
      <w:r>
        <w:rPr>
          <w:rFonts w:hint="default" w:ascii="Times New Roman" w:hAnsi="Times New Roman" w:eastAsia="宋体" w:cs="Times New Roman"/>
          <w:b w:val="0"/>
          <w:bCs w:val="0"/>
          <w:color w:val="auto"/>
          <w:kern w:val="0"/>
          <w:sz w:val="24"/>
          <w:szCs w:val="24"/>
          <w:highlight w:val="none"/>
          <w:u w:val="none"/>
        </w:rPr>
        <w:t>%</w:t>
      </w:r>
      <w:r>
        <w:rPr>
          <w:rFonts w:hint="eastAsia" w:ascii="Times New Roman" w:hAnsi="Times New Roman" w:cs="Times New Roman"/>
          <w:b w:val="0"/>
          <w:bCs w:val="0"/>
          <w:color w:val="auto"/>
          <w:kern w:val="0"/>
          <w:sz w:val="24"/>
          <w:szCs w:val="24"/>
          <w:highlight w:val="none"/>
          <w:u w:val="none"/>
          <w:lang w:eastAsia="zh-CN"/>
        </w:rPr>
        <w:t>；硫化氢最大地面浓度点预测浓度0.00001mg/m</w:t>
      </w:r>
      <w:r>
        <w:rPr>
          <w:rFonts w:hint="eastAsia" w:ascii="Times New Roman" w:hAnsi="Times New Roman" w:cs="Times New Roman"/>
          <w:b w:val="0"/>
          <w:bCs w:val="0"/>
          <w:color w:val="auto"/>
          <w:kern w:val="0"/>
          <w:sz w:val="24"/>
          <w:szCs w:val="24"/>
          <w:highlight w:val="none"/>
          <w:u w:val="none"/>
          <w:vertAlign w:val="superscript"/>
          <w:lang w:eastAsia="zh-CN"/>
        </w:rPr>
        <w:t>3</w:t>
      </w:r>
      <w:r>
        <w:rPr>
          <w:rFonts w:hint="eastAsia" w:ascii="Times New Roman" w:hAnsi="Times New Roman" w:cs="Times New Roman"/>
          <w:b w:val="0"/>
          <w:bCs w:val="0"/>
          <w:color w:val="auto"/>
          <w:kern w:val="0"/>
          <w:sz w:val="24"/>
          <w:szCs w:val="24"/>
          <w:highlight w:val="none"/>
          <w:u w:val="none"/>
          <w:lang w:eastAsia="zh-CN"/>
        </w:rPr>
        <w:t>，最大占标率</w:t>
      </w:r>
      <w:r>
        <w:rPr>
          <w:rFonts w:hint="eastAsia" w:cs="Times New Roman"/>
          <w:b w:val="0"/>
          <w:bCs w:val="0"/>
          <w:color w:val="auto"/>
          <w:kern w:val="0"/>
          <w:sz w:val="24"/>
          <w:szCs w:val="24"/>
          <w:highlight w:val="none"/>
          <w:u w:val="none"/>
          <w:lang w:val="en-US" w:eastAsia="zh-CN"/>
        </w:rPr>
        <w:t>0.1</w:t>
      </w:r>
      <w:r>
        <w:rPr>
          <w:rFonts w:hint="eastAsia" w:ascii="Times New Roman" w:hAnsi="Times New Roman" w:cs="Times New Roman"/>
          <w:b w:val="0"/>
          <w:bCs w:val="0"/>
          <w:color w:val="auto"/>
          <w:kern w:val="0"/>
          <w:sz w:val="24"/>
          <w:szCs w:val="24"/>
          <w:highlight w:val="none"/>
          <w:u w:val="none"/>
          <w:lang w:eastAsia="zh-CN"/>
        </w:rPr>
        <w:t>%。</w:t>
      </w:r>
    </w:p>
    <w:p w14:paraId="4C5FBC2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本</w:t>
      </w:r>
      <w:r>
        <w:rPr>
          <w:rFonts w:hint="default" w:ascii="Times New Roman" w:hAnsi="Times New Roman" w:eastAsia="宋体" w:cs="Times New Roman"/>
          <w:color w:val="auto"/>
          <w:kern w:val="0"/>
          <w:sz w:val="24"/>
          <w:szCs w:val="24"/>
          <w:highlight w:val="none"/>
          <w:u w:val="none"/>
          <w:lang w:val="en-US" w:eastAsia="zh-CN"/>
        </w:rPr>
        <w:t>工程</w:t>
      </w:r>
      <w:r>
        <w:rPr>
          <w:rFonts w:hint="default" w:ascii="Times New Roman" w:hAnsi="Times New Roman" w:eastAsia="宋体" w:cs="Times New Roman"/>
          <w:color w:val="auto"/>
          <w:kern w:val="0"/>
          <w:sz w:val="24"/>
          <w:szCs w:val="24"/>
          <w:highlight w:val="none"/>
          <w:u w:val="none"/>
        </w:rPr>
        <w:t>正常工况下排放的非甲烷总烃下风向最大落地浓度均低于《大气污染物综合排放标准》（GB16297-1996）详解中的浓度限值</w:t>
      </w:r>
      <w:r>
        <w:rPr>
          <w:rFonts w:hint="default" w:ascii="Times New Roman" w:hAnsi="Times New Roman" w:eastAsia="宋体" w:cs="Times New Roman"/>
          <w:snapToGrid w:val="0"/>
          <w:color w:val="auto"/>
          <w:kern w:val="0"/>
          <w:sz w:val="24"/>
          <w:szCs w:val="24"/>
          <w:highlight w:val="none"/>
          <w:u w:val="none"/>
        </w:rPr>
        <w:t>（2000μg/m³）；硫化氢最大落地浓度均低于《环境影响评价技术导则  大气环境》（HJ2.2-2018）附录D中的1h平均浓度限值10μg/m³</w:t>
      </w:r>
      <w:r>
        <w:rPr>
          <w:rFonts w:hint="default" w:ascii="Times New Roman" w:hAnsi="Times New Roman" w:eastAsia="宋体" w:cs="Times New Roman"/>
          <w:color w:val="auto"/>
          <w:kern w:val="24"/>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无组织源对区域环境空气的影响主要集中在污染源下风</w:t>
      </w:r>
      <w:r>
        <w:rPr>
          <w:rFonts w:hint="eastAsia" w:cs="Times New Roman"/>
          <w:color w:val="auto"/>
          <w:kern w:val="0"/>
          <w:sz w:val="24"/>
          <w:szCs w:val="24"/>
          <w:highlight w:val="none"/>
          <w:u w:val="none"/>
          <w:lang w:val="en-US" w:eastAsia="zh-CN"/>
        </w:rPr>
        <w:t>20</w:t>
      </w:r>
      <w:r>
        <w:rPr>
          <w:rFonts w:hint="default" w:ascii="Times New Roman" w:hAnsi="Times New Roman" w:eastAsia="宋体" w:cs="Times New Roman"/>
          <w:color w:val="auto"/>
          <w:kern w:val="0"/>
          <w:sz w:val="24"/>
          <w:szCs w:val="24"/>
          <w:highlight w:val="none"/>
          <w:u w:val="none"/>
        </w:rPr>
        <w:t>m范围内，项目区周边5.0km范围内无敏感点，因此无组织排放的非甲烷总烃</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硫化氢</w:t>
      </w:r>
      <w:r>
        <w:rPr>
          <w:rFonts w:hint="default" w:ascii="Times New Roman" w:hAnsi="Times New Roman" w:eastAsia="宋体" w:cs="Times New Roman"/>
          <w:color w:val="auto"/>
          <w:kern w:val="0"/>
          <w:sz w:val="24"/>
          <w:szCs w:val="24"/>
          <w:highlight w:val="none"/>
          <w:u w:val="none"/>
        </w:rPr>
        <w:t>对周围环境空气影响较小。</w:t>
      </w:r>
    </w:p>
    <w:p w14:paraId="5ED2423F">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5.</w:t>
      </w:r>
      <w:r>
        <w:rPr>
          <w:rFonts w:hint="eastAsia" w:ascii="宋体" w:hAnsi="宋体" w:cs="宋体"/>
          <w:color w:val="auto"/>
          <w:highlight w:val="none"/>
          <w:u w:val="none"/>
          <w:lang w:val="en-US" w:eastAsia="zh-CN"/>
        </w:rPr>
        <w:t>5</w:t>
      </w:r>
      <w:r>
        <w:rPr>
          <w:rFonts w:hint="eastAsia" w:ascii="宋体" w:hAnsi="宋体" w:eastAsia="宋体" w:cs="宋体"/>
          <w:color w:val="auto"/>
          <w:highlight w:val="none"/>
          <w:u w:val="none"/>
          <w:lang w:val="en-US" w:eastAsia="zh-CN"/>
        </w:rPr>
        <w:t>.2.2 大气环境防护距离</w:t>
      </w:r>
    </w:p>
    <w:p w14:paraId="44FB52F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根据《环境影响评价技术导则 大气环境》(HJ2.2-2018)“8.8.5大气环境防护距离确定”相关要求，需要采用进一步预测模式计算大气环境防护距离，本工程大气环境影响评价等级为</w:t>
      </w:r>
      <w:r>
        <w:rPr>
          <w:rFonts w:hint="eastAsia" w:ascii="宋体" w:hAnsi="宋体" w:cs="宋体"/>
          <w:color w:val="auto"/>
          <w:kern w:val="0"/>
          <w:sz w:val="24"/>
          <w:szCs w:val="24"/>
          <w:highlight w:val="none"/>
          <w:u w:val="none"/>
          <w:lang w:val="en-US" w:eastAsia="zh-CN"/>
        </w:rPr>
        <w:t>二</w:t>
      </w:r>
      <w:r>
        <w:rPr>
          <w:rFonts w:hint="eastAsia" w:ascii="宋体" w:hAnsi="宋体" w:eastAsia="宋体" w:cs="宋体"/>
          <w:color w:val="auto"/>
          <w:kern w:val="0"/>
          <w:sz w:val="24"/>
          <w:szCs w:val="24"/>
          <w:highlight w:val="none"/>
          <w:u w:val="none"/>
        </w:rPr>
        <w:t>级，不再计算大气环境防护距离。</w:t>
      </w:r>
    </w:p>
    <w:p w14:paraId="6225F3CC">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highlight w:val="none"/>
          <w:u w:val="none"/>
          <w:lang w:val="en-US" w:eastAsia="zh-CN"/>
        </w:rPr>
      </w:pPr>
      <w:r>
        <w:rPr>
          <w:rFonts w:hint="default" w:ascii="宋体" w:hAnsi="宋体" w:eastAsia="宋体" w:cs="宋体"/>
          <w:color w:val="auto"/>
          <w:highlight w:val="none"/>
          <w:u w:val="none"/>
          <w:lang w:val="en-US" w:eastAsia="zh-CN"/>
        </w:rPr>
        <w:t>5.</w:t>
      </w:r>
      <w:r>
        <w:rPr>
          <w:rFonts w:hint="eastAsia" w:ascii="宋体" w:hAnsi="宋体" w:cs="宋体"/>
          <w:color w:val="auto"/>
          <w:highlight w:val="none"/>
          <w:u w:val="none"/>
          <w:lang w:val="en-US" w:eastAsia="zh-CN"/>
        </w:rPr>
        <w:t>5</w:t>
      </w:r>
      <w:r>
        <w:rPr>
          <w:rFonts w:hint="default" w:ascii="宋体" w:hAnsi="宋体" w:eastAsia="宋体" w:cs="宋体"/>
          <w:color w:val="auto"/>
          <w:highlight w:val="none"/>
          <w:u w:val="none"/>
          <w:lang w:val="en-US" w:eastAsia="zh-CN"/>
        </w:rPr>
        <w:t>.2.</w:t>
      </w:r>
      <w:r>
        <w:rPr>
          <w:rFonts w:hint="eastAsia" w:ascii="宋体" w:hAnsi="宋体" w:eastAsia="宋体" w:cs="宋体"/>
          <w:color w:val="auto"/>
          <w:highlight w:val="none"/>
          <w:u w:val="none"/>
          <w:lang w:val="en-US" w:eastAsia="zh-CN"/>
        </w:rPr>
        <w:t xml:space="preserve">3 </w:t>
      </w:r>
      <w:r>
        <w:rPr>
          <w:rFonts w:hint="default" w:ascii="宋体" w:hAnsi="宋体" w:eastAsia="宋体" w:cs="宋体"/>
          <w:color w:val="auto"/>
          <w:highlight w:val="none"/>
          <w:u w:val="none"/>
          <w:lang w:val="en-US" w:eastAsia="zh-CN"/>
        </w:rPr>
        <w:t>大气环境影响小结</w:t>
      </w:r>
    </w:p>
    <w:p w14:paraId="5FBCC0C3">
      <w:pPr>
        <w:keepNext w:val="0"/>
        <w:keepLines w:val="0"/>
        <w:pageBreakBefore w:val="0"/>
        <w:widowControl/>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eastAsia="zh-CN"/>
        </w:rPr>
        <w:t>本</w:t>
      </w:r>
      <w:r>
        <w:rPr>
          <w:rFonts w:hint="eastAsia" w:cs="Times New Roman"/>
          <w:color w:val="auto"/>
          <w:kern w:val="0"/>
          <w:sz w:val="24"/>
          <w:szCs w:val="24"/>
          <w:highlight w:val="none"/>
          <w:u w:val="none"/>
          <w:lang w:val="en-US" w:eastAsia="zh-CN"/>
        </w:rPr>
        <w:t>项目</w:t>
      </w:r>
      <w:r>
        <w:rPr>
          <w:rFonts w:hint="default" w:ascii="Times New Roman" w:hAnsi="Times New Roman" w:eastAsia="宋体" w:cs="Times New Roman"/>
          <w:color w:val="auto"/>
          <w:kern w:val="0"/>
          <w:sz w:val="24"/>
          <w:szCs w:val="24"/>
          <w:highlight w:val="none"/>
          <w:u w:val="none"/>
        </w:rPr>
        <w:t>油气开采、集输采用密闭流程，井口密封并设紧急切断阀，可有效减少烃类</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硫化氢</w:t>
      </w:r>
      <w:r>
        <w:rPr>
          <w:rFonts w:hint="default" w:ascii="Times New Roman" w:hAnsi="Times New Roman" w:eastAsia="宋体" w:cs="Times New Roman"/>
          <w:color w:val="auto"/>
          <w:kern w:val="0"/>
          <w:sz w:val="24"/>
          <w:szCs w:val="24"/>
          <w:highlight w:val="none"/>
          <w:u w:val="none"/>
        </w:rPr>
        <w:t>气体的排放量。根据现状监测结果，区域环境空气中非甲烷总烃</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硫化氢</w:t>
      </w:r>
      <w:r>
        <w:rPr>
          <w:rFonts w:hint="default" w:ascii="Times New Roman" w:hAnsi="Times New Roman" w:eastAsia="宋体" w:cs="Times New Roman"/>
          <w:color w:val="auto"/>
          <w:kern w:val="0"/>
          <w:sz w:val="24"/>
          <w:szCs w:val="24"/>
          <w:highlight w:val="none"/>
          <w:u w:val="none"/>
        </w:rPr>
        <w:t>满足标准限值要求。根据预测结果可知，</w:t>
      </w:r>
      <w:r>
        <w:rPr>
          <w:rFonts w:hint="eastAsia" w:cs="Times New Roman"/>
          <w:color w:val="auto"/>
          <w:kern w:val="0"/>
          <w:sz w:val="24"/>
          <w:szCs w:val="24"/>
          <w:highlight w:val="none"/>
          <w:u w:val="none"/>
          <w:lang w:val="en-US" w:eastAsia="zh-CN"/>
        </w:rPr>
        <w:t>本项目各井场</w:t>
      </w:r>
      <w:r>
        <w:rPr>
          <w:rFonts w:hint="default" w:ascii="Times New Roman" w:hAnsi="Times New Roman" w:eastAsia="宋体" w:cs="Times New Roman"/>
          <w:color w:val="auto"/>
          <w:kern w:val="0"/>
          <w:sz w:val="24"/>
          <w:szCs w:val="24"/>
          <w:highlight w:val="none"/>
          <w:u w:val="none"/>
        </w:rPr>
        <w:t>无组织</w:t>
      </w:r>
      <w:r>
        <w:rPr>
          <w:rFonts w:hint="eastAsia" w:cs="Times New Roman"/>
          <w:color w:val="auto"/>
          <w:kern w:val="0"/>
          <w:sz w:val="24"/>
          <w:szCs w:val="24"/>
          <w:highlight w:val="none"/>
          <w:u w:val="none"/>
          <w:lang w:val="en-US" w:eastAsia="zh-CN"/>
        </w:rPr>
        <w:t>排放非甲烷总烃</w:t>
      </w:r>
      <w:r>
        <w:rPr>
          <w:rFonts w:hint="default" w:ascii="Times New Roman" w:hAnsi="Times New Roman" w:eastAsia="宋体" w:cs="Times New Roman"/>
          <w:color w:val="auto"/>
          <w:kern w:val="0"/>
          <w:sz w:val="24"/>
          <w:szCs w:val="24"/>
          <w:highlight w:val="none"/>
          <w:u w:val="none"/>
        </w:rPr>
        <w:t>下风向最大落地浓度均远低于</w:t>
      </w:r>
      <w:r>
        <w:rPr>
          <w:rFonts w:hint="default" w:ascii="Times New Roman" w:hAnsi="Times New Roman" w:eastAsia="宋体" w:cs="Times New Roman"/>
          <w:snapToGrid w:val="0"/>
          <w:color w:val="auto"/>
          <w:kern w:val="0"/>
          <w:sz w:val="24"/>
          <w:szCs w:val="24"/>
          <w:highlight w:val="none"/>
          <w:u w:val="none"/>
        </w:rPr>
        <w:t>《大气污染物综合排放标准详解》</w:t>
      </w:r>
      <w:r>
        <w:rPr>
          <w:rFonts w:hint="default" w:ascii="Times New Roman" w:hAnsi="Times New Roman" w:eastAsia="宋体" w:cs="Times New Roman"/>
          <w:color w:val="auto"/>
          <w:kern w:val="24"/>
          <w:sz w:val="24"/>
          <w:szCs w:val="24"/>
          <w:highlight w:val="none"/>
          <w:u w:val="none"/>
          <w:lang w:val="en-US" w:eastAsia="zh-CN"/>
        </w:rPr>
        <w:t>2000</w:t>
      </w:r>
      <w:r>
        <w:rPr>
          <w:rFonts w:hint="default" w:ascii="Times New Roman" w:hAnsi="Times New Roman" w:eastAsia="宋体" w:cs="Times New Roman"/>
          <w:color w:val="auto"/>
          <w:kern w:val="24"/>
          <w:sz w:val="24"/>
          <w:szCs w:val="24"/>
          <w:highlight w:val="none"/>
          <w:u w:val="none"/>
        </w:rPr>
        <w:t>μg/m</w:t>
      </w:r>
      <w:r>
        <w:rPr>
          <w:rFonts w:hint="default" w:ascii="Times New Roman" w:hAnsi="Times New Roman" w:eastAsia="宋体" w:cs="Times New Roman"/>
          <w:color w:val="auto"/>
          <w:kern w:val="24"/>
          <w:sz w:val="24"/>
          <w:szCs w:val="24"/>
          <w:highlight w:val="none"/>
          <w:u w:val="none"/>
          <w:vertAlign w:val="superscript"/>
          <w:lang w:val="en-US" w:eastAsia="zh-CN"/>
        </w:rPr>
        <w:t>3</w:t>
      </w:r>
      <w:r>
        <w:rPr>
          <w:rFonts w:hint="default" w:ascii="Times New Roman" w:hAnsi="Times New Roman" w:eastAsia="宋体" w:cs="Times New Roman"/>
          <w:snapToGrid w:val="0"/>
          <w:color w:val="auto"/>
          <w:kern w:val="0"/>
          <w:sz w:val="24"/>
          <w:szCs w:val="24"/>
          <w:highlight w:val="none"/>
          <w:u w:val="none"/>
        </w:rPr>
        <w:t>的标准</w:t>
      </w:r>
      <w:r>
        <w:rPr>
          <w:rFonts w:hint="eastAsia" w:ascii="Times New Roman" w:hAnsi="Times New Roman" w:eastAsia="宋体" w:cs="Times New Roman"/>
          <w:snapToGrid w:val="0"/>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硫化氢</w:t>
      </w:r>
      <w:r>
        <w:rPr>
          <w:rFonts w:hint="default" w:ascii="Times New Roman" w:hAnsi="Times New Roman" w:eastAsia="宋体" w:cs="Times New Roman"/>
          <w:color w:val="auto"/>
          <w:kern w:val="0"/>
          <w:sz w:val="24"/>
          <w:szCs w:val="24"/>
          <w:highlight w:val="none"/>
          <w:u w:val="none"/>
        </w:rPr>
        <w:t>下风向最大落地浓度均远低于</w:t>
      </w:r>
      <w:r>
        <w:rPr>
          <w:rFonts w:hint="default" w:ascii="Times New Roman" w:hAnsi="Times New Roman" w:eastAsia="宋体" w:cs="Times New Roman"/>
          <w:snapToGrid w:val="0"/>
          <w:color w:val="auto"/>
          <w:kern w:val="0"/>
          <w:sz w:val="24"/>
          <w:szCs w:val="24"/>
          <w:highlight w:val="none"/>
          <w:u w:val="none"/>
        </w:rPr>
        <w:t>《环境影响评价技术导则</w:t>
      </w:r>
      <w:r>
        <w:rPr>
          <w:rFonts w:hint="eastAsia" w:ascii="Times New Roman" w:hAnsi="Times New Roman" w:eastAsia="宋体" w:cs="Times New Roman"/>
          <w:snapToGrid w:val="0"/>
          <w:color w:val="auto"/>
          <w:kern w:val="0"/>
          <w:sz w:val="24"/>
          <w:szCs w:val="24"/>
          <w:highlight w:val="none"/>
          <w:u w:val="none"/>
          <w:lang w:val="en-US" w:eastAsia="zh-CN"/>
        </w:rPr>
        <w:t xml:space="preserve"> </w:t>
      </w:r>
      <w:r>
        <w:rPr>
          <w:rFonts w:hint="default" w:ascii="Times New Roman" w:hAnsi="Times New Roman" w:eastAsia="宋体" w:cs="Times New Roman"/>
          <w:snapToGrid w:val="0"/>
          <w:color w:val="auto"/>
          <w:kern w:val="0"/>
          <w:sz w:val="24"/>
          <w:szCs w:val="24"/>
          <w:highlight w:val="none"/>
          <w:u w:val="none"/>
        </w:rPr>
        <w:t>大气环境》（HJ2.2-2018）附录D中的1h平均浓度限值10μg/m</w:t>
      </w:r>
      <w:r>
        <w:rPr>
          <w:rFonts w:hint="default" w:ascii="Times New Roman" w:hAnsi="Times New Roman" w:eastAsia="宋体" w:cs="Times New Roman"/>
          <w:snapToGrid w:val="0"/>
          <w:color w:val="auto"/>
          <w:kern w:val="0"/>
          <w:sz w:val="24"/>
          <w:szCs w:val="24"/>
          <w:highlight w:val="none"/>
          <w:u w:val="none"/>
          <w:vertAlign w:val="superscript"/>
          <w:lang w:val="en-US" w:eastAsia="zh-CN"/>
        </w:rPr>
        <w:t>3</w:t>
      </w:r>
      <w:r>
        <w:rPr>
          <w:rFonts w:hint="eastAsia" w:ascii="Times New Roman" w:hAnsi="Times New Roman" w:cs="Times New Roman"/>
          <w:snapToGrid w:val="0"/>
          <w:color w:val="auto"/>
          <w:kern w:val="0"/>
          <w:sz w:val="24"/>
          <w:szCs w:val="24"/>
          <w:highlight w:val="none"/>
          <w:u w:val="none"/>
          <w:vertAlign w:val="baseline"/>
          <w:lang w:val="en-US" w:eastAsia="zh-CN"/>
        </w:rPr>
        <w:t>。</w:t>
      </w:r>
    </w:p>
    <w:p w14:paraId="69727063">
      <w:pPr>
        <w:keepNext w:val="0"/>
        <w:keepLines w:val="0"/>
        <w:pageBreakBefore w:val="0"/>
        <w:widowControl/>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项目区周边5.0km范围内无敏感点，因此</w:t>
      </w:r>
      <w:r>
        <w:rPr>
          <w:rFonts w:hint="eastAsia" w:ascii="Times New Roman" w:hAnsi="Times New Roman" w:eastAsia="宋体" w:cs="Times New Roman"/>
          <w:color w:val="auto"/>
          <w:kern w:val="0"/>
          <w:sz w:val="24"/>
          <w:szCs w:val="24"/>
          <w:highlight w:val="none"/>
          <w:u w:val="none"/>
          <w:lang w:val="en-US" w:eastAsia="zh-CN"/>
        </w:rPr>
        <w:t>本项目</w:t>
      </w:r>
      <w:r>
        <w:rPr>
          <w:rFonts w:hint="default" w:ascii="Times New Roman" w:hAnsi="Times New Roman" w:eastAsia="宋体" w:cs="Times New Roman"/>
          <w:color w:val="auto"/>
          <w:kern w:val="0"/>
          <w:sz w:val="24"/>
          <w:szCs w:val="24"/>
          <w:highlight w:val="none"/>
          <w:u w:val="none"/>
        </w:rPr>
        <w:t>正常运行期间无组织排放的非甲烷总烃对周围环境空气影响较小。</w:t>
      </w:r>
    </w:p>
    <w:p w14:paraId="27632B99">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5.</w:t>
      </w:r>
      <w:r>
        <w:rPr>
          <w:rFonts w:hint="eastAsia" w:ascii="宋体" w:hAnsi="宋体" w:cs="宋体"/>
          <w:color w:val="auto"/>
          <w:highlight w:val="none"/>
          <w:u w:val="none"/>
          <w:lang w:val="en-US" w:eastAsia="zh-CN"/>
        </w:rPr>
        <w:t>5</w:t>
      </w:r>
      <w:r>
        <w:rPr>
          <w:rFonts w:hint="eastAsia" w:ascii="宋体" w:hAnsi="宋体" w:eastAsia="宋体" w:cs="宋体"/>
          <w:color w:val="auto"/>
          <w:highlight w:val="none"/>
          <w:u w:val="none"/>
          <w:lang w:val="en-US" w:eastAsia="zh-CN"/>
        </w:rPr>
        <w:t>.2.4 大气污染物核算</w:t>
      </w:r>
    </w:p>
    <w:p w14:paraId="5C884C27">
      <w:pPr>
        <w:keepNext w:val="0"/>
        <w:keepLines w:val="0"/>
        <w:pageBreakBefore w:val="0"/>
        <w:widowControl/>
        <w:kinsoku/>
        <w:wordWrap/>
        <w:overflowPunct/>
        <w:topLinePunct w:val="0"/>
        <w:autoSpaceDE/>
        <w:autoSpaceDN/>
        <w:bidi w:val="0"/>
        <w:adjustRightInd/>
        <w:snapToGrid/>
        <w:spacing w:line="480" w:lineRule="exact"/>
        <w:ind w:firstLine="540" w:firstLineChars="225"/>
        <w:jc w:val="left"/>
        <w:textAlignment w:val="auto"/>
        <w:rPr>
          <w:rFonts w:ascii="黑体" w:hAnsi="黑体" w:eastAsia="黑体" w:cs="黑体"/>
          <w:b/>
          <w:snapToGrid w:val="0"/>
          <w:color w:val="auto"/>
          <w:kern w:val="2"/>
          <w:sz w:val="21"/>
          <w:szCs w:val="21"/>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本工程运营期</w:t>
      </w:r>
      <w:r>
        <w:rPr>
          <w:rFonts w:ascii="Times New Roman" w:hAnsi="Times New Roman" w:eastAsia="宋体" w:cs="Times New Roman"/>
          <w:snapToGrid w:val="0"/>
          <w:color w:val="auto"/>
          <w:kern w:val="2"/>
          <w:sz w:val="24"/>
          <w:szCs w:val="20"/>
          <w:highlight w:val="none"/>
          <w:u w:val="none"/>
          <w:lang w:val="en-US" w:eastAsia="zh-CN" w:bidi="ar-SA"/>
        </w:rPr>
        <w:t>大气污染物排放量</w:t>
      </w:r>
      <w:r>
        <w:rPr>
          <w:rFonts w:hint="eastAsia" w:cs="Times New Roman"/>
          <w:snapToGrid w:val="0"/>
          <w:color w:val="auto"/>
          <w:kern w:val="2"/>
          <w:sz w:val="24"/>
          <w:szCs w:val="20"/>
          <w:highlight w:val="none"/>
          <w:u w:val="none"/>
          <w:lang w:val="en-US" w:eastAsia="zh-CN" w:bidi="ar-SA"/>
        </w:rPr>
        <w:t>，</w:t>
      </w:r>
      <w:r>
        <w:rPr>
          <w:rFonts w:ascii="Times New Roman" w:hAnsi="Times New Roman" w:eastAsia="宋体" w:cs="宋体"/>
          <w:snapToGrid w:val="0"/>
          <w:color w:val="auto"/>
          <w:kern w:val="2"/>
          <w:sz w:val="24"/>
          <w:szCs w:val="21"/>
          <w:highlight w:val="none"/>
          <w:u w:val="none"/>
          <w:lang w:val="en-US" w:eastAsia="zh-CN" w:bidi="en-US"/>
        </w:rPr>
        <w:t>见表5.</w:t>
      </w:r>
      <w:r>
        <w:rPr>
          <w:rFonts w:hint="eastAsia" w:cs="宋体"/>
          <w:snapToGrid w:val="0"/>
          <w:color w:val="auto"/>
          <w:kern w:val="2"/>
          <w:sz w:val="24"/>
          <w:szCs w:val="21"/>
          <w:highlight w:val="none"/>
          <w:u w:val="none"/>
          <w:lang w:val="en-US" w:eastAsia="zh-CN" w:bidi="en-US"/>
        </w:rPr>
        <w:t>5</w:t>
      </w:r>
      <w:r>
        <w:rPr>
          <w:rFonts w:ascii="Times New Roman" w:hAnsi="Times New Roman" w:eastAsia="宋体" w:cs="宋体"/>
          <w:snapToGrid w:val="0"/>
          <w:color w:val="auto"/>
          <w:kern w:val="2"/>
          <w:sz w:val="24"/>
          <w:szCs w:val="21"/>
          <w:highlight w:val="none"/>
          <w:u w:val="none"/>
          <w:lang w:val="en-US" w:eastAsia="zh-CN" w:bidi="en-US"/>
        </w:rPr>
        <w:t>-</w:t>
      </w:r>
      <w:r>
        <w:rPr>
          <w:rFonts w:hint="eastAsia" w:cs="宋体"/>
          <w:snapToGrid w:val="0"/>
          <w:color w:val="auto"/>
          <w:kern w:val="2"/>
          <w:sz w:val="24"/>
          <w:szCs w:val="21"/>
          <w:highlight w:val="none"/>
          <w:u w:val="none"/>
          <w:lang w:val="en-US" w:eastAsia="zh-CN" w:bidi="en-US"/>
        </w:rPr>
        <w:t>6</w:t>
      </w:r>
      <w:r>
        <w:rPr>
          <w:rFonts w:ascii="Times New Roman" w:hAnsi="Times New Roman" w:eastAsia="宋体" w:cs="宋体"/>
          <w:snapToGrid w:val="0"/>
          <w:color w:val="auto"/>
          <w:kern w:val="2"/>
          <w:sz w:val="24"/>
          <w:szCs w:val="21"/>
          <w:highlight w:val="none"/>
          <w:u w:val="none"/>
          <w:lang w:val="en-US" w:eastAsia="zh-CN" w:bidi="en-US"/>
        </w:rPr>
        <w:t>。</w:t>
      </w:r>
    </w:p>
    <w:p w14:paraId="1FCBF7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kern w:val="0"/>
          <w:sz w:val="21"/>
          <w:szCs w:val="21"/>
          <w:highlight w:val="none"/>
          <w:u w:val="none"/>
        </w:rPr>
      </w:pPr>
      <w:r>
        <w:rPr>
          <w:rFonts w:hint="eastAsia" w:ascii="黑体" w:hAnsi="黑体" w:eastAsia="黑体" w:cs="黑体"/>
          <w:b w:val="0"/>
          <w:bCs/>
          <w:color w:val="auto"/>
          <w:kern w:val="2"/>
          <w:sz w:val="24"/>
          <w:szCs w:val="24"/>
          <w:highlight w:val="none"/>
          <w:u w:val="none"/>
          <w:lang w:val="en-US" w:eastAsia="zh-CN" w:bidi="ar-SA"/>
        </w:rPr>
        <w:t>表5.5-6   本工程大气污染物排放量核算表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77"/>
        <w:gridCol w:w="800"/>
        <w:gridCol w:w="994"/>
        <w:gridCol w:w="3213"/>
        <w:gridCol w:w="2149"/>
        <w:gridCol w:w="838"/>
      </w:tblGrid>
      <w:tr w14:paraId="1C2C2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 w:type="pct"/>
            <w:vMerge w:val="restart"/>
            <w:tcBorders>
              <w:tl2br w:val="nil"/>
              <w:tr2bl w:val="nil"/>
            </w:tcBorders>
            <w:noWrap w:val="0"/>
            <w:vAlign w:val="center"/>
          </w:tcPr>
          <w:p w14:paraId="6D91A320">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污染源</w:t>
            </w:r>
          </w:p>
        </w:tc>
        <w:tc>
          <w:tcPr>
            <w:tcW w:w="461" w:type="pct"/>
            <w:vMerge w:val="restart"/>
            <w:tcBorders>
              <w:tl2br w:val="nil"/>
              <w:tr2bl w:val="nil"/>
            </w:tcBorders>
            <w:noWrap w:val="0"/>
            <w:vAlign w:val="center"/>
          </w:tcPr>
          <w:p w14:paraId="10E0CB45">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污染物项目</w:t>
            </w:r>
          </w:p>
        </w:tc>
        <w:tc>
          <w:tcPr>
            <w:tcW w:w="573" w:type="pct"/>
            <w:vMerge w:val="restart"/>
            <w:tcBorders>
              <w:tl2br w:val="nil"/>
              <w:tr2bl w:val="nil"/>
            </w:tcBorders>
            <w:noWrap w:val="0"/>
            <w:vAlign w:val="center"/>
          </w:tcPr>
          <w:p w14:paraId="74998A49">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主要污染</w:t>
            </w:r>
          </w:p>
          <w:p w14:paraId="1630764F">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防治措施</w:t>
            </w:r>
          </w:p>
        </w:tc>
        <w:tc>
          <w:tcPr>
            <w:tcW w:w="3091" w:type="pct"/>
            <w:gridSpan w:val="2"/>
            <w:tcBorders>
              <w:tl2br w:val="nil"/>
              <w:tr2bl w:val="nil"/>
            </w:tcBorders>
            <w:noWrap w:val="0"/>
            <w:vAlign w:val="center"/>
          </w:tcPr>
          <w:p w14:paraId="75A88136">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国家或地方污染物排放标准</w:t>
            </w:r>
          </w:p>
        </w:tc>
        <w:tc>
          <w:tcPr>
            <w:tcW w:w="483" w:type="pct"/>
            <w:vMerge w:val="restart"/>
            <w:tcBorders>
              <w:tl2br w:val="nil"/>
              <w:tr2bl w:val="nil"/>
            </w:tcBorders>
            <w:noWrap w:val="0"/>
            <w:vAlign w:val="center"/>
          </w:tcPr>
          <w:p w14:paraId="37534BE7">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核算年排放量（t/a）</w:t>
            </w:r>
          </w:p>
        </w:tc>
      </w:tr>
      <w:tr w14:paraId="32FAB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 w:type="pct"/>
            <w:vMerge w:val="continue"/>
            <w:tcBorders>
              <w:tl2br w:val="nil"/>
              <w:tr2bl w:val="nil"/>
            </w:tcBorders>
            <w:noWrap w:val="0"/>
            <w:vAlign w:val="center"/>
          </w:tcPr>
          <w:p w14:paraId="4CA6263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p>
        </w:tc>
        <w:tc>
          <w:tcPr>
            <w:tcW w:w="461" w:type="pct"/>
            <w:vMerge w:val="continue"/>
            <w:tcBorders>
              <w:tl2br w:val="nil"/>
              <w:tr2bl w:val="nil"/>
            </w:tcBorders>
            <w:noWrap w:val="0"/>
            <w:vAlign w:val="center"/>
          </w:tcPr>
          <w:p w14:paraId="3A94B49E">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p>
        </w:tc>
        <w:tc>
          <w:tcPr>
            <w:tcW w:w="573" w:type="pct"/>
            <w:vMerge w:val="continue"/>
            <w:tcBorders>
              <w:tl2br w:val="nil"/>
              <w:tr2bl w:val="nil"/>
            </w:tcBorders>
            <w:noWrap w:val="0"/>
            <w:vAlign w:val="center"/>
          </w:tcPr>
          <w:p w14:paraId="4608067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p>
        </w:tc>
        <w:tc>
          <w:tcPr>
            <w:tcW w:w="1852" w:type="pct"/>
            <w:tcBorders>
              <w:tl2br w:val="nil"/>
              <w:tr2bl w:val="nil"/>
            </w:tcBorders>
            <w:noWrap w:val="0"/>
            <w:vAlign w:val="center"/>
          </w:tcPr>
          <w:p w14:paraId="4FFB3F80">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标准名称</w:t>
            </w:r>
          </w:p>
        </w:tc>
        <w:tc>
          <w:tcPr>
            <w:tcW w:w="1239" w:type="pct"/>
            <w:tcBorders>
              <w:tl2br w:val="nil"/>
              <w:tr2bl w:val="nil"/>
            </w:tcBorders>
            <w:noWrap w:val="0"/>
            <w:vAlign w:val="center"/>
          </w:tcPr>
          <w:p w14:paraId="6DDCFC52">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2"/>
                <w:sz w:val="21"/>
                <w:szCs w:val="22"/>
                <w:highlight w:val="none"/>
                <w:u w:val="none"/>
                <w:lang w:val="en-US" w:eastAsia="zh-CN" w:bidi="ar-SA"/>
              </w:rPr>
            </w:pPr>
            <w:r>
              <w:rPr>
                <w:rFonts w:hint="default" w:ascii="Times New Roman" w:hAnsi="Times New Roman" w:eastAsia="宋体" w:cs="Times New Roman"/>
                <w:color w:val="auto"/>
                <w:kern w:val="2"/>
                <w:sz w:val="21"/>
                <w:szCs w:val="22"/>
                <w:highlight w:val="none"/>
                <w:u w:val="none"/>
                <w:lang w:val="en-US" w:eastAsia="zh-CN" w:bidi="ar-SA"/>
              </w:rPr>
              <w:t>浓度限值（mg/m</w:t>
            </w:r>
            <w:r>
              <w:rPr>
                <w:rFonts w:hint="default" w:ascii="Times New Roman" w:hAnsi="Times New Roman" w:eastAsia="宋体" w:cs="Times New Roman"/>
                <w:color w:val="auto"/>
                <w:kern w:val="2"/>
                <w:sz w:val="21"/>
                <w:szCs w:val="22"/>
                <w:highlight w:val="none"/>
                <w:u w:val="none"/>
                <w:vertAlign w:val="superscript"/>
                <w:lang w:val="en-US" w:eastAsia="zh-CN" w:bidi="ar-SA"/>
              </w:rPr>
              <w:t>3</w:t>
            </w:r>
            <w:r>
              <w:rPr>
                <w:rFonts w:hint="default" w:ascii="Times New Roman" w:hAnsi="Times New Roman" w:eastAsia="宋体" w:cs="Times New Roman"/>
                <w:color w:val="auto"/>
                <w:kern w:val="2"/>
                <w:sz w:val="21"/>
                <w:szCs w:val="22"/>
                <w:highlight w:val="none"/>
                <w:u w:val="none"/>
                <w:lang w:val="en-US" w:eastAsia="zh-CN" w:bidi="ar-SA"/>
              </w:rPr>
              <w:t>）</w:t>
            </w:r>
          </w:p>
        </w:tc>
        <w:tc>
          <w:tcPr>
            <w:tcW w:w="483" w:type="pct"/>
            <w:vMerge w:val="continue"/>
            <w:tcBorders>
              <w:tl2br w:val="nil"/>
              <w:tr2bl w:val="nil"/>
            </w:tcBorders>
            <w:noWrap w:val="0"/>
            <w:vAlign w:val="center"/>
          </w:tcPr>
          <w:p w14:paraId="0937BA37">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p>
        </w:tc>
      </w:tr>
      <w:tr w14:paraId="4B952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 w:type="pct"/>
            <w:vMerge w:val="restart"/>
            <w:tcBorders>
              <w:tl2br w:val="nil"/>
              <w:tr2bl w:val="nil"/>
            </w:tcBorders>
            <w:noWrap w:val="0"/>
            <w:vAlign w:val="center"/>
          </w:tcPr>
          <w:p w14:paraId="78CE4F74">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2"/>
                <w:sz w:val="21"/>
                <w:szCs w:val="22"/>
                <w:highlight w:val="none"/>
                <w:u w:val="none"/>
                <w:lang w:val="en-US" w:eastAsia="zh-CN" w:bidi="ar-SA"/>
              </w:rPr>
            </w:pPr>
            <w:r>
              <w:rPr>
                <w:rFonts w:hint="eastAsia" w:cs="Times New Roman"/>
                <w:color w:val="auto"/>
                <w:kern w:val="2"/>
                <w:sz w:val="21"/>
                <w:szCs w:val="22"/>
                <w:highlight w:val="none"/>
                <w:u w:val="none"/>
                <w:lang w:val="en-US" w:eastAsia="zh-CN" w:bidi="ar-SA"/>
              </w:rPr>
              <w:t>井场</w:t>
            </w:r>
          </w:p>
        </w:tc>
        <w:tc>
          <w:tcPr>
            <w:tcW w:w="461" w:type="pct"/>
            <w:tcBorders>
              <w:tl2br w:val="nil"/>
              <w:tr2bl w:val="nil"/>
            </w:tcBorders>
            <w:noWrap w:val="0"/>
            <w:vAlign w:val="center"/>
          </w:tcPr>
          <w:p w14:paraId="02146520">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非甲烷总烃</w:t>
            </w:r>
          </w:p>
        </w:tc>
        <w:tc>
          <w:tcPr>
            <w:tcW w:w="573" w:type="pct"/>
            <w:vMerge w:val="restart"/>
            <w:tcBorders>
              <w:tl2br w:val="nil"/>
              <w:tr2bl w:val="nil"/>
            </w:tcBorders>
            <w:noWrap w:val="0"/>
            <w:vAlign w:val="center"/>
          </w:tcPr>
          <w:p w14:paraId="0A3F6ACA">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日常维护，做好密闭措施</w:t>
            </w:r>
          </w:p>
        </w:tc>
        <w:tc>
          <w:tcPr>
            <w:tcW w:w="1852" w:type="pct"/>
            <w:tcBorders>
              <w:tl2br w:val="nil"/>
              <w:tr2bl w:val="nil"/>
            </w:tcBorders>
            <w:noWrap w:val="0"/>
            <w:vAlign w:val="center"/>
          </w:tcPr>
          <w:p w14:paraId="52C31E47">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《陆上石油天然气开采工业大气污染物排放标准》（GB39728-2020）中企业边界污染物控制要求</w:t>
            </w:r>
          </w:p>
        </w:tc>
        <w:tc>
          <w:tcPr>
            <w:tcW w:w="1239" w:type="pct"/>
            <w:tcBorders>
              <w:tl2br w:val="nil"/>
              <w:tr2bl w:val="nil"/>
            </w:tcBorders>
            <w:noWrap w:val="0"/>
            <w:vAlign w:val="center"/>
          </w:tcPr>
          <w:p w14:paraId="5095F41E">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ascii="Times New Roman" w:hAnsi="Times New Roman" w:eastAsia="宋体" w:cs="Times New Roman"/>
                <w:color w:val="auto"/>
                <w:kern w:val="2"/>
                <w:sz w:val="21"/>
                <w:szCs w:val="22"/>
                <w:highlight w:val="none"/>
                <w:u w:val="none"/>
                <w:lang w:val="en-US" w:eastAsia="zh-CN" w:bidi="ar-SA"/>
              </w:rPr>
            </w:pPr>
            <w:r>
              <w:rPr>
                <w:rFonts w:ascii="Times New Roman" w:hAnsi="Times New Roman" w:eastAsia="宋体" w:cs="Times New Roman"/>
                <w:color w:val="auto"/>
                <w:kern w:val="2"/>
                <w:sz w:val="21"/>
                <w:szCs w:val="22"/>
                <w:highlight w:val="none"/>
                <w:u w:val="none"/>
                <w:lang w:val="en-US" w:eastAsia="zh-CN" w:bidi="ar-SA"/>
              </w:rPr>
              <w:t>边界无组织挥发产生的非甲烷总烃1h平均浓度限值4mg/m</w:t>
            </w:r>
            <w:r>
              <w:rPr>
                <w:rFonts w:ascii="Times New Roman" w:hAnsi="Times New Roman" w:eastAsia="宋体" w:cs="Times New Roman"/>
                <w:color w:val="auto"/>
                <w:kern w:val="2"/>
                <w:sz w:val="21"/>
                <w:szCs w:val="22"/>
                <w:highlight w:val="none"/>
                <w:u w:val="none"/>
                <w:vertAlign w:val="superscript"/>
                <w:lang w:val="en-US" w:eastAsia="zh-CN" w:bidi="ar-SA"/>
              </w:rPr>
              <w:t>3</w:t>
            </w:r>
          </w:p>
        </w:tc>
        <w:tc>
          <w:tcPr>
            <w:tcW w:w="483" w:type="pct"/>
            <w:tcBorders>
              <w:tl2br w:val="nil"/>
              <w:tr2bl w:val="nil"/>
            </w:tcBorders>
            <w:noWrap w:val="0"/>
            <w:vAlign w:val="center"/>
          </w:tcPr>
          <w:p w14:paraId="75446C6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2"/>
                <w:sz w:val="21"/>
                <w:szCs w:val="22"/>
                <w:highlight w:val="none"/>
                <w:u w:val="none"/>
                <w:lang w:val="en-US" w:eastAsia="zh-CN" w:bidi="ar-SA"/>
              </w:rPr>
            </w:pPr>
            <w:r>
              <w:rPr>
                <w:rFonts w:hint="eastAsia" w:cs="Times New Roman"/>
                <w:color w:val="auto"/>
                <w:kern w:val="2"/>
                <w:sz w:val="21"/>
                <w:szCs w:val="22"/>
                <w:highlight w:val="none"/>
                <w:u w:val="none"/>
                <w:lang w:val="en-US" w:eastAsia="zh-CN" w:bidi="ar-SA"/>
              </w:rPr>
              <w:t>0.582</w:t>
            </w:r>
          </w:p>
        </w:tc>
      </w:tr>
      <w:tr w14:paraId="5C840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0" w:type="pct"/>
            <w:vMerge w:val="continue"/>
            <w:tcBorders>
              <w:tl2br w:val="nil"/>
              <w:tr2bl w:val="nil"/>
            </w:tcBorders>
            <w:noWrap w:val="0"/>
            <w:vAlign w:val="center"/>
          </w:tcPr>
          <w:p w14:paraId="7BCE399E">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cs="Times New Roman"/>
                <w:color w:val="auto"/>
                <w:kern w:val="2"/>
                <w:sz w:val="21"/>
                <w:szCs w:val="22"/>
                <w:highlight w:val="none"/>
                <w:u w:val="none"/>
                <w:lang w:val="en-US" w:eastAsia="zh-CN" w:bidi="ar-SA"/>
              </w:rPr>
            </w:pPr>
          </w:p>
        </w:tc>
        <w:tc>
          <w:tcPr>
            <w:tcW w:w="461" w:type="pct"/>
            <w:tcBorders>
              <w:tl2br w:val="nil"/>
              <w:tr2bl w:val="nil"/>
            </w:tcBorders>
            <w:noWrap w:val="0"/>
            <w:vAlign w:val="center"/>
          </w:tcPr>
          <w:p w14:paraId="69556C50">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2"/>
                <w:sz w:val="21"/>
                <w:szCs w:val="22"/>
                <w:highlight w:val="none"/>
                <w:u w:val="none"/>
                <w:lang w:val="en-US" w:eastAsia="zh-CN" w:bidi="ar-SA"/>
              </w:rPr>
            </w:pPr>
            <w:r>
              <w:rPr>
                <w:rFonts w:hint="eastAsia" w:cs="Times New Roman"/>
                <w:color w:val="auto"/>
                <w:kern w:val="2"/>
                <w:sz w:val="21"/>
                <w:szCs w:val="22"/>
                <w:highlight w:val="none"/>
                <w:u w:val="none"/>
                <w:lang w:val="en-US" w:eastAsia="zh-CN" w:bidi="ar-SA"/>
              </w:rPr>
              <w:t>硫化氢</w:t>
            </w:r>
          </w:p>
        </w:tc>
        <w:tc>
          <w:tcPr>
            <w:tcW w:w="573" w:type="pct"/>
            <w:vMerge w:val="continue"/>
            <w:tcBorders>
              <w:tl2br w:val="nil"/>
              <w:tr2bl w:val="nil"/>
            </w:tcBorders>
            <w:noWrap w:val="0"/>
            <w:vAlign w:val="center"/>
          </w:tcPr>
          <w:p w14:paraId="4B2B5930">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Times New Roman" w:hAnsi="Times New Roman" w:eastAsia="宋体" w:cs="Times New Roman"/>
                <w:color w:val="auto"/>
                <w:kern w:val="2"/>
                <w:sz w:val="21"/>
                <w:szCs w:val="22"/>
                <w:highlight w:val="none"/>
                <w:u w:val="none"/>
                <w:lang w:val="en-US" w:eastAsia="zh-CN" w:bidi="ar-SA"/>
              </w:rPr>
            </w:pPr>
          </w:p>
        </w:tc>
        <w:tc>
          <w:tcPr>
            <w:tcW w:w="1852" w:type="pct"/>
            <w:tcBorders>
              <w:tl2br w:val="nil"/>
              <w:tr2bl w:val="nil"/>
            </w:tcBorders>
            <w:noWrap w:val="0"/>
            <w:vAlign w:val="center"/>
          </w:tcPr>
          <w:p w14:paraId="2A04D7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kern w:val="2"/>
                <w:sz w:val="21"/>
                <w:szCs w:val="22"/>
                <w:highlight w:val="none"/>
                <w:u w:val="none"/>
                <w:lang w:val="en-US" w:eastAsia="zh-CN" w:bidi="ar-SA"/>
              </w:rPr>
            </w:pPr>
            <w:r>
              <w:rPr>
                <w:rFonts w:hint="eastAsia" w:ascii="宋体" w:hAnsi="宋体" w:eastAsia="宋体" w:cs="宋体"/>
                <w:color w:val="auto"/>
                <w:sz w:val="21"/>
                <w:szCs w:val="21"/>
                <w:highlight w:val="none"/>
                <w:u w:val="none"/>
              </w:rPr>
              <w:t>《恶臭污染物排放标准》（GB14554-93）新建项目二级标准的厂界标准限值</w:t>
            </w:r>
          </w:p>
        </w:tc>
        <w:tc>
          <w:tcPr>
            <w:tcW w:w="1239" w:type="pct"/>
            <w:tcBorders>
              <w:tl2br w:val="nil"/>
              <w:tr2bl w:val="nil"/>
            </w:tcBorders>
            <w:noWrap w:val="0"/>
            <w:vAlign w:val="center"/>
          </w:tcPr>
          <w:p w14:paraId="4139DC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color w:val="auto"/>
                <w:kern w:val="2"/>
                <w:sz w:val="21"/>
                <w:szCs w:val="22"/>
                <w:highlight w:val="none"/>
                <w:u w:val="none"/>
                <w:lang w:val="en-US" w:eastAsia="zh-CN" w:bidi="ar-SA"/>
              </w:rPr>
            </w:pPr>
            <w:r>
              <w:rPr>
                <w:rFonts w:hint="eastAsia" w:ascii="宋体" w:hAnsi="宋体" w:eastAsia="宋体" w:cs="宋体"/>
                <w:color w:val="auto"/>
                <w:sz w:val="21"/>
                <w:szCs w:val="21"/>
                <w:highlight w:val="none"/>
                <w:u w:val="none"/>
              </w:rPr>
              <w:t>厂界硫化氢1h平均浓度限值0.06mg/m</w:t>
            </w:r>
            <w:r>
              <w:rPr>
                <w:rFonts w:hint="eastAsia" w:ascii="宋体" w:hAnsi="宋体" w:cs="宋体"/>
                <w:color w:val="auto"/>
                <w:sz w:val="21"/>
                <w:szCs w:val="21"/>
                <w:highlight w:val="none"/>
                <w:u w:val="none"/>
                <w:vertAlign w:val="superscript"/>
                <w:lang w:val="en-US" w:eastAsia="zh-CN"/>
              </w:rPr>
              <w:t>3</w:t>
            </w:r>
          </w:p>
        </w:tc>
        <w:tc>
          <w:tcPr>
            <w:tcW w:w="483" w:type="pct"/>
            <w:tcBorders>
              <w:tl2br w:val="nil"/>
              <w:tr2bl w:val="nil"/>
            </w:tcBorders>
            <w:noWrap w:val="0"/>
            <w:vAlign w:val="center"/>
          </w:tcPr>
          <w:p w14:paraId="71414453">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cs="Times New Roman"/>
                <w:color w:val="auto"/>
                <w:kern w:val="2"/>
                <w:sz w:val="21"/>
                <w:szCs w:val="22"/>
                <w:highlight w:val="none"/>
                <w:u w:val="none"/>
                <w:lang w:val="en-US" w:eastAsia="zh-CN" w:bidi="ar-SA"/>
              </w:rPr>
            </w:pPr>
            <w:r>
              <w:rPr>
                <w:rFonts w:hint="eastAsia" w:cs="Times New Roman"/>
                <w:color w:val="auto"/>
                <w:kern w:val="2"/>
                <w:sz w:val="21"/>
                <w:szCs w:val="22"/>
                <w:highlight w:val="none"/>
                <w:u w:val="none"/>
                <w:lang w:val="en-US" w:eastAsia="zh-CN" w:bidi="ar-SA"/>
              </w:rPr>
              <w:t>0.00008</w:t>
            </w:r>
          </w:p>
        </w:tc>
      </w:tr>
    </w:tbl>
    <w:p w14:paraId="7BC2A70E">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5.</w:t>
      </w:r>
      <w:r>
        <w:rPr>
          <w:rFonts w:hint="eastAsia" w:ascii="宋体" w:hAnsi="宋体" w:cs="宋体"/>
          <w:color w:val="auto"/>
          <w:highlight w:val="none"/>
          <w:u w:val="none"/>
          <w:lang w:val="en-US" w:eastAsia="zh-CN"/>
        </w:rPr>
        <w:t>5</w:t>
      </w:r>
      <w:r>
        <w:rPr>
          <w:rFonts w:hint="eastAsia" w:ascii="宋体" w:hAnsi="宋体" w:eastAsia="宋体" w:cs="宋体"/>
          <w:color w:val="auto"/>
          <w:highlight w:val="none"/>
          <w:u w:val="none"/>
          <w:lang w:val="en-US" w:eastAsia="zh-CN"/>
        </w:rPr>
        <w:t>.2.5 建设项目大气环境影响评价自查表</w:t>
      </w:r>
    </w:p>
    <w:p w14:paraId="5BC66461">
      <w:pPr>
        <w:keepNext w:val="0"/>
        <w:pageBreakBefore w:val="0"/>
        <w:widowControl/>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val="en-US" w:eastAsia="zh-CN"/>
        </w:rPr>
        <w:t>本</w:t>
      </w:r>
      <w:r>
        <w:rPr>
          <w:rFonts w:hint="eastAsia" w:ascii="Times New Roman" w:hAnsi="Times New Roman" w:eastAsia="宋体" w:cs="Times New Roman"/>
          <w:color w:val="auto"/>
          <w:kern w:val="0"/>
          <w:sz w:val="24"/>
          <w:szCs w:val="24"/>
          <w:highlight w:val="none"/>
          <w:u w:val="none"/>
          <w:lang w:eastAsia="zh-CN"/>
        </w:rPr>
        <w:t>项目大气环境影响评价自查表</w:t>
      </w:r>
      <w:r>
        <w:rPr>
          <w:rFonts w:hint="eastAsia"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eastAsia="zh-CN"/>
        </w:rPr>
        <w:t>见表5.</w:t>
      </w:r>
      <w:r>
        <w:rPr>
          <w:rFonts w:hint="eastAsia" w:cs="Times New Roman"/>
          <w:color w:val="auto"/>
          <w:kern w:val="0"/>
          <w:sz w:val="24"/>
          <w:szCs w:val="24"/>
          <w:highlight w:val="none"/>
          <w:u w:val="none"/>
          <w:lang w:val="en-US" w:eastAsia="zh-CN"/>
        </w:rPr>
        <w:t>5</w:t>
      </w:r>
      <w:r>
        <w:rPr>
          <w:rFonts w:hint="eastAsia" w:ascii="Times New Roman" w:hAnsi="Times New Roman" w:eastAsia="宋体"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7</w:t>
      </w:r>
      <w:r>
        <w:rPr>
          <w:rFonts w:hint="eastAsia" w:ascii="Times New Roman" w:hAnsi="Times New Roman" w:eastAsia="宋体" w:cs="Times New Roman"/>
          <w:color w:val="auto"/>
          <w:kern w:val="0"/>
          <w:sz w:val="24"/>
          <w:szCs w:val="24"/>
          <w:highlight w:val="none"/>
          <w:u w:val="none"/>
          <w:lang w:eastAsia="zh-CN"/>
        </w:rPr>
        <w:t>。</w:t>
      </w:r>
    </w:p>
    <w:p w14:paraId="352B8D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kern w:val="0"/>
          <w:sz w:val="21"/>
          <w:szCs w:val="21"/>
          <w:highlight w:val="none"/>
          <w:u w:val="none"/>
          <w:lang w:val="en-US" w:eastAsia="zh-CN" w:bidi="ar-SA"/>
        </w:rPr>
      </w:pPr>
      <w:r>
        <w:rPr>
          <w:rFonts w:hint="default" w:ascii="黑体" w:hAnsi="黑体" w:eastAsia="黑体" w:cs="黑体"/>
          <w:b w:val="0"/>
          <w:bCs/>
          <w:color w:val="auto"/>
          <w:kern w:val="2"/>
          <w:sz w:val="24"/>
          <w:szCs w:val="24"/>
          <w:highlight w:val="none"/>
          <w:u w:val="none"/>
          <w:lang w:val="en-US" w:eastAsia="zh-CN" w:bidi="ar-SA"/>
        </w:rPr>
        <w:t>表5.</w:t>
      </w:r>
      <w:r>
        <w:rPr>
          <w:rFonts w:hint="eastAsia" w:ascii="黑体" w:hAnsi="黑体" w:eastAsia="黑体" w:cs="黑体"/>
          <w:b w:val="0"/>
          <w:bCs/>
          <w:color w:val="auto"/>
          <w:kern w:val="2"/>
          <w:sz w:val="24"/>
          <w:szCs w:val="24"/>
          <w:highlight w:val="none"/>
          <w:u w:val="none"/>
          <w:lang w:val="en-US" w:eastAsia="zh-CN" w:bidi="ar-SA"/>
        </w:rPr>
        <w:t>5</w:t>
      </w:r>
      <w:r>
        <w:rPr>
          <w:rFonts w:hint="default" w:ascii="黑体" w:hAnsi="黑体" w:eastAsia="黑体" w:cs="黑体"/>
          <w:b w:val="0"/>
          <w:bCs/>
          <w:color w:val="auto"/>
          <w:kern w:val="2"/>
          <w:sz w:val="24"/>
          <w:szCs w:val="24"/>
          <w:highlight w:val="none"/>
          <w:u w:val="none"/>
          <w:lang w:val="en-US" w:eastAsia="zh-CN" w:bidi="ar-SA"/>
        </w:rPr>
        <w:t>-</w:t>
      </w:r>
      <w:r>
        <w:rPr>
          <w:rFonts w:hint="eastAsia" w:ascii="黑体" w:hAnsi="黑体" w:eastAsia="黑体" w:cs="黑体"/>
          <w:b w:val="0"/>
          <w:bCs/>
          <w:color w:val="auto"/>
          <w:kern w:val="2"/>
          <w:sz w:val="24"/>
          <w:szCs w:val="24"/>
          <w:highlight w:val="none"/>
          <w:u w:val="none"/>
          <w:lang w:val="en-US" w:eastAsia="zh-CN" w:bidi="ar-SA"/>
        </w:rPr>
        <w:t xml:space="preserve">5  </w:t>
      </w:r>
      <w:r>
        <w:rPr>
          <w:rFonts w:hint="default" w:ascii="黑体" w:hAnsi="黑体" w:eastAsia="黑体" w:cs="黑体"/>
          <w:b w:val="0"/>
          <w:bCs/>
          <w:color w:val="auto"/>
          <w:kern w:val="2"/>
          <w:sz w:val="24"/>
          <w:szCs w:val="24"/>
          <w:highlight w:val="none"/>
          <w:u w:val="none"/>
          <w:lang w:val="en-US" w:eastAsia="zh-CN" w:bidi="ar-SA"/>
        </w:rPr>
        <w:t>大气环境影响评价自查表</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1"/>
        <w:gridCol w:w="1144"/>
        <w:gridCol w:w="936"/>
        <w:gridCol w:w="655"/>
        <w:gridCol w:w="487"/>
        <w:gridCol w:w="353"/>
        <w:gridCol w:w="943"/>
        <w:gridCol w:w="276"/>
        <w:gridCol w:w="933"/>
        <w:gridCol w:w="212"/>
        <w:gridCol w:w="281"/>
        <w:gridCol w:w="193"/>
        <w:gridCol w:w="341"/>
        <w:gridCol w:w="299"/>
        <w:gridCol w:w="277"/>
        <w:gridCol w:w="768"/>
      </w:tblGrid>
      <w:tr w14:paraId="3BB4E1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062" w:type="pct"/>
            <w:gridSpan w:val="2"/>
            <w:tcBorders>
              <w:tl2br w:val="nil"/>
              <w:tr2bl w:val="nil"/>
            </w:tcBorders>
            <w:noWrap w:val="0"/>
            <w:vAlign w:val="center"/>
          </w:tcPr>
          <w:p w14:paraId="3DD5ABA9">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工作内容</w:t>
            </w:r>
          </w:p>
        </w:tc>
        <w:tc>
          <w:tcPr>
            <w:tcW w:w="3937" w:type="pct"/>
            <w:gridSpan w:val="14"/>
            <w:tcBorders>
              <w:tl2br w:val="nil"/>
              <w:tr2bl w:val="nil"/>
            </w:tcBorders>
            <w:noWrap w:val="0"/>
            <w:vAlign w:val="center"/>
          </w:tcPr>
          <w:p w14:paraId="0A3A9B1D">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自查项目</w:t>
            </w:r>
          </w:p>
        </w:tc>
      </w:tr>
      <w:tr w14:paraId="5B374F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restart"/>
            <w:tcBorders>
              <w:tl2br w:val="nil"/>
              <w:tr2bl w:val="nil"/>
            </w:tcBorders>
            <w:noWrap w:val="0"/>
            <w:vAlign w:val="center"/>
          </w:tcPr>
          <w:p w14:paraId="52BC2CAB">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评价等级</w:t>
            </w:r>
          </w:p>
        </w:tc>
        <w:tc>
          <w:tcPr>
            <w:tcW w:w="647" w:type="pct"/>
            <w:tcBorders>
              <w:tl2br w:val="nil"/>
              <w:tr2bl w:val="nil"/>
            </w:tcBorders>
            <w:noWrap w:val="0"/>
            <w:vAlign w:val="center"/>
          </w:tcPr>
          <w:p w14:paraId="629F380D">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评价等级</w:t>
            </w:r>
          </w:p>
        </w:tc>
        <w:tc>
          <w:tcPr>
            <w:tcW w:w="1377" w:type="pct"/>
            <w:gridSpan w:val="4"/>
            <w:tcBorders>
              <w:tl2br w:val="nil"/>
              <w:tr2bl w:val="nil"/>
            </w:tcBorders>
            <w:noWrap w:val="0"/>
            <w:vAlign w:val="center"/>
          </w:tcPr>
          <w:p w14:paraId="0F32B9D8">
            <w:pPr>
              <w:keepNext w:val="0"/>
              <w:keepLines w:val="0"/>
              <w:pageBreakBefore w:val="0"/>
              <w:widowControl/>
              <w:kinsoku/>
              <w:wordWrap/>
              <w:overflowPunct/>
              <w:topLinePunct w:val="0"/>
              <w:autoSpaceDE/>
              <w:autoSpaceDN/>
              <w:bidi w:val="0"/>
              <w:adjustRightInd/>
              <w:snapToGrid/>
              <w:spacing w:line="310" w:lineRule="exact"/>
              <w:jc w:val="center"/>
              <w:rPr>
                <w:rFonts w:hint="eastAsia" w:ascii="宋体" w:hAnsi="宋体" w:eastAsia="宋体" w:cs="宋体"/>
                <w:color w:val="auto"/>
                <w:kern w:val="0"/>
                <w:sz w:val="18"/>
                <w:szCs w:val="18"/>
                <w:highlight w:val="none"/>
                <w:u w:val="none"/>
                <w:lang w:eastAsia="zh-CN"/>
              </w:rPr>
            </w:pPr>
            <w:r>
              <w:rPr>
                <w:rFonts w:hint="eastAsia" w:ascii="宋体" w:hAnsi="宋体" w:eastAsia="宋体" w:cs="宋体"/>
                <w:color w:val="auto"/>
                <w:kern w:val="0"/>
                <w:sz w:val="18"/>
                <w:szCs w:val="18"/>
                <w:highlight w:val="none"/>
                <w:u w:val="none"/>
              </w:rPr>
              <w:t>一级</w:t>
            </w:r>
            <w:r>
              <w:rPr>
                <w:rFonts w:hint="eastAsia" w:ascii="宋体" w:hAnsi="宋体" w:eastAsia="宋体" w:cs="宋体"/>
                <w:color w:val="auto"/>
                <w:kern w:val="0"/>
                <w:sz w:val="18"/>
                <w:szCs w:val="18"/>
                <w:highlight w:val="none"/>
                <w:u w:val="none"/>
                <w:lang w:eastAsia="zh-CN"/>
              </w:rPr>
              <w:t>□</w:t>
            </w:r>
          </w:p>
        </w:tc>
        <w:tc>
          <w:tcPr>
            <w:tcW w:w="1606" w:type="pct"/>
            <w:gridSpan w:val="6"/>
            <w:tcBorders>
              <w:tl2br w:val="nil"/>
              <w:tr2bl w:val="nil"/>
            </w:tcBorders>
            <w:noWrap w:val="0"/>
            <w:vAlign w:val="center"/>
          </w:tcPr>
          <w:p w14:paraId="47B8413E">
            <w:pPr>
              <w:keepNext w:val="0"/>
              <w:keepLines w:val="0"/>
              <w:pageBreakBefore w:val="0"/>
              <w:widowControl/>
              <w:kinsoku/>
              <w:wordWrap/>
              <w:overflowPunct/>
              <w:topLinePunct w:val="0"/>
              <w:autoSpaceDE/>
              <w:autoSpaceDN/>
              <w:bidi w:val="0"/>
              <w:adjustRightInd/>
              <w:snapToGrid/>
              <w:spacing w:line="310" w:lineRule="exact"/>
              <w:jc w:val="center"/>
              <w:rPr>
                <w:rFonts w:hint="eastAsia" w:ascii="宋体" w:hAnsi="宋体" w:eastAsia="宋体" w:cs="宋体"/>
                <w:color w:val="auto"/>
                <w:kern w:val="0"/>
                <w:sz w:val="18"/>
                <w:szCs w:val="18"/>
                <w:highlight w:val="none"/>
                <w:u w:val="none"/>
                <w:lang w:eastAsia="zh-CN"/>
              </w:rPr>
            </w:pPr>
            <w:r>
              <w:rPr>
                <w:rFonts w:hint="eastAsia" w:ascii="宋体" w:hAnsi="宋体" w:eastAsia="宋体" w:cs="宋体"/>
                <w:color w:val="auto"/>
                <w:kern w:val="0"/>
                <w:sz w:val="18"/>
                <w:szCs w:val="18"/>
                <w:highlight w:val="none"/>
                <w:u w:val="none"/>
              </w:rPr>
              <w:t>二级</w:t>
            </w:r>
            <w:r>
              <w:rPr>
                <w:rFonts w:hint="eastAsia" w:ascii="宋体" w:hAnsi="宋体" w:cs="宋体"/>
                <w:color w:val="auto"/>
                <w:kern w:val="0"/>
                <w:sz w:val="18"/>
                <w:szCs w:val="18"/>
                <w:highlight w:val="none"/>
                <w:u w:val="none"/>
                <w:lang w:eastAsia="zh-CN"/>
              </w:rPr>
              <w:t>☑</w:t>
            </w:r>
          </w:p>
        </w:tc>
        <w:tc>
          <w:tcPr>
            <w:tcW w:w="953" w:type="pct"/>
            <w:gridSpan w:val="4"/>
            <w:tcBorders>
              <w:tl2br w:val="nil"/>
              <w:tr2bl w:val="nil"/>
            </w:tcBorders>
            <w:noWrap w:val="0"/>
            <w:vAlign w:val="center"/>
          </w:tcPr>
          <w:p w14:paraId="3D67FE01">
            <w:pPr>
              <w:keepNext w:val="0"/>
              <w:keepLines w:val="0"/>
              <w:pageBreakBefore w:val="0"/>
              <w:widowControl/>
              <w:kinsoku/>
              <w:wordWrap/>
              <w:overflowPunct/>
              <w:topLinePunct w:val="0"/>
              <w:autoSpaceDE/>
              <w:autoSpaceDN/>
              <w:bidi w:val="0"/>
              <w:adjustRightInd/>
              <w:snapToGrid/>
              <w:spacing w:line="310" w:lineRule="exact"/>
              <w:jc w:val="center"/>
              <w:rPr>
                <w:rFonts w:hint="eastAsia" w:ascii="宋体" w:hAnsi="宋体" w:eastAsia="宋体" w:cs="宋体"/>
                <w:color w:val="auto"/>
                <w:kern w:val="0"/>
                <w:sz w:val="18"/>
                <w:szCs w:val="18"/>
                <w:highlight w:val="none"/>
                <w:u w:val="none"/>
                <w:lang w:eastAsia="zh-CN"/>
              </w:rPr>
            </w:pPr>
            <w:r>
              <w:rPr>
                <w:rFonts w:hint="eastAsia" w:ascii="宋体" w:hAnsi="宋体" w:eastAsia="宋体" w:cs="宋体"/>
                <w:color w:val="auto"/>
                <w:kern w:val="0"/>
                <w:sz w:val="18"/>
                <w:szCs w:val="18"/>
                <w:highlight w:val="none"/>
                <w:u w:val="none"/>
              </w:rPr>
              <w:t>三级</w:t>
            </w:r>
            <w:r>
              <w:rPr>
                <w:rFonts w:hint="eastAsia" w:ascii="宋体" w:hAnsi="宋体" w:cs="宋体"/>
                <w:color w:val="auto"/>
                <w:kern w:val="0"/>
                <w:sz w:val="18"/>
                <w:szCs w:val="18"/>
                <w:highlight w:val="none"/>
                <w:u w:val="none"/>
                <w:lang w:eastAsia="zh-CN"/>
              </w:rPr>
              <w:t>□</w:t>
            </w:r>
          </w:p>
        </w:tc>
      </w:tr>
      <w:tr w14:paraId="218755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43F8AA37">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1D708DA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评价范围</w:t>
            </w:r>
          </w:p>
        </w:tc>
        <w:tc>
          <w:tcPr>
            <w:tcW w:w="1377" w:type="pct"/>
            <w:gridSpan w:val="4"/>
            <w:tcBorders>
              <w:tl2br w:val="nil"/>
              <w:tr2bl w:val="nil"/>
            </w:tcBorders>
            <w:noWrap w:val="0"/>
            <w:vAlign w:val="center"/>
          </w:tcPr>
          <w:p w14:paraId="4F3D9CD5">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边长=50km□</w:t>
            </w:r>
          </w:p>
        </w:tc>
        <w:tc>
          <w:tcPr>
            <w:tcW w:w="1606" w:type="pct"/>
            <w:gridSpan w:val="6"/>
            <w:tcBorders>
              <w:tl2br w:val="nil"/>
              <w:tr2bl w:val="nil"/>
            </w:tcBorders>
            <w:noWrap w:val="0"/>
            <w:vAlign w:val="center"/>
          </w:tcPr>
          <w:p w14:paraId="0DFC9DD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边长5～50km□</w:t>
            </w:r>
          </w:p>
        </w:tc>
        <w:tc>
          <w:tcPr>
            <w:tcW w:w="953" w:type="pct"/>
            <w:gridSpan w:val="4"/>
            <w:tcBorders>
              <w:tl2br w:val="nil"/>
              <w:tr2bl w:val="nil"/>
            </w:tcBorders>
            <w:noWrap w:val="0"/>
            <w:vAlign w:val="center"/>
          </w:tcPr>
          <w:p w14:paraId="2EEFE4C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边长=5km</w:t>
            </w:r>
            <w:r>
              <w:rPr>
                <w:rFonts w:hint="eastAsia" w:ascii="宋体" w:hAnsi="宋体" w:eastAsia="宋体" w:cs="宋体"/>
                <w:color w:val="auto"/>
                <w:kern w:val="0"/>
                <w:sz w:val="18"/>
                <w:szCs w:val="18"/>
                <w:highlight w:val="none"/>
                <w:u w:val="none"/>
                <w:lang w:eastAsia="zh-CN"/>
              </w:rPr>
              <w:t>☑</w:t>
            </w:r>
          </w:p>
        </w:tc>
      </w:tr>
      <w:tr w14:paraId="44FF12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restart"/>
            <w:tcBorders>
              <w:tl2br w:val="nil"/>
              <w:tr2bl w:val="nil"/>
            </w:tcBorders>
            <w:noWrap w:val="0"/>
            <w:vAlign w:val="center"/>
          </w:tcPr>
          <w:p w14:paraId="505C8D4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评价因子</w:t>
            </w:r>
          </w:p>
        </w:tc>
        <w:tc>
          <w:tcPr>
            <w:tcW w:w="647" w:type="pct"/>
            <w:tcBorders>
              <w:tl2br w:val="nil"/>
              <w:tr2bl w:val="nil"/>
            </w:tcBorders>
            <w:noWrap w:val="0"/>
            <w:vAlign w:val="center"/>
          </w:tcPr>
          <w:p w14:paraId="08D4F9BB">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SO</w:t>
            </w:r>
            <w:r>
              <w:rPr>
                <w:rFonts w:hint="eastAsia" w:ascii="宋体" w:hAnsi="宋体" w:eastAsia="宋体" w:cs="宋体"/>
                <w:color w:val="auto"/>
                <w:kern w:val="0"/>
                <w:sz w:val="18"/>
                <w:szCs w:val="18"/>
                <w:highlight w:val="none"/>
                <w:u w:val="none"/>
                <w:vertAlign w:val="subscript"/>
              </w:rPr>
              <w:t>2</w:t>
            </w:r>
            <w:r>
              <w:rPr>
                <w:rFonts w:hint="eastAsia" w:ascii="宋体" w:hAnsi="宋体" w:eastAsia="宋体" w:cs="宋体"/>
                <w:color w:val="auto"/>
                <w:kern w:val="0"/>
                <w:sz w:val="18"/>
                <w:szCs w:val="18"/>
                <w:highlight w:val="none"/>
                <w:u w:val="none"/>
              </w:rPr>
              <w:t>+NO</w:t>
            </w:r>
            <w:r>
              <w:rPr>
                <w:rFonts w:hint="eastAsia" w:ascii="宋体" w:hAnsi="宋体" w:eastAsia="宋体" w:cs="宋体"/>
                <w:color w:val="auto"/>
                <w:kern w:val="0"/>
                <w:sz w:val="18"/>
                <w:szCs w:val="18"/>
                <w:highlight w:val="none"/>
                <w:u w:val="none"/>
                <w:vertAlign w:val="subscript"/>
              </w:rPr>
              <w:t>x</w:t>
            </w:r>
            <w:r>
              <w:rPr>
                <w:rFonts w:hint="eastAsia" w:ascii="宋体" w:hAnsi="宋体" w:eastAsia="宋体" w:cs="宋体"/>
                <w:color w:val="auto"/>
                <w:kern w:val="0"/>
                <w:sz w:val="18"/>
                <w:szCs w:val="18"/>
                <w:highlight w:val="none"/>
                <w:u w:val="none"/>
              </w:rPr>
              <w:t>排放量</w:t>
            </w:r>
          </w:p>
        </w:tc>
        <w:tc>
          <w:tcPr>
            <w:tcW w:w="1377" w:type="pct"/>
            <w:gridSpan w:val="4"/>
            <w:tcBorders>
              <w:tl2br w:val="nil"/>
              <w:tr2bl w:val="nil"/>
            </w:tcBorders>
            <w:noWrap w:val="0"/>
            <w:vAlign w:val="center"/>
          </w:tcPr>
          <w:p w14:paraId="0FDDF78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≥2000t/a□</w:t>
            </w:r>
          </w:p>
        </w:tc>
        <w:tc>
          <w:tcPr>
            <w:tcW w:w="1606" w:type="pct"/>
            <w:gridSpan w:val="6"/>
            <w:tcBorders>
              <w:tl2br w:val="nil"/>
              <w:tr2bl w:val="nil"/>
            </w:tcBorders>
            <w:noWrap w:val="0"/>
            <w:vAlign w:val="center"/>
          </w:tcPr>
          <w:p w14:paraId="43672776">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500～2000t/a□</w:t>
            </w:r>
          </w:p>
        </w:tc>
        <w:tc>
          <w:tcPr>
            <w:tcW w:w="953" w:type="pct"/>
            <w:gridSpan w:val="4"/>
            <w:tcBorders>
              <w:tl2br w:val="nil"/>
              <w:tr2bl w:val="nil"/>
            </w:tcBorders>
            <w:noWrap w:val="0"/>
            <w:vAlign w:val="center"/>
          </w:tcPr>
          <w:p w14:paraId="65F1D9BF">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＜500t/a</w:t>
            </w:r>
            <w:r>
              <w:rPr>
                <w:rFonts w:hint="eastAsia" w:ascii="宋体" w:hAnsi="宋体" w:eastAsia="宋体" w:cs="宋体"/>
                <w:color w:val="auto"/>
                <w:kern w:val="0"/>
                <w:sz w:val="18"/>
                <w:szCs w:val="18"/>
                <w:highlight w:val="none"/>
                <w:u w:val="none"/>
                <w:lang w:eastAsia="zh-CN"/>
              </w:rPr>
              <w:t>☑</w:t>
            </w:r>
          </w:p>
        </w:tc>
      </w:tr>
      <w:tr w14:paraId="43F87F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38EB5337">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13420095">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评价因子</w:t>
            </w:r>
          </w:p>
        </w:tc>
        <w:tc>
          <w:tcPr>
            <w:tcW w:w="2715" w:type="pct"/>
            <w:gridSpan w:val="8"/>
            <w:tcBorders>
              <w:tl2br w:val="nil"/>
              <w:tr2bl w:val="nil"/>
            </w:tcBorders>
            <w:noWrap w:val="0"/>
            <w:vAlign w:val="center"/>
          </w:tcPr>
          <w:p w14:paraId="4D7B221D">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基本污染物（SO</w:t>
            </w:r>
            <w:r>
              <w:rPr>
                <w:rFonts w:hint="eastAsia" w:ascii="宋体" w:hAnsi="宋体" w:eastAsia="宋体" w:cs="宋体"/>
                <w:color w:val="auto"/>
                <w:kern w:val="0"/>
                <w:sz w:val="18"/>
                <w:szCs w:val="18"/>
                <w:highlight w:val="none"/>
                <w:u w:val="none"/>
                <w:vertAlign w:val="subscript"/>
              </w:rPr>
              <w:t>2</w:t>
            </w:r>
            <w:r>
              <w:rPr>
                <w:rFonts w:hint="eastAsia" w:ascii="宋体" w:hAnsi="宋体" w:eastAsia="宋体" w:cs="宋体"/>
                <w:color w:val="auto"/>
                <w:kern w:val="0"/>
                <w:sz w:val="18"/>
                <w:szCs w:val="18"/>
                <w:highlight w:val="none"/>
                <w:u w:val="none"/>
              </w:rPr>
              <w:t>、NO</w:t>
            </w:r>
            <w:r>
              <w:rPr>
                <w:rFonts w:hint="eastAsia" w:ascii="宋体" w:hAnsi="宋体" w:eastAsia="宋体" w:cs="宋体"/>
                <w:color w:val="auto"/>
                <w:kern w:val="0"/>
                <w:sz w:val="18"/>
                <w:szCs w:val="18"/>
                <w:highlight w:val="none"/>
                <w:u w:val="none"/>
                <w:vertAlign w:val="subscript"/>
              </w:rPr>
              <w:t>2</w:t>
            </w:r>
            <w:r>
              <w:rPr>
                <w:rFonts w:hint="eastAsia" w:ascii="宋体" w:hAnsi="宋体" w:eastAsia="宋体" w:cs="宋体"/>
                <w:color w:val="auto"/>
                <w:kern w:val="0"/>
                <w:sz w:val="18"/>
                <w:szCs w:val="18"/>
                <w:highlight w:val="none"/>
                <w:u w:val="none"/>
              </w:rPr>
              <w:t>、PM</w:t>
            </w:r>
            <w:r>
              <w:rPr>
                <w:rFonts w:hint="eastAsia" w:ascii="宋体" w:hAnsi="宋体" w:eastAsia="宋体" w:cs="宋体"/>
                <w:color w:val="auto"/>
                <w:kern w:val="0"/>
                <w:sz w:val="18"/>
                <w:szCs w:val="18"/>
                <w:highlight w:val="none"/>
                <w:u w:val="none"/>
                <w:vertAlign w:val="subscript"/>
              </w:rPr>
              <w:t>10</w:t>
            </w:r>
            <w:r>
              <w:rPr>
                <w:rFonts w:hint="eastAsia" w:ascii="宋体" w:hAnsi="宋体" w:eastAsia="宋体" w:cs="宋体"/>
                <w:color w:val="auto"/>
                <w:kern w:val="0"/>
                <w:sz w:val="18"/>
                <w:szCs w:val="18"/>
                <w:highlight w:val="none"/>
                <w:u w:val="none"/>
              </w:rPr>
              <w:t>、PM</w:t>
            </w:r>
            <w:r>
              <w:rPr>
                <w:rFonts w:hint="eastAsia" w:ascii="宋体" w:hAnsi="宋体" w:eastAsia="宋体" w:cs="宋体"/>
                <w:color w:val="auto"/>
                <w:kern w:val="0"/>
                <w:sz w:val="18"/>
                <w:szCs w:val="18"/>
                <w:highlight w:val="none"/>
                <w:u w:val="none"/>
                <w:vertAlign w:val="subscript"/>
              </w:rPr>
              <w:t>2.5</w:t>
            </w:r>
            <w:r>
              <w:rPr>
                <w:rFonts w:hint="eastAsia" w:ascii="宋体" w:hAnsi="宋体" w:eastAsia="宋体" w:cs="宋体"/>
                <w:color w:val="auto"/>
                <w:kern w:val="0"/>
                <w:sz w:val="18"/>
                <w:szCs w:val="18"/>
                <w:highlight w:val="none"/>
                <w:u w:val="none"/>
              </w:rPr>
              <w:t>、CO、O</w:t>
            </w:r>
            <w:r>
              <w:rPr>
                <w:rFonts w:hint="eastAsia" w:ascii="宋体" w:hAnsi="宋体" w:eastAsia="宋体" w:cs="宋体"/>
                <w:color w:val="auto"/>
                <w:kern w:val="0"/>
                <w:sz w:val="18"/>
                <w:szCs w:val="18"/>
                <w:highlight w:val="none"/>
                <w:u w:val="none"/>
                <w:vertAlign w:val="subscript"/>
              </w:rPr>
              <w:t>3</w:t>
            </w:r>
            <w:r>
              <w:rPr>
                <w:rFonts w:hint="eastAsia" w:ascii="宋体" w:hAnsi="宋体" w:eastAsia="宋体" w:cs="宋体"/>
                <w:color w:val="auto"/>
                <w:kern w:val="0"/>
                <w:sz w:val="18"/>
                <w:szCs w:val="18"/>
                <w:highlight w:val="none"/>
                <w:u w:val="none"/>
              </w:rPr>
              <w:t>）</w:t>
            </w:r>
          </w:p>
          <w:p w14:paraId="1967AE53">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lang w:val="en-US" w:eastAsia="zh-CN"/>
              </w:rPr>
              <w:t>特征</w:t>
            </w:r>
            <w:r>
              <w:rPr>
                <w:rFonts w:hint="eastAsia" w:ascii="宋体" w:hAnsi="宋体" w:eastAsia="宋体" w:cs="宋体"/>
                <w:color w:val="auto"/>
                <w:kern w:val="0"/>
                <w:sz w:val="18"/>
                <w:szCs w:val="18"/>
                <w:highlight w:val="none"/>
                <w:u w:val="none"/>
              </w:rPr>
              <w:t>污染物（NMHC</w:t>
            </w:r>
            <w:r>
              <w:rPr>
                <w:rFonts w:hint="eastAsia" w:ascii="宋体" w:hAnsi="宋体" w:cs="宋体"/>
                <w:color w:val="auto"/>
                <w:kern w:val="0"/>
                <w:sz w:val="18"/>
                <w:szCs w:val="18"/>
                <w:highlight w:val="none"/>
                <w:u w:val="none"/>
                <w:lang w:eastAsia="zh-CN"/>
              </w:rPr>
              <w:t>、</w:t>
            </w:r>
            <w:r>
              <w:rPr>
                <w:rFonts w:hint="eastAsia" w:ascii="宋体" w:hAnsi="宋体" w:cs="宋体"/>
                <w:color w:val="auto"/>
                <w:kern w:val="0"/>
                <w:sz w:val="18"/>
                <w:szCs w:val="18"/>
                <w:highlight w:val="none"/>
                <w:u w:val="none"/>
                <w:lang w:val="en-US" w:eastAsia="zh-CN"/>
              </w:rPr>
              <w:t>H</w:t>
            </w:r>
            <w:r>
              <w:rPr>
                <w:rFonts w:hint="eastAsia" w:ascii="宋体" w:hAnsi="宋体" w:cs="宋体"/>
                <w:color w:val="auto"/>
                <w:kern w:val="0"/>
                <w:sz w:val="18"/>
                <w:szCs w:val="18"/>
                <w:highlight w:val="none"/>
                <w:u w:val="none"/>
                <w:vertAlign w:val="subscript"/>
                <w:lang w:val="en-US" w:eastAsia="zh-CN"/>
              </w:rPr>
              <w:t>2</w:t>
            </w:r>
            <w:r>
              <w:rPr>
                <w:rFonts w:hint="eastAsia" w:ascii="宋体" w:hAnsi="宋体" w:cs="宋体"/>
                <w:color w:val="auto"/>
                <w:kern w:val="0"/>
                <w:sz w:val="18"/>
                <w:szCs w:val="18"/>
                <w:highlight w:val="none"/>
                <w:u w:val="none"/>
                <w:lang w:val="en-US" w:eastAsia="zh-CN"/>
              </w:rPr>
              <w:t>S</w:t>
            </w:r>
            <w:r>
              <w:rPr>
                <w:rFonts w:hint="eastAsia" w:ascii="宋体" w:hAnsi="宋体" w:eastAsia="宋体" w:cs="宋体"/>
                <w:color w:val="auto"/>
                <w:kern w:val="0"/>
                <w:sz w:val="18"/>
                <w:szCs w:val="18"/>
                <w:highlight w:val="none"/>
                <w:u w:val="none"/>
              </w:rPr>
              <w:t>）</w:t>
            </w:r>
          </w:p>
        </w:tc>
        <w:tc>
          <w:tcPr>
            <w:tcW w:w="1222" w:type="pct"/>
            <w:gridSpan w:val="6"/>
            <w:tcBorders>
              <w:tl2br w:val="nil"/>
              <w:tr2bl w:val="nil"/>
            </w:tcBorders>
            <w:noWrap w:val="0"/>
            <w:vAlign w:val="center"/>
          </w:tcPr>
          <w:p w14:paraId="56243038">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包括二次PM2.5□</w:t>
            </w:r>
          </w:p>
          <w:p w14:paraId="6312EC98">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不包括二次PM2.5</w:t>
            </w:r>
            <w:r>
              <w:rPr>
                <w:rFonts w:hint="eastAsia" w:ascii="宋体" w:hAnsi="宋体" w:eastAsia="宋体" w:cs="宋体"/>
                <w:color w:val="auto"/>
                <w:kern w:val="0"/>
                <w:sz w:val="18"/>
                <w:szCs w:val="18"/>
                <w:highlight w:val="none"/>
                <w:u w:val="none"/>
                <w:lang w:eastAsia="zh-CN"/>
              </w:rPr>
              <w:t>☑</w:t>
            </w:r>
          </w:p>
        </w:tc>
      </w:tr>
      <w:tr w14:paraId="41798E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tcBorders>
              <w:tl2br w:val="nil"/>
              <w:tr2bl w:val="nil"/>
            </w:tcBorders>
            <w:noWrap w:val="0"/>
            <w:vAlign w:val="center"/>
          </w:tcPr>
          <w:p w14:paraId="3FF77556">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评价标准</w:t>
            </w:r>
          </w:p>
        </w:tc>
        <w:tc>
          <w:tcPr>
            <w:tcW w:w="647" w:type="pct"/>
            <w:tcBorders>
              <w:tl2br w:val="nil"/>
              <w:tr2bl w:val="nil"/>
            </w:tcBorders>
            <w:noWrap w:val="0"/>
            <w:vAlign w:val="center"/>
          </w:tcPr>
          <w:p w14:paraId="422205F8">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评价标准</w:t>
            </w:r>
          </w:p>
        </w:tc>
        <w:tc>
          <w:tcPr>
            <w:tcW w:w="1177" w:type="pct"/>
            <w:gridSpan w:val="3"/>
            <w:tcBorders>
              <w:tl2br w:val="nil"/>
              <w:tr2bl w:val="nil"/>
            </w:tcBorders>
            <w:noWrap w:val="0"/>
            <w:vAlign w:val="center"/>
          </w:tcPr>
          <w:p w14:paraId="6B0BF0B0">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国家标准</w:t>
            </w:r>
            <w:r>
              <w:rPr>
                <w:rFonts w:hint="eastAsia" w:ascii="宋体" w:hAnsi="宋体" w:eastAsia="宋体" w:cs="宋体"/>
                <w:color w:val="auto"/>
                <w:kern w:val="0"/>
                <w:sz w:val="18"/>
                <w:szCs w:val="18"/>
                <w:highlight w:val="none"/>
                <w:u w:val="none"/>
                <w:lang w:eastAsia="zh-CN"/>
              </w:rPr>
              <w:t>☑</w:t>
            </w:r>
          </w:p>
        </w:tc>
        <w:tc>
          <w:tcPr>
            <w:tcW w:w="1417" w:type="pct"/>
            <w:gridSpan w:val="4"/>
            <w:tcBorders>
              <w:tl2br w:val="nil"/>
              <w:tr2bl w:val="nil"/>
            </w:tcBorders>
            <w:noWrap w:val="0"/>
            <w:vAlign w:val="center"/>
          </w:tcPr>
          <w:p w14:paraId="3DCFB662">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地方标准□</w:t>
            </w:r>
          </w:p>
        </w:tc>
        <w:tc>
          <w:tcPr>
            <w:tcW w:w="750" w:type="pct"/>
            <w:gridSpan w:val="5"/>
            <w:tcBorders>
              <w:tl2br w:val="nil"/>
              <w:tr2bl w:val="nil"/>
            </w:tcBorders>
            <w:noWrap w:val="0"/>
            <w:vAlign w:val="center"/>
          </w:tcPr>
          <w:p w14:paraId="2E8016A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附录D</w:t>
            </w:r>
            <w:r>
              <w:rPr>
                <w:rFonts w:hint="eastAsia" w:ascii="宋体" w:hAnsi="宋体" w:cs="宋体"/>
                <w:color w:val="auto"/>
                <w:kern w:val="0"/>
                <w:sz w:val="18"/>
                <w:szCs w:val="18"/>
                <w:highlight w:val="none"/>
                <w:u w:val="none"/>
                <w:lang w:eastAsia="zh-CN"/>
              </w:rPr>
              <w:t>☑</w:t>
            </w:r>
          </w:p>
        </w:tc>
        <w:tc>
          <w:tcPr>
            <w:tcW w:w="591" w:type="pct"/>
            <w:gridSpan w:val="2"/>
            <w:tcBorders>
              <w:tl2br w:val="nil"/>
              <w:tr2bl w:val="nil"/>
            </w:tcBorders>
            <w:noWrap w:val="0"/>
            <w:vAlign w:val="center"/>
          </w:tcPr>
          <w:p w14:paraId="0F451ECA">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其他标准□</w:t>
            </w:r>
          </w:p>
        </w:tc>
      </w:tr>
      <w:tr w14:paraId="5D1052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restart"/>
            <w:tcBorders>
              <w:tl2br w:val="nil"/>
              <w:tr2bl w:val="nil"/>
            </w:tcBorders>
            <w:noWrap w:val="0"/>
            <w:vAlign w:val="center"/>
          </w:tcPr>
          <w:p w14:paraId="35B9B80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现状评价</w:t>
            </w:r>
          </w:p>
        </w:tc>
        <w:tc>
          <w:tcPr>
            <w:tcW w:w="647" w:type="pct"/>
            <w:tcBorders>
              <w:tl2br w:val="nil"/>
              <w:tr2bl w:val="nil"/>
            </w:tcBorders>
            <w:noWrap w:val="0"/>
            <w:vAlign w:val="center"/>
          </w:tcPr>
          <w:p w14:paraId="51AA263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环境功能区</w:t>
            </w:r>
          </w:p>
        </w:tc>
        <w:tc>
          <w:tcPr>
            <w:tcW w:w="1377" w:type="pct"/>
            <w:gridSpan w:val="4"/>
            <w:tcBorders>
              <w:tl2br w:val="nil"/>
              <w:tr2bl w:val="nil"/>
            </w:tcBorders>
            <w:noWrap w:val="0"/>
            <w:vAlign w:val="center"/>
          </w:tcPr>
          <w:p w14:paraId="2CA3C2DA">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一类区□</w:t>
            </w:r>
          </w:p>
        </w:tc>
        <w:tc>
          <w:tcPr>
            <w:tcW w:w="1606" w:type="pct"/>
            <w:gridSpan w:val="6"/>
            <w:tcBorders>
              <w:tl2br w:val="nil"/>
              <w:tr2bl w:val="nil"/>
            </w:tcBorders>
            <w:noWrap w:val="0"/>
            <w:vAlign w:val="center"/>
          </w:tcPr>
          <w:p w14:paraId="43043D49">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二类区</w:t>
            </w:r>
            <w:r>
              <w:rPr>
                <w:rFonts w:hint="eastAsia" w:ascii="宋体" w:hAnsi="宋体" w:eastAsia="宋体" w:cs="宋体"/>
                <w:color w:val="auto"/>
                <w:kern w:val="0"/>
                <w:sz w:val="18"/>
                <w:szCs w:val="18"/>
                <w:highlight w:val="none"/>
                <w:u w:val="none"/>
                <w:lang w:eastAsia="zh-CN"/>
              </w:rPr>
              <w:t>☑</w:t>
            </w:r>
          </w:p>
        </w:tc>
        <w:tc>
          <w:tcPr>
            <w:tcW w:w="953" w:type="pct"/>
            <w:gridSpan w:val="4"/>
            <w:tcBorders>
              <w:tl2br w:val="nil"/>
              <w:tr2bl w:val="nil"/>
            </w:tcBorders>
            <w:noWrap w:val="0"/>
            <w:vAlign w:val="center"/>
          </w:tcPr>
          <w:p w14:paraId="47782FD7">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一类区和二类区□</w:t>
            </w:r>
          </w:p>
        </w:tc>
      </w:tr>
      <w:tr w14:paraId="4CB2B4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09E34EF5">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7BF6ACB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评价基准年</w:t>
            </w:r>
          </w:p>
        </w:tc>
        <w:tc>
          <w:tcPr>
            <w:tcW w:w="3937" w:type="pct"/>
            <w:gridSpan w:val="14"/>
            <w:tcBorders>
              <w:tl2br w:val="nil"/>
              <w:tr2bl w:val="nil"/>
            </w:tcBorders>
            <w:noWrap w:val="0"/>
            <w:vAlign w:val="center"/>
          </w:tcPr>
          <w:p w14:paraId="262F7643">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（202</w:t>
            </w:r>
            <w:r>
              <w:rPr>
                <w:rFonts w:hint="eastAsia" w:ascii="宋体" w:hAnsi="宋体" w:cs="宋体"/>
                <w:color w:val="auto"/>
                <w:kern w:val="0"/>
                <w:sz w:val="18"/>
                <w:szCs w:val="18"/>
                <w:highlight w:val="none"/>
                <w:u w:val="none"/>
                <w:lang w:val="en-US" w:eastAsia="zh-CN"/>
              </w:rPr>
              <w:t>3</w:t>
            </w:r>
            <w:r>
              <w:rPr>
                <w:rFonts w:hint="eastAsia" w:ascii="宋体" w:hAnsi="宋体" w:eastAsia="宋体" w:cs="宋体"/>
                <w:color w:val="auto"/>
                <w:kern w:val="0"/>
                <w:sz w:val="18"/>
                <w:szCs w:val="18"/>
                <w:highlight w:val="none"/>
                <w:u w:val="none"/>
              </w:rPr>
              <w:t>）年</w:t>
            </w:r>
          </w:p>
        </w:tc>
      </w:tr>
      <w:tr w14:paraId="1CFC09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77E4B56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11C59CE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环境空气质量现状调查数据来源</w:t>
            </w:r>
          </w:p>
        </w:tc>
        <w:tc>
          <w:tcPr>
            <w:tcW w:w="1377" w:type="pct"/>
            <w:gridSpan w:val="4"/>
            <w:tcBorders>
              <w:tl2br w:val="nil"/>
              <w:tr2bl w:val="nil"/>
            </w:tcBorders>
            <w:noWrap w:val="0"/>
            <w:vAlign w:val="center"/>
          </w:tcPr>
          <w:p w14:paraId="779F99E2">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长期例行监测数据□</w:t>
            </w:r>
          </w:p>
        </w:tc>
        <w:tc>
          <w:tcPr>
            <w:tcW w:w="1606" w:type="pct"/>
            <w:gridSpan w:val="6"/>
            <w:tcBorders>
              <w:tl2br w:val="nil"/>
              <w:tr2bl w:val="nil"/>
            </w:tcBorders>
            <w:noWrap w:val="0"/>
            <w:vAlign w:val="center"/>
          </w:tcPr>
          <w:p w14:paraId="39CBD6A3">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主管部门发布的数据</w:t>
            </w:r>
            <w:r>
              <w:rPr>
                <w:rFonts w:hint="eastAsia" w:ascii="宋体" w:hAnsi="宋体" w:eastAsia="宋体" w:cs="宋体"/>
                <w:color w:val="auto"/>
                <w:kern w:val="0"/>
                <w:sz w:val="18"/>
                <w:szCs w:val="18"/>
                <w:highlight w:val="none"/>
                <w:u w:val="none"/>
                <w:lang w:eastAsia="zh-CN"/>
              </w:rPr>
              <w:t>☑</w:t>
            </w:r>
          </w:p>
        </w:tc>
        <w:tc>
          <w:tcPr>
            <w:tcW w:w="953" w:type="pct"/>
            <w:gridSpan w:val="4"/>
            <w:tcBorders>
              <w:tl2br w:val="nil"/>
              <w:tr2bl w:val="nil"/>
            </w:tcBorders>
            <w:noWrap w:val="0"/>
            <w:vAlign w:val="center"/>
          </w:tcPr>
          <w:p w14:paraId="00AC20F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现状补充监测</w:t>
            </w:r>
            <w:r>
              <w:rPr>
                <w:rFonts w:hint="eastAsia" w:ascii="宋体" w:hAnsi="宋体" w:eastAsia="宋体" w:cs="宋体"/>
                <w:color w:val="auto"/>
                <w:kern w:val="0"/>
                <w:sz w:val="18"/>
                <w:szCs w:val="18"/>
                <w:highlight w:val="none"/>
                <w:u w:val="none"/>
                <w:lang w:eastAsia="zh-CN"/>
              </w:rPr>
              <w:t>☑</w:t>
            </w:r>
          </w:p>
        </w:tc>
      </w:tr>
      <w:tr w14:paraId="4354ED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0109BA3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083A29C0">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现状评价</w:t>
            </w:r>
          </w:p>
        </w:tc>
        <w:tc>
          <w:tcPr>
            <w:tcW w:w="2595" w:type="pct"/>
            <w:gridSpan w:val="7"/>
            <w:tcBorders>
              <w:tl2br w:val="nil"/>
              <w:tr2bl w:val="nil"/>
            </w:tcBorders>
            <w:noWrap w:val="0"/>
            <w:vAlign w:val="center"/>
          </w:tcPr>
          <w:p w14:paraId="088E9AF1">
            <w:pPr>
              <w:keepNext w:val="0"/>
              <w:keepLines w:val="0"/>
              <w:pageBreakBefore w:val="0"/>
              <w:widowControl/>
              <w:kinsoku/>
              <w:wordWrap/>
              <w:overflowPunct/>
              <w:topLinePunct w:val="0"/>
              <w:autoSpaceDE/>
              <w:autoSpaceDN/>
              <w:bidi w:val="0"/>
              <w:adjustRightInd/>
              <w:snapToGrid/>
              <w:spacing w:line="310" w:lineRule="exact"/>
              <w:jc w:val="center"/>
              <w:rPr>
                <w:rFonts w:hint="eastAsia" w:ascii="宋体" w:hAnsi="宋体" w:eastAsia="宋体" w:cs="宋体"/>
                <w:color w:val="auto"/>
                <w:kern w:val="0"/>
                <w:sz w:val="18"/>
                <w:szCs w:val="18"/>
                <w:highlight w:val="none"/>
                <w:u w:val="none"/>
                <w:lang w:eastAsia="zh-CN"/>
              </w:rPr>
            </w:pPr>
            <w:r>
              <w:rPr>
                <w:rFonts w:hint="eastAsia" w:ascii="宋体" w:hAnsi="宋体" w:eastAsia="宋体" w:cs="宋体"/>
                <w:color w:val="auto"/>
                <w:kern w:val="0"/>
                <w:sz w:val="18"/>
                <w:szCs w:val="18"/>
                <w:highlight w:val="none"/>
                <w:u w:val="none"/>
              </w:rPr>
              <w:t>达标区</w:t>
            </w:r>
            <w:r>
              <w:rPr>
                <w:rFonts w:hint="eastAsia" w:ascii="宋体" w:hAnsi="宋体" w:cs="宋体"/>
                <w:color w:val="auto"/>
                <w:kern w:val="0"/>
                <w:sz w:val="18"/>
                <w:szCs w:val="18"/>
                <w:highlight w:val="none"/>
                <w:u w:val="none"/>
                <w:lang w:eastAsia="zh-CN"/>
              </w:rPr>
              <w:t>□</w:t>
            </w:r>
          </w:p>
        </w:tc>
        <w:tc>
          <w:tcPr>
            <w:tcW w:w="1342" w:type="pct"/>
            <w:gridSpan w:val="7"/>
            <w:tcBorders>
              <w:tl2br w:val="nil"/>
              <w:tr2bl w:val="nil"/>
            </w:tcBorders>
            <w:noWrap w:val="0"/>
            <w:vAlign w:val="center"/>
          </w:tcPr>
          <w:p w14:paraId="1248C248">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不达标区</w:t>
            </w:r>
            <w:r>
              <w:rPr>
                <w:rFonts w:hint="eastAsia" w:ascii="宋体" w:hAnsi="宋体" w:cs="宋体"/>
                <w:color w:val="auto"/>
                <w:kern w:val="0"/>
                <w:sz w:val="18"/>
                <w:szCs w:val="18"/>
                <w:highlight w:val="none"/>
                <w:u w:val="none"/>
                <w:lang w:eastAsia="zh-CN"/>
              </w:rPr>
              <w:t>☑</w:t>
            </w:r>
          </w:p>
        </w:tc>
      </w:tr>
      <w:tr w14:paraId="325217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tcBorders>
              <w:tl2br w:val="nil"/>
              <w:tr2bl w:val="nil"/>
            </w:tcBorders>
            <w:noWrap w:val="0"/>
            <w:vAlign w:val="center"/>
          </w:tcPr>
          <w:p w14:paraId="0EB04F4D">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污染源调查</w:t>
            </w:r>
          </w:p>
        </w:tc>
        <w:tc>
          <w:tcPr>
            <w:tcW w:w="647" w:type="pct"/>
            <w:tcBorders>
              <w:tl2br w:val="nil"/>
              <w:tr2bl w:val="nil"/>
            </w:tcBorders>
            <w:noWrap w:val="0"/>
            <w:vAlign w:val="center"/>
          </w:tcPr>
          <w:p w14:paraId="67082F5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调查内容</w:t>
            </w:r>
          </w:p>
        </w:tc>
        <w:tc>
          <w:tcPr>
            <w:tcW w:w="1177" w:type="pct"/>
            <w:gridSpan w:val="3"/>
            <w:tcBorders>
              <w:tl2br w:val="nil"/>
              <w:tr2bl w:val="nil"/>
            </w:tcBorders>
            <w:noWrap w:val="0"/>
            <w:vAlign w:val="center"/>
          </w:tcPr>
          <w:p w14:paraId="2871BFD6">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lang w:eastAsia="zh-CN"/>
              </w:rPr>
              <w:t>本工程</w:t>
            </w:r>
            <w:r>
              <w:rPr>
                <w:rFonts w:hint="eastAsia" w:ascii="宋体" w:hAnsi="宋体" w:eastAsia="宋体" w:cs="宋体"/>
                <w:color w:val="auto"/>
                <w:kern w:val="0"/>
                <w:sz w:val="18"/>
                <w:szCs w:val="18"/>
                <w:highlight w:val="none"/>
                <w:u w:val="none"/>
              </w:rPr>
              <w:t>正常排放源</w:t>
            </w:r>
            <w:r>
              <w:rPr>
                <w:rFonts w:hint="eastAsia" w:ascii="宋体" w:hAnsi="宋体" w:eastAsia="宋体" w:cs="宋体"/>
                <w:color w:val="auto"/>
                <w:kern w:val="0"/>
                <w:sz w:val="18"/>
                <w:szCs w:val="18"/>
                <w:highlight w:val="none"/>
                <w:u w:val="none"/>
                <w:lang w:eastAsia="zh-CN"/>
              </w:rPr>
              <w:t>☑</w:t>
            </w:r>
          </w:p>
          <w:p w14:paraId="680CE689">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spacing w:val="-10"/>
                <w:kern w:val="0"/>
                <w:sz w:val="18"/>
                <w:szCs w:val="18"/>
                <w:highlight w:val="none"/>
                <w:u w:val="none"/>
                <w:lang w:eastAsia="zh-CN"/>
              </w:rPr>
              <w:t>本工程</w:t>
            </w:r>
            <w:r>
              <w:rPr>
                <w:rFonts w:hint="eastAsia" w:ascii="宋体" w:hAnsi="宋体" w:eastAsia="宋体" w:cs="宋体"/>
                <w:color w:val="auto"/>
                <w:spacing w:val="-10"/>
                <w:kern w:val="0"/>
                <w:sz w:val="18"/>
                <w:szCs w:val="18"/>
                <w:highlight w:val="none"/>
                <w:u w:val="none"/>
              </w:rPr>
              <w:t>非正常排放源</w:t>
            </w:r>
            <w:r>
              <w:rPr>
                <w:rFonts w:hint="eastAsia" w:ascii="宋体" w:hAnsi="宋体" w:eastAsia="宋体" w:cs="宋体"/>
                <w:color w:val="auto"/>
                <w:kern w:val="0"/>
                <w:sz w:val="18"/>
                <w:szCs w:val="18"/>
                <w:highlight w:val="none"/>
                <w:u w:val="none"/>
              </w:rPr>
              <w:t>□</w:t>
            </w:r>
          </w:p>
          <w:p w14:paraId="6A9462D3">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现有污染源□</w:t>
            </w:r>
          </w:p>
        </w:tc>
        <w:tc>
          <w:tcPr>
            <w:tcW w:w="1417" w:type="pct"/>
            <w:gridSpan w:val="4"/>
            <w:tcBorders>
              <w:tl2br w:val="nil"/>
              <w:tr2bl w:val="nil"/>
            </w:tcBorders>
            <w:noWrap w:val="0"/>
            <w:vAlign w:val="center"/>
          </w:tcPr>
          <w:p w14:paraId="3B9A4612">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拟替代的污染源□</w:t>
            </w:r>
          </w:p>
        </w:tc>
        <w:tc>
          <w:tcPr>
            <w:tcW w:w="750" w:type="pct"/>
            <w:gridSpan w:val="5"/>
            <w:tcBorders>
              <w:tl2br w:val="nil"/>
              <w:tr2bl w:val="nil"/>
            </w:tcBorders>
            <w:noWrap w:val="0"/>
            <w:vAlign w:val="center"/>
          </w:tcPr>
          <w:p w14:paraId="46EFBBF8">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其他在建、拟建项目污染源□</w:t>
            </w:r>
          </w:p>
        </w:tc>
        <w:tc>
          <w:tcPr>
            <w:tcW w:w="591" w:type="pct"/>
            <w:gridSpan w:val="2"/>
            <w:tcBorders>
              <w:tl2br w:val="nil"/>
              <w:tr2bl w:val="nil"/>
            </w:tcBorders>
            <w:noWrap w:val="0"/>
            <w:vAlign w:val="center"/>
          </w:tcPr>
          <w:p w14:paraId="52958199">
            <w:pPr>
              <w:keepNext w:val="0"/>
              <w:keepLines w:val="0"/>
              <w:pageBreakBefore w:val="0"/>
              <w:widowControl/>
              <w:kinsoku/>
              <w:wordWrap/>
              <w:overflowPunct/>
              <w:topLinePunct w:val="0"/>
              <w:autoSpaceDE/>
              <w:autoSpaceDN/>
              <w:bidi w:val="0"/>
              <w:adjustRightInd/>
              <w:snapToGrid/>
              <w:spacing w:line="310" w:lineRule="exact"/>
              <w:jc w:val="center"/>
              <w:rPr>
                <w:rFonts w:hint="eastAsia" w:ascii="宋体" w:hAnsi="宋体" w:eastAsia="宋体" w:cs="宋体"/>
                <w:color w:val="auto"/>
                <w:kern w:val="0"/>
                <w:sz w:val="18"/>
                <w:szCs w:val="18"/>
                <w:highlight w:val="none"/>
                <w:u w:val="none"/>
                <w:lang w:eastAsia="zh-CN"/>
              </w:rPr>
            </w:pPr>
            <w:r>
              <w:rPr>
                <w:rFonts w:hint="eastAsia" w:ascii="宋体" w:hAnsi="宋体" w:eastAsia="宋体" w:cs="宋体"/>
                <w:color w:val="auto"/>
                <w:kern w:val="0"/>
                <w:sz w:val="18"/>
                <w:szCs w:val="18"/>
                <w:highlight w:val="none"/>
                <w:u w:val="none"/>
              </w:rPr>
              <w:t>区域污染源</w:t>
            </w:r>
            <w:r>
              <w:rPr>
                <w:rFonts w:hint="eastAsia" w:ascii="宋体" w:hAnsi="宋体" w:eastAsia="宋体" w:cs="宋体"/>
                <w:color w:val="auto"/>
                <w:kern w:val="0"/>
                <w:sz w:val="18"/>
                <w:szCs w:val="18"/>
                <w:highlight w:val="none"/>
                <w:u w:val="none"/>
                <w:lang w:eastAsia="zh-CN"/>
              </w:rPr>
              <w:t>□</w:t>
            </w:r>
          </w:p>
        </w:tc>
      </w:tr>
      <w:tr w14:paraId="2EF6E0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restart"/>
            <w:tcBorders>
              <w:tl2br w:val="nil"/>
              <w:tr2bl w:val="nil"/>
            </w:tcBorders>
            <w:noWrap w:val="0"/>
            <w:vAlign w:val="center"/>
          </w:tcPr>
          <w:p w14:paraId="12048CEB">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大气环境影响预测与评价</w:t>
            </w:r>
          </w:p>
        </w:tc>
        <w:tc>
          <w:tcPr>
            <w:tcW w:w="647" w:type="pct"/>
            <w:tcBorders>
              <w:tl2br w:val="nil"/>
              <w:tr2bl w:val="nil"/>
            </w:tcBorders>
            <w:noWrap w:val="0"/>
            <w:vAlign w:val="center"/>
          </w:tcPr>
          <w:p w14:paraId="04E8AE77">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预测模型</w:t>
            </w:r>
          </w:p>
        </w:tc>
        <w:tc>
          <w:tcPr>
            <w:tcW w:w="530" w:type="pct"/>
            <w:tcBorders>
              <w:tl2br w:val="nil"/>
              <w:tr2bl w:val="nil"/>
            </w:tcBorders>
            <w:noWrap w:val="0"/>
            <w:vAlign w:val="center"/>
          </w:tcPr>
          <w:p w14:paraId="0CC41872">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AERMOD</w:t>
            </w:r>
            <w:r>
              <w:rPr>
                <w:rFonts w:hint="eastAsia" w:ascii="宋体" w:hAnsi="宋体" w:eastAsia="宋体" w:cs="宋体"/>
                <w:color w:val="auto"/>
                <w:kern w:val="0"/>
                <w:sz w:val="18"/>
                <w:szCs w:val="18"/>
                <w:highlight w:val="none"/>
                <w:u w:val="none"/>
                <w:lang w:eastAsia="zh-CN"/>
              </w:rPr>
              <w:t>□</w:t>
            </w:r>
          </w:p>
        </w:tc>
        <w:tc>
          <w:tcPr>
            <w:tcW w:w="647" w:type="pct"/>
            <w:gridSpan w:val="2"/>
            <w:tcBorders>
              <w:tl2br w:val="nil"/>
              <w:tr2bl w:val="nil"/>
            </w:tcBorders>
            <w:noWrap w:val="0"/>
            <w:vAlign w:val="center"/>
          </w:tcPr>
          <w:p w14:paraId="0F473635">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ADMS</w:t>
            </w:r>
          </w:p>
          <w:p w14:paraId="42DD74AA">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w:t>
            </w:r>
          </w:p>
        </w:tc>
        <w:tc>
          <w:tcPr>
            <w:tcW w:w="733" w:type="pct"/>
            <w:gridSpan w:val="2"/>
            <w:tcBorders>
              <w:tl2br w:val="nil"/>
              <w:tr2bl w:val="nil"/>
            </w:tcBorders>
            <w:noWrap w:val="0"/>
            <w:vAlign w:val="center"/>
          </w:tcPr>
          <w:p w14:paraId="4985760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AUSTAL2000□</w:t>
            </w:r>
          </w:p>
        </w:tc>
        <w:tc>
          <w:tcPr>
            <w:tcW w:w="683" w:type="pct"/>
            <w:gridSpan w:val="2"/>
            <w:tcBorders>
              <w:tl2br w:val="nil"/>
              <w:tr2bl w:val="nil"/>
            </w:tcBorders>
            <w:noWrap w:val="0"/>
            <w:vAlign w:val="center"/>
          </w:tcPr>
          <w:p w14:paraId="1F0E6F1B">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EDMS/AEDT□</w:t>
            </w:r>
          </w:p>
        </w:tc>
        <w:tc>
          <w:tcPr>
            <w:tcW w:w="581" w:type="pct"/>
            <w:gridSpan w:val="4"/>
            <w:tcBorders>
              <w:tl2br w:val="nil"/>
              <w:tr2bl w:val="nil"/>
            </w:tcBorders>
            <w:noWrap w:val="0"/>
            <w:vAlign w:val="center"/>
          </w:tcPr>
          <w:p w14:paraId="18539D8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CALPUFF□</w:t>
            </w:r>
          </w:p>
        </w:tc>
        <w:tc>
          <w:tcPr>
            <w:tcW w:w="326" w:type="pct"/>
            <w:gridSpan w:val="2"/>
            <w:tcBorders>
              <w:tl2br w:val="nil"/>
              <w:tr2bl w:val="nil"/>
            </w:tcBorders>
            <w:noWrap w:val="0"/>
            <w:vAlign w:val="center"/>
          </w:tcPr>
          <w:p w14:paraId="4C7CDA36">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网格模型□</w:t>
            </w:r>
          </w:p>
        </w:tc>
        <w:tc>
          <w:tcPr>
            <w:tcW w:w="434" w:type="pct"/>
            <w:tcBorders>
              <w:tl2br w:val="nil"/>
              <w:tr2bl w:val="nil"/>
            </w:tcBorders>
            <w:noWrap w:val="0"/>
            <w:vAlign w:val="center"/>
          </w:tcPr>
          <w:p w14:paraId="5EA5831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其他</w:t>
            </w:r>
          </w:p>
          <w:p w14:paraId="60877539">
            <w:pPr>
              <w:keepNext w:val="0"/>
              <w:keepLines w:val="0"/>
              <w:pageBreakBefore w:val="0"/>
              <w:widowControl/>
              <w:kinsoku/>
              <w:wordWrap/>
              <w:overflowPunct/>
              <w:topLinePunct w:val="0"/>
              <w:autoSpaceDE/>
              <w:autoSpaceDN/>
              <w:bidi w:val="0"/>
              <w:adjustRightInd/>
              <w:snapToGrid/>
              <w:spacing w:line="310" w:lineRule="exact"/>
              <w:jc w:val="center"/>
              <w:rPr>
                <w:rFonts w:hint="eastAsia" w:ascii="宋体" w:hAnsi="宋体" w:eastAsia="宋体" w:cs="宋体"/>
                <w:color w:val="auto"/>
                <w:kern w:val="0"/>
                <w:sz w:val="18"/>
                <w:szCs w:val="18"/>
                <w:highlight w:val="none"/>
                <w:u w:val="none"/>
                <w:lang w:eastAsia="zh-CN"/>
              </w:rPr>
            </w:pPr>
            <w:r>
              <w:rPr>
                <w:rFonts w:hint="eastAsia" w:ascii="宋体" w:hAnsi="宋体" w:cs="宋体"/>
                <w:color w:val="auto"/>
                <w:kern w:val="0"/>
                <w:sz w:val="18"/>
                <w:szCs w:val="18"/>
                <w:highlight w:val="none"/>
                <w:u w:val="none"/>
                <w:lang w:eastAsia="zh-CN"/>
              </w:rPr>
              <w:t>□</w:t>
            </w:r>
          </w:p>
        </w:tc>
      </w:tr>
      <w:tr w14:paraId="5BE155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0C33A1E6">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401C245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预测范围</w:t>
            </w:r>
          </w:p>
        </w:tc>
        <w:tc>
          <w:tcPr>
            <w:tcW w:w="1177" w:type="pct"/>
            <w:gridSpan w:val="3"/>
            <w:tcBorders>
              <w:tl2br w:val="nil"/>
              <w:tr2bl w:val="nil"/>
            </w:tcBorders>
            <w:noWrap w:val="0"/>
            <w:vAlign w:val="center"/>
          </w:tcPr>
          <w:p w14:paraId="38EED08D">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边长≥50km□</w:t>
            </w:r>
          </w:p>
        </w:tc>
        <w:tc>
          <w:tcPr>
            <w:tcW w:w="1537" w:type="pct"/>
            <w:gridSpan w:val="5"/>
            <w:tcBorders>
              <w:tl2br w:val="nil"/>
              <w:tr2bl w:val="nil"/>
            </w:tcBorders>
            <w:noWrap w:val="0"/>
            <w:vAlign w:val="center"/>
          </w:tcPr>
          <w:p w14:paraId="60A789A6">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边长5～50km□</w:t>
            </w:r>
          </w:p>
        </w:tc>
        <w:tc>
          <w:tcPr>
            <w:tcW w:w="1222" w:type="pct"/>
            <w:gridSpan w:val="6"/>
            <w:tcBorders>
              <w:tl2br w:val="nil"/>
              <w:tr2bl w:val="nil"/>
            </w:tcBorders>
            <w:noWrap w:val="0"/>
            <w:vAlign w:val="center"/>
          </w:tcPr>
          <w:p w14:paraId="17921F3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边长=5km</w:t>
            </w:r>
            <w:r>
              <w:rPr>
                <w:rFonts w:hint="eastAsia" w:ascii="宋体" w:hAnsi="宋体" w:cs="宋体"/>
                <w:color w:val="auto"/>
                <w:kern w:val="0"/>
                <w:sz w:val="18"/>
                <w:szCs w:val="18"/>
                <w:highlight w:val="none"/>
                <w:u w:val="none"/>
                <w:lang w:eastAsia="zh-CN"/>
              </w:rPr>
              <w:t>□</w:t>
            </w:r>
          </w:p>
        </w:tc>
      </w:tr>
      <w:tr w14:paraId="5DD186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6EF7FC25">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339063E2">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预测因子</w:t>
            </w:r>
          </w:p>
        </w:tc>
        <w:tc>
          <w:tcPr>
            <w:tcW w:w="2715" w:type="pct"/>
            <w:gridSpan w:val="8"/>
            <w:tcBorders>
              <w:tl2br w:val="nil"/>
              <w:tr2bl w:val="nil"/>
            </w:tcBorders>
            <w:noWrap w:val="0"/>
            <w:vAlign w:val="center"/>
          </w:tcPr>
          <w:p w14:paraId="50DE6367">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预测因子（</w:t>
            </w:r>
            <w:r>
              <w:rPr>
                <w:rFonts w:hint="eastAsia" w:ascii="宋体" w:hAnsi="宋体" w:eastAsia="宋体" w:cs="宋体"/>
                <w:color w:val="auto"/>
                <w:kern w:val="0"/>
                <w:sz w:val="18"/>
                <w:szCs w:val="18"/>
                <w:highlight w:val="none"/>
                <w:u w:val="none"/>
                <w:lang w:bidi="ar"/>
              </w:rPr>
              <w:t>）</w:t>
            </w:r>
          </w:p>
        </w:tc>
        <w:tc>
          <w:tcPr>
            <w:tcW w:w="1222" w:type="pct"/>
            <w:gridSpan w:val="6"/>
            <w:tcBorders>
              <w:tl2br w:val="nil"/>
              <w:tr2bl w:val="nil"/>
            </w:tcBorders>
            <w:noWrap w:val="0"/>
            <w:vAlign w:val="center"/>
          </w:tcPr>
          <w:p w14:paraId="23B4642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b/>
                <w:color w:val="auto"/>
                <w:kern w:val="0"/>
                <w:sz w:val="18"/>
                <w:szCs w:val="18"/>
                <w:highlight w:val="none"/>
                <w:u w:val="none"/>
              </w:rPr>
            </w:pPr>
            <w:r>
              <w:rPr>
                <w:rFonts w:hint="eastAsia" w:ascii="宋体" w:hAnsi="宋体" w:eastAsia="宋体" w:cs="宋体"/>
                <w:color w:val="auto"/>
                <w:kern w:val="0"/>
                <w:sz w:val="18"/>
                <w:szCs w:val="18"/>
                <w:highlight w:val="none"/>
                <w:u w:val="none"/>
              </w:rPr>
              <w:t>包括二次PM2.5□</w:t>
            </w:r>
          </w:p>
          <w:p w14:paraId="1528668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不包括二次PM2.5</w:t>
            </w:r>
            <w:r>
              <w:rPr>
                <w:rFonts w:hint="eastAsia" w:ascii="宋体" w:hAnsi="宋体" w:cs="宋体"/>
                <w:color w:val="auto"/>
                <w:kern w:val="0"/>
                <w:sz w:val="18"/>
                <w:szCs w:val="18"/>
                <w:highlight w:val="none"/>
                <w:u w:val="none"/>
                <w:lang w:eastAsia="zh-CN"/>
              </w:rPr>
              <w:t>□</w:t>
            </w:r>
          </w:p>
        </w:tc>
      </w:tr>
      <w:tr w14:paraId="06FA8F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256CFD1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2F0BFBC0">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正常排放短期浓度贡献值</w:t>
            </w:r>
          </w:p>
        </w:tc>
        <w:tc>
          <w:tcPr>
            <w:tcW w:w="2715" w:type="pct"/>
            <w:gridSpan w:val="8"/>
            <w:tcBorders>
              <w:tl2br w:val="nil"/>
              <w:tr2bl w:val="nil"/>
            </w:tcBorders>
            <w:noWrap w:val="0"/>
            <w:vAlign w:val="center"/>
          </w:tcPr>
          <w:p w14:paraId="1B7E4A7D">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lang w:eastAsia="zh-CN"/>
              </w:rPr>
              <w:t>本工程</w:t>
            </w:r>
            <w:r>
              <w:rPr>
                <w:rFonts w:hint="eastAsia" w:ascii="宋体" w:hAnsi="宋体" w:eastAsia="宋体" w:cs="宋体"/>
                <w:color w:val="auto"/>
                <w:kern w:val="0"/>
                <w:sz w:val="18"/>
                <w:szCs w:val="18"/>
                <w:highlight w:val="none"/>
                <w:u w:val="none"/>
              </w:rPr>
              <w:t>最大占标率≤100%</w:t>
            </w:r>
            <w:r>
              <w:rPr>
                <w:rFonts w:hint="eastAsia" w:ascii="宋体" w:hAnsi="宋体" w:cs="宋体"/>
                <w:color w:val="auto"/>
                <w:kern w:val="0"/>
                <w:sz w:val="18"/>
                <w:szCs w:val="18"/>
                <w:highlight w:val="none"/>
                <w:u w:val="none"/>
                <w:lang w:eastAsia="zh-CN"/>
              </w:rPr>
              <w:t>□</w:t>
            </w:r>
          </w:p>
        </w:tc>
        <w:tc>
          <w:tcPr>
            <w:tcW w:w="1222" w:type="pct"/>
            <w:gridSpan w:val="6"/>
            <w:tcBorders>
              <w:tl2br w:val="nil"/>
              <w:tr2bl w:val="nil"/>
            </w:tcBorders>
            <w:noWrap w:val="0"/>
            <w:vAlign w:val="center"/>
          </w:tcPr>
          <w:p w14:paraId="4994FFB9">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lang w:eastAsia="zh-CN"/>
              </w:rPr>
              <w:t>本工程</w:t>
            </w:r>
            <w:r>
              <w:rPr>
                <w:rFonts w:hint="eastAsia" w:ascii="宋体" w:hAnsi="宋体" w:eastAsia="宋体" w:cs="宋体"/>
                <w:color w:val="auto"/>
                <w:kern w:val="0"/>
                <w:sz w:val="18"/>
                <w:szCs w:val="18"/>
                <w:highlight w:val="none"/>
                <w:u w:val="none"/>
              </w:rPr>
              <w:t>最大占标率＞100%□</w:t>
            </w:r>
          </w:p>
        </w:tc>
      </w:tr>
      <w:tr w14:paraId="358D1E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613B6160">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vMerge w:val="restart"/>
            <w:tcBorders>
              <w:tl2br w:val="nil"/>
              <w:tr2bl w:val="nil"/>
            </w:tcBorders>
            <w:noWrap w:val="0"/>
            <w:vAlign w:val="center"/>
          </w:tcPr>
          <w:p w14:paraId="6E6076DF">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正常排放年均浓度贡献值</w:t>
            </w:r>
          </w:p>
        </w:tc>
        <w:tc>
          <w:tcPr>
            <w:tcW w:w="530" w:type="pct"/>
            <w:tcBorders>
              <w:tl2br w:val="nil"/>
              <w:tr2bl w:val="nil"/>
            </w:tcBorders>
            <w:noWrap w:val="0"/>
            <w:vAlign w:val="center"/>
          </w:tcPr>
          <w:p w14:paraId="2ACCA9DF">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一类区</w:t>
            </w:r>
          </w:p>
        </w:tc>
        <w:tc>
          <w:tcPr>
            <w:tcW w:w="2185" w:type="pct"/>
            <w:gridSpan w:val="7"/>
            <w:tcBorders>
              <w:tl2br w:val="nil"/>
              <w:tr2bl w:val="nil"/>
            </w:tcBorders>
            <w:noWrap w:val="0"/>
            <w:vAlign w:val="center"/>
          </w:tcPr>
          <w:p w14:paraId="7303B671">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lang w:eastAsia="zh-CN"/>
              </w:rPr>
              <w:t>本工程</w:t>
            </w:r>
            <w:r>
              <w:rPr>
                <w:rFonts w:hint="eastAsia" w:ascii="宋体" w:hAnsi="宋体" w:eastAsia="宋体" w:cs="宋体"/>
                <w:color w:val="auto"/>
                <w:kern w:val="0"/>
                <w:sz w:val="18"/>
                <w:szCs w:val="18"/>
                <w:highlight w:val="none"/>
                <w:u w:val="none"/>
              </w:rPr>
              <w:t>最大占标率≤10%□</w:t>
            </w:r>
          </w:p>
        </w:tc>
        <w:tc>
          <w:tcPr>
            <w:tcW w:w="1222" w:type="pct"/>
            <w:gridSpan w:val="6"/>
            <w:tcBorders>
              <w:tl2br w:val="nil"/>
              <w:tr2bl w:val="nil"/>
            </w:tcBorders>
            <w:noWrap w:val="0"/>
            <w:vAlign w:val="center"/>
          </w:tcPr>
          <w:p w14:paraId="1E033D55">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lang w:eastAsia="zh-CN"/>
              </w:rPr>
              <w:t>本工程</w:t>
            </w:r>
            <w:r>
              <w:rPr>
                <w:rFonts w:hint="eastAsia" w:ascii="宋体" w:hAnsi="宋体" w:eastAsia="宋体" w:cs="宋体"/>
                <w:color w:val="auto"/>
                <w:kern w:val="0"/>
                <w:sz w:val="18"/>
                <w:szCs w:val="18"/>
                <w:highlight w:val="none"/>
                <w:u w:val="none"/>
              </w:rPr>
              <w:t>最大占标率＞10%□</w:t>
            </w:r>
          </w:p>
        </w:tc>
      </w:tr>
      <w:tr w14:paraId="4A746E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699834BF">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vMerge w:val="continue"/>
            <w:tcBorders>
              <w:tl2br w:val="nil"/>
              <w:tr2bl w:val="nil"/>
            </w:tcBorders>
            <w:noWrap w:val="0"/>
            <w:vAlign w:val="center"/>
          </w:tcPr>
          <w:p w14:paraId="0A7D080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530" w:type="pct"/>
            <w:tcBorders>
              <w:tl2br w:val="nil"/>
              <w:tr2bl w:val="nil"/>
            </w:tcBorders>
            <w:noWrap w:val="0"/>
            <w:vAlign w:val="center"/>
          </w:tcPr>
          <w:p w14:paraId="2133698F">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二类区</w:t>
            </w:r>
          </w:p>
        </w:tc>
        <w:tc>
          <w:tcPr>
            <w:tcW w:w="2185" w:type="pct"/>
            <w:gridSpan w:val="7"/>
            <w:tcBorders>
              <w:tl2br w:val="nil"/>
              <w:tr2bl w:val="nil"/>
            </w:tcBorders>
            <w:noWrap w:val="0"/>
            <w:vAlign w:val="center"/>
          </w:tcPr>
          <w:p w14:paraId="6AA0A36D">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lang w:eastAsia="zh-CN"/>
              </w:rPr>
              <w:t>本工程</w:t>
            </w:r>
            <w:r>
              <w:rPr>
                <w:rFonts w:hint="eastAsia" w:ascii="宋体" w:hAnsi="宋体" w:eastAsia="宋体" w:cs="宋体"/>
                <w:color w:val="auto"/>
                <w:kern w:val="0"/>
                <w:sz w:val="18"/>
                <w:szCs w:val="18"/>
                <w:highlight w:val="none"/>
                <w:u w:val="none"/>
              </w:rPr>
              <w:t>最大占标率≤30%□</w:t>
            </w:r>
          </w:p>
        </w:tc>
        <w:tc>
          <w:tcPr>
            <w:tcW w:w="1222" w:type="pct"/>
            <w:gridSpan w:val="6"/>
            <w:tcBorders>
              <w:tl2br w:val="nil"/>
              <w:tr2bl w:val="nil"/>
            </w:tcBorders>
            <w:noWrap w:val="0"/>
            <w:vAlign w:val="center"/>
          </w:tcPr>
          <w:p w14:paraId="5D5A4401">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lang w:eastAsia="zh-CN"/>
              </w:rPr>
              <w:t>本工程</w:t>
            </w:r>
            <w:r>
              <w:rPr>
                <w:rFonts w:hint="eastAsia" w:ascii="宋体" w:hAnsi="宋体" w:eastAsia="宋体" w:cs="宋体"/>
                <w:color w:val="auto"/>
                <w:kern w:val="0"/>
                <w:sz w:val="18"/>
                <w:szCs w:val="18"/>
                <w:highlight w:val="none"/>
                <w:u w:val="none"/>
              </w:rPr>
              <w:t>最大占标率＞30%□</w:t>
            </w:r>
          </w:p>
        </w:tc>
      </w:tr>
      <w:tr w14:paraId="06352B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70E8F3FD">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1CD20EE9">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非正常排放1h浓度贡献值</w:t>
            </w:r>
          </w:p>
        </w:tc>
        <w:tc>
          <w:tcPr>
            <w:tcW w:w="1177" w:type="pct"/>
            <w:gridSpan w:val="3"/>
            <w:tcBorders>
              <w:tl2br w:val="nil"/>
              <w:tr2bl w:val="nil"/>
            </w:tcBorders>
            <w:noWrap w:val="0"/>
            <w:vAlign w:val="center"/>
          </w:tcPr>
          <w:p w14:paraId="75FBAE77">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非正常持续时长（）h</w:t>
            </w:r>
          </w:p>
        </w:tc>
        <w:tc>
          <w:tcPr>
            <w:tcW w:w="1537" w:type="pct"/>
            <w:gridSpan w:val="5"/>
            <w:tcBorders>
              <w:tl2br w:val="nil"/>
              <w:tr2bl w:val="nil"/>
            </w:tcBorders>
            <w:noWrap w:val="0"/>
            <w:vAlign w:val="center"/>
          </w:tcPr>
          <w:p w14:paraId="1CE743E8">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rPr>
              <w:t>非正常</w:t>
            </w:r>
            <w:r>
              <w:rPr>
                <w:rFonts w:hint="eastAsia" w:ascii="宋体" w:hAnsi="宋体" w:eastAsia="宋体" w:cs="宋体"/>
                <w:color w:val="auto"/>
                <w:kern w:val="0"/>
                <w:sz w:val="18"/>
                <w:szCs w:val="18"/>
                <w:highlight w:val="none"/>
                <w:u w:val="none"/>
              </w:rPr>
              <w:t>占标率≤100%□</w:t>
            </w:r>
          </w:p>
        </w:tc>
        <w:tc>
          <w:tcPr>
            <w:tcW w:w="1222" w:type="pct"/>
            <w:gridSpan w:val="6"/>
            <w:tcBorders>
              <w:tl2br w:val="nil"/>
              <w:tr2bl w:val="nil"/>
            </w:tcBorders>
            <w:noWrap w:val="0"/>
            <w:vAlign w:val="center"/>
          </w:tcPr>
          <w:p w14:paraId="561BDDA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rPr>
              <w:t>非正常</w:t>
            </w:r>
            <w:r>
              <w:rPr>
                <w:rFonts w:hint="eastAsia" w:ascii="宋体" w:hAnsi="宋体" w:eastAsia="宋体" w:cs="宋体"/>
                <w:color w:val="auto"/>
                <w:kern w:val="0"/>
                <w:sz w:val="18"/>
                <w:szCs w:val="18"/>
                <w:highlight w:val="none"/>
                <w:u w:val="none"/>
              </w:rPr>
              <w:t>占标率＞100%□</w:t>
            </w:r>
          </w:p>
        </w:tc>
      </w:tr>
      <w:tr w14:paraId="309E2F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34E40F81">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35A8B549">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保证率日平均浓度和年平均浓度叠加值</w:t>
            </w:r>
          </w:p>
        </w:tc>
        <w:tc>
          <w:tcPr>
            <w:tcW w:w="2715" w:type="pct"/>
            <w:gridSpan w:val="8"/>
            <w:tcBorders>
              <w:tl2br w:val="nil"/>
              <w:tr2bl w:val="nil"/>
            </w:tcBorders>
            <w:noWrap w:val="0"/>
            <w:vAlign w:val="center"/>
          </w:tcPr>
          <w:p w14:paraId="1FBDD93F">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rPr>
              <w:t>叠加</w:t>
            </w:r>
            <w:r>
              <w:rPr>
                <w:rFonts w:hint="eastAsia" w:ascii="宋体" w:hAnsi="宋体" w:eastAsia="宋体" w:cs="宋体"/>
                <w:color w:val="auto"/>
                <w:kern w:val="0"/>
                <w:sz w:val="18"/>
                <w:szCs w:val="18"/>
                <w:highlight w:val="none"/>
                <w:u w:val="none"/>
              </w:rPr>
              <w:t>达标□</w:t>
            </w:r>
          </w:p>
        </w:tc>
        <w:tc>
          <w:tcPr>
            <w:tcW w:w="1222" w:type="pct"/>
            <w:gridSpan w:val="6"/>
            <w:tcBorders>
              <w:tl2br w:val="nil"/>
              <w:tr2bl w:val="nil"/>
            </w:tcBorders>
            <w:noWrap w:val="0"/>
            <w:vAlign w:val="center"/>
          </w:tcPr>
          <w:p w14:paraId="5DD82087">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C</w:t>
            </w:r>
            <w:r>
              <w:rPr>
                <w:rFonts w:hint="eastAsia" w:ascii="宋体" w:hAnsi="宋体" w:eastAsia="宋体" w:cs="宋体"/>
                <w:color w:val="auto"/>
                <w:kern w:val="0"/>
                <w:sz w:val="18"/>
                <w:szCs w:val="18"/>
                <w:highlight w:val="none"/>
                <w:u w:val="none"/>
                <w:vertAlign w:val="subscript"/>
              </w:rPr>
              <w:t>叠加</w:t>
            </w:r>
            <w:r>
              <w:rPr>
                <w:rFonts w:hint="eastAsia" w:ascii="宋体" w:hAnsi="宋体" w:eastAsia="宋体" w:cs="宋体"/>
                <w:color w:val="auto"/>
                <w:kern w:val="0"/>
                <w:sz w:val="18"/>
                <w:szCs w:val="18"/>
                <w:highlight w:val="none"/>
                <w:u w:val="none"/>
              </w:rPr>
              <w:t>不达标□</w:t>
            </w:r>
          </w:p>
        </w:tc>
      </w:tr>
      <w:tr w14:paraId="7EC500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074C56F6">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36EBCFC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区域环境质量的整体变化情况</w:t>
            </w:r>
          </w:p>
        </w:tc>
        <w:tc>
          <w:tcPr>
            <w:tcW w:w="2715" w:type="pct"/>
            <w:gridSpan w:val="8"/>
            <w:tcBorders>
              <w:tl2br w:val="nil"/>
              <w:tr2bl w:val="nil"/>
            </w:tcBorders>
            <w:noWrap w:val="0"/>
            <w:vAlign w:val="center"/>
          </w:tcPr>
          <w:p w14:paraId="5D964AE8">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k≤-20%□</w:t>
            </w:r>
          </w:p>
        </w:tc>
        <w:tc>
          <w:tcPr>
            <w:tcW w:w="1222" w:type="pct"/>
            <w:gridSpan w:val="6"/>
            <w:tcBorders>
              <w:tl2br w:val="nil"/>
              <w:tr2bl w:val="nil"/>
            </w:tcBorders>
            <w:noWrap w:val="0"/>
            <w:vAlign w:val="center"/>
          </w:tcPr>
          <w:p w14:paraId="7F94A2B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k＞-20%□</w:t>
            </w:r>
          </w:p>
        </w:tc>
      </w:tr>
      <w:tr w14:paraId="7E0703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restart"/>
            <w:tcBorders>
              <w:tl2br w:val="nil"/>
              <w:tr2bl w:val="nil"/>
            </w:tcBorders>
            <w:noWrap w:val="0"/>
            <w:vAlign w:val="center"/>
          </w:tcPr>
          <w:p w14:paraId="598AEF4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环境监测计划</w:t>
            </w:r>
          </w:p>
        </w:tc>
        <w:tc>
          <w:tcPr>
            <w:tcW w:w="647" w:type="pct"/>
            <w:tcBorders>
              <w:tl2br w:val="nil"/>
              <w:tr2bl w:val="nil"/>
            </w:tcBorders>
            <w:noWrap w:val="0"/>
            <w:vAlign w:val="center"/>
          </w:tcPr>
          <w:p w14:paraId="3536FBC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污染源监测</w:t>
            </w:r>
          </w:p>
        </w:tc>
        <w:tc>
          <w:tcPr>
            <w:tcW w:w="1911" w:type="pct"/>
            <w:gridSpan w:val="5"/>
            <w:tcBorders>
              <w:tl2br w:val="nil"/>
              <w:tr2bl w:val="nil"/>
            </w:tcBorders>
            <w:noWrap w:val="0"/>
            <w:vAlign w:val="center"/>
          </w:tcPr>
          <w:p w14:paraId="3758CA13">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监测因子：（非甲烷总烃</w:t>
            </w:r>
            <w:r>
              <w:rPr>
                <w:rFonts w:hint="eastAsia" w:ascii="宋体" w:hAnsi="宋体" w:cs="宋体"/>
                <w:color w:val="auto"/>
                <w:kern w:val="0"/>
                <w:sz w:val="18"/>
                <w:szCs w:val="18"/>
                <w:highlight w:val="none"/>
                <w:u w:val="none"/>
                <w:lang w:eastAsia="zh-CN"/>
              </w:rPr>
              <w:t>、</w:t>
            </w:r>
            <w:r>
              <w:rPr>
                <w:rFonts w:hint="eastAsia" w:ascii="宋体" w:hAnsi="宋体" w:cs="宋体"/>
                <w:color w:val="auto"/>
                <w:kern w:val="0"/>
                <w:sz w:val="18"/>
                <w:szCs w:val="18"/>
                <w:highlight w:val="none"/>
                <w:u w:val="none"/>
                <w:lang w:val="en-US" w:eastAsia="zh-CN"/>
              </w:rPr>
              <w:t>硫化氢</w:t>
            </w:r>
            <w:r>
              <w:rPr>
                <w:rFonts w:hint="eastAsia" w:ascii="宋体" w:hAnsi="宋体" w:eastAsia="宋体" w:cs="宋体"/>
                <w:color w:val="auto"/>
                <w:kern w:val="0"/>
                <w:sz w:val="18"/>
                <w:szCs w:val="18"/>
                <w:highlight w:val="none"/>
                <w:u w:val="none"/>
              </w:rPr>
              <w:t>）</w:t>
            </w:r>
          </w:p>
        </w:tc>
        <w:tc>
          <w:tcPr>
            <w:tcW w:w="962" w:type="pct"/>
            <w:gridSpan w:val="4"/>
            <w:tcBorders>
              <w:tl2br w:val="nil"/>
              <w:tr2bl w:val="nil"/>
            </w:tcBorders>
            <w:noWrap w:val="0"/>
            <w:vAlign w:val="center"/>
          </w:tcPr>
          <w:p w14:paraId="4803BBB0">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有组织废气监测</w:t>
            </w:r>
            <w:r>
              <w:rPr>
                <w:rFonts w:hint="eastAsia" w:ascii="宋体" w:hAnsi="宋体" w:eastAsia="宋体" w:cs="宋体"/>
                <w:color w:val="auto"/>
                <w:kern w:val="0"/>
                <w:sz w:val="18"/>
                <w:szCs w:val="18"/>
                <w:highlight w:val="none"/>
                <w:u w:val="none"/>
                <w:lang w:eastAsia="zh-CN"/>
              </w:rPr>
              <w:t>□</w:t>
            </w:r>
          </w:p>
          <w:p w14:paraId="69A2345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无组织废气监测</w:t>
            </w:r>
            <w:r>
              <w:rPr>
                <w:rFonts w:hint="eastAsia" w:ascii="宋体" w:hAnsi="宋体" w:eastAsia="宋体" w:cs="宋体"/>
                <w:color w:val="auto"/>
                <w:kern w:val="0"/>
                <w:sz w:val="18"/>
                <w:szCs w:val="18"/>
                <w:highlight w:val="none"/>
                <w:u w:val="none"/>
                <w:lang w:eastAsia="zh-CN"/>
              </w:rPr>
              <w:t>☑</w:t>
            </w:r>
          </w:p>
        </w:tc>
        <w:tc>
          <w:tcPr>
            <w:tcW w:w="1063" w:type="pct"/>
            <w:gridSpan w:val="5"/>
            <w:tcBorders>
              <w:tl2br w:val="nil"/>
              <w:tr2bl w:val="nil"/>
            </w:tcBorders>
            <w:noWrap w:val="0"/>
            <w:vAlign w:val="center"/>
          </w:tcPr>
          <w:p w14:paraId="509A725D">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无监测□</w:t>
            </w:r>
          </w:p>
        </w:tc>
      </w:tr>
      <w:tr w14:paraId="647E77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18B1A09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462859F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环境质量监测</w:t>
            </w:r>
          </w:p>
        </w:tc>
        <w:tc>
          <w:tcPr>
            <w:tcW w:w="1911" w:type="pct"/>
            <w:gridSpan w:val="5"/>
            <w:tcBorders>
              <w:tl2br w:val="nil"/>
              <w:tr2bl w:val="nil"/>
            </w:tcBorders>
            <w:noWrap w:val="0"/>
            <w:vAlign w:val="center"/>
          </w:tcPr>
          <w:p w14:paraId="32279E43">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监测因子：（）</w:t>
            </w:r>
          </w:p>
        </w:tc>
        <w:tc>
          <w:tcPr>
            <w:tcW w:w="962" w:type="pct"/>
            <w:gridSpan w:val="4"/>
            <w:tcBorders>
              <w:tl2br w:val="nil"/>
              <w:tr2bl w:val="nil"/>
            </w:tcBorders>
            <w:noWrap w:val="0"/>
            <w:vAlign w:val="center"/>
          </w:tcPr>
          <w:p w14:paraId="7B2E1BE3">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监测点位数（）</w:t>
            </w:r>
          </w:p>
        </w:tc>
        <w:tc>
          <w:tcPr>
            <w:tcW w:w="1063" w:type="pct"/>
            <w:gridSpan w:val="5"/>
            <w:tcBorders>
              <w:tl2br w:val="nil"/>
              <w:tr2bl w:val="nil"/>
            </w:tcBorders>
            <w:noWrap w:val="0"/>
            <w:vAlign w:val="center"/>
          </w:tcPr>
          <w:p w14:paraId="637F1BC0">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无监测□</w:t>
            </w:r>
          </w:p>
        </w:tc>
      </w:tr>
      <w:tr w14:paraId="045646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restart"/>
            <w:tcBorders>
              <w:tl2br w:val="nil"/>
              <w:tr2bl w:val="nil"/>
            </w:tcBorders>
            <w:noWrap w:val="0"/>
            <w:vAlign w:val="center"/>
          </w:tcPr>
          <w:p w14:paraId="5E3E9B34">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评价结论</w:t>
            </w:r>
          </w:p>
        </w:tc>
        <w:tc>
          <w:tcPr>
            <w:tcW w:w="647" w:type="pct"/>
            <w:tcBorders>
              <w:tl2br w:val="nil"/>
              <w:tr2bl w:val="nil"/>
            </w:tcBorders>
            <w:noWrap w:val="0"/>
            <w:vAlign w:val="center"/>
          </w:tcPr>
          <w:p w14:paraId="045C040E">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环境影响</w:t>
            </w:r>
          </w:p>
        </w:tc>
        <w:tc>
          <w:tcPr>
            <w:tcW w:w="3937" w:type="pct"/>
            <w:gridSpan w:val="14"/>
            <w:tcBorders>
              <w:tl2br w:val="nil"/>
              <w:tr2bl w:val="nil"/>
            </w:tcBorders>
            <w:noWrap w:val="0"/>
            <w:vAlign w:val="center"/>
          </w:tcPr>
          <w:p w14:paraId="4DB924B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可以接受</w:t>
            </w:r>
            <w:r>
              <w:rPr>
                <w:rFonts w:hint="eastAsia" w:ascii="宋体" w:hAnsi="宋体" w:eastAsia="宋体" w:cs="宋体"/>
                <w:color w:val="auto"/>
                <w:kern w:val="0"/>
                <w:sz w:val="18"/>
                <w:szCs w:val="18"/>
                <w:highlight w:val="none"/>
                <w:u w:val="none"/>
                <w:lang w:eastAsia="zh-CN"/>
              </w:rPr>
              <w:t>☑</w:t>
            </w:r>
            <w:r>
              <w:rPr>
                <w:rFonts w:hint="eastAsia" w:ascii="宋体" w:hAnsi="宋体" w:eastAsia="宋体" w:cs="宋体"/>
                <w:color w:val="auto"/>
                <w:kern w:val="0"/>
                <w:sz w:val="18"/>
                <w:szCs w:val="18"/>
                <w:highlight w:val="none"/>
                <w:u w:val="none"/>
              </w:rPr>
              <w:t>不可以接受□</w:t>
            </w:r>
          </w:p>
        </w:tc>
      </w:tr>
      <w:tr w14:paraId="0A53DA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31FC7C75">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187832C9">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大气环境防护距离</w:t>
            </w:r>
          </w:p>
        </w:tc>
        <w:tc>
          <w:tcPr>
            <w:tcW w:w="3937" w:type="pct"/>
            <w:gridSpan w:val="14"/>
            <w:tcBorders>
              <w:tl2br w:val="nil"/>
              <w:tr2bl w:val="nil"/>
            </w:tcBorders>
            <w:noWrap w:val="0"/>
            <w:vAlign w:val="center"/>
          </w:tcPr>
          <w:p w14:paraId="599CEE25">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距厂界最远（0）m</w:t>
            </w:r>
          </w:p>
        </w:tc>
      </w:tr>
      <w:tr w14:paraId="0982DB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noWrap w:val="0"/>
            <w:vAlign w:val="center"/>
          </w:tcPr>
          <w:p w14:paraId="42396BC8">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p>
        </w:tc>
        <w:tc>
          <w:tcPr>
            <w:tcW w:w="647" w:type="pct"/>
            <w:tcBorders>
              <w:tl2br w:val="nil"/>
              <w:tr2bl w:val="nil"/>
            </w:tcBorders>
            <w:noWrap w:val="0"/>
            <w:vAlign w:val="center"/>
          </w:tcPr>
          <w:p w14:paraId="232C9AEC">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污染源</w:t>
            </w:r>
          </w:p>
          <w:p w14:paraId="49EB0498">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年排放量</w:t>
            </w:r>
          </w:p>
        </w:tc>
        <w:tc>
          <w:tcPr>
            <w:tcW w:w="901" w:type="pct"/>
            <w:gridSpan w:val="2"/>
            <w:tcBorders>
              <w:tl2br w:val="nil"/>
              <w:tr2bl w:val="nil"/>
            </w:tcBorders>
            <w:noWrap w:val="0"/>
            <w:vAlign w:val="center"/>
          </w:tcPr>
          <w:p w14:paraId="30443B42">
            <w:pPr>
              <w:keepNext w:val="0"/>
              <w:keepLines w:val="0"/>
              <w:pageBreakBefore w:val="0"/>
              <w:widowControl/>
              <w:kinsoku/>
              <w:wordWrap/>
              <w:overflowPunct/>
              <w:topLinePunct w:val="0"/>
              <w:autoSpaceDE/>
              <w:autoSpaceDN/>
              <w:bidi w:val="0"/>
              <w:adjustRightInd/>
              <w:snapToGrid/>
              <w:spacing w:line="310" w:lineRule="exact"/>
              <w:jc w:val="center"/>
              <w:rPr>
                <w:rFonts w:ascii="宋体" w:hAnsi="宋体" w:eastAsia="宋体" w:cs="宋体"/>
                <w:color w:val="auto"/>
                <w:kern w:val="0"/>
                <w:sz w:val="18"/>
                <w:szCs w:val="18"/>
                <w:highlight w:val="none"/>
                <w:u w:val="none"/>
              </w:rPr>
            </w:pPr>
            <w:r>
              <w:rPr>
                <w:rFonts w:hint="eastAsia" w:ascii="宋体" w:hAnsi="宋体" w:eastAsia="宋体" w:cs="宋体"/>
                <w:color w:val="auto"/>
                <w:kern w:val="0"/>
                <w:sz w:val="18"/>
                <w:szCs w:val="18"/>
                <w:highlight w:val="none"/>
                <w:u w:val="none"/>
              </w:rPr>
              <w:t>SO</w:t>
            </w:r>
            <w:r>
              <w:rPr>
                <w:rFonts w:hint="eastAsia" w:ascii="宋体" w:hAnsi="宋体" w:eastAsia="宋体" w:cs="宋体"/>
                <w:color w:val="auto"/>
                <w:kern w:val="0"/>
                <w:sz w:val="18"/>
                <w:szCs w:val="18"/>
                <w:highlight w:val="none"/>
                <w:u w:val="none"/>
                <w:vertAlign w:val="subscript"/>
              </w:rPr>
              <w:t>2</w:t>
            </w:r>
            <w:r>
              <w:rPr>
                <w:rFonts w:hint="eastAsia" w:ascii="宋体" w:hAnsi="宋体" w:eastAsia="宋体" w:cs="宋体"/>
                <w:color w:val="auto"/>
                <w:kern w:val="0"/>
                <w:sz w:val="18"/>
                <w:szCs w:val="18"/>
                <w:highlight w:val="none"/>
                <w:u w:val="none"/>
              </w:rPr>
              <w:t>：（</w:t>
            </w:r>
            <w:r>
              <w:rPr>
                <w:rFonts w:hint="eastAsia" w:ascii="宋体" w:hAnsi="宋体" w:eastAsia="宋体" w:cs="宋体"/>
                <w:color w:val="auto"/>
                <w:kern w:val="0"/>
                <w:sz w:val="18"/>
                <w:szCs w:val="18"/>
                <w:highlight w:val="none"/>
                <w:u w:val="none"/>
                <w:lang w:val="en-US" w:eastAsia="zh-CN"/>
              </w:rPr>
              <w:t>0</w:t>
            </w:r>
            <w:r>
              <w:rPr>
                <w:rFonts w:hint="eastAsia" w:ascii="宋体" w:hAnsi="宋体" w:eastAsia="宋体" w:cs="宋体"/>
                <w:color w:val="auto"/>
                <w:kern w:val="0"/>
                <w:sz w:val="18"/>
                <w:szCs w:val="18"/>
                <w:highlight w:val="none"/>
                <w:u w:val="none"/>
              </w:rPr>
              <w:t>）t/a</w:t>
            </w:r>
          </w:p>
        </w:tc>
        <w:tc>
          <w:tcPr>
            <w:tcW w:w="1166" w:type="pct"/>
            <w:gridSpan w:val="4"/>
            <w:tcBorders>
              <w:tl2br w:val="nil"/>
              <w:tr2bl w:val="nil"/>
            </w:tcBorders>
            <w:noWrap w:val="0"/>
            <w:vAlign w:val="center"/>
          </w:tcPr>
          <w:p w14:paraId="7276B5CF">
            <w:pPr>
              <w:keepNext w:val="0"/>
              <w:keepLines w:val="0"/>
              <w:pageBreakBefore w:val="0"/>
              <w:widowControl w:val="0"/>
              <w:kinsoku/>
              <w:wordWrap/>
              <w:overflowPunct/>
              <w:topLinePunct w:val="0"/>
              <w:autoSpaceDE/>
              <w:autoSpaceDN/>
              <w:bidi w:val="0"/>
              <w:adjustRightInd/>
              <w:snapToGrid/>
              <w:spacing w:line="310" w:lineRule="exact"/>
              <w:jc w:val="center"/>
              <w:textAlignment w:val="center"/>
              <w:rPr>
                <w:rFonts w:ascii="宋体" w:hAnsi="宋体" w:eastAsia="宋体" w:cs="宋体"/>
                <w:color w:val="auto"/>
                <w:kern w:val="2"/>
                <w:sz w:val="18"/>
                <w:szCs w:val="18"/>
                <w:highlight w:val="none"/>
                <w:u w:val="none"/>
                <w:lang w:val="en-US" w:eastAsia="zh-CN" w:bidi="ar-SA"/>
              </w:rPr>
            </w:pPr>
            <w:r>
              <w:rPr>
                <w:rFonts w:hint="eastAsia" w:ascii="宋体" w:hAnsi="宋体" w:eastAsia="宋体" w:cs="宋体"/>
                <w:color w:val="auto"/>
                <w:kern w:val="2"/>
                <w:sz w:val="18"/>
                <w:szCs w:val="18"/>
                <w:highlight w:val="none"/>
                <w:u w:val="none"/>
                <w:lang w:val="en-US" w:eastAsia="zh-CN" w:bidi="ar-SA"/>
              </w:rPr>
              <w:t>NO</w:t>
            </w:r>
            <w:r>
              <w:rPr>
                <w:rFonts w:hint="eastAsia" w:ascii="宋体" w:hAnsi="宋体" w:eastAsia="宋体" w:cs="宋体"/>
                <w:color w:val="auto"/>
                <w:kern w:val="2"/>
                <w:sz w:val="18"/>
                <w:szCs w:val="18"/>
                <w:highlight w:val="none"/>
                <w:u w:val="none"/>
                <w:vertAlign w:val="subscript"/>
                <w:lang w:val="en-US" w:eastAsia="zh-CN" w:bidi="ar-SA"/>
              </w:rPr>
              <w:t>x</w:t>
            </w:r>
            <w:r>
              <w:rPr>
                <w:rFonts w:hint="eastAsia" w:ascii="宋体" w:hAnsi="宋体" w:eastAsia="宋体" w:cs="宋体"/>
                <w:color w:val="auto"/>
                <w:kern w:val="2"/>
                <w:sz w:val="18"/>
                <w:szCs w:val="18"/>
                <w:highlight w:val="none"/>
                <w:u w:val="none"/>
                <w:lang w:val="en-US" w:eastAsia="zh-CN" w:bidi="ar-SA"/>
              </w:rPr>
              <w:t>：（0）t/a</w:t>
            </w:r>
          </w:p>
        </w:tc>
        <w:tc>
          <w:tcPr>
            <w:tcW w:w="806" w:type="pct"/>
            <w:gridSpan w:val="3"/>
            <w:tcBorders>
              <w:tl2br w:val="nil"/>
              <w:tr2bl w:val="nil"/>
            </w:tcBorders>
            <w:noWrap w:val="0"/>
            <w:vAlign w:val="center"/>
          </w:tcPr>
          <w:p w14:paraId="7076207F">
            <w:pPr>
              <w:keepNext w:val="0"/>
              <w:keepLines w:val="0"/>
              <w:pageBreakBefore w:val="0"/>
              <w:widowControl w:val="0"/>
              <w:kinsoku/>
              <w:wordWrap/>
              <w:overflowPunct/>
              <w:topLinePunct w:val="0"/>
              <w:autoSpaceDE/>
              <w:autoSpaceDN/>
              <w:bidi w:val="0"/>
              <w:adjustRightInd/>
              <w:snapToGrid/>
              <w:spacing w:line="310" w:lineRule="exact"/>
              <w:jc w:val="center"/>
              <w:textAlignment w:val="center"/>
              <w:rPr>
                <w:rFonts w:hint="eastAsia" w:ascii="宋体" w:hAnsi="宋体" w:eastAsia="宋体" w:cs="宋体"/>
                <w:color w:val="auto"/>
                <w:kern w:val="2"/>
                <w:sz w:val="18"/>
                <w:szCs w:val="18"/>
                <w:highlight w:val="none"/>
                <w:u w:val="none"/>
                <w:lang w:val="en-US" w:eastAsia="zh-CN" w:bidi="ar-SA"/>
              </w:rPr>
            </w:pPr>
            <w:r>
              <w:rPr>
                <w:rFonts w:hint="eastAsia" w:ascii="宋体" w:hAnsi="宋体" w:eastAsia="宋体" w:cs="宋体"/>
                <w:color w:val="auto"/>
                <w:kern w:val="2"/>
                <w:sz w:val="18"/>
                <w:szCs w:val="18"/>
                <w:highlight w:val="none"/>
                <w:u w:val="none"/>
                <w:lang w:val="en-US" w:eastAsia="zh-CN" w:bidi="ar-SA"/>
              </w:rPr>
              <w:t>颗粒物：（0）t/a</w:t>
            </w:r>
          </w:p>
        </w:tc>
        <w:tc>
          <w:tcPr>
            <w:tcW w:w="1063" w:type="pct"/>
            <w:gridSpan w:val="5"/>
            <w:tcBorders>
              <w:tl2br w:val="nil"/>
              <w:tr2bl w:val="nil"/>
            </w:tcBorders>
            <w:noWrap w:val="0"/>
            <w:vAlign w:val="center"/>
          </w:tcPr>
          <w:p w14:paraId="71826926">
            <w:pPr>
              <w:keepNext w:val="0"/>
              <w:keepLines w:val="0"/>
              <w:pageBreakBefore w:val="0"/>
              <w:widowControl w:val="0"/>
              <w:kinsoku/>
              <w:wordWrap/>
              <w:overflowPunct/>
              <w:topLinePunct w:val="0"/>
              <w:autoSpaceDE/>
              <w:autoSpaceDN/>
              <w:bidi w:val="0"/>
              <w:adjustRightInd/>
              <w:snapToGrid/>
              <w:spacing w:line="310" w:lineRule="exact"/>
              <w:jc w:val="center"/>
              <w:textAlignment w:val="center"/>
              <w:rPr>
                <w:rFonts w:hint="eastAsia" w:ascii="宋体" w:hAnsi="宋体" w:cs="宋体"/>
                <w:color w:val="auto"/>
                <w:kern w:val="2"/>
                <w:sz w:val="18"/>
                <w:szCs w:val="18"/>
                <w:highlight w:val="none"/>
                <w:u w:val="none"/>
                <w:lang w:val="en-US" w:eastAsia="zh-CN" w:bidi="ar-SA"/>
              </w:rPr>
            </w:pPr>
            <w:r>
              <w:rPr>
                <w:rFonts w:ascii="宋体" w:hAnsi="宋体" w:eastAsia="宋体" w:cs="宋体"/>
                <w:color w:val="auto"/>
                <w:kern w:val="2"/>
                <w:sz w:val="18"/>
                <w:szCs w:val="18"/>
                <w:highlight w:val="none"/>
                <w:u w:val="none"/>
                <w:lang w:val="en-US" w:eastAsia="zh-CN" w:bidi="ar-SA"/>
              </w:rPr>
              <w:t>VOCs：</w:t>
            </w:r>
            <w:r>
              <w:rPr>
                <w:rFonts w:hint="eastAsia" w:ascii="宋体" w:hAnsi="宋体" w:cs="宋体"/>
                <w:color w:val="auto"/>
                <w:kern w:val="2"/>
                <w:sz w:val="18"/>
                <w:szCs w:val="18"/>
                <w:highlight w:val="none"/>
                <w:u w:val="none"/>
                <w:lang w:val="en-US" w:eastAsia="zh-CN" w:bidi="ar-SA"/>
              </w:rPr>
              <w:t>0.582</w:t>
            </w:r>
            <w:r>
              <w:rPr>
                <w:rFonts w:ascii="宋体" w:hAnsi="宋体" w:eastAsia="宋体" w:cs="宋体"/>
                <w:color w:val="auto"/>
                <w:kern w:val="2"/>
                <w:sz w:val="18"/>
                <w:szCs w:val="18"/>
                <w:highlight w:val="none"/>
                <w:u w:val="none"/>
                <w:lang w:val="en-US" w:eastAsia="zh-CN" w:bidi="ar-SA"/>
              </w:rPr>
              <w:t>t/a</w:t>
            </w:r>
          </w:p>
          <w:p w14:paraId="10574820">
            <w:pPr>
              <w:keepNext w:val="0"/>
              <w:keepLines w:val="0"/>
              <w:pageBreakBefore w:val="0"/>
              <w:widowControl w:val="0"/>
              <w:kinsoku/>
              <w:wordWrap/>
              <w:overflowPunct/>
              <w:topLinePunct w:val="0"/>
              <w:autoSpaceDE/>
              <w:autoSpaceDN/>
              <w:bidi w:val="0"/>
              <w:adjustRightInd/>
              <w:snapToGrid/>
              <w:spacing w:line="310" w:lineRule="exact"/>
              <w:jc w:val="center"/>
              <w:textAlignment w:val="center"/>
              <w:rPr>
                <w:rFonts w:ascii="宋体" w:hAnsi="宋体" w:eastAsia="宋体" w:cs="宋体"/>
                <w:color w:val="auto"/>
                <w:kern w:val="2"/>
                <w:sz w:val="18"/>
                <w:szCs w:val="18"/>
                <w:highlight w:val="none"/>
                <w:u w:val="none"/>
                <w:lang w:val="en-US" w:eastAsia="zh-CN" w:bidi="ar-SA"/>
              </w:rPr>
            </w:pPr>
            <w:r>
              <w:rPr>
                <w:rFonts w:hint="eastAsia" w:ascii="宋体" w:hAnsi="宋体" w:eastAsia="宋体" w:cs="宋体"/>
                <w:color w:val="auto"/>
                <w:kern w:val="2"/>
                <w:sz w:val="18"/>
                <w:szCs w:val="18"/>
                <w:highlight w:val="none"/>
                <w:u w:val="none"/>
                <w:lang w:val="en-US" w:eastAsia="zh-CN" w:bidi="ar-SA"/>
              </w:rPr>
              <w:t>硫化氢：</w:t>
            </w:r>
            <w:r>
              <w:rPr>
                <w:rFonts w:hint="eastAsia" w:ascii="宋体" w:hAnsi="宋体" w:cs="宋体"/>
                <w:color w:val="auto"/>
                <w:kern w:val="2"/>
                <w:sz w:val="18"/>
                <w:szCs w:val="18"/>
                <w:highlight w:val="none"/>
                <w:u w:val="none"/>
                <w:lang w:val="en-US" w:eastAsia="zh-CN" w:bidi="ar-SA"/>
              </w:rPr>
              <w:t>0.00008</w:t>
            </w:r>
            <w:r>
              <w:rPr>
                <w:rFonts w:hint="eastAsia" w:ascii="宋体" w:hAnsi="宋体" w:eastAsia="宋体" w:cs="宋体"/>
                <w:color w:val="auto"/>
                <w:kern w:val="2"/>
                <w:sz w:val="18"/>
                <w:szCs w:val="18"/>
                <w:highlight w:val="none"/>
                <w:u w:val="none"/>
                <w:lang w:val="en-US" w:eastAsia="zh-CN" w:bidi="ar-SA"/>
              </w:rPr>
              <w:t>t/a</w:t>
            </w:r>
          </w:p>
        </w:tc>
      </w:tr>
    </w:tbl>
    <w:p w14:paraId="5E419556">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3 退役期</w:t>
      </w:r>
      <w:r>
        <w:rPr>
          <w:rFonts w:hint="default" w:ascii="黑体" w:hAnsi="黑体" w:eastAsia="黑体" w:cs="黑体"/>
          <w:b/>
          <w:color w:val="auto"/>
          <w:kern w:val="0"/>
          <w:sz w:val="24"/>
          <w:szCs w:val="24"/>
          <w:highlight w:val="none"/>
          <w:u w:val="none"/>
          <w:lang w:val="en-US" w:eastAsia="zh-CN"/>
        </w:rPr>
        <w:t>大气环境影响分析</w:t>
      </w:r>
    </w:p>
    <w:p w14:paraId="58002DA8">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Times New Roman" w:hAnsi="Times New Roman" w:eastAsia="宋体" w:cs="Times New Roman"/>
          <w:b w:val="0"/>
          <w:bCs w:val="0"/>
          <w:color w:val="auto"/>
          <w:kern w:val="0"/>
          <w:sz w:val="24"/>
          <w:szCs w:val="24"/>
          <w:highlight w:val="none"/>
          <w:u w:val="none"/>
        </w:rPr>
      </w:pPr>
      <w:r>
        <w:rPr>
          <w:rFonts w:hint="eastAsia" w:cs="Times New Roman"/>
          <w:b w:val="0"/>
          <w:bCs w:val="0"/>
          <w:color w:val="auto"/>
          <w:kern w:val="0"/>
          <w:sz w:val="24"/>
          <w:szCs w:val="24"/>
          <w:highlight w:val="none"/>
          <w:u w:val="none"/>
          <w:lang w:val="en-US" w:eastAsia="zh-CN"/>
        </w:rPr>
        <w:t>气</w:t>
      </w:r>
      <w:r>
        <w:rPr>
          <w:rFonts w:hint="eastAsia" w:ascii="Times New Roman" w:hAnsi="Times New Roman" w:eastAsia="宋体" w:cs="Times New Roman"/>
          <w:b w:val="0"/>
          <w:bCs w:val="0"/>
          <w:color w:val="auto"/>
          <w:kern w:val="0"/>
          <w:sz w:val="24"/>
          <w:szCs w:val="24"/>
          <w:highlight w:val="none"/>
          <w:u w:val="none"/>
          <w:lang w:eastAsia="zh-CN"/>
        </w:rPr>
        <w:t>井</w:t>
      </w:r>
      <w:r>
        <w:rPr>
          <w:rFonts w:hint="eastAsia" w:ascii="Times New Roman" w:hAnsi="Times New Roman" w:eastAsia="宋体" w:cs="Times New Roman"/>
          <w:b w:val="0"/>
          <w:bCs w:val="0"/>
          <w:color w:val="auto"/>
          <w:kern w:val="0"/>
          <w:sz w:val="24"/>
          <w:szCs w:val="24"/>
          <w:highlight w:val="none"/>
          <w:u w:val="none"/>
        </w:rPr>
        <w:t>退役后各种相关辅助工作均停止，</w:t>
      </w:r>
      <w:r>
        <w:rPr>
          <w:rFonts w:hint="eastAsia" w:ascii="Times New Roman" w:hAnsi="Times New Roman" w:eastAsia="宋体" w:cs="Times New Roman"/>
          <w:b w:val="0"/>
          <w:bCs w:val="0"/>
          <w:color w:val="auto"/>
          <w:kern w:val="0"/>
          <w:sz w:val="24"/>
          <w:szCs w:val="24"/>
          <w:highlight w:val="none"/>
          <w:u w:val="none"/>
          <w:lang w:eastAsia="zh-CN"/>
        </w:rPr>
        <w:t>采</w:t>
      </w:r>
      <w:r>
        <w:rPr>
          <w:rFonts w:hint="eastAsia" w:cs="Times New Roman"/>
          <w:b w:val="0"/>
          <w:bCs w:val="0"/>
          <w:color w:val="auto"/>
          <w:kern w:val="0"/>
          <w:sz w:val="24"/>
          <w:szCs w:val="24"/>
          <w:highlight w:val="none"/>
          <w:u w:val="none"/>
          <w:lang w:val="en-US" w:eastAsia="zh-CN"/>
        </w:rPr>
        <w:t>气</w:t>
      </w:r>
      <w:r>
        <w:rPr>
          <w:rFonts w:hint="eastAsia" w:ascii="Times New Roman" w:hAnsi="Times New Roman" w:eastAsia="宋体" w:cs="Times New Roman"/>
          <w:b w:val="0"/>
          <w:bCs w:val="0"/>
          <w:color w:val="auto"/>
          <w:kern w:val="0"/>
          <w:sz w:val="24"/>
          <w:szCs w:val="24"/>
          <w:highlight w:val="none"/>
          <w:u w:val="none"/>
        </w:rPr>
        <w:t>造成的环境空气污染源将消失，</w:t>
      </w:r>
      <w:r>
        <w:rPr>
          <w:rFonts w:hint="eastAsia" w:cs="Times New Roman"/>
          <w:b w:val="0"/>
          <w:bCs w:val="0"/>
          <w:color w:val="auto"/>
          <w:kern w:val="0"/>
          <w:sz w:val="24"/>
          <w:szCs w:val="24"/>
          <w:highlight w:val="none"/>
          <w:u w:val="none"/>
          <w:lang w:val="en-US" w:eastAsia="zh-CN"/>
        </w:rPr>
        <w:t>气</w:t>
      </w:r>
      <w:r>
        <w:rPr>
          <w:rFonts w:hint="eastAsia" w:ascii="Times New Roman" w:hAnsi="Times New Roman" w:eastAsia="宋体" w:cs="Times New Roman"/>
          <w:b w:val="0"/>
          <w:bCs w:val="0"/>
          <w:color w:val="auto"/>
          <w:kern w:val="0"/>
          <w:sz w:val="24"/>
          <w:szCs w:val="24"/>
          <w:highlight w:val="none"/>
          <w:u w:val="none"/>
          <w:lang w:eastAsia="zh-CN"/>
        </w:rPr>
        <w:t>井</w:t>
      </w:r>
      <w:r>
        <w:rPr>
          <w:rFonts w:hint="eastAsia" w:ascii="Times New Roman" w:hAnsi="Times New Roman" w:eastAsia="宋体" w:cs="Times New Roman"/>
          <w:b w:val="0"/>
          <w:bCs w:val="0"/>
          <w:color w:val="auto"/>
          <w:kern w:val="0"/>
          <w:sz w:val="24"/>
          <w:szCs w:val="24"/>
          <w:highlight w:val="none"/>
          <w:u w:val="none"/>
        </w:rPr>
        <w:t>停止后将进行一系列清理工作，包括地面设施拆除、封井、井场清理等，将会产生少量扬尘。与当地自然条件导致的风沙相比较，清理过程中扬尘造成的环境影响是暂时的，且该区域内活动人群较少，主要为井场清理的</w:t>
      </w:r>
      <w:r>
        <w:rPr>
          <w:rFonts w:hint="eastAsia" w:ascii="Times New Roman" w:hAnsi="Times New Roman" w:eastAsia="宋体" w:cs="Times New Roman"/>
          <w:b w:val="0"/>
          <w:bCs w:val="0"/>
          <w:color w:val="auto"/>
          <w:kern w:val="0"/>
          <w:sz w:val="24"/>
          <w:szCs w:val="24"/>
          <w:highlight w:val="none"/>
          <w:u w:val="none"/>
          <w:lang w:eastAsia="zh-CN"/>
        </w:rPr>
        <w:t>油田</w:t>
      </w:r>
      <w:r>
        <w:rPr>
          <w:rFonts w:hint="eastAsia" w:ascii="Times New Roman" w:hAnsi="Times New Roman" w:eastAsia="宋体" w:cs="Times New Roman"/>
          <w:b w:val="0"/>
          <w:bCs w:val="0"/>
          <w:color w:val="auto"/>
          <w:kern w:val="0"/>
          <w:sz w:val="24"/>
          <w:szCs w:val="24"/>
          <w:highlight w:val="none"/>
          <w:u w:val="none"/>
        </w:rPr>
        <w:t>工作人员。</w:t>
      </w:r>
    </w:p>
    <w:bookmarkEnd w:id="430"/>
    <w:p w14:paraId="45EA6EF6">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eastAsia" w:ascii="黑体" w:hAnsi="黑体" w:eastAsia="黑体" w:cs="黑体"/>
          <w:color w:val="auto"/>
          <w:sz w:val="28"/>
          <w:szCs w:val="28"/>
          <w:u w:val="none"/>
          <w:lang w:val="en-US" w:eastAsia="zh-CN"/>
        </w:rPr>
      </w:pPr>
      <w:bookmarkStart w:id="431" w:name="_Toc20856"/>
      <w:bookmarkStart w:id="432" w:name="_Toc1523"/>
      <w:bookmarkStart w:id="433" w:name="_Toc30989"/>
      <w:bookmarkStart w:id="434" w:name="_Toc13110"/>
      <w:bookmarkStart w:id="435" w:name="_Toc26658"/>
      <w:bookmarkStart w:id="436" w:name="_Toc119915021"/>
      <w:bookmarkStart w:id="437" w:name="_Toc17995"/>
      <w:bookmarkStart w:id="438" w:name="_Toc24278"/>
      <w:bookmarkStart w:id="439" w:name="_Toc11684"/>
      <w:bookmarkStart w:id="440" w:name="_Toc4949"/>
      <w:bookmarkStart w:id="441" w:name="_Toc23547"/>
      <w:bookmarkStart w:id="442" w:name="_Toc508291897"/>
      <w:bookmarkStart w:id="443" w:name="_Toc8177"/>
      <w:r>
        <w:rPr>
          <w:rFonts w:hint="default" w:ascii="黑体" w:hAnsi="黑体" w:eastAsia="黑体" w:cs="黑体"/>
          <w:color w:val="auto"/>
          <w:sz w:val="28"/>
          <w:szCs w:val="28"/>
          <w:u w:val="none"/>
          <w:lang w:val="en-US" w:eastAsia="zh-CN"/>
        </w:rPr>
        <w:t>5.</w:t>
      </w:r>
      <w:r>
        <w:rPr>
          <w:rFonts w:hint="eastAsia" w:ascii="黑体" w:hAnsi="黑体" w:eastAsia="黑体" w:cs="黑体"/>
          <w:color w:val="auto"/>
          <w:sz w:val="28"/>
          <w:szCs w:val="28"/>
          <w:u w:val="none"/>
          <w:lang w:val="en-US" w:eastAsia="zh-CN"/>
        </w:rPr>
        <w:t xml:space="preserve">6 </w:t>
      </w:r>
      <w:r>
        <w:rPr>
          <w:rFonts w:hint="default" w:ascii="黑体" w:hAnsi="黑体" w:eastAsia="黑体" w:cs="黑体"/>
          <w:color w:val="auto"/>
          <w:sz w:val="28"/>
          <w:szCs w:val="28"/>
          <w:u w:val="none"/>
          <w:lang w:val="en-US" w:eastAsia="zh-CN"/>
        </w:rPr>
        <w:t>声环境影响</w:t>
      </w:r>
      <w:r>
        <w:rPr>
          <w:rFonts w:hint="eastAsia" w:ascii="黑体" w:hAnsi="黑体" w:eastAsia="黑体" w:cs="黑体"/>
          <w:color w:val="auto"/>
          <w:sz w:val="28"/>
          <w:szCs w:val="28"/>
          <w:u w:val="none"/>
          <w:lang w:val="en-US" w:eastAsia="zh-CN"/>
        </w:rPr>
        <w:t>评价</w:t>
      </w:r>
      <w:bookmarkEnd w:id="431"/>
    </w:p>
    <w:p w14:paraId="61339CC7">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6</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施工</w:t>
      </w:r>
      <w:r>
        <w:rPr>
          <w:rFonts w:hint="default" w:ascii="黑体" w:hAnsi="黑体" w:eastAsia="黑体" w:cs="黑体"/>
          <w:b/>
          <w:color w:val="auto"/>
          <w:kern w:val="0"/>
          <w:sz w:val="24"/>
          <w:szCs w:val="24"/>
          <w:highlight w:val="none"/>
          <w:u w:val="none"/>
          <w:lang w:val="en-US" w:eastAsia="zh-CN"/>
        </w:rPr>
        <w:t>期声环境影响分析</w:t>
      </w:r>
    </w:p>
    <w:p w14:paraId="5EA1BE0C">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5.</w:t>
      </w:r>
      <w:r>
        <w:rPr>
          <w:rFonts w:hint="eastAsia" w:ascii="宋体" w:hAnsi="宋体" w:cs="宋体"/>
          <w:color w:val="auto"/>
          <w:u w:val="none"/>
          <w:lang w:val="en-US" w:eastAsia="zh-CN"/>
        </w:rPr>
        <w:t>6</w:t>
      </w:r>
      <w:r>
        <w:rPr>
          <w:rFonts w:hint="default" w:ascii="宋体" w:hAnsi="宋体" w:eastAsia="宋体" w:cs="宋体"/>
          <w:color w:val="auto"/>
          <w:u w:val="none"/>
          <w:lang w:val="en-US" w:eastAsia="zh-CN"/>
        </w:rPr>
        <w:t>.1.1噪声源分析</w:t>
      </w:r>
    </w:p>
    <w:p w14:paraId="4EA72355">
      <w:pPr>
        <w:keepNext w:val="0"/>
        <w:pageBreakBefore w:val="0"/>
        <w:widowControl/>
        <w:kinsoku/>
        <w:wordWrap/>
        <w:overflowPunct/>
        <w:topLinePunct w:val="0"/>
        <w:autoSpaceDE/>
        <w:autoSpaceDN/>
        <w:bidi w:val="0"/>
        <w:spacing w:line="480" w:lineRule="exact"/>
        <w:ind w:firstLine="480"/>
        <w:jc w:val="left"/>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rPr>
        <w:t>施工期的噪声主要为钻井过程中钻机、柴油机、泥浆泵等发出的噪声，泥浆泵、钻机和柴油发电机的声压级一般在80~110dB(A)，地面工程建设过程中推土机、挖掘机等机械噪声，声压级一般在80~100dB(A)。</w:t>
      </w:r>
    </w:p>
    <w:p w14:paraId="77F84D91">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5.</w:t>
      </w:r>
      <w:r>
        <w:rPr>
          <w:rFonts w:hint="eastAsia" w:ascii="宋体" w:hAnsi="宋体" w:cs="宋体"/>
          <w:color w:val="auto"/>
          <w:u w:val="none"/>
          <w:lang w:val="en-US" w:eastAsia="zh-CN"/>
        </w:rPr>
        <w:t>6</w:t>
      </w:r>
      <w:r>
        <w:rPr>
          <w:rFonts w:hint="default" w:ascii="宋体" w:hAnsi="宋体" w:eastAsia="宋体" w:cs="宋体"/>
          <w:color w:val="auto"/>
          <w:u w:val="none"/>
          <w:lang w:val="en-US" w:eastAsia="zh-CN"/>
        </w:rPr>
        <w:t>.1.2</w:t>
      </w:r>
      <w:r>
        <w:rPr>
          <w:rFonts w:hint="eastAsia" w:ascii="宋体" w:hAnsi="宋体" w:eastAsia="宋体" w:cs="宋体"/>
          <w:color w:val="auto"/>
          <w:u w:val="none"/>
          <w:lang w:val="en-US" w:eastAsia="zh-CN"/>
        </w:rPr>
        <w:t>预测模式</w:t>
      </w:r>
    </w:p>
    <w:p w14:paraId="5444CA7C">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在环境噪声预测中各噪声源作为点声源处理，本评价采用“无指向性点声源几何发散衰减”</w:t>
      </w:r>
      <w:r>
        <w:rPr>
          <w:rFonts w:hint="default" w:ascii="Times New Roman" w:hAnsi="Times New Roman" w:eastAsia="宋体" w:cs="Times New Roman"/>
          <w:color w:val="auto"/>
          <w:kern w:val="0"/>
          <w:sz w:val="24"/>
          <w:szCs w:val="24"/>
          <w:highlight w:val="none"/>
          <w:u w:val="none"/>
          <w:lang w:val="en-US" w:eastAsia="zh-CN"/>
        </w:rPr>
        <w:t>预测</w:t>
      </w:r>
      <w:r>
        <w:rPr>
          <w:rFonts w:hint="default" w:ascii="Times New Roman" w:hAnsi="Times New Roman" w:eastAsia="宋体" w:cs="Times New Roman"/>
          <w:color w:val="auto"/>
          <w:kern w:val="0"/>
          <w:sz w:val="24"/>
          <w:szCs w:val="24"/>
          <w:highlight w:val="none"/>
          <w:u w:val="none"/>
          <w:lang w:eastAsia="zh-CN"/>
        </w:rPr>
        <w:t>模式，预测计算施工机械噪声源至受声点的几何发散衰减，计算中不考虑声屏障、空气吸收等衰减，预测公式如下：</w:t>
      </w:r>
    </w:p>
    <w:p w14:paraId="55A2C6BA">
      <w:pPr>
        <w:keepNext w:val="0"/>
        <w:keepLines w:val="0"/>
        <w:pageBreakBefore w:val="0"/>
        <w:widowControl/>
        <w:kinsoku/>
        <w:wordWrap/>
        <w:overflowPunct/>
        <w:topLinePunct w:val="0"/>
        <w:autoSpaceDE/>
        <w:autoSpaceDN/>
        <w:bidi w:val="0"/>
        <w:adjustRightInd/>
        <w:snapToGrid/>
        <w:spacing w:line="480" w:lineRule="exact"/>
        <w:ind w:firstLine="0"/>
        <w:jc w:val="center"/>
        <w:textAlignment w:val="auto"/>
        <w:rPr>
          <w:rFonts w:hint="default" w:ascii="Times New Roman" w:hAnsi="Times New Roman" w:eastAsia="宋体" w:cs="Times New Roman"/>
          <w:color w:val="auto"/>
          <w:kern w:val="0"/>
          <w:sz w:val="24"/>
          <w:szCs w:val="24"/>
          <w:highlight w:val="none"/>
          <w:u w:val="none"/>
          <w:lang w:val="pt-BR" w:eastAsia="zh-CN"/>
        </w:rPr>
      </w:pPr>
      <w:r>
        <w:rPr>
          <w:rFonts w:hint="default" w:ascii="Times New Roman" w:hAnsi="Times New Roman" w:eastAsia="宋体" w:cs="Times New Roman"/>
          <w:color w:val="auto"/>
          <w:kern w:val="0"/>
          <w:sz w:val="24"/>
          <w:szCs w:val="24"/>
          <w:highlight w:val="none"/>
          <w:u w:val="none"/>
          <w:lang w:val="pt-BR" w:eastAsia="zh-CN"/>
        </w:rPr>
        <w:t>L</w:t>
      </w:r>
      <w:r>
        <w:rPr>
          <w:rFonts w:hint="default" w:ascii="Times New Roman" w:hAnsi="Times New Roman" w:eastAsia="宋体" w:cs="Times New Roman"/>
          <w:color w:val="auto"/>
          <w:kern w:val="0"/>
          <w:sz w:val="24"/>
          <w:szCs w:val="24"/>
          <w:highlight w:val="none"/>
          <w:u w:val="none"/>
          <w:lang w:eastAsia="zh-CN"/>
        </w:rPr>
        <w:t>P（r）</w:t>
      </w:r>
      <w:r>
        <w:rPr>
          <w:rFonts w:hint="default" w:ascii="Times New Roman" w:hAnsi="Times New Roman" w:eastAsia="宋体" w:cs="Times New Roman"/>
          <w:color w:val="auto"/>
          <w:kern w:val="0"/>
          <w:sz w:val="24"/>
          <w:szCs w:val="24"/>
          <w:highlight w:val="none"/>
          <w:u w:val="none"/>
          <w:lang w:val="pt-BR" w:eastAsia="zh-CN"/>
        </w:rPr>
        <w:t>=L</w:t>
      </w:r>
      <w:r>
        <w:rPr>
          <w:rFonts w:hint="default" w:ascii="Times New Roman" w:hAnsi="Times New Roman" w:eastAsia="宋体" w:cs="Times New Roman"/>
          <w:color w:val="auto"/>
          <w:kern w:val="0"/>
          <w:sz w:val="24"/>
          <w:szCs w:val="24"/>
          <w:highlight w:val="none"/>
          <w:u w:val="none"/>
          <w:lang w:eastAsia="zh-CN"/>
        </w:rPr>
        <w:t>P（r0）</w:t>
      </w:r>
      <w:r>
        <w:rPr>
          <w:rFonts w:hint="default" w:ascii="Times New Roman" w:hAnsi="Times New Roman" w:eastAsia="宋体" w:cs="Times New Roman"/>
          <w:color w:val="auto"/>
          <w:kern w:val="0"/>
          <w:sz w:val="24"/>
          <w:szCs w:val="24"/>
          <w:highlight w:val="none"/>
          <w:u w:val="none"/>
          <w:lang w:val="pt-BR" w:eastAsia="zh-CN"/>
        </w:rPr>
        <w:t>-20lg（r/ro）</w:t>
      </w:r>
    </w:p>
    <w:p w14:paraId="7EC40BA0">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式中：</w:t>
      </w:r>
      <w:r>
        <w:rPr>
          <w:rFonts w:hint="default" w:ascii="Times New Roman" w:hAnsi="Times New Roman" w:eastAsia="宋体" w:cs="Times New Roman"/>
          <w:color w:val="auto"/>
          <w:kern w:val="0"/>
          <w:sz w:val="24"/>
          <w:szCs w:val="24"/>
          <w:highlight w:val="none"/>
          <w:u w:val="none"/>
          <w:lang w:val="pt-BR" w:eastAsia="zh-CN"/>
        </w:rPr>
        <w:t>L</w:t>
      </w:r>
      <w:r>
        <w:rPr>
          <w:rFonts w:hint="default" w:ascii="Times New Roman" w:hAnsi="Times New Roman" w:eastAsia="宋体" w:cs="Times New Roman"/>
          <w:color w:val="auto"/>
          <w:kern w:val="0"/>
          <w:sz w:val="24"/>
          <w:szCs w:val="24"/>
          <w:highlight w:val="none"/>
          <w:u w:val="none"/>
          <w:lang w:eastAsia="zh-CN"/>
        </w:rPr>
        <w:t>P（r）——预测点处声压级，dB（A）；</w:t>
      </w:r>
    </w:p>
    <w:p w14:paraId="04B3199C">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 xml:space="preserve">      </w:t>
      </w:r>
      <w:r>
        <w:rPr>
          <w:rFonts w:hint="default" w:ascii="Times New Roman" w:hAnsi="Times New Roman" w:eastAsia="宋体" w:cs="Times New Roman"/>
          <w:color w:val="auto"/>
          <w:kern w:val="0"/>
          <w:sz w:val="24"/>
          <w:szCs w:val="24"/>
          <w:highlight w:val="none"/>
          <w:u w:val="none"/>
          <w:lang w:val="pt-BR" w:eastAsia="zh-CN"/>
        </w:rPr>
        <w:t>L</w:t>
      </w:r>
      <w:r>
        <w:rPr>
          <w:rFonts w:hint="default" w:ascii="Times New Roman" w:hAnsi="Times New Roman" w:eastAsia="宋体" w:cs="Times New Roman"/>
          <w:color w:val="auto"/>
          <w:kern w:val="0"/>
          <w:sz w:val="24"/>
          <w:szCs w:val="24"/>
          <w:highlight w:val="none"/>
          <w:u w:val="none"/>
          <w:lang w:eastAsia="zh-CN"/>
        </w:rPr>
        <w:t>P（r0）——参考位置ro处的声压级，dB（A）；</w:t>
      </w:r>
    </w:p>
    <w:p w14:paraId="1B72EBF9">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 xml:space="preserve">      r ——预测点距声源的距离，m；</w:t>
      </w:r>
    </w:p>
    <w:p w14:paraId="278C45AA">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 xml:space="preserve">      ro——参考位置距声源的距离，m。</w:t>
      </w:r>
    </w:p>
    <w:p w14:paraId="3DF5F385">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利用上述公式，预测计算本项目主要施工机械在不同距离处的贡献值，预测计算结果见表5.</w:t>
      </w:r>
      <w:r>
        <w:rPr>
          <w:rFonts w:hint="eastAsia" w:cs="Times New Roman"/>
          <w:color w:val="auto"/>
          <w:kern w:val="0"/>
          <w:sz w:val="24"/>
          <w:szCs w:val="24"/>
          <w:highlight w:val="none"/>
          <w:u w:val="none"/>
          <w:lang w:val="en-US" w:eastAsia="zh-CN"/>
        </w:rPr>
        <w:t>6</w:t>
      </w:r>
      <w:r>
        <w:rPr>
          <w:rFonts w:hint="default" w:ascii="Times New Roman" w:hAnsi="Times New Roman" w:eastAsia="宋体" w:cs="Times New Roman"/>
          <w:color w:val="auto"/>
          <w:kern w:val="0"/>
          <w:sz w:val="24"/>
          <w:szCs w:val="24"/>
          <w:highlight w:val="none"/>
          <w:u w:val="none"/>
          <w:lang w:eastAsia="zh-CN"/>
        </w:rPr>
        <w:t>-1。</w:t>
      </w:r>
    </w:p>
    <w:p w14:paraId="74913A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heme="majorEastAsia" w:hAnsiTheme="majorEastAsia" w:eastAsiaTheme="majorEastAsia" w:cstheme="majorEastAsia"/>
          <w:b/>
          <w:bCs w:val="0"/>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表5.</w:t>
      </w:r>
      <w:r>
        <w:rPr>
          <w:rFonts w:hint="eastAsia" w:ascii="黑体" w:hAnsi="黑体" w:eastAsia="黑体" w:cs="黑体"/>
          <w:b w:val="0"/>
          <w:bCs/>
          <w:color w:val="auto"/>
          <w:kern w:val="2"/>
          <w:sz w:val="24"/>
          <w:szCs w:val="24"/>
          <w:u w:val="none"/>
          <w:lang w:val="en-US" w:eastAsia="zh-CN" w:bidi="ar-SA"/>
        </w:rPr>
        <w:t>6</w:t>
      </w:r>
      <w:r>
        <w:rPr>
          <w:rFonts w:hint="default" w:ascii="黑体" w:hAnsi="黑体" w:eastAsia="黑体" w:cs="黑体"/>
          <w:b w:val="0"/>
          <w:bCs/>
          <w:color w:val="auto"/>
          <w:kern w:val="2"/>
          <w:sz w:val="24"/>
          <w:szCs w:val="24"/>
          <w:u w:val="none"/>
          <w:lang w:val="en-US" w:eastAsia="zh-CN" w:bidi="ar-SA"/>
        </w:rPr>
        <w:t>-1   主要施工机械在不同距离处的噪声贡献值一览表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Layout w:type="autofit"/>
        <w:tblCellMar>
          <w:top w:w="0" w:type="dxa"/>
          <w:left w:w="28" w:type="dxa"/>
          <w:bottom w:w="0" w:type="dxa"/>
          <w:right w:w="28" w:type="dxa"/>
        </w:tblCellMar>
      </w:tblPr>
      <w:tblGrid>
        <w:gridCol w:w="526"/>
        <w:gridCol w:w="989"/>
        <w:gridCol w:w="536"/>
        <w:gridCol w:w="536"/>
        <w:gridCol w:w="652"/>
        <w:gridCol w:w="652"/>
        <w:gridCol w:w="652"/>
        <w:gridCol w:w="652"/>
        <w:gridCol w:w="588"/>
        <w:gridCol w:w="588"/>
        <w:gridCol w:w="588"/>
        <w:gridCol w:w="725"/>
        <w:gridCol w:w="987"/>
      </w:tblGrid>
      <w:tr w14:paraId="09A7C65E">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397" w:hRule="atLeast"/>
          <w:jc w:val="center"/>
        </w:trPr>
        <w:tc>
          <w:tcPr>
            <w:tcW w:w="303" w:type="pct"/>
            <w:vMerge w:val="restart"/>
            <w:tcBorders>
              <w:tl2br w:val="nil"/>
              <w:tr2bl w:val="nil"/>
            </w:tcBorders>
            <w:noWrap w:val="0"/>
            <w:vAlign w:val="center"/>
          </w:tcPr>
          <w:p w14:paraId="5FDC2EE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序号</w:t>
            </w:r>
          </w:p>
        </w:tc>
        <w:tc>
          <w:tcPr>
            <w:tcW w:w="570" w:type="pct"/>
            <w:vMerge w:val="restart"/>
            <w:tcBorders>
              <w:tl2br w:val="nil"/>
              <w:tr2bl w:val="nil"/>
            </w:tcBorders>
            <w:noWrap w:val="0"/>
            <w:vAlign w:val="center"/>
          </w:tcPr>
          <w:p w14:paraId="095C43B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机  械</w:t>
            </w:r>
          </w:p>
        </w:tc>
        <w:tc>
          <w:tcPr>
            <w:tcW w:w="3557" w:type="pct"/>
            <w:gridSpan w:val="10"/>
            <w:tcBorders>
              <w:tl2br w:val="nil"/>
              <w:tr2bl w:val="nil"/>
            </w:tcBorders>
            <w:noWrap w:val="0"/>
            <w:tcMar>
              <w:left w:w="57" w:type="dxa"/>
              <w:right w:w="57" w:type="dxa"/>
            </w:tcMar>
            <w:vAlign w:val="center"/>
          </w:tcPr>
          <w:p w14:paraId="559FE5B5">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lang w:eastAsia="zh-CN"/>
              </w:rPr>
            </w:pPr>
            <w:r>
              <w:rPr>
                <w:rFonts w:hint="default"/>
                <w:color w:val="auto"/>
                <w:highlight w:val="none"/>
                <w:u w:val="none"/>
              </w:rPr>
              <w:t>不同距离处的噪声贡献值</w:t>
            </w:r>
            <w:r>
              <w:rPr>
                <w:rFonts w:hint="default"/>
                <w:color w:val="auto"/>
                <w:highlight w:val="none"/>
                <w:u w:val="none"/>
                <w:lang w:eastAsia="zh-CN"/>
              </w:rPr>
              <w:t>〔</w:t>
            </w:r>
            <w:r>
              <w:rPr>
                <w:rFonts w:hint="default"/>
                <w:color w:val="auto"/>
                <w:highlight w:val="none"/>
                <w:u w:val="none"/>
              </w:rPr>
              <w:t>dB</w:t>
            </w:r>
            <w:r>
              <w:rPr>
                <w:rFonts w:hint="default"/>
                <w:color w:val="auto"/>
                <w:highlight w:val="none"/>
                <w:u w:val="none"/>
                <w:lang w:eastAsia="zh-CN"/>
              </w:rPr>
              <w:t>（</w:t>
            </w:r>
            <w:r>
              <w:rPr>
                <w:rFonts w:hint="default"/>
                <w:color w:val="auto"/>
                <w:highlight w:val="none"/>
                <w:u w:val="none"/>
              </w:rPr>
              <w:t>A</w:t>
            </w:r>
            <w:r>
              <w:rPr>
                <w:rFonts w:hint="default"/>
                <w:color w:val="auto"/>
                <w:highlight w:val="none"/>
                <w:u w:val="none"/>
                <w:lang w:eastAsia="zh-CN"/>
              </w:rPr>
              <w:t>）〕</w:t>
            </w:r>
          </w:p>
        </w:tc>
        <w:tc>
          <w:tcPr>
            <w:tcW w:w="569" w:type="pct"/>
            <w:vMerge w:val="restart"/>
            <w:tcBorders>
              <w:tl2br w:val="nil"/>
              <w:tr2bl w:val="nil"/>
            </w:tcBorders>
            <w:noWrap w:val="0"/>
            <w:vAlign w:val="center"/>
          </w:tcPr>
          <w:p w14:paraId="5A0F3600">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施工</w:t>
            </w:r>
          </w:p>
          <w:p w14:paraId="06BBD7E2">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阶段</w:t>
            </w:r>
          </w:p>
        </w:tc>
      </w:tr>
      <w:tr w14:paraId="3FE081D3">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397" w:hRule="atLeast"/>
          <w:jc w:val="center"/>
        </w:trPr>
        <w:tc>
          <w:tcPr>
            <w:tcW w:w="303" w:type="pct"/>
            <w:vMerge w:val="continue"/>
            <w:tcBorders>
              <w:tl2br w:val="nil"/>
              <w:tr2bl w:val="nil"/>
            </w:tcBorders>
            <w:noWrap w:val="0"/>
            <w:vAlign w:val="center"/>
          </w:tcPr>
          <w:p w14:paraId="680F21E2">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p>
        </w:tc>
        <w:tc>
          <w:tcPr>
            <w:tcW w:w="570" w:type="pct"/>
            <w:vMerge w:val="continue"/>
            <w:tcBorders>
              <w:tl2br w:val="nil"/>
              <w:tr2bl w:val="nil"/>
            </w:tcBorders>
            <w:noWrap w:val="0"/>
            <w:vAlign w:val="center"/>
          </w:tcPr>
          <w:p w14:paraId="1277CEC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p>
        </w:tc>
        <w:tc>
          <w:tcPr>
            <w:tcW w:w="309" w:type="pct"/>
            <w:tcBorders>
              <w:tl2br w:val="nil"/>
              <w:tr2bl w:val="nil"/>
            </w:tcBorders>
            <w:noWrap w:val="0"/>
            <w:tcMar>
              <w:left w:w="57" w:type="dxa"/>
              <w:right w:w="57" w:type="dxa"/>
            </w:tcMar>
            <w:vAlign w:val="center"/>
          </w:tcPr>
          <w:p w14:paraId="016195F9">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40m</w:t>
            </w:r>
          </w:p>
        </w:tc>
        <w:tc>
          <w:tcPr>
            <w:tcW w:w="309" w:type="pct"/>
            <w:tcBorders>
              <w:tl2br w:val="nil"/>
              <w:tr2bl w:val="nil"/>
            </w:tcBorders>
            <w:noWrap w:val="0"/>
            <w:tcMar>
              <w:left w:w="57" w:type="dxa"/>
              <w:right w:w="57" w:type="dxa"/>
            </w:tcMar>
            <w:vAlign w:val="center"/>
          </w:tcPr>
          <w:p w14:paraId="72BA4C61">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60m</w:t>
            </w:r>
          </w:p>
        </w:tc>
        <w:tc>
          <w:tcPr>
            <w:tcW w:w="376" w:type="pct"/>
            <w:tcBorders>
              <w:tl2br w:val="nil"/>
              <w:tr2bl w:val="nil"/>
            </w:tcBorders>
            <w:noWrap w:val="0"/>
            <w:tcMar>
              <w:left w:w="57" w:type="dxa"/>
              <w:right w:w="57" w:type="dxa"/>
            </w:tcMar>
            <w:vAlign w:val="center"/>
          </w:tcPr>
          <w:p w14:paraId="324F8B94">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100m</w:t>
            </w:r>
          </w:p>
        </w:tc>
        <w:tc>
          <w:tcPr>
            <w:tcW w:w="376" w:type="pct"/>
            <w:tcBorders>
              <w:tl2br w:val="nil"/>
              <w:tr2bl w:val="nil"/>
            </w:tcBorders>
            <w:noWrap w:val="0"/>
            <w:tcMar>
              <w:left w:w="57" w:type="dxa"/>
              <w:right w:w="57" w:type="dxa"/>
            </w:tcMar>
            <w:vAlign w:val="center"/>
          </w:tcPr>
          <w:p w14:paraId="7FEA80DD">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200m</w:t>
            </w:r>
          </w:p>
        </w:tc>
        <w:tc>
          <w:tcPr>
            <w:tcW w:w="376" w:type="pct"/>
            <w:tcBorders>
              <w:tl2br w:val="nil"/>
              <w:tr2bl w:val="nil"/>
            </w:tcBorders>
            <w:noWrap w:val="0"/>
            <w:tcMar>
              <w:left w:w="57" w:type="dxa"/>
              <w:right w:w="57" w:type="dxa"/>
            </w:tcMar>
            <w:vAlign w:val="center"/>
          </w:tcPr>
          <w:p w14:paraId="09A107E6">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300m</w:t>
            </w:r>
          </w:p>
        </w:tc>
        <w:tc>
          <w:tcPr>
            <w:tcW w:w="376" w:type="pct"/>
            <w:tcBorders>
              <w:tl2br w:val="nil"/>
              <w:tr2bl w:val="nil"/>
            </w:tcBorders>
            <w:noWrap w:val="0"/>
            <w:tcMar>
              <w:left w:w="57" w:type="dxa"/>
              <w:right w:w="57" w:type="dxa"/>
            </w:tcMar>
            <w:vAlign w:val="center"/>
          </w:tcPr>
          <w:p w14:paraId="706950F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400m</w:t>
            </w:r>
          </w:p>
        </w:tc>
        <w:tc>
          <w:tcPr>
            <w:tcW w:w="339" w:type="pct"/>
            <w:tcBorders>
              <w:tl2br w:val="nil"/>
              <w:tr2bl w:val="nil"/>
            </w:tcBorders>
            <w:noWrap w:val="0"/>
            <w:vAlign w:val="center"/>
          </w:tcPr>
          <w:p w14:paraId="73E5A3A8">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500m</w:t>
            </w:r>
          </w:p>
        </w:tc>
        <w:tc>
          <w:tcPr>
            <w:tcW w:w="339" w:type="pct"/>
            <w:tcBorders>
              <w:tl2br w:val="nil"/>
              <w:tr2bl w:val="nil"/>
            </w:tcBorders>
            <w:noWrap w:val="0"/>
            <w:vAlign w:val="center"/>
          </w:tcPr>
          <w:p w14:paraId="172140C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700m</w:t>
            </w:r>
          </w:p>
        </w:tc>
        <w:tc>
          <w:tcPr>
            <w:tcW w:w="339" w:type="pct"/>
            <w:tcBorders>
              <w:tl2br w:val="nil"/>
              <w:tr2bl w:val="nil"/>
            </w:tcBorders>
            <w:noWrap w:val="0"/>
            <w:vAlign w:val="center"/>
          </w:tcPr>
          <w:p w14:paraId="4390192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900m</w:t>
            </w:r>
          </w:p>
        </w:tc>
        <w:tc>
          <w:tcPr>
            <w:tcW w:w="410" w:type="pct"/>
            <w:tcBorders>
              <w:tl2br w:val="nil"/>
              <w:tr2bl w:val="nil"/>
            </w:tcBorders>
            <w:noWrap w:val="0"/>
            <w:vAlign w:val="center"/>
          </w:tcPr>
          <w:p w14:paraId="62F33866">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1200m</w:t>
            </w:r>
          </w:p>
        </w:tc>
        <w:tc>
          <w:tcPr>
            <w:tcW w:w="569" w:type="pct"/>
            <w:vMerge w:val="continue"/>
            <w:tcBorders>
              <w:tl2br w:val="nil"/>
              <w:tr2bl w:val="nil"/>
            </w:tcBorders>
            <w:noWrap w:val="0"/>
            <w:vAlign w:val="center"/>
          </w:tcPr>
          <w:p w14:paraId="493FD41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p>
        </w:tc>
      </w:tr>
      <w:tr w14:paraId="50EF4F79">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397" w:hRule="atLeast"/>
          <w:jc w:val="center"/>
        </w:trPr>
        <w:tc>
          <w:tcPr>
            <w:tcW w:w="303" w:type="pct"/>
            <w:tcBorders>
              <w:tl2br w:val="nil"/>
              <w:tr2bl w:val="nil"/>
            </w:tcBorders>
            <w:noWrap w:val="0"/>
            <w:vAlign w:val="center"/>
          </w:tcPr>
          <w:p w14:paraId="7AECF8F8">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1</w:t>
            </w:r>
          </w:p>
        </w:tc>
        <w:tc>
          <w:tcPr>
            <w:tcW w:w="570" w:type="pct"/>
            <w:tcBorders>
              <w:tl2br w:val="nil"/>
              <w:tr2bl w:val="nil"/>
            </w:tcBorders>
            <w:noWrap w:val="0"/>
            <w:vAlign w:val="center"/>
          </w:tcPr>
          <w:p w14:paraId="78FCA192">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挖掘机</w:t>
            </w:r>
          </w:p>
        </w:tc>
        <w:tc>
          <w:tcPr>
            <w:tcW w:w="309" w:type="pct"/>
            <w:tcBorders>
              <w:tl2br w:val="nil"/>
              <w:tr2bl w:val="nil"/>
            </w:tcBorders>
            <w:noWrap w:val="0"/>
            <w:tcMar>
              <w:left w:w="57" w:type="dxa"/>
              <w:right w:w="57" w:type="dxa"/>
            </w:tcMar>
            <w:vAlign w:val="center"/>
          </w:tcPr>
          <w:p w14:paraId="723543B8">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72.0</w:t>
            </w:r>
          </w:p>
        </w:tc>
        <w:tc>
          <w:tcPr>
            <w:tcW w:w="309" w:type="pct"/>
            <w:tcBorders>
              <w:tl2br w:val="nil"/>
              <w:tr2bl w:val="nil"/>
            </w:tcBorders>
            <w:noWrap w:val="0"/>
            <w:tcMar>
              <w:left w:w="57" w:type="dxa"/>
              <w:right w:w="57" w:type="dxa"/>
            </w:tcMar>
            <w:vAlign w:val="center"/>
          </w:tcPr>
          <w:p w14:paraId="4C2E81B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68.4</w:t>
            </w:r>
          </w:p>
        </w:tc>
        <w:tc>
          <w:tcPr>
            <w:tcW w:w="376" w:type="pct"/>
            <w:tcBorders>
              <w:tl2br w:val="nil"/>
              <w:tr2bl w:val="nil"/>
            </w:tcBorders>
            <w:noWrap w:val="0"/>
            <w:tcMar>
              <w:left w:w="57" w:type="dxa"/>
              <w:right w:w="57" w:type="dxa"/>
            </w:tcMar>
            <w:vAlign w:val="center"/>
          </w:tcPr>
          <w:p w14:paraId="01EF19D0">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64.0</w:t>
            </w:r>
          </w:p>
        </w:tc>
        <w:tc>
          <w:tcPr>
            <w:tcW w:w="376" w:type="pct"/>
            <w:tcBorders>
              <w:tl2br w:val="nil"/>
              <w:tr2bl w:val="nil"/>
            </w:tcBorders>
            <w:noWrap w:val="0"/>
            <w:tcMar>
              <w:left w:w="57" w:type="dxa"/>
              <w:right w:w="57" w:type="dxa"/>
            </w:tcMar>
            <w:vAlign w:val="center"/>
          </w:tcPr>
          <w:p w14:paraId="0022103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58.0</w:t>
            </w:r>
          </w:p>
        </w:tc>
        <w:tc>
          <w:tcPr>
            <w:tcW w:w="376" w:type="pct"/>
            <w:tcBorders>
              <w:tl2br w:val="nil"/>
              <w:tr2bl w:val="nil"/>
            </w:tcBorders>
            <w:noWrap w:val="0"/>
            <w:tcMar>
              <w:left w:w="57" w:type="dxa"/>
              <w:right w:w="57" w:type="dxa"/>
            </w:tcMar>
            <w:vAlign w:val="center"/>
          </w:tcPr>
          <w:p w14:paraId="5E82A0C7">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54.5</w:t>
            </w:r>
          </w:p>
        </w:tc>
        <w:tc>
          <w:tcPr>
            <w:tcW w:w="376" w:type="pct"/>
            <w:tcBorders>
              <w:tl2br w:val="nil"/>
              <w:tr2bl w:val="nil"/>
            </w:tcBorders>
            <w:noWrap w:val="0"/>
            <w:tcMar>
              <w:left w:w="57" w:type="dxa"/>
              <w:right w:w="57" w:type="dxa"/>
            </w:tcMar>
            <w:vAlign w:val="center"/>
          </w:tcPr>
          <w:p w14:paraId="1CC1BDD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52.0</w:t>
            </w:r>
          </w:p>
        </w:tc>
        <w:tc>
          <w:tcPr>
            <w:tcW w:w="339" w:type="pct"/>
            <w:tcBorders>
              <w:tl2br w:val="nil"/>
              <w:tr2bl w:val="nil"/>
            </w:tcBorders>
            <w:noWrap w:val="0"/>
            <w:vAlign w:val="center"/>
          </w:tcPr>
          <w:p w14:paraId="0CDCF297">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50.0</w:t>
            </w:r>
          </w:p>
        </w:tc>
        <w:tc>
          <w:tcPr>
            <w:tcW w:w="339" w:type="pct"/>
            <w:tcBorders>
              <w:tl2br w:val="nil"/>
              <w:tr2bl w:val="nil"/>
            </w:tcBorders>
            <w:noWrap w:val="0"/>
            <w:vAlign w:val="center"/>
          </w:tcPr>
          <w:p w14:paraId="6FFC37E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339" w:type="pct"/>
            <w:tcBorders>
              <w:tl2br w:val="nil"/>
              <w:tr2bl w:val="nil"/>
            </w:tcBorders>
            <w:noWrap w:val="0"/>
            <w:vAlign w:val="center"/>
          </w:tcPr>
          <w:p w14:paraId="4AECF9E9">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410" w:type="pct"/>
            <w:tcBorders>
              <w:tl2br w:val="nil"/>
              <w:tr2bl w:val="nil"/>
            </w:tcBorders>
            <w:noWrap w:val="0"/>
            <w:vAlign w:val="center"/>
          </w:tcPr>
          <w:p w14:paraId="2EF414BC">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569" w:type="pct"/>
            <w:vMerge w:val="restart"/>
            <w:tcBorders>
              <w:tl2br w:val="nil"/>
              <w:tr2bl w:val="nil"/>
            </w:tcBorders>
            <w:noWrap w:val="0"/>
            <w:vAlign w:val="center"/>
          </w:tcPr>
          <w:p w14:paraId="30F6527A">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土石方</w:t>
            </w:r>
          </w:p>
          <w:p w14:paraId="6AACE1B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道路施工</w:t>
            </w:r>
          </w:p>
          <w:p w14:paraId="09B56117">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管线施工</w:t>
            </w:r>
          </w:p>
        </w:tc>
      </w:tr>
      <w:tr w14:paraId="71013D19">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397" w:hRule="atLeast"/>
          <w:jc w:val="center"/>
        </w:trPr>
        <w:tc>
          <w:tcPr>
            <w:tcW w:w="303" w:type="pct"/>
            <w:tcBorders>
              <w:tl2br w:val="nil"/>
              <w:tr2bl w:val="nil"/>
            </w:tcBorders>
            <w:noWrap w:val="0"/>
            <w:vAlign w:val="center"/>
          </w:tcPr>
          <w:p w14:paraId="1502736A">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2</w:t>
            </w:r>
          </w:p>
        </w:tc>
        <w:tc>
          <w:tcPr>
            <w:tcW w:w="570" w:type="pct"/>
            <w:tcBorders>
              <w:tl2br w:val="nil"/>
              <w:tr2bl w:val="nil"/>
            </w:tcBorders>
            <w:noWrap w:val="0"/>
            <w:vAlign w:val="center"/>
          </w:tcPr>
          <w:p w14:paraId="5F6C93E4">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装载机</w:t>
            </w:r>
          </w:p>
        </w:tc>
        <w:tc>
          <w:tcPr>
            <w:tcW w:w="309" w:type="pct"/>
            <w:tcBorders>
              <w:tl2br w:val="nil"/>
              <w:tr2bl w:val="nil"/>
            </w:tcBorders>
            <w:noWrap w:val="0"/>
            <w:tcMar>
              <w:left w:w="57" w:type="dxa"/>
              <w:right w:w="57" w:type="dxa"/>
            </w:tcMar>
            <w:vAlign w:val="center"/>
          </w:tcPr>
          <w:p w14:paraId="058AF97A">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70.0</w:t>
            </w:r>
          </w:p>
        </w:tc>
        <w:tc>
          <w:tcPr>
            <w:tcW w:w="309" w:type="pct"/>
            <w:tcBorders>
              <w:tl2br w:val="nil"/>
              <w:tr2bl w:val="nil"/>
            </w:tcBorders>
            <w:noWrap w:val="0"/>
            <w:tcMar>
              <w:left w:w="57" w:type="dxa"/>
              <w:right w:w="57" w:type="dxa"/>
            </w:tcMar>
            <w:vAlign w:val="center"/>
          </w:tcPr>
          <w:p w14:paraId="11B07EC5">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66.4</w:t>
            </w:r>
          </w:p>
        </w:tc>
        <w:tc>
          <w:tcPr>
            <w:tcW w:w="376" w:type="pct"/>
            <w:tcBorders>
              <w:tl2br w:val="nil"/>
              <w:tr2bl w:val="nil"/>
            </w:tcBorders>
            <w:noWrap w:val="0"/>
            <w:tcMar>
              <w:left w:w="57" w:type="dxa"/>
              <w:right w:w="57" w:type="dxa"/>
            </w:tcMar>
            <w:vAlign w:val="center"/>
          </w:tcPr>
          <w:p w14:paraId="1EB1DC4C">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62.0</w:t>
            </w:r>
          </w:p>
        </w:tc>
        <w:tc>
          <w:tcPr>
            <w:tcW w:w="376" w:type="pct"/>
            <w:tcBorders>
              <w:tl2br w:val="nil"/>
              <w:tr2bl w:val="nil"/>
            </w:tcBorders>
            <w:noWrap w:val="0"/>
            <w:tcMar>
              <w:left w:w="57" w:type="dxa"/>
              <w:right w:w="57" w:type="dxa"/>
            </w:tcMar>
            <w:vAlign w:val="center"/>
          </w:tcPr>
          <w:p w14:paraId="54490E9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56.0</w:t>
            </w:r>
          </w:p>
        </w:tc>
        <w:tc>
          <w:tcPr>
            <w:tcW w:w="376" w:type="pct"/>
            <w:tcBorders>
              <w:tl2br w:val="nil"/>
              <w:tr2bl w:val="nil"/>
            </w:tcBorders>
            <w:noWrap w:val="0"/>
            <w:tcMar>
              <w:left w:w="57" w:type="dxa"/>
              <w:right w:w="57" w:type="dxa"/>
            </w:tcMar>
            <w:vAlign w:val="center"/>
          </w:tcPr>
          <w:p w14:paraId="71EB1649">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52.5</w:t>
            </w:r>
          </w:p>
        </w:tc>
        <w:tc>
          <w:tcPr>
            <w:tcW w:w="376" w:type="pct"/>
            <w:tcBorders>
              <w:tl2br w:val="nil"/>
              <w:tr2bl w:val="nil"/>
            </w:tcBorders>
            <w:noWrap w:val="0"/>
            <w:tcMar>
              <w:left w:w="57" w:type="dxa"/>
              <w:right w:w="57" w:type="dxa"/>
            </w:tcMar>
            <w:vAlign w:val="center"/>
          </w:tcPr>
          <w:p w14:paraId="054786C5">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50.0</w:t>
            </w:r>
          </w:p>
        </w:tc>
        <w:tc>
          <w:tcPr>
            <w:tcW w:w="339" w:type="pct"/>
            <w:tcBorders>
              <w:tl2br w:val="nil"/>
              <w:tr2bl w:val="nil"/>
            </w:tcBorders>
            <w:noWrap w:val="0"/>
            <w:vAlign w:val="center"/>
          </w:tcPr>
          <w:p w14:paraId="0CD3855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48.0</w:t>
            </w:r>
          </w:p>
        </w:tc>
        <w:tc>
          <w:tcPr>
            <w:tcW w:w="339" w:type="pct"/>
            <w:tcBorders>
              <w:tl2br w:val="nil"/>
              <w:tr2bl w:val="nil"/>
            </w:tcBorders>
            <w:noWrap w:val="0"/>
            <w:vAlign w:val="center"/>
          </w:tcPr>
          <w:p w14:paraId="4A5A6DD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339" w:type="pct"/>
            <w:tcBorders>
              <w:tl2br w:val="nil"/>
              <w:tr2bl w:val="nil"/>
            </w:tcBorders>
            <w:noWrap w:val="0"/>
            <w:vAlign w:val="center"/>
          </w:tcPr>
          <w:p w14:paraId="2F446590">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410" w:type="pct"/>
            <w:tcBorders>
              <w:tl2br w:val="nil"/>
              <w:tr2bl w:val="nil"/>
            </w:tcBorders>
            <w:noWrap w:val="0"/>
            <w:vAlign w:val="center"/>
          </w:tcPr>
          <w:p w14:paraId="228B03DA">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569" w:type="pct"/>
            <w:vMerge w:val="continue"/>
            <w:tcBorders>
              <w:tl2br w:val="nil"/>
              <w:tr2bl w:val="nil"/>
            </w:tcBorders>
            <w:noWrap w:val="0"/>
            <w:vAlign w:val="center"/>
          </w:tcPr>
          <w:p w14:paraId="0EEC4EC2">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p>
        </w:tc>
      </w:tr>
      <w:tr w14:paraId="2CAF68A2">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397" w:hRule="atLeast"/>
          <w:jc w:val="center"/>
        </w:trPr>
        <w:tc>
          <w:tcPr>
            <w:tcW w:w="303" w:type="pct"/>
            <w:tcBorders>
              <w:tl2br w:val="nil"/>
              <w:tr2bl w:val="nil"/>
            </w:tcBorders>
            <w:noWrap w:val="0"/>
            <w:vAlign w:val="center"/>
          </w:tcPr>
          <w:p w14:paraId="32DEFD88">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3</w:t>
            </w:r>
          </w:p>
        </w:tc>
        <w:tc>
          <w:tcPr>
            <w:tcW w:w="570" w:type="pct"/>
            <w:tcBorders>
              <w:tl2br w:val="nil"/>
              <w:tr2bl w:val="nil"/>
            </w:tcBorders>
            <w:noWrap w:val="0"/>
            <w:vAlign w:val="center"/>
          </w:tcPr>
          <w:p w14:paraId="6BFE8594">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压路机</w:t>
            </w:r>
          </w:p>
        </w:tc>
        <w:tc>
          <w:tcPr>
            <w:tcW w:w="309" w:type="pct"/>
            <w:tcBorders>
              <w:tl2br w:val="nil"/>
              <w:tr2bl w:val="nil"/>
            </w:tcBorders>
            <w:noWrap w:val="0"/>
            <w:tcMar>
              <w:left w:w="57" w:type="dxa"/>
              <w:right w:w="57" w:type="dxa"/>
            </w:tcMar>
            <w:vAlign w:val="center"/>
          </w:tcPr>
          <w:p w14:paraId="228DC476">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72.0</w:t>
            </w:r>
          </w:p>
        </w:tc>
        <w:tc>
          <w:tcPr>
            <w:tcW w:w="309" w:type="pct"/>
            <w:tcBorders>
              <w:tl2br w:val="nil"/>
              <w:tr2bl w:val="nil"/>
            </w:tcBorders>
            <w:noWrap w:val="0"/>
            <w:tcMar>
              <w:left w:w="57" w:type="dxa"/>
              <w:right w:w="57" w:type="dxa"/>
            </w:tcMar>
            <w:vAlign w:val="center"/>
          </w:tcPr>
          <w:p w14:paraId="557F049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68.4</w:t>
            </w:r>
          </w:p>
        </w:tc>
        <w:tc>
          <w:tcPr>
            <w:tcW w:w="376" w:type="pct"/>
            <w:tcBorders>
              <w:tl2br w:val="nil"/>
              <w:tr2bl w:val="nil"/>
            </w:tcBorders>
            <w:noWrap w:val="0"/>
            <w:tcMar>
              <w:left w:w="57" w:type="dxa"/>
              <w:right w:w="57" w:type="dxa"/>
            </w:tcMar>
            <w:vAlign w:val="center"/>
          </w:tcPr>
          <w:p w14:paraId="1CF006D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64.0</w:t>
            </w:r>
          </w:p>
        </w:tc>
        <w:tc>
          <w:tcPr>
            <w:tcW w:w="376" w:type="pct"/>
            <w:tcBorders>
              <w:tl2br w:val="nil"/>
              <w:tr2bl w:val="nil"/>
            </w:tcBorders>
            <w:noWrap w:val="0"/>
            <w:tcMar>
              <w:left w:w="57" w:type="dxa"/>
              <w:right w:w="57" w:type="dxa"/>
            </w:tcMar>
            <w:vAlign w:val="center"/>
          </w:tcPr>
          <w:p w14:paraId="2A9E08C7">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58.0</w:t>
            </w:r>
          </w:p>
        </w:tc>
        <w:tc>
          <w:tcPr>
            <w:tcW w:w="376" w:type="pct"/>
            <w:tcBorders>
              <w:tl2br w:val="nil"/>
              <w:tr2bl w:val="nil"/>
            </w:tcBorders>
            <w:noWrap w:val="0"/>
            <w:tcMar>
              <w:left w:w="57" w:type="dxa"/>
              <w:right w:w="57" w:type="dxa"/>
            </w:tcMar>
            <w:vAlign w:val="center"/>
          </w:tcPr>
          <w:p w14:paraId="2B78E62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54.5</w:t>
            </w:r>
          </w:p>
        </w:tc>
        <w:tc>
          <w:tcPr>
            <w:tcW w:w="376" w:type="pct"/>
            <w:tcBorders>
              <w:tl2br w:val="nil"/>
              <w:tr2bl w:val="nil"/>
            </w:tcBorders>
            <w:noWrap w:val="0"/>
            <w:tcMar>
              <w:left w:w="57" w:type="dxa"/>
              <w:right w:w="57" w:type="dxa"/>
            </w:tcMar>
            <w:vAlign w:val="center"/>
          </w:tcPr>
          <w:p w14:paraId="44D81810">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52.0</w:t>
            </w:r>
          </w:p>
        </w:tc>
        <w:tc>
          <w:tcPr>
            <w:tcW w:w="339" w:type="pct"/>
            <w:tcBorders>
              <w:tl2br w:val="nil"/>
              <w:tr2bl w:val="nil"/>
            </w:tcBorders>
            <w:noWrap w:val="0"/>
            <w:vAlign w:val="center"/>
          </w:tcPr>
          <w:p w14:paraId="5067F2B0">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50.0</w:t>
            </w:r>
          </w:p>
        </w:tc>
        <w:tc>
          <w:tcPr>
            <w:tcW w:w="339" w:type="pct"/>
            <w:tcBorders>
              <w:tl2br w:val="nil"/>
              <w:tr2bl w:val="nil"/>
            </w:tcBorders>
            <w:noWrap w:val="0"/>
            <w:vAlign w:val="center"/>
          </w:tcPr>
          <w:p w14:paraId="029FCE85">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339" w:type="pct"/>
            <w:tcBorders>
              <w:tl2br w:val="nil"/>
              <w:tr2bl w:val="nil"/>
            </w:tcBorders>
            <w:noWrap w:val="0"/>
            <w:vAlign w:val="center"/>
          </w:tcPr>
          <w:p w14:paraId="06150520">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410" w:type="pct"/>
            <w:tcBorders>
              <w:tl2br w:val="nil"/>
              <w:tr2bl w:val="nil"/>
            </w:tcBorders>
            <w:noWrap w:val="0"/>
            <w:vAlign w:val="center"/>
          </w:tcPr>
          <w:p w14:paraId="5AC42D2D">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569" w:type="pct"/>
            <w:vMerge w:val="continue"/>
            <w:tcBorders>
              <w:tl2br w:val="nil"/>
              <w:tr2bl w:val="nil"/>
            </w:tcBorders>
            <w:noWrap w:val="0"/>
            <w:vAlign w:val="center"/>
          </w:tcPr>
          <w:p w14:paraId="44E4F776">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p>
        </w:tc>
      </w:tr>
      <w:tr w14:paraId="0D16E9BC">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397" w:hRule="atLeast"/>
          <w:jc w:val="center"/>
        </w:trPr>
        <w:tc>
          <w:tcPr>
            <w:tcW w:w="303" w:type="pct"/>
            <w:tcBorders>
              <w:tl2br w:val="nil"/>
              <w:tr2bl w:val="nil"/>
            </w:tcBorders>
            <w:noWrap w:val="0"/>
            <w:vAlign w:val="center"/>
          </w:tcPr>
          <w:p w14:paraId="1CC34ED5">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w:t>
            </w:r>
          </w:p>
        </w:tc>
        <w:tc>
          <w:tcPr>
            <w:tcW w:w="570" w:type="pct"/>
            <w:tcBorders>
              <w:tl2br w:val="nil"/>
              <w:tr2bl w:val="nil"/>
            </w:tcBorders>
            <w:noWrap w:val="0"/>
            <w:vAlign w:val="center"/>
          </w:tcPr>
          <w:p w14:paraId="07AA1AA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运输车辆</w:t>
            </w:r>
          </w:p>
        </w:tc>
        <w:tc>
          <w:tcPr>
            <w:tcW w:w="309" w:type="pct"/>
            <w:tcBorders>
              <w:tl2br w:val="nil"/>
              <w:tr2bl w:val="nil"/>
            </w:tcBorders>
            <w:noWrap w:val="0"/>
            <w:tcMar>
              <w:left w:w="57" w:type="dxa"/>
              <w:right w:w="57" w:type="dxa"/>
            </w:tcMar>
            <w:vAlign w:val="center"/>
          </w:tcPr>
          <w:p w14:paraId="6D2B3648">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72.0</w:t>
            </w:r>
          </w:p>
        </w:tc>
        <w:tc>
          <w:tcPr>
            <w:tcW w:w="309" w:type="pct"/>
            <w:tcBorders>
              <w:tl2br w:val="nil"/>
              <w:tr2bl w:val="nil"/>
            </w:tcBorders>
            <w:noWrap w:val="0"/>
            <w:tcMar>
              <w:left w:w="57" w:type="dxa"/>
              <w:right w:w="57" w:type="dxa"/>
            </w:tcMar>
            <w:vAlign w:val="center"/>
          </w:tcPr>
          <w:p w14:paraId="02184144">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68.4</w:t>
            </w:r>
          </w:p>
        </w:tc>
        <w:tc>
          <w:tcPr>
            <w:tcW w:w="376" w:type="pct"/>
            <w:tcBorders>
              <w:tl2br w:val="nil"/>
              <w:tr2bl w:val="nil"/>
            </w:tcBorders>
            <w:noWrap w:val="0"/>
            <w:tcMar>
              <w:left w:w="57" w:type="dxa"/>
              <w:right w:w="57" w:type="dxa"/>
            </w:tcMar>
            <w:vAlign w:val="center"/>
          </w:tcPr>
          <w:p w14:paraId="4B041865">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64.0</w:t>
            </w:r>
          </w:p>
        </w:tc>
        <w:tc>
          <w:tcPr>
            <w:tcW w:w="376" w:type="pct"/>
            <w:tcBorders>
              <w:tl2br w:val="nil"/>
              <w:tr2bl w:val="nil"/>
            </w:tcBorders>
            <w:noWrap w:val="0"/>
            <w:tcMar>
              <w:left w:w="57" w:type="dxa"/>
              <w:right w:w="57" w:type="dxa"/>
            </w:tcMar>
            <w:vAlign w:val="center"/>
          </w:tcPr>
          <w:p w14:paraId="7DC5AB24">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58.0</w:t>
            </w:r>
          </w:p>
        </w:tc>
        <w:tc>
          <w:tcPr>
            <w:tcW w:w="376" w:type="pct"/>
            <w:tcBorders>
              <w:tl2br w:val="nil"/>
              <w:tr2bl w:val="nil"/>
            </w:tcBorders>
            <w:noWrap w:val="0"/>
            <w:tcMar>
              <w:left w:w="57" w:type="dxa"/>
              <w:right w:w="57" w:type="dxa"/>
            </w:tcMar>
            <w:vAlign w:val="center"/>
          </w:tcPr>
          <w:p w14:paraId="7C989676">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54.5</w:t>
            </w:r>
          </w:p>
        </w:tc>
        <w:tc>
          <w:tcPr>
            <w:tcW w:w="376" w:type="pct"/>
            <w:tcBorders>
              <w:tl2br w:val="nil"/>
              <w:tr2bl w:val="nil"/>
            </w:tcBorders>
            <w:noWrap w:val="0"/>
            <w:tcMar>
              <w:left w:w="57" w:type="dxa"/>
              <w:right w:w="57" w:type="dxa"/>
            </w:tcMar>
            <w:vAlign w:val="center"/>
          </w:tcPr>
          <w:p w14:paraId="1FEF2E3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52.0</w:t>
            </w:r>
          </w:p>
        </w:tc>
        <w:tc>
          <w:tcPr>
            <w:tcW w:w="339" w:type="pct"/>
            <w:tcBorders>
              <w:tl2br w:val="nil"/>
              <w:tr2bl w:val="nil"/>
            </w:tcBorders>
            <w:noWrap w:val="0"/>
            <w:vAlign w:val="center"/>
          </w:tcPr>
          <w:p w14:paraId="3986EE44">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50.0</w:t>
            </w:r>
          </w:p>
        </w:tc>
        <w:tc>
          <w:tcPr>
            <w:tcW w:w="339" w:type="pct"/>
            <w:tcBorders>
              <w:tl2br w:val="nil"/>
              <w:tr2bl w:val="nil"/>
            </w:tcBorders>
            <w:noWrap w:val="0"/>
            <w:vAlign w:val="center"/>
          </w:tcPr>
          <w:p w14:paraId="66AC1499">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339" w:type="pct"/>
            <w:tcBorders>
              <w:tl2br w:val="nil"/>
              <w:tr2bl w:val="nil"/>
            </w:tcBorders>
            <w:noWrap w:val="0"/>
            <w:vAlign w:val="center"/>
          </w:tcPr>
          <w:p w14:paraId="042DFBB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410" w:type="pct"/>
            <w:tcBorders>
              <w:tl2br w:val="nil"/>
              <w:tr2bl w:val="nil"/>
            </w:tcBorders>
            <w:noWrap w:val="0"/>
            <w:vAlign w:val="center"/>
          </w:tcPr>
          <w:p w14:paraId="391F28A0">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569" w:type="pct"/>
            <w:tcBorders>
              <w:tl2br w:val="nil"/>
              <w:tr2bl w:val="nil"/>
            </w:tcBorders>
            <w:noWrap w:val="0"/>
            <w:vAlign w:val="center"/>
          </w:tcPr>
          <w:p w14:paraId="160AAD5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物料运输</w:t>
            </w:r>
          </w:p>
        </w:tc>
      </w:tr>
      <w:tr w14:paraId="18E46C29">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397" w:hRule="atLeast"/>
          <w:jc w:val="center"/>
        </w:trPr>
        <w:tc>
          <w:tcPr>
            <w:tcW w:w="303" w:type="pct"/>
            <w:tcBorders>
              <w:tl2br w:val="nil"/>
              <w:tr2bl w:val="nil"/>
            </w:tcBorders>
            <w:noWrap w:val="0"/>
            <w:vAlign w:val="center"/>
          </w:tcPr>
          <w:p w14:paraId="1C574308">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w:t>
            </w:r>
          </w:p>
        </w:tc>
        <w:tc>
          <w:tcPr>
            <w:tcW w:w="570" w:type="pct"/>
            <w:tcBorders>
              <w:tl2br w:val="nil"/>
              <w:tr2bl w:val="nil"/>
            </w:tcBorders>
            <w:noWrap w:val="0"/>
            <w:vAlign w:val="center"/>
          </w:tcPr>
          <w:p w14:paraId="7A384E5A">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吊装机</w:t>
            </w:r>
          </w:p>
        </w:tc>
        <w:tc>
          <w:tcPr>
            <w:tcW w:w="309" w:type="pct"/>
            <w:tcBorders>
              <w:tl2br w:val="nil"/>
              <w:tr2bl w:val="nil"/>
            </w:tcBorders>
            <w:noWrap w:val="0"/>
            <w:tcMar>
              <w:left w:w="57" w:type="dxa"/>
              <w:right w:w="57" w:type="dxa"/>
            </w:tcMar>
            <w:vAlign w:val="center"/>
          </w:tcPr>
          <w:p w14:paraId="6912CFA1">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66.0</w:t>
            </w:r>
          </w:p>
        </w:tc>
        <w:tc>
          <w:tcPr>
            <w:tcW w:w="309" w:type="pct"/>
            <w:tcBorders>
              <w:tl2br w:val="nil"/>
              <w:tr2bl w:val="nil"/>
            </w:tcBorders>
            <w:noWrap w:val="0"/>
            <w:tcMar>
              <w:left w:w="57" w:type="dxa"/>
              <w:right w:w="57" w:type="dxa"/>
            </w:tcMar>
            <w:vAlign w:val="center"/>
          </w:tcPr>
          <w:p w14:paraId="2734D13C">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62.4</w:t>
            </w:r>
          </w:p>
        </w:tc>
        <w:tc>
          <w:tcPr>
            <w:tcW w:w="376" w:type="pct"/>
            <w:tcBorders>
              <w:tl2br w:val="nil"/>
              <w:tr2bl w:val="nil"/>
            </w:tcBorders>
            <w:noWrap w:val="0"/>
            <w:tcMar>
              <w:left w:w="57" w:type="dxa"/>
              <w:right w:w="57" w:type="dxa"/>
            </w:tcMar>
            <w:vAlign w:val="center"/>
          </w:tcPr>
          <w:p w14:paraId="380A4B4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58.0</w:t>
            </w:r>
          </w:p>
        </w:tc>
        <w:tc>
          <w:tcPr>
            <w:tcW w:w="376" w:type="pct"/>
            <w:tcBorders>
              <w:tl2br w:val="nil"/>
              <w:tr2bl w:val="nil"/>
            </w:tcBorders>
            <w:noWrap w:val="0"/>
            <w:tcMar>
              <w:left w:w="57" w:type="dxa"/>
              <w:right w:w="57" w:type="dxa"/>
            </w:tcMar>
            <w:vAlign w:val="center"/>
          </w:tcPr>
          <w:p w14:paraId="01E22111">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52.0</w:t>
            </w:r>
          </w:p>
        </w:tc>
        <w:tc>
          <w:tcPr>
            <w:tcW w:w="376" w:type="pct"/>
            <w:tcBorders>
              <w:tl2br w:val="nil"/>
              <w:tr2bl w:val="nil"/>
            </w:tcBorders>
            <w:noWrap w:val="0"/>
            <w:tcMar>
              <w:left w:w="57" w:type="dxa"/>
              <w:right w:w="57" w:type="dxa"/>
            </w:tcMar>
            <w:vAlign w:val="center"/>
          </w:tcPr>
          <w:p w14:paraId="16F14701">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48.5</w:t>
            </w:r>
          </w:p>
        </w:tc>
        <w:tc>
          <w:tcPr>
            <w:tcW w:w="376" w:type="pct"/>
            <w:tcBorders>
              <w:tl2br w:val="nil"/>
              <w:tr2bl w:val="nil"/>
            </w:tcBorders>
            <w:noWrap w:val="0"/>
            <w:tcMar>
              <w:left w:w="57" w:type="dxa"/>
              <w:right w:w="57" w:type="dxa"/>
            </w:tcMar>
            <w:vAlign w:val="center"/>
          </w:tcPr>
          <w:p w14:paraId="01BE0F8A">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46.0</w:t>
            </w:r>
          </w:p>
        </w:tc>
        <w:tc>
          <w:tcPr>
            <w:tcW w:w="339" w:type="pct"/>
            <w:tcBorders>
              <w:tl2br w:val="nil"/>
              <w:tr2bl w:val="nil"/>
            </w:tcBorders>
            <w:noWrap w:val="0"/>
            <w:vAlign w:val="center"/>
          </w:tcPr>
          <w:p w14:paraId="618C2A3A">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44.0</w:t>
            </w:r>
          </w:p>
        </w:tc>
        <w:tc>
          <w:tcPr>
            <w:tcW w:w="339" w:type="pct"/>
            <w:tcBorders>
              <w:tl2br w:val="nil"/>
              <w:tr2bl w:val="nil"/>
            </w:tcBorders>
            <w:noWrap w:val="0"/>
            <w:vAlign w:val="center"/>
          </w:tcPr>
          <w:p w14:paraId="7345378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339" w:type="pct"/>
            <w:tcBorders>
              <w:tl2br w:val="nil"/>
              <w:tr2bl w:val="nil"/>
            </w:tcBorders>
            <w:noWrap w:val="0"/>
            <w:vAlign w:val="center"/>
          </w:tcPr>
          <w:p w14:paraId="1930FFF8">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410" w:type="pct"/>
            <w:tcBorders>
              <w:tl2br w:val="nil"/>
              <w:tr2bl w:val="nil"/>
            </w:tcBorders>
            <w:noWrap w:val="0"/>
            <w:vAlign w:val="center"/>
          </w:tcPr>
          <w:p w14:paraId="102441B4">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w:t>
            </w:r>
          </w:p>
        </w:tc>
        <w:tc>
          <w:tcPr>
            <w:tcW w:w="569" w:type="pct"/>
            <w:tcBorders>
              <w:tl2br w:val="nil"/>
              <w:tr2bl w:val="nil"/>
            </w:tcBorders>
            <w:noWrap w:val="0"/>
            <w:vAlign w:val="center"/>
          </w:tcPr>
          <w:p w14:paraId="0E31C74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设备安装</w:t>
            </w:r>
          </w:p>
        </w:tc>
      </w:tr>
      <w:tr w14:paraId="08728048">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425" w:hRule="atLeast"/>
          <w:jc w:val="center"/>
        </w:trPr>
        <w:tc>
          <w:tcPr>
            <w:tcW w:w="303" w:type="pct"/>
            <w:tcBorders>
              <w:tl2br w:val="nil"/>
              <w:tr2bl w:val="nil"/>
            </w:tcBorders>
            <w:noWrap w:val="0"/>
            <w:vAlign w:val="center"/>
          </w:tcPr>
          <w:p w14:paraId="03543191">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w:t>
            </w:r>
          </w:p>
        </w:tc>
        <w:tc>
          <w:tcPr>
            <w:tcW w:w="570" w:type="pct"/>
            <w:tcBorders>
              <w:tl2br w:val="nil"/>
              <w:tr2bl w:val="nil"/>
            </w:tcBorders>
            <w:noWrap w:val="0"/>
            <w:vAlign w:val="center"/>
          </w:tcPr>
          <w:p w14:paraId="3B4F0B4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钻机</w:t>
            </w:r>
          </w:p>
        </w:tc>
        <w:tc>
          <w:tcPr>
            <w:tcW w:w="309" w:type="pct"/>
            <w:tcBorders>
              <w:tl2br w:val="nil"/>
              <w:tr2bl w:val="nil"/>
            </w:tcBorders>
            <w:noWrap w:val="0"/>
            <w:tcMar>
              <w:left w:w="57" w:type="dxa"/>
              <w:right w:w="57" w:type="dxa"/>
            </w:tcMar>
            <w:vAlign w:val="center"/>
          </w:tcPr>
          <w:p w14:paraId="3B0460A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77.0</w:t>
            </w:r>
          </w:p>
        </w:tc>
        <w:tc>
          <w:tcPr>
            <w:tcW w:w="309" w:type="pct"/>
            <w:tcBorders>
              <w:tl2br w:val="nil"/>
              <w:tr2bl w:val="nil"/>
            </w:tcBorders>
            <w:noWrap w:val="0"/>
            <w:tcMar>
              <w:left w:w="57" w:type="dxa"/>
              <w:right w:w="57" w:type="dxa"/>
            </w:tcMar>
            <w:vAlign w:val="center"/>
          </w:tcPr>
          <w:p w14:paraId="30FB748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73.4</w:t>
            </w:r>
          </w:p>
        </w:tc>
        <w:tc>
          <w:tcPr>
            <w:tcW w:w="376" w:type="pct"/>
            <w:tcBorders>
              <w:tl2br w:val="nil"/>
              <w:tr2bl w:val="nil"/>
            </w:tcBorders>
            <w:noWrap w:val="0"/>
            <w:tcMar>
              <w:left w:w="57" w:type="dxa"/>
              <w:right w:w="57" w:type="dxa"/>
            </w:tcMar>
            <w:vAlign w:val="center"/>
          </w:tcPr>
          <w:p w14:paraId="6C4686C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69.0</w:t>
            </w:r>
          </w:p>
        </w:tc>
        <w:tc>
          <w:tcPr>
            <w:tcW w:w="376" w:type="pct"/>
            <w:tcBorders>
              <w:tl2br w:val="nil"/>
              <w:tr2bl w:val="nil"/>
            </w:tcBorders>
            <w:noWrap w:val="0"/>
            <w:tcMar>
              <w:left w:w="57" w:type="dxa"/>
              <w:right w:w="57" w:type="dxa"/>
            </w:tcMar>
            <w:vAlign w:val="center"/>
          </w:tcPr>
          <w:p w14:paraId="7B8FC1CD">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63.0</w:t>
            </w:r>
          </w:p>
        </w:tc>
        <w:tc>
          <w:tcPr>
            <w:tcW w:w="376" w:type="pct"/>
            <w:tcBorders>
              <w:tl2br w:val="nil"/>
              <w:tr2bl w:val="nil"/>
            </w:tcBorders>
            <w:noWrap w:val="0"/>
            <w:tcMar>
              <w:left w:w="57" w:type="dxa"/>
              <w:right w:w="57" w:type="dxa"/>
            </w:tcMar>
            <w:vAlign w:val="center"/>
          </w:tcPr>
          <w:p w14:paraId="5C597DC8">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59.5</w:t>
            </w:r>
          </w:p>
        </w:tc>
        <w:tc>
          <w:tcPr>
            <w:tcW w:w="376" w:type="pct"/>
            <w:tcBorders>
              <w:tl2br w:val="nil"/>
              <w:tr2bl w:val="nil"/>
            </w:tcBorders>
            <w:noWrap w:val="0"/>
            <w:tcMar>
              <w:left w:w="57" w:type="dxa"/>
              <w:right w:w="57" w:type="dxa"/>
            </w:tcMar>
            <w:vAlign w:val="center"/>
          </w:tcPr>
          <w:p w14:paraId="514C196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56.0</w:t>
            </w:r>
          </w:p>
        </w:tc>
        <w:tc>
          <w:tcPr>
            <w:tcW w:w="339" w:type="pct"/>
            <w:tcBorders>
              <w:tl2br w:val="nil"/>
              <w:tr2bl w:val="nil"/>
            </w:tcBorders>
            <w:noWrap w:val="0"/>
            <w:vAlign w:val="center"/>
          </w:tcPr>
          <w:p w14:paraId="61A86666">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55.0</w:t>
            </w:r>
          </w:p>
        </w:tc>
        <w:tc>
          <w:tcPr>
            <w:tcW w:w="339" w:type="pct"/>
            <w:tcBorders>
              <w:tl2br w:val="nil"/>
              <w:tr2bl w:val="nil"/>
            </w:tcBorders>
            <w:noWrap w:val="0"/>
            <w:vAlign w:val="center"/>
          </w:tcPr>
          <w:p w14:paraId="0BE55757">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52.1</w:t>
            </w:r>
          </w:p>
        </w:tc>
        <w:tc>
          <w:tcPr>
            <w:tcW w:w="339" w:type="pct"/>
            <w:tcBorders>
              <w:tl2br w:val="nil"/>
              <w:tr2bl w:val="nil"/>
            </w:tcBorders>
            <w:noWrap w:val="0"/>
            <w:vAlign w:val="center"/>
          </w:tcPr>
          <w:p w14:paraId="4253EDA8">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49.9</w:t>
            </w:r>
          </w:p>
        </w:tc>
        <w:tc>
          <w:tcPr>
            <w:tcW w:w="410" w:type="pct"/>
            <w:tcBorders>
              <w:tl2br w:val="nil"/>
              <w:tr2bl w:val="nil"/>
            </w:tcBorders>
            <w:noWrap w:val="0"/>
            <w:vAlign w:val="center"/>
          </w:tcPr>
          <w:p w14:paraId="58DAF351">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47.4</w:t>
            </w:r>
          </w:p>
        </w:tc>
        <w:tc>
          <w:tcPr>
            <w:tcW w:w="569" w:type="pct"/>
            <w:vMerge w:val="restart"/>
            <w:tcBorders>
              <w:tl2br w:val="nil"/>
              <w:tr2bl w:val="nil"/>
            </w:tcBorders>
            <w:noWrap w:val="0"/>
            <w:vAlign w:val="center"/>
          </w:tcPr>
          <w:p w14:paraId="0F8D51A7">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钻井</w:t>
            </w:r>
          </w:p>
        </w:tc>
      </w:tr>
      <w:tr w14:paraId="0759944C">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425" w:hRule="atLeast"/>
          <w:jc w:val="center"/>
        </w:trPr>
        <w:tc>
          <w:tcPr>
            <w:tcW w:w="303" w:type="pct"/>
            <w:tcBorders>
              <w:tl2br w:val="nil"/>
              <w:tr2bl w:val="nil"/>
            </w:tcBorders>
            <w:noWrap w:val="0"/>
            <w:vAlign w:val="center"/>
          </w:tcPr>
          <w:p w14:paraId="69CD144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w:t>
            </w:r>
          </w:p>
        </w:tc>
        <w:tc>
          <w:tcPr>
            <w:tcW w:w="570" w:type="pct"/>
            <w:tcBorders>
              <w:tl2br w:val="nil"/>
              <w:tr2bl w:val="nil"/>
            </w:tcBorders>
            <w:noWrap w:val="0"/>
            <w:vAlign w:val="center"/>
          </w:tcPr>
          <w:p w14:paraId="35664DA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振动筛</w:t>
            </w:r>
          </w:p>
        </w:tc>
        <w:tc>
          <w:tcPr>
            <w:tcW w:w="309" w:type="pct"/>
            <w:tcBorders>
              <w:tl2br w:val="nil"/>
              <w:tr2bl w:val="nil"/>
            </w:tcBorders>
            <w:noWrap w:val="0"/>
            <w:tcMar>
              <w:left w:w="57" w:type="dxa"/>
              <w:right w:w="57" w:type="dxa"/>
            </w:tcMar>
            <w:vAlign w:val="center"/>
          </w:tcPr>
          <w:p w14:paraId="7B4E0C8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72.0</w:t>
            </w:r>
          </w:p>
        </w:tc>
        <w:tc>
          <w:tcPr>
            <w:tcW w:w="309" w:type="pct"/>
            <w:tcBorders>
              <w:tl2br w:val="nil"/>
              <w:tr2bl w:val="nil"/>
            </w:tcBorders>
            <w:noWrap w:val="0"/>
            <w:tcMar>
              <w:left w:w="57" w:type="dxa"/>
              <w:right w:w="57" w:type="dxa"/>
            </w:tcMar>
            <w:vAlign w:val="center"/>
          </w:tcPr>
          <w:p w14:paraId="7C3E223C">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68.4</w:t>
            </w:r>
          </w:p>
        </w:tc>
        <w:tc>
          <w:tcPr>
            <w:tcW w:w="376" w:type="pct"/>
            <w:tcBorders>
              <w:tl2br w:val="nil"/>
              <w:tr2bl w:val="nil"/>
            </w:tcBorders>
            <w:noWrap w:val="0"/>
            <w:tcMar>
              <w:left w:w="57" w:type="dxa"/>
              <w:right w:w="57" w:type="dxa"/>
            </w:tcMar>
            <w:vAlign w:val="center"/>
          </w:tcPr>
          <w:p w14:paraId="493659F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64.0</w:t>
            </w:r>
          </w:p>
        </w:tc>
        <w:tc>
          <w:tcPr>
            <w:tcW w:w="376" w:type="pct"/>
            <w:tcBorders>
              <w:tl2br w:val="nil"/>
              <w:tr2bl w:val="nil"/>
            </w:tcBorders>
            <w:noWrap w:val="0"/>
            <w:tcMar>
              <w:left w:w="57" w:type="dxa"/>
              <w:right w:w="57" w:type="dxa"/>
            </w:tcMar>
            <w:vAlign w:val="center"/>
          </w:tcPr>
          <w:p w14:paraId="1A91DD3A">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58.0</w:t>
            </w:r>
          </w:p>
        </w:tc>
        <w:tc>
          <w:tcPr>
            <w:tcW w:w="376" w:type="pct"/>
            <w:tcBorders>
              <w:tl2br w:val="nil"/>
              <w:tr2bl w:val="nil"/>
            </w:tcBorders>
            <w:noWrap w:val="0"/>
            <w:tcMar>
              <w:left w:w="57" w:type="dxa"/>
              <w:right w:w="57" w:type="dxa"/>
            </w:tcMar>
            <w:vAlign w:val="center"/>
          </w:tcPr>
          <w:p w14:paraId="5FAB34B6">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54.5</w:t>
            </w:r>
          </w:p>
        </w:tc>
        <w:tc>
          <w:tcPr>
            <w:tcW w:w="376" w:type="pct"/>
            <w:tcBorders>
              <w:tl2br w:val="nil"/>
              <w:tr2bl w:val="nil"/>
            </w:tcBorders>
            <w:noWrap w:val="0"/>
            <w:tcMar>
              <w:left w:w="57" w:type="dxa"/>
              <w:right w:w="57" w:type="dxa"/>
            </w:tcMar>
            <w:vAlign w:val="center"/>
          </w:tcPr>
          <w:p w14:paraId="76B4E6C7">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52.0</w:t>
            </w:r>
          </w:p>
        </w:tc>
        <w:tc>
          <w:tcPr>
            <w:tcW w:w="339" w:type="pct"/>
            <w:tcBorders>
              <w:tl2br w:val="nil"/>
              <w:tr2bl w:val="nil"/>
            </w:tcBorders>
            <w:noWrap w:val="0"/>
            <w:vAlign w:val="center"/>
          </w:tcPr>
          <w:p w14:paraId="1211102F">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50.0</w:t>
            </w:r>
          </w:p>
        </w:tc>
        <w:tc>
          <w:tcPr>
            <w:tcW w:w="339" w:type="pct"/>
            <w:tcBorders>
              <w:tl2br w:val="nil"/>
              <w:tr2bl w:val="nil"/>
            </w:tcBorders>
            <w:noWrap w:val="0"/>
            <w:vAlign w:val="center"/>
          </w:tcPr>
          <w:p w14:paraId="5E815644">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47.1</w:t>
            </w:r>
          </w:p>
        </w:tc>
        <w:tc>
          <w:tcPr>
            <w:tcW w:w="339" w:type="pct"/>
            <w:tcBorders>
              <w:tl2br w:val="nil"/>
              <w:tr2bl w:val="nil"/>
            </w:tcBorders>
            <w:noWrap w:val="0"/>
            <w:vAlign w:val="center"/>
          </w:tcPr>
          <w:p w14:paraId="4B8C97D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44.9</w:t>
            </w:r>
          </w:p>
        </w:tc>
        <w:tc>
          <w:tcPr>
            <w:tcW w:w="410" w:type="pct"/>
            <w:tcBorders>
              <w:tl2br w:val="nil"/>
              <w:tr2bl w:val="nil"/>
            </w:tcBorders>
            <w:noWrap w:val="0"/>
            <w:vAlign w:val="center"/>
          </w:tcPr>
          <w:p w14:paraId="393E4131">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42.4</w:t>
            </w:r>
          </w:p>
        </w:tc>
        <w:tc>
          <w:tcPr>
            <w:tcW w:w="569" w:type="pct"/>
            <w:vMerge w:val="continue"/>
            <w:tcBorders>
              <w:tl2br w:val="nil"/>
              <w:tr2bl w:val="nil"/>
            </w:tcBorders>
            <w:noWrap w:val="0"/>
            <w:vAlign w:val="center"/>
          </w:tcPr>
          <w:p w14:paraId="58BA2DD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p>
        </w:tc>
      </w:tr>
      <w:tr w14:paraId="41B1B15B">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28" w:type="dxa"/>
            <w:bottom w:w="0" w:type="dxa"/>
            <w:right w:w="28" w:type="dxa"/>
          </w:tblCellMar>
        </w:tblPrEx>
        <w:trPr>
          <w:trHeight w:val="425" w:hRule="atLeast"/>
          <w:jc w:val="center"/>
        </w:trPr>
        <w:tc>
          <w:tcPr>
            <w:tcW w:w="303" w:type="pct"/>
            <w:tcBorders>
              <w:tl2br w:val="nil"/>
              <w:tr2bl w:val="nil"/>
            </w:tcBorders>
            <w:noWrap w:val="0"/>
            <w:vAlign w:val="center"/>
          </w:tcPr>
          <w:p w14:paraId="290ABBF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8</w:t>
            </w:r>
          </w:p>
        </w:tc>
        <w:tc>
          <w:tcPr>
            <w:tcW w:w="570" w:type="pct"/>
            <w:tcBorders>
              <w:tl2br w:val="nil"/>
              <w:tr2bl w:val="nil"/>
            </w:tcBorders>
            <w:noWrap w:val="0"/>
            <w:vAlign w:val="center"/>
          </w:tcPr>
          <w:p w14:paraId="501544DA">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泥浆泵</w:t>
            </w:r>
          </w:p>
        </w:tc>
        <w:tc>
          <w:tcPr>
            <w:tcW w:w="309" w:type="pct"/>
            <w:tcBorders>
              <w:tl2br w:val="nil"/>
              <w:tr2bl w:val="nil"/>
            </w:tcBorders>
            <w:noWrap w:val="0"/>
            <w:tcMar>
              <w:left w:w="57" w:type="dxa"/>
              <w:right w:w="57" w:type="dxa"/>
            </w:tcMar>
            <w:vAlign w:val="center"/>
          </w:tcPr>
          <w:p w14:paraId="234C56B9">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77.0</w:t>
            </w:r>
          </w:p>
        </w:tc>
        <w:tc>
          <w:tcPr>
            <w:tcW w:w="309" w:type="pct"/>
            <w:tcBorders>
              <w:tl2br w:val="nil"/>
              <w:tr2bl w:val="nil"/>
            </w:tcBorders>
            <w:noWrap w:val="0"/>
            <w:tcMar>
              <w:left w:w="57" w:type="dxa"/>
              <w:right w:w="57" w:type="dxa"/>
            </w:tcMar>
            <w:vAlign w:val="center"/>
          </w:tcPr>
          <w:p w14:paraId="51EDD6A9">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73.4</w:t>
            </w:r>
          </w:p>
        </w:tc>
        <w:tc>
          <w:tcPr>
            <w:tcW w:w="376" w:type="pct"/>
            <w:tcBorders>
              <w:tl2br w:val="nil"/>
              <w:tr2bl w:val="nil"/>
            </w:tcBorders>
            <w:noWrap w:val="0"/>
            <w:tcMar>
              <w:left w:w="57" w:type="dxa"/>
              <w:right w:w="57" w:type="dxa"/>
            </w:tcMar>
            <w:vAlign w:val="center"/>
          </w:tcPr>
          <w:p w14:paraId="167C96C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69.0</w:t>
            </w:r>
          </w:p>
        </w:tc>
        <w:tc>
          <w:tcPr>
            <w:tcW w:w="376" w:type="pct"/>
            <w:tcBorders>
              <w:tl2br w:val="nil"/>
              <w:tr2bl w:val="nil"/>
            </w:tcBorders>
            <w:noWrap w:val="0"/>
            <w:tcMar>
              <w:left w:w="57" w:type="dxa"/>
              <w:right w:w="57" w:type="dxa"/>
            </w:tcMar>
            <w:vAlign w:val="center"/>
          </w:tcPr>
          <w:p w14:paraId="681FE37B">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63.0</w:t>
            </w:r>
          </w:p>
        </w:tc>
        <w:tc>
          <w:tcPr>
            <w:tcW w:w="376" w:type="pct"/>
            <w:tcBorders>
              <w:tl2br w:val="nil"/>
              <w:tr2bl w:val="nil"/>
            </w:tcBorders>
            <w:noWrap w:val="0"/>
            <w:tcMar>
              <w:left w:w="57" w:type="dxa"/>
              <w:right w:w="57" w:type="dxa"/>
            </w:tcMar>
            <w:vAlign w:val="center"/>
          </w:tcPr>
          <w:p w14:paraId="3555A473">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59.5</w:t>
            </w:r>
          </w:p>
        </w:tc>
        <w:tc>
          <w:tcPr>
            <w:tcW w:w="376" w:type="pct"/>
            <w:tcBorders>
              <w:tl2br w:val="nil"/>
              <w:tr2bl w:val="nil"/>
            </w:tcBorders>
            <w:noWrap w:val="0"/>
            <w:tcMar>
              <w:left w:w="57" w:type="dxa"/>
              <w:right w:w="57" w:type="dxa"/>
            </w:tcMar>
            <w:vAlign w:val="center"/>
          </w:tcPr>
          <w:p w14:paraId="3C6E573D">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56.0</w:t>
            </w:r>
          </w:p>
        </w:tc>
        <w:tc>
          <w:tcPr>
            <w:tcW w:w="339" w:type="pct"/>
            <w:tcBorders>
              <w:tl2br w:val="nil"/>
              <w:tr2bl w:val="nil"/>
            </w:tcBorders>
            <w:noWrap w:val="0"/>
            <w:vAlign w:val="center"/>
          </w:tcPr>
          <w:p w14:paraId="2DE98FC6">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55.0</w:t>
            </w:r>
          </w:p>
        </w:tc>
        <w:tc>
          <w:tcPr>
            <w:tcW w:w="339" w:type="pct"/>
            <w:tcBorders>
              <w:tl2br w:val="nil"/>
              <w:tr2bl w:val="nil"/>
            </w:tcBorders>
            <w:noWrap w:val="0"/>
            <w:vAlign w:val="center"/>
          </w:tcPr>
          <w:p w14:paraId="3CAAB4B9">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52.1</w:t>
            </w:r>
          </w:p>
        </w:tc>
        <w:tc>
          <w:tcPr>
            <w:tcW w:w="339" w:type="pct"/>
            <w:tcBorders>
              <w:tl2br w:val="nil"/>
              <w:tr2bl w:val="nil"/>
            </w:tcBorders>
            <w:noWrap w:val="0"/>
            <w:vAlign w:val="center"/>
          </w:tcPr>
          <w:p w14:paraId="7C55FFFE">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49.9</w:t>
            </w:r>
          </w:p>
        </w:tc>
        <w:tc>
          <w:tcPr>
            <w:tcW w:w="410" w:type="pct"/>
            <w:tcBorders>
              <w:tl2br w:val="nil"/>
              <w:tr2bl w:val="nil"/>
            </w:tcBorders>
            <w:noWrap w:val="0"/>
            <w:vAlign w:val="center"/>
          </w:tcPr>
          <w:p w14:paraId="5D76CE6C">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r>
              <w:rPr>
                <w:rFonts w:hint="default"/>
                <w:color w:val="auto"/>
                <w:highlight w:val="none"/>
                <w:u w:val="none"/>
              </w:rPr>
              <w:t>47.4</w:t>
            </w:r>
          </w:p>
        </w:tc>
        <w:tc>
          <w:tcPr>
            <w:tcW w:w="569" w:type="pct"/>
            <w:vMerge w:val="continue"/>
            <w:tcBorders>
              <w:tl2br w:val="nil"/>
              <w:tr2bl w:val="nil"/>
            </w:tcBorders>
            <w:noWrap w:val="0"/>
            <w:vAlign w:val="center"/>
          </w:tcPr>
          <w:p w14:paraId="0FC025C9">
            <w:pPr>
              <w:pStyle w:val="13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u w:val="none"/>
              </w:rPr>
            </w:pPr>
          </w:p>
        </w:tc>
      </w:tr>
    </w:tbl>
    <w:p w14:paraId="5D22EA4C">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通过各种施工机械噪声预测结果可以看出，各种施工机械噪声预测结果可以看出，在不采取减振降噪措施的情况下，土石方施工、道路工程和管线施工期间昼间距施工设备60m、夜间300m即可满足《建筑施工场界环境噪声排放标准》（GB12523-2011）场界噪声限值要求；设备安装施工期间昼间距施工机械40m、夜间200m即可满足《建筑施工场界环境噪声排放标准》（GB12523-2011）场界噪声限值要求；钻井期间昼间距施工机械100m、夜间500m即可满足《建筑施工场界环境噪声排放标准》（GB12523-2011）场界噪声限值要求。</w:t>
      </w:r>
    </w:p>
    <w:p w14:paraId="366C8522">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5.</w:t>
      </w:r>
      <w:r>
        <w:rPr>
          <w:rFonts w:hint="eastAsia" w:ascii="宋体" w:hAnsi="宋体" w:cs="宋体"/>
          <w:color w:val="auto"/>
          <w:u w:val="none"/>
          <w:lang w:val="en-US" w:eastAsia="zh-CN"/>
        </w:rPr>
        <w:t>6</w:t>
      </w:r>
      <w:r>
        <w:rPr>
          <w:rFonts w:hint="default" w:ascii="宋体" w:hAnsi="宋体" w:eastAsia="宋体" w:cs="宋体"/>
          <w:color w:val="auto"/>
          <w:u w:val="none"/>
          <w:lang w:val="en-US" w:eastAsia="zh-CN"/>
        </w:rPr>
        <w:t>.1.</w:t>
      </w:r>
      <w:r>
        <w:rPr>
          <w:rFonts w:hint="eastAsia" w:ascii="宋体" w:hAnsi="宋体" w:cs="宋体"/>
          <w:color w:val="auto"/>
          <w:u w:val="none"/>
          <w:lang w:val="en-US" w:eastAsia="zh-CN"/>
        </w:rPr>
        <w:t>3</w:t>
      </w:r>
      <w:r>
        <w:rPr>
          <w:rFonts w:hint="eastAsia" w:ascii="宋体" w:hAnsi="宋体" w:eastAsia="宋体" w:cs="宋体"/>
          <w:color w:val="auto"/>
          <w:u w:val="none"/>
          <w:lang w:val="en-US" w:eastAsia="zh-CN"/>
        </w:rPr>
        <w:t>预测结果分析</w:t>
      </w:r>
    </w:p>
    <w:p w14:paraId="37356B57">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1</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钻井影响分析</w:t>
      </w:r>
    </w:p>
    <w:p w14:paraId="18D88B0E">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工程区200m内无居民，钻井工程噪声不影响当地居民正常生活，施工期</w:t>
      </w:r>
      <w:r>
        <w:rPr>
          <w:rFonts w:hint="eastAsia" w:ascii="Times New Roman" w:hAnsi="Times New Roman" w:eastAsia="宋体" w:cs="Times New Roman"/>
          <w:color w:val="auto"/>
          <w:kern w:val="0"/>
          <w:sz w:val="24"/>
          <w:szCs w:val="24"/>
          <w:highlight w:val="none"/>
          <w:u w:val="none"/>
          <w:lang w:val="en-US" w:eastAsia="zh-CN"/>
        </w:rPr>
        <w:t>钻井</w:t>
      </w:r>
      <w:r>
        <w:rPr>
          <w:rFonts w:hint="default" w:ascii="Times New Roman" w:hAnsi="Times New Roman" w:eastAsia="宋体" w:cs="Times New Roman"/>
          <w:color w:val="auto"/>
          <w:kern w:val="0"/>
          <w:sz w:val="24"/>
          <w:szCs w:val="24"/>
          <w:highlight w:val="none"/>
          <w:u w:val="none"/>
          <w:lang w:eastAsia="zh-CN"/>
        </w:rPr>
        <w:t>的这些噪声源均为暂时性的，只在短时期对局部环境和施工人员造成影响，待施工结束后这种影响也随之消失。施工期噪声对周围环境造成的影响属可接受范围。</w:t>
      </w:r>
    </w:p>
    <w:p w14:paraId="3C1BCB76">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2</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地面工程影响分析</w:t>
      </w:r>
    </w:p>
    <w:p w14:paraId="46865476">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本项目地面工程在建设施工过程中，由于运输、平整场地、管沟开挖及回填、建筑物修建等要使用各种车辆和机械，其产生的噪声对施工区周围的环境将产生一定的影响</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但随着施工的结束</w:t>
      </w:r>
      <w:r>
        <w:rPr>
          <w:rFonts w:hint="default" w:ascii="Times New Roman" w:hAnsi="Times New Roman" w:eastAsia="宋体" w:cs="Times New Roman"/>
          <w:color w:val="auto"/>
          <w:kern w:val="0"/>
          <w:sz w:val="24"/>
          <w:szCs w:val="24"/>
          <w:highlight w:val="none"/>
          <w:u w:val="none"/>
          <w:lang w:eastAsia="zh-CN"/>
        </w:rPr>
        <w:t>这种影响也随之消失。</w:t>
      </w:r>
    </w:p>
    <w:p w14:paraId="552BE8FB">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3</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lang w:eastAsia="zh-CN"/>
        </w:rPr>
        <w:t>井下作业噪声环境影响分析</w:t>
      </w:r>
    </w:p>
    <w:p w14:paraId="50FF6E2A">
      <w:pPr>
        <w:keepNext w:val="0"/>
        <w:pageBreakBefore w:val="0"/>
        <w:widowControl/>
        <w:kinsoku/>
        <w:wordWrap/>
        <w:overflowPunct/>
        <w:topLinePunct w:val="0"/>
        <w:autoSpaceDE/>
        <w:autoSpaceDN/>
        <w:bidi w:val="0"/>
        <w:spacing w:line="480" w:lineRule="exact"/>
        <w:ind w:firstLine="480"/>
        <w:jc w:val="left"/>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lang w:eastAsia="zh-CN"/>
        </w:rPr>
        <w:t>井下作业过程中最强的噪声源为压裂车噪声，最高可达120dB（A），导致作业现场周围噪声超出《建筑施工场界环境噪声排放标准》（GB12523-2011）标准要求，但是由于</w:t>
      </w:r>
      <w:r>
        <w:rPr>
          <w:rFonts w:hint="eastAsia" w:ascii="Times New Roman" w:hAnsi="Times New Roman" w:eastAsia="宋体" w:cs="Times New Roman"/>
          <w:color w:val="auto"/>
          <w:kern w:val="0"/>
          <w:sz w:val="24"/>
          <w:szCs w:val="24"/>
          <w:highlight w:val="none"/>
          <w:u w:val="none"/>
          <w:lang w:val="en-US" w:eastAsia="zh-CN"/>
        </w:rPr>
        <w:t>气</w:t>
      </w:r>
      <w:r>
        <w:rPr>
          <w:rFonts w:hint="default" w:ascii="Times New Roman" w:hAnsi="Times New Roman" w:eastAsia="宋体" w:cs="Times New Roman"/>
          <w:color w:val="auto"/>
          <w:kern w:val="0"/>
          <w:sz w:val="24"/>
          <w:szCs w:val="24"/>
          <w:highlight w:val="none"/>
          <w:u w:val="none"/>
          <w:lang w:eastAsia="zh-CN"/>
        </w:rPr>
        <w:t>井分布在空旷地带，加上井下作业周期较短，声源具有不固定性和不稳定性，在施工时，对高噪声设备设置临时屏蔽设施，则其对周围环境的影响是可以接受的。</w:t>
      </w:r>
    </w:p>
    <w:p w14:paraId="66FBDD4E">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6</w:t>
      </w: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运营期声环境影响分析</w:t>
      </w:r>
    </w:p>
    <w:p w14:paraId="185070F6">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6</w:t>
      </w:r>
      <w:r>
        <w:rPr>
          <w:rFonts w:hint="eastAsia" w:ascii="宋体" w:hAnsi="宋体" w:eastAsia="宋体" w:cs="宋体"/>
          <w:color w:val="auto"/>
          <w:u w:val="none"/>
          <w:lang w:val="en-US" w:eastAsia="zh-CN"/>
        </w:rPr>
        <w:t xml:space="preserve">.2.1 </w:t>
      </w:r>
      <w:r>
        <w:rPr>
          <w:rFonts w:hint="default" w:ascii="宋体" w:hAnsi="宋体" w:eastAsia="宋体" w:cs="宋体"/>
          <w:color w:val="auto"/>
          <w:u w:val="none"/>
          <w:lang w:val="en-US" w:eastAsia="zh-CN"/>
        </w:rPr>
        <w:t>预测源强</w:t>
      </w:r>
    </w:p>
    <w:p w14:paraId="66BFA35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kern w:val="2"/>
          <w:sz w:val="24"/>
          <w:szCs w:val="22"/>
          <w:highlight w:val="none"/>
          <w:u w:val="none"/>
          <w:lang w:val="en-US" w:eastAsia="zh-CN" w:bidi="ar-SA"/>
        </w:rPr>
      </w:pPr>
      <w:r>
        <w:rPr>
          <w:rFonts w:hint="eastAsia" w:ascii="宋体" w:hAnsi="宋体" w:eastAsia="宋体" w:cs="宋体"/>
          <w:color w:val="auto"/>
          <w:kern w:val="2"/>
          <w:sz w:val="24"/>
          <w:szCs w:val="22"/>
          <w:highlight w:val="none"/>
          <w:u w:val="none"/>
          <w:lang w:val="en-US" w:eastAsia="zh-CN" w:bidi="ar-SA"/>
        </w:rPr>
        <w:t>运营期间的噪声源主要为井场设备的运转噪声，噪声源强调查</w:t>
      </w:r>
      <w:r>
        <w:rPr>
          <w:rFonts w:hint="eastAsia" w:ascii="宋体" w:hAnsi="宋体" w:cs="宋体"/>
          <w:color w:val="auto"/>
          <w:kern w:val="2"/>
          <w:sz w:val="24"/>
          <w:szCs w:val="22"/>
          <w:highlight w:val="none"/>
          <w:u w:val="none"/>
          <w:lang w:val="en-US" w:eastAsia="zh-CN" w:bidi="ar-SA"/>
        </w:rPr>
        <w:t>，</w:t>
      </w:r>
      <w:r>
        <w:rPr>
          <w:rFonts w:hint="eastAsia" w:ascii="宋体" w:hAnsi="宋体" w:eastAsia="宋体" w:cs="宋体"/>
          <w:color w:val="auto"/>
          <w:kern w:val="2"/>
          <w:sz w:val="24"/>
          <w:szCs w:val="22"/>
          <w:highlight w:val="none"/>
          <w:u w:val="none"/>
          <w:lang w:val="en-US" w:eastAsia="zh-CN" w:bidi="ar-SA"/>
        </w:rPr>
        <w:t>见表5.</w:t>
      </w:r>
      <w:r>
        <w:rPr>
          <w:rFonts w:hint="eastAsia" w:ascii="宋体" w:hAnsi="宋体" w:cs="宋体"/>
          <w:color w:val="auto"/>
          <w:kern w:val="2"/>
          <w:sz w:val="24"/>
          <w:szCs w:val="22"/>
          <w:highlight w:val="none"/>
          <w:u w:val="none"/>
          <w:lang w:val="en-US" w:eastAsia="zh-CN" w:bidi="ar-SA"/>
        </w:rPr>
        <w:t>6</w:t>
      </w:r>
      <w:r>
        <w:rPr>
          <w:rFonts w:hint="eastAsia" w:ascii="宋体" w:hAnsi="宋体" w:eastAsia="宋体" w:cs="宋体"/>
          <w:color w:val="auto"/>
          <w:kern w:val="2"/>
          <w:sz w:val="24"/>
          <w:szCs w:val="22"/>
          <w:highlight w:val="none"/>
          <w:u w:val="none"/>
          <w:lang w:val="en-US" w:eastAsia="zh-CN" w:bidi="ar-SA"/>
        </w:rPr>
        <w:t>-2。</w:t>
      </w:r>
    </w:p>
    <w:p w14:paraId="39F349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b/>
          <w:bCs w:val="0"/>
          <w:color w:val="auto"/>
          <w:kern w:val="2"/>
          <w:sz w:val="24"/>
          <w:szCs w:val="24"/>
          <w:u w:val="none"/>
          <w:lang w:val="en-GB" w:eastAsia="zh-CN" w:bidi="ar-SA"/>
        </w:rPr>
      </w:pPr>
    </w:p>
    <w:p w14:paraId="597168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GB" w:eastAsia="zh-CN" w:bidi="ar-SA"/>
        </w:rPr>
      </w:pPr>
    </w:p>
    <w:p w14:paraId="143947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GB" w:eastAsia="zh-CN" w:bidi="ar-SA"/>
        </w:rPr>
      </w:pPr>
    </w:p>
    <w:p w14:paraId="558368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b/>
          <w:color w:val="auto"/>
          <w:highlight w:val="none"/>
          <w:u w:val="none"/>
          <w:lang w:val="en-GB" w:eastAsia="zh-CN"/>
        </w:rPr>
      </w:pPr>
      <w:r>
        <w:rPr>
          <w:rFonts w:hint="eastAsia" w:ascii="黑体" w:hAnsi="黑体" w:eastAsia="黑体" w:cs="黑体"/>
          <w:b w:val="0"/>
          <w:bCs/>
          <w:color w:val="auto"/>
          <w:kern w:val="2"/>
          <w:sz w:val="24"/>
          <w:szCs w:val="24"/>
          <w:u w:val="none"/>
          <w:lang w:val="en-GB" w:eastAsia="zh-CN" w:bidi="ar-SA"/>
        </w:rPr>
        <w:t>表</w:t>
      </w:r>
      <w:r>
        <w:rPr>
          <w:rFonts w:hint="eastAsia" w:ascii="黑体" w:hAnsi="黑体" w:eastAsia="黑体" w:cs="黑体"/>
          <w:b w:val="0"/>
          <w:bCs/>
          <w:color w:val="auto"/>
          <w:kern w:val="2"/>
          <w:sz w:val="24"/>
          <w:szCs w:val="24"/>
          <w:u w:val="none"/>
          <w:lang w:val="en-US" w:eastAsia="zh-CN" w:bidi="ar-SA"/>
        </w:rPr>
        <w:t xml:space="preserve">5.6-2  </w:t>
      </w:r>
      <w:r>
        <w:rPr>
          <w:rFonts w:hint="eastAsia" w:ascii="黑体" w:hAnsi="黑体" w:eastAsia="黑体" w:cs="黑体"/>
          <w:b w:val="0"/>
          <w:bCs/>
          <w:color w:val="auto"/>
          <w:kern w:val="2"/>
          <w:sz w:val="24"/>
          <w:szCs w:val="24"/>
          <w:u w:val="none"/>
          <w:lang w:val="en-GB" w:eastAsia="zh-CN" w:bidi="ar-SA"/>
        </w:rPr>
        <w:t>噪声源强调查清单（室外声源）</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Layout w:type="fixed"/>
        <w:tblCellMar>
          <w:top w:w="0" w:type="dxa"/>
          <w:left w:w="108" w:type="dxa"/>
          <w:bottom w:w="0" w:type="dxa"/>
          <w:right w:w="108" w:type="dxa"/>
        </w:tblCellMar>
      </w:tblPr>
      <w:tblGrid>
        <w:gridCol w:w="1106"/>
        <w:gridCol w:w="682"/>
        <w:gridCol w:w="600"/>
        <w:gridCol w:w="711"/>
        <w:gridCol w:w="644"/>
        <w:gridCol w:w="1924"/>
        <w:gridCol w:w="1230"/>
        <w:gridCol w:w="1154"/>
        <w:gridCol w:w="779"/>
      </w:tblGrid>
      <w:tr w14:paraId="254BF8B4">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108" w:type="dxa"/>
            <w:bottom w:w="0" w:type="dxa"/>
            <w:right w:w="108" w:type="dxa"/>
          </w:tblCellMar>
        </w:tblPrEx>
        <w:trPr>
          <w:trHeight w:val="580" w:hRule="exact"/>
          <w:jc w:val="center"/>
        </w:trPr>
        <w:tc>
          <w:tcPr>
            <w:tcW w:w="626" w:type="pct"/>
            <w:vMerge w:val="restart"/>
            <w:tcBorders>
              <w:tl2br w:val="nil"/>
              <w:tr2bl w:val="nil"/>
            </w:tcBorders>
            <w:vAlign w:val="center"/>
          </w:tcPr>
          <w:p w14:paraId="4CC5A90C">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声源名称</w:t>
            </w:r>
          </w:p>
        </w:tc>
        <w:tc>
          <w:tcPr>
            <w:tcW w:w="386" w:type="pct"/>
            <w:vMerge w:val="restart"/>
            <w:tcBorders>
              <w:tl2br w:val="nil"/>
              <w:tr2bl w:val="nil"/>
            </w:tcBorders>
            <w:vAlign w:val="center"/>
          </w:tcPr>
          <w:p w14:paraId="2FF0A01D">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型号</w:t>
            </w:r>
          </w:p>
        </w:tc>
        <w:tc>
          <w:tcPr>
            <w:tcW w:w="1106" w:type="pct"/>
            <w:gridSpan w:val="3"/>
            <w:tcBorders>
              <w:tl2br w:val="nil"/>
              <w:tr2bl w:val="nil"/>
            </w:tcBorders>
            <w:vAlign w:val="center"/>
          </w:tcPr>
          <w:p w14:paraId="4776FDA8">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空间相对位置/m</w:t>
            </w:r>
          </w:p>
        </w:tc>
        <w:tc>
          <w:tcPr>
            <w:tcW w:w="1786" w:type="pct"/>
            <w:gridSpan w:val="2"/>
            <w:tcBorders>
              <w:tl2br w:val="nil"/>
              <w:tr2bl w:val="nil"/>
            </w:tcBorders>
            <w:vAlign w:val="center"/>
          </w:tcPr>
          <w:p w14:paraId="6A69E042">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zh-CN"/>
              </w:rPr>
            </w:pPr>
            <w:r>
              <w:rPr>
                <w:rFonts w:hint="eastAsia" w:ascii="宋体" w:hAnsi="宋体" w:eastAsia="宋体" w:cs="宋体"/>
                <w:b w:val="0"/>
                <w:bCs/>
                <w:color w:val="auto"/>
                <w:kern w:val="0"/>
                <w:sz w:val="21"/>
                <w:szCs w:val="21"/>
                <w:highlight w:val="none"/>
                <w:u w:val="none"/>
                <w:lang w:eastAsia="zh-CN"/>
              </w:rPr>
              <w:t>声源源强（任选一种）</w:t>
            </w:r>
          </w:p>
        </w:tc>
        <w:tc>
          <w:tcPr>
            <w:tcW w:w="653" w:type="pct"/>
            <w:vMerge w:val="restart"/>
            <w:tcBorders>
              <w:tl2br w:val="nil"/>
              <w:tr2bl w:val="nil"/>
            </w:tcBorders>
            <w:vAlign w:val="center"/>
          </w:tcPr>
          <w:p w14:paraId="420383FD">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声源控制措施</w:t>
            </w:r>
          </w:p>
        </w:tc>
        <w:tc>
          <w:tcPr>
            <w:tcW w:w="440" w:type="pct"/>
            <w:vMerge w:val="restart"/>
            <w:tcBorders>
              <w:tl2br w:val="nil"/>
              <w:tr2bl w:val="nil"/>
            </w:tcBorders>
            <w:vAlign w:val="center"/>
          </w:tcPr>
          <w:p w14:paraId="44638754">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运行时段</w:t>
            </w:r>
          </w:p>
        </w:tc>
      </w:tr>
      <w:tr w14:paraId="0F539F7F">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108" w:type="dxa"/>
            <w:bottom w:w="0" w:type="dxa"/>
            <w:right w:w="108" w:type="dxa"/>
          </w:tblCellMar>
        </w:tblPrEx>
        <w:trPr>
          <w:trHeight w:val="482" w:hRule="atLeast"/>
          <w:jc w:val="center"/>
        </w:trPr>
        <w:tc>
          <w:tcPr>
            <w:tcW w:w="626" w:type="pct"/>
            <w:vMerge w:val="continue"/>
            <w:tcBorders>
              <w:tl2br w:val="nil"/>
              <w:tr2bl w:val="nil"/>
            </w:tcBorders>
            <w:shd w:val="clear" w:color="auto" w:fill="FFFFFF"/>
            <w:vAlign w:val="center"/>
          </w:tcPr>
          <w:p w14:paraId="289A1A86">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p>
        </w:tc>
        <w:tc>
          <w:tcPr>
            <w:tcW w:w="386" w:type="pct"/>
            <w:vMerge w:val="continue"/>
            <w:tcBorders>
              <w:tl2br w:val="nil"/>
              <w:tr2bl w:val="nil"/>
            </w:tcBorders>
            <w:shd w:val="clear" w:color="auto" w:fill="FFFFFF"/>
            <w:vAlign w:val="center"/>
          </w:tcPr>
          <w:p w14:paraId="6DE406EB">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p>
        </w:tc>
        <w:tc>
          <w:tcPr>
            <w:tcW w:w="339" w:type="pct"/>
            <w:tcBorders>
              <w:tl2br w:val="nil"/>
              <w:tr2bl w:val="nil"/>
            </w:tcBorders>
            <w:shd w:val="clear" w:color="auto" w:fill="FFFFFF"/>
            <w:vAlign w:val="center"/>
          </w:tcPr>
          <w:p w14:paraId="434F978E">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X</w:t>
            </w:r>
          </w:p>
        </w:tc>
        <w:tc>
          <w:tcPr>
            <w:tcW w:w="402" w:type="pct"/>
            <w:tcBorders>
              <w:tl2br w:val="nil"/>
              <w:tr2bl w:val="nil"/>
            </w:tcBorders>
            <w:shd w:val="clear" w:color="auto" w:fill="FFFFFF"/>
            <w:vAlign w:val="center"/>
          </w:tcPr>
          <w:p w14:paraId="7BEBF77B">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Y</w:t>
            </w:r>
          </w:p>
        </w:tc>
        <w:tc>
          <w:tcPr>
            <w:tcW w:w="364" w:type="pct"/>
            <w:tcBorders>
              <w:tl2br w:val="nil"/>
              <w:tr2bl w:val="nil"/>
            </w:tcBorders>
            <w:shd w:val="clear" w:color="auto" w:fill="FFFFFF"/>
            <w:vAlign w:val="center"/>
          </w:tcPr>
          <w:p w14:paraId="75D7A7DF">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Z</w:t>
            </w:r>
          </w:p>
        </w:tc>
        <w:tc>
          <w:tcPr>
            <w:tcW w:w="1089" w:type="pct"/>
            <w:tcBorders>
              <w:tl2br w:val="nil"/>
              <w:tr2bl w:val="nil"/>
            </w:tcBorders>
            <w:shd w:val="clear" w:color="auto" w:fill="FFFFFF"/>
            <w:vAlign w:val="center"/>
          </w:tcPr>
          <w:p w14:paraId="11B76F3E">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（声压级/距声源距离）/（dB(A)/m）</w:t>
            </w:r>
          </w:p>
        </w:tc>
        <w:tc>
          <w:tcPr>
            <w:tcW w:w="696" w:type="pct"/>
            <w:tcBorders>
              <w:tl2br w:val="nil"/>
              <w:tr2bl w:val="nil"/>
            </w:tcBorders>
            <w:shd w:val="clear" w:color="auto" w:fill="FFFFFF"/>
            <w:vAlign w:val="center"/>
          </w:tcPr>
          <w:p w14:paraId="3F0FE2E6">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声功率级/dB(A)</w:t>
            </w:r>
          </w:p>
        </w:tc>
        <w:tc>
          <w:tcPr>
            <w:tcW w:w="653" w:type="pct"/>
            <w:vMerge w:val="continue"/>
            <w:tcBorders>
              <w:tl2br w:val="nil"/>
              <w:tr2bl w:val="nil"/>
            </w:tcBorders>
            <w:shd w:val="clear" w:color="auto" w:fill="FFFFFF"/>
            <w:vAlign w:val="center"/>
          </w:tcPr>
          <w:p w14:paraId="24CBB035">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p>
        </w:tc>
        <w:tc>
          <w:tcPr>
            <w:tcW w:w="440" w:type="pct"/>
            <w:vMerge w:val="continue"/>
            <w:tcBorders>
              <w:tl2br w:val="nil"/>
              <w:tr2bl w:val="nil"/>
            </w:tcBorders>
            <w:shd w:val="clear" w:color="auto" w:fill="FFFFFF"/>
            <w:vAlign w:val="center"/>
          </w:tcPr>
          <w:p w14:paraId="3ADE2C2D">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p>
        </w:tc>
      </w:tr>
      <w:tr w14:paraId="3FDA7BF6">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108" w:type="dxa"/>
            <w:bottom w:w="0" w:type="dxa"/>
            <w:right w:w="108" w:type="dxa"/>
          </w:tblCellMar>
        </w:tblPrEx>
        <w:trPr>
          <w:trHeight w:val="482" w:hRule="atLeast"/>
          <w:jc w:val="center"/>
        </w:trPr>
        <w:tc>
          <w:tcPr>
            <w:tcW w:w="626" w:type="pct"/>
            <w:tcBorders>
              <w:tl2br w:val="nil"/>
              <w:tr2bl w:val="nil"/>
            </w:tcBorders>
            <w:shd w:val="clear" w:color="auto" w:fill="FFFFFF"/>
            <w:vAlign w:val="center"/>
          </w:tcPr>
          <w:p w14:paraId="2C524F5C">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default" w:ascii="宋体" w:hAnsi="宋体" w:eastAsia="宋体" w:cs="宋体"/>
                <w:b w:val="0"/>
                <w:bCs/>
                <w:color w:val="auto"/>
                <w:kern w:val="0"/>
                <w:sz w:val="21"/>
                <w:szCs w:val="21"/>
                <w:highlight w:val="none"/>
                <w:u w:val="none"/>
                <w:lang w:val="en-US" w:eastAsia="zh-CN"/>
              </w:rPr>
            </w:pPr>
            <w:r>
              <w:rPr>
                <w:rFonts w:hint="eastAsia" w:ascii="宋体" w:hAnsi="宋体" w:cs="宋体"/>
                <w:b w:val="0"/>
                <w:bCs/>
                <w:color w:val="auto"/>
                <w:kern w:val="0"/>
                <w:sz w:val="21"/>
                <w:szCs w:val="21"/>
                <w:highlight w:val="none"/>
                <w:u w:val="none"/>
                <w:lang w:val="en-US" w:eastAsia="zh-CN"/>
              </w:rPr>
              <w:t>井场机泵</w:t>
            </w:r>
          </w:p>
        </w:tc>
        <w:tc>
          <w:tcPr>
            <w:tcW w:w="386" w:type="pct"/>
            <w:tcBorders>
              <w:tl2br w:val="nil"/>
              <w:tr2bl w:val="nil"/>
            </w:tcBorders>
            <w:shd w:val="clear" w:color="auto" w:fill="FFFFFF"/>
            <w:vAlign w:val="center"/>
          </w:tcPr>
          <w:p w14:paraId="37ECD6E1">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val="en-US" w:eastAsia="zh-CN"/>
              </w:rPr>
              <w:t>80kW</w:t>
            </w:r>
          </w:p>
        </w:tc>
        <w:tc>
          <w:tcPr>
            <w:tcW w:w="339" w:type="pct"/>
            <w:tcBorders>
              <w:tl2br w:val="nil"/>
              <w:tr2bl w:val="nil"/>
            </w:tcBorders>
            <w:shd w:val="clear" w:color="auto" w:fill="FFFFFF"/>
            <w:vAlign w:val="center"/>
          </w:tcPr>
          <w:p w14:paraId="4FD78332">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color w:val="auto"/>
                <w:sz w:val="21"/>
                <w:szCs w:val="21"/>
                <w:u w:val="none"/>
              </w:rPr>
              <w:t>0</w:t>
            </w:r>
          </w:p>
        </w:tc>
        <w:tc>
          <w:tcPr>
            <w:tcW w:w="402" w:type="pct"/>
            <w:tcBorders>
              <w:tl2br w:val="nil"/>
              <w:tr2bl w:val="nil"/>
            </w:tcBorders>
            <w:shd w:val="clear" w:color="auto" w:fill="FFFFFF"/>
            <w:vAlign w:val="center"/>
          </w:tcPr>
          <w:p w14:paraId="220A8084">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zh-CN"/>
              </w:rPr>
            </w:pPr>
            <w:r>
              <w:rPr>
                <w:rFonts w:hint="eastAsia" w:ascii="宋体" w:hAnsi="宋体" w:eastAsia="宋体" w:cs="宋体"/>
                <w:color w:val="auto"/>
                <w:sz w:val="21"/>
                <w:szCs w:val="21"/>
                <w:u w:val="none"/>
                <w:lang w:val="en-US" w:eastAsia="zh-CN"/>
              </w:rPr>
              <w:t>0</w:t>
            </w:r>
          </w:p>
        </w:tc>
        <w:tc>
          <w:tcPr>
            <w:tcW w:w="364" w:type="pct"/>
            <w:tcBorders>
              <w:tl2br w:val="nil"/>
              <w:tr2bl w:val="nil"/>
            </w:tcBorders>
            <w:shd w:val="clear" w:color="auto" w:fill="FFFFFF"/>
            <w:vAlign w:val="center"/>
          </w:tcPr>
          <w:p w14:paraId="1D642355">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color w:val="auto"/>
                <w:sz w:val="21"/>
                <w:szCs w:val="21"/>
                <w:u w:val="none"/>
              </w:rPr>
              <w:t>1.2</w:t>
            </w:r>
          </w:p>
        </w:tc>
        <w:tc>
          <w:tcPr>
            <w:tcW w:w="1089" w:type="pct"/>
            <w:tcBorders>
              <w:tl2br w:val="nil"/>
              <w:tr2bl w:val="nil"/>
            </w:tcBorders>
            <w:shd w:val="clear" w:color="auto" w:fill="FFFFFF"/>
            <w:vAlign w:val="center"/>
          </w:tcPr>
          <w:p w14:paraId="1B70037D">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val="en-US" w:eastAsia="zh-CN"/>
              </w:rPr>
              <w:t>80/1m</w:t>
            </w:r>
          </w:p>
        </w:tc>
        <w:tc>
          <w:tcPr>
            <w:tcW w:w="696" w:type="pct"/>
            <w:tcBorders>
              <w:tl2br w:val="nil"/>
              <w:tr2bl w:val="nil"/>
            </w:tcBorders>
            <w:shd w:val="clear" w:color="auto" w:fill="FFFFFF"/>
            <w:vAlign w:val="center"/>
          </w:tcPr>
          <w:p w14:paraId="244E56D9">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val="en-US" w:eastAsia="zh-CN"/>
              </w:rPr>
              <w:t>80</w:t>
            </w:r>
          </w:p>
        </w:tc>
        <w:tc>
          <w:tcPr>
            <w:tcW w:w="653" w:type="pct"/>
            <w:tcBorders>
              <w:tl2br w:val="nil"/>
              <w:tr2bl w:val="nil"/>
            </w:tcBorders>
            <w:shd w:val="clear" w:color="auto" w:fill="FFFFFF"/>
            <w:vAlign w:val="center"/>
          </w:tcPr>
          <w:p w14:paraId="3404C682">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隔声、吸声、减震</w:t>
            </w:r>
          </w:p>
        </w:tc>
        <w:tc>
          <w:tcPr>
            <w:tcW w:w="440" w:type="pct"/>
            <w:tcBorders>
              <w:tl2br w:val="nil"/>
              <w:tr2bl w:val="nil"/>
            </w:tcBorders>
            <w:shd w:val="clear" w:color="auto" w:fill="FFFFFF"/>
            <w:vAlign w:val="center"/>
          </w:tcPr>
          <w:p w14:paraId="65E81435">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val="0"/>
                <w:bCs/>
                <w:color w:val="auto"/>
                <w:kern w:val="0"/>
                <w:sz w:val="21"/>
                <w:szCs w:val="21"/>
                <w:highlight w:val="none"/>
                <w:u w:val="none"/>
                <w:lang w:eastAsia="en-US"/>
              </w:rPr>
            </w:pPr>
            <w:r>
              <w:rPr>
                <w:rFonts w:hint="eastAsia" w:ascii="宋体" w:hAnsi="宋体" w:eastAsia="宋体" w:cs="宋体"/>
                <w:b w:val="0"/>
                <w:bCs/>
                <w:color w:val="auto"/>
                <w:kern w:val="0"/>
                <w:sz w:val="21"/>
                <w:szCs w:val="21"/>
                <w:highlight w:val="none"/>
                <w:u w:val="none"/>
                <w:lang w:eastAsia="en-US"/>
              </w:rPr>
              <w:t>昼间、夜间</w:t>
            </w:r>
          </w:p>
        </w:tc>
      </w:tr>
    </w:tbl>
    <w:p w14:paraId="129612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b/>
          <w:color w:val="auto"/>
          <w:sz w:val="18"/>
          <w:szCs w:val="18"/>
          <w:highlight w:val="none"/>
          <w:u w:val="none"/>
          <w:lang w:val="en-GB" w:eastAsia="zh-CN"/>
        </w:rPr>
      </w:pPr>
      <w:r>
        <w:rPr>
          <w:rFonts w:hint="eastAsia" w:ascii="宋体" w:hAnsi="宋体" w:eastAsia="宋体" w:cs="宋体"/>
          <w:b w:val="0"/>
          <w:bCs/>
          <w:color w:val="auto"/>
          <w:spacing w:val="-6"/>
          <w:sz w:val="21"/>
          <w:szCs w:val="21"/>
          <w:highlight w:val="none"/>
          <w:u w:val="none"/>
          <w:lang w:val="en-US" w:eastAsia="zh-CN"/>
        </w:rPr>
        <w:t>注：表中坐标以</w:t>
      </w:r>
      <w:r>
        <w:rPr>
          <w:rFonts w:hint="eastAsia" w:ascii="宋体" w:hAnsi="宋体" w:cs="宋体"/>
          <w:b w:val="0"/>
          <w:bCs/>
          <w:color w:val="auto"/>
          <w:spacing w:val="-6"/>
          <w:sz w:val="21"/>
          <w:szCs w:val="21"/>
          <w:highlight w:val="none"/>
          <w:u w:val="none"/>
          <w:lang w:val="en-US" w:eastAsia="zh-CN"/>
        </w:rPr>
        <w:t>MBHW6009</w:t>
      </w:r>
      <w:r>
        <w:rPr>
          <w:rFonts w:hint="eastAsia" w:ascii="宋体" w:hAnsi="宋体" w:eastAsia="宋体" w:cs="宋体"/>
          <w:b w:val="0"/>
          <w:bCs/>
          <w:color w:val="auto"/>
          <w:spacing w:val="-6"/>
          <w:sz w:val="21"/>
          <w:szCs w:val="21"/>
          <w:highlight w:val="none"/>
          <w:u w:val="none"/>
          <w:lang w:val="en-US" w:eastAsia="zh-CN"/>
        </w:rPr>
        <w:t>井口中心（86.62537267,45.11582290）为坐标原点，正东向为X轴正方向，正北向为Y轴正方向。</w:t>
      </w:r>
    </w:p>
    <w:p w14:paraId="48DD35E7">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6</w:t>
      </w:r>
      <w:r>
        <w:rPr>
          <w:rFonts w:hint="eastAsia" w:ascii="宋体" w:hAnsi="宋体" w:eastAsia="宋体" w:cs="宋体"/>
          <w:color w:val="auto"/>
          <w:u w:val="none"/>
          <w:lang w:val="en-US" w:eastAsia="zh-CN"/>
        </w:rPr>
        <w:t xml:space="preserve">.2.2 </w:t>
      </w:r>
      <w:r>
        <w:rPr>
          <w:rFonts w:hint="default" w:ascii="宋体" w:hAnsi="宋体" w:eastAsia="宋体" w:cs="宋体"/>
          <w:color w:val="auto"/>
          <w:u w:val="none"/>
          <w:lang w:val="en-US" w:eastAsia="zh-CN"/>
        </w:rPr>
        <w:t>预测模式</w:t>
      </w:r>
    </w:p>
    <w:p w14:paraId="35F3C07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宋体"/>
          <w:color w:val="auto"/>
          <w:spacing w:val="0"/>
          <w:kern w:val="0"/>
          <w:sz w:val="24"/>
          <w:szCs w:val="24"/>
          <w:highlight w:val="none"/>
          <w:u w:val="none"/>
          <w:lang w:val="en-US" w:eastAsia="zh-CN" w:bidi="ar-SA"/>
        </w:rPr>
      </w:pPr>
      <w:r>
        <w:rPr>
          <w:rFonts w:hint="default" w:ascii="Times New Roman" w:hAnsi="Times New Roman" w:eastAsia="宋体" w:cs="Times New Roman"/>
          <w:color w:val="auto"/>
          <w:spacing w:val="0"/>
          <w:kern w:val="0"/>
          <w:sz w:val="24"/>
          <w:szCs w:val="24"/>
          <w:highlight w:val="none"/>
          <w:u w:val="none"/>
          <w:lang w:val="en-US" w:eastAsia="zh-CN" w:bidi="ar-SA"/>
        </w:rPr>
        <w:t>噪声预测模式采用《环境影响评价技术导则</w:t>
      </w:r>
      <w:r>
        <w:rPr>
          <w:rFonts w:hint="eastAsia" w:ascii="Times New Roman" w:hAnsi="Times New Roman" w:eastAsia="宋体" w:cs="Times New Roman"/>
          <w:color w:val="auto"/>
          <w:spacing w:val="0"/>
          <w:kern w:val="0"/>
          <w:sz w:val="24"/>
          <w:szCs w:val="24"/>
          <w:highlight w:val="none"/>
          <w:u w:val="none"/>
          <w:lang w:val="en-US" w:eastAsia="zh-CN" w:bidi="ar-SA"/>
        </w:rPr>
        <w:t xml:space="preserve"> </w:t>
      </w:r>
      <w:r>
        <w:rPr>
          <w:rFonts w:hint="default" w:ascii="Times New Roman" w:hAnsi="Times New Roman" w:eastAsia="宋体" w:cs="Times New Roman"/>
          <w:color w:val="auto"/>
          <w:spacing w:val="0"/>
          <w:kern w:val="0"/>
          <w:sz w:val="24"/>
          <w:szCs w:val="24"/>
          <w:highlight w:val="none"/>
          <w:u w:val="none"/>
          <w:lang w:val="en-US" w:eastAsia="zh-CN" w:bidi="ar-SA"/>
        </w:rPr>
        <w:t>声环境》</w:t>
      </w:r>
      <w:r>
        <w:rPr>
          <w:rFonts w:hint="eastAsia" w:ascii="Times New Roman" w:hAnsi="Times New Roman" w:eastAsia="宋体" w:cs="Times New Roman"/>
          <w:color w:val="auto"/>
          <w:spacing w:val="0"/>
          <w:kern w:val="0"/>
          <w:sz w:val="24"/>
          <w:szCs w:val="24"/>
          <w:highlight w:val="none"/>
          <w:u w:val="none"/>
          <w:lang w:val="en-US" w:eastAsia="zh-CN" w:bidi="ar-SA"/>
        </w:rPr>
        <w:t>（</w:t>
      </w:r>
      <w:r>
        <w:rPr>
          <w:rFonts w:hint="default" w:ascii="Times New Roman" w:hAnsi="Times New Roman" w:eastAsia="宋体" w:cs="Times New Roman"/>
          <w:color w:val="auto"/>
          <w:spacing w:val="0"/>
          <w:kern w:val="0"/>
          <w:sz w:val="24"/>
          <w:szCs w:val="24"/>
          <w:highlight w:val="none"/>
          <w:u w:val="none"/>
          <w:lang w:val="en-US" w:eastAsia="zh-CN" w:bidi="ar-SA"/>
        </w:rPr>
        <w:t>HJ2.4</w:t>
      </w:r>
      <w:r>
        <w:rPr>
          <w:rFonts w:hint="eastAsia" w:ascii="Times New Roman" w:hAnsi="Times New Roman" w:eastAsia="宋体" w:cs="Times New Roman"/>
          <w:color w:val="auto"/>
          <w:spacing w:val="0"/>
          <w:kern w:val="0"/>
          <w:sz w:val="24"/>
          <w:szCs w:val="24"/>
          <w:highlight w:val="none"/>
          <w:u w:val="none"/>
          <w:lang w:val="en-US" w:eastAsia="zh-CN" w:bidi="ar-SA"/>
        </w:rPr>
        <w:t>-</w:t>
      </w:r>
      <w:r>
        <w:rPr>
          <w:rFonts w:hint="default" w:ascii="Times New Roman" w:hAnsi="Times New Roman" w:eastAsia="宋体" w:cs="Times New Roman"/>
          <w:color w:val="auto"/>
          <w:spacing w:val="0"/>
          <w:kern w:val="0"/>
          <w:sz w:val="24"/>
          <w:szCs w:val="24"/>
          <w:highlight w:val="none"/>
          <w:u w:val="none"/>
          <w:lang w:val="en-US" w:eastAsia="zh-CN" w:bidi="ar-SA"/>
        </w:rPr>
        <w:t>2021</w:t>
      </w:r>
      <w:r>
        <w:rPr>
          <w:rFonts w:hint="eastAsia" w:ascii="Times New Roman" w:hAnsi="Times New Roman" w:eastAsia="宋体" w:cs="Times New Roman"/>
          <w:color w:val="auto"/>
          <w:spacing w:val="0"/>
          <w:kern w:val="0"/>
          <w:sz w:val="24"/>
          <w:szCs w:val="24"/>
          <w:highlight w:val="none"/>
          <w:u w:val="none"/>
          <w:lang w:val="en-US" w:eastAsia="zh-CN" w:bidi="ar-SA"/>
        </w:rPr>
        <w:t>）</w:t>
      </w:r>
      <w:r>
        <w:rPr>
          <w:rFonts w:hint="default" w:ascii="Times New Roman" w:hAnsi="Times New Roman" w:eastAsia="宋体" w:cs="Times New Roman"/>
          <w:color w:val="auto"/>
          <w:spacing w:val="0"/>
          <w:kern w:val="0"/>
          <w:sz w:val="24"/>
          <w:szCs w:val="24"/>
          <w:highlight w:val="none"/>
          <w:u w:val="none"/>
          <w:lang w:val="en-US" w:eastAsia="zh-CN" w:bidi="ar-SA"/>
        </w:rPr>
        <w:t>中推荐模式</w:t>
      </w:r>
      <w:r>
        <w:rPr>
          <w:rFonts w:hint="eastAsia" w:ascii="Times New Roman" w:hAnsi="Times New Roman" w:eastAsia="宋体" w:cs="Times New Roman"/>
          <w:color w:val="auto"/>
          <w:spacing w:val="0"/>
          <w:kern w:val="0"/>
          <w:sz w:val="24"/>
          <w:szCs w:val="24"/>
          <w:highlight w:val="none"/>
          <w:u w:val="none"/>
          <w:lang w:val="en-US" w:eastAsia="zh-CN" w:bidi="ar-SA"/>
        </w:rPr>
        <w:t>，</w:t>
      </w:r>
      <w:r>
        <w:rPr>
          <w:rFonts w:hint="eastAsia" w:ascii="Times New Roman" w:hAnsi="Times New Roman" w:eastAsia="宋体" w:cs="宋体"/>
          <w:color w:val="auto"/>
          <w:spacing w:val="0"/>
          <w:kern w:val="0"/>
          <w:sz w:val="24"/>
          <w:szCs w:val="24"/>
          <w:highlight w:val="none"/>
          <w:u w:val="none"/>
          <w:lang w:val="en-US" w:eastAsia="zh-CN" w:bidi="ar-SA"/>
        </w:rPr>
        <w:t>对于室外点声源，可根据声源声功率级或参考位置处的声压级、户外声传播衰减，计算预测点的声级，计算公式为：</w:t>
      </w:r>
    </w:p>
    <w:p w14:paraId="61EF6FF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宋体"/>
          <w:color w:val="auto"/>
          <w:spacing w:val="0"/>
          <w:kern w:val="0"/>
          <w:sz w:val="24"/>
          <w:szCs w:val="24"/>
          <w:highlight w:val="none"/>
          <w:u w:val="none"/>
          <w:lang w:val="en-US" w:eastAsia="zh-CN" w:bidi="ar-SA"/>
        </w:rPr>
      </w:pPr>
      <w:r>
        <w:rPr>
          <w:rFonts w:ascii="Times New Roman" w:hAnsi="Times New Roman" w:eastAsia="宋体" w:cs="宋体"/>
          <w:color w:val="auto"/>
          <w:spacing w:val="0"/>
          <w:kern w:val="0"/>
          <w:sz w:val="24"/>
          <w:szCs w:val="24"/>
          <w:highlight w:val="none"/>
          <w:u w:val="none"/>
          <w:lang w:val="en-US" w:eastAsia="zh-CN" w:bidi="ar-SA"/>
        </w:rPr>
        <w:drawing>
          <wp:inline distT="0" distB="0" distL="114300" distR="114300">
            <wp:extent cx="3848100" cy="238125"/>
            <wp:effectExtent l="0" t="0" r="0" b="952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67"/>
                    <a:stretch>
                      <a:fillRect/>
                    </a:stretch>
                  </pic:blipFill>
                  <pic:spPr>
                    <a:xfrm>
                      <a:off x="0" y="0"/>
                      <a:ext cx="3848100" cy="238125"/>
                    </a:xfrm>
                    <a:prstGeom prst="rect">
                      <a:avLst/>
                    </a:prstGeom>
                    <a:noFill/>
                    <a:ln>
                      <a:noFill/>
                    </a:ln>
                  </pic:spPr>
                </pic:pic>
              </a:graphicData>
            </a:graphic>
          </wp:inline>
        </w:drawing>
      </w:r>
    </w:p>
    <w:p w14:paraId="53A096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sz w:val="24"/>
          <w:szCs w:val="24"/>
          <w:highlight w:val="none"/>
          <w:u w:val="none"/>
          <w:lang w:val="en-US" w:eastAsia="zh-CN" w:bidi="ar-SA"/>
        </w:rPr>
      </w:pPr>
      <w:r>
        <w:rPr>
          <w:rFonts w:hint="eastAsia" w:ascii="Times New Roman" w:hAnsi="Times New Roman" w:eastAsia="宋体" w:cs="宋体"/>
          <w:color w:val="auto"/>
          <w:spacing w:val="0"/>
          <w:kern w:val="0"/>
          <w:sz w:val="24"/>
          <w:szCs w:val="24"/>
          <w:highlight w:val="none"/>
          <w:u w:val="none"/>
          <w:lang w:val="en-US" w:eastAsia="zh-CN" w:bidi="ar-SA"/>
        </w:rPr>
        <w:t>或</w:t>
      </w:r>
    </w:p>
    <w:p w14:paraId="3C6F085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宋体"/>
          <w:color w:val="auto"/>
          <w:spacing w:val="0"/>
          <w:kern w:val="0"/>
          <w:sz w:val="24"/>
          <w:szCs w:val="24"/>
          <w:highlight w:val="none"/>
          <w:u w:val="none"/>
          <w:lang w:val="en-US" w:eastAsia="zh-CN" w:bidi="ar-SA"/>
        </w:rPr>
      </w:pPr>
      <w:r>
        <w:rPr>
          <w:rFonts w:ascii="Times New Roman" w:hAnsi="Times New Roman" w:eastAsia="宋体" w:cs="宋体"/>
          <w:color w:val="auto"/>
          <w:spacing w:val="0"/>
          <w:kern w:val="0"/>
          <w:sz w:val="24"/>
          <w:szCs w:val="24"/>
          <w:highlight w:val="none"/>
          <w:u w:val="none"/>
          <w:lang w:val="en-US" w:eastAsia="zh-CN" w:bidi="ar-SA"/>
        </w:rPr>
        <w:drawing>
          <wp:inline distT="0" distB="0" distL="114300" distR="114300">
            <wp:extent cx="4105275" cy="228600"/>
            <wp:effectExtent l="0" t="0" r="9525" b="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68"/>
                    <a:stretch>
                      <a:fillRect/>
                    </a:stretch>
                  </pic:blipFill>
                  <pic:spPr>
                    <a:xfrm>
                      <a:off x="0" y="0"/>
                      <a:ext cx="4105275" cy="228600"/>
                    </a:xfrm>
                    <a:prstGeom prst="rect">
                      <a:avLst/>
                    </a:prstGeom>
                    <a:noFill/>
                    <a:ln>
                      <a:noFill/>
                    </a:ln>
                  </pic:spPr>
                </pic:pic>
              </a:graphicData>
            </a:graphic>
          </wp:inline>
        </w:drawing>
      </w:r>
    </w:p>
    <w:p w14:paraId="12BDA0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Calibri"/>
          <w:color w:val="auto"/>
          <w:kern w:val="0"/>
          <w:sz w:val="24"/>
          <w:szCs w:val="20"/>
          <w:highlight w:val="none"/>
          <w:u w:val="none"/>
        </w:rPr>
      </w:pPr>
      <w:r>
        <w:rPr>
          <w:rFonts w:hint="eastAsia" w:ascii="Times New Roman" w:hAnsi="Times New Roman" w:eastAsia="宋体" w:cs="Calibri"/>
          <w:color w:val="auto"/>
          <w:kern w:val="0"/>
          <w:sz w:val="24"/>
          <w:szCs w:val="20"/>
          <w:highlight w:val="none"/>
          <w:u w:val="none"/>
        </w:rPr>
        <w:t>式中：</w:t>
      </w:r>
      <w:r>
        <w:rPr>
          <w:rFonts w:hint="eastAsia" w:ascii="Times New Roman" w:hAnsi="Times New Roman" w:eastAsia="宋体" w:cs="Calibri"/>
          <w:i/>
          <w:color w:val="auto"/>
          <w:kern w:val="0"/>
          <w:sz w:val="24"/>
          <w:szCs w:val="20"/>
          <w:highlight w:val="none"/>
          <w:u w:val="none"/>
        </w:rPr>
        <w:t>L</w:t>
      </w:r>
      <w:r>
        <w:rPr>
          <w:rFonts w:hint="eastAsia" w:ascii="Times New Roman" w:hAnsi="Times New Roman" w:eastAsia="宋体" w:cs="Calibri"/>
          <w:i/>
          <w:color w:val="auto"/>
          <w:kern w:val="0"/>
          <w:sz w:val="24"/>
          <w:szCs w:val="20"/>
          <w:highlight w:val="none"/>
          <w:u w:val="none"/>
          <w:vertAlign w:val="subscript"/>
          <w:lang w:val="en-US" w:eastAsia="zh-CN"/>
        </w:rPr>
        <w:t>P</w:t>
      </w:r>
      <w:r>
        <w:rPr>
          <w:rFonts w:hint="eastAsia" w:ascii="Times New Roman" w:hAnsi="Times New Roman" w:eastAsia="宋体" w:cs="Calibri"/>
          <w:i/>
          <w:color w:val="auto"/>
          <w:kern w:val="0"/>
          <w:sz w:val="24"/>
          <w:szCs w:val="20"/>
          <w:highlight w:val="none"/>
          <w:u w:val="none"/>
        </w:rPr>
        <w:t>(r)</w:t>
      </w:r>
      <w:r>
        <w:rPr>
          <w:rFonts w:ascii="Times New Roman" w:hAnsi="Times New Roman" w:eastAsia="Yu Gothic Medium" w:cs="Times New Roman"/>
          <w:color w:val="auto"/>
          <w:kern w:val="0"/>
          <w:sz w:val="24"/>
          <w:szCs w:val="20"/>
          <w:highlight w:val="none"/>
          <w:u w:val="none"/>
        </w:rPr>
        <w:t xml:space="preserve"> ——</w:t>
      </w:r>
      <w:r>
        <w:rPr>
          <w:rFonts w:hint="eastAsia" w:ascii="Times New Roman" w:hAnsi="Times New Roman" w:eastAsia="宋体" w:cs="Times New Roman"/>
          <w:color w:val="auto"/>
          <w:kern w:val="0"/>
          <w:sz w:val="24"/>
          <w:szCs w:val="20"/>
          <w:highlight w:val="none"/>
          <w:u w:val="none"/>
          <w:lang w:val="en-US" w:eastAsia="zh-CN"/>
        </w:rPr>
        <w:t>预测点</w:t>
      </w:r>
      <w:r>
        <w:rPr>
          <w:rFonts w:hint="eastAsia" w:ascii="Times New Roman" w:hAnsi="Times New Roman" w:eastAsia="宋体" w:cs="Calibri"/>
          <w:color w:val="auto"/>
          <w:kern w:val="0"/>
          <w:sz w:val="24"/>
          <w:szCs w:val="20"/>
          <w:highlight w:val="none"/>
          <w:u w:val="none"/>
        </w:rPr>
        <w:t>处</w:t>
      </w:r>
      <w:r>
        <w:rPr>
          <w:rFonts w:hint="eastAsia" w:ascii="Times New Roman" w:hAnsi="Times New Roman" w:eastAsia="宋体" w:cs="Calibri"/>
          <w:color w:val="auto"/>
          <w:kern w:val="0"/>
          <w:sz w:val="24"/>
          <w:szCs w:val="20"/>
          <w:highlight w:val="none"/>
          <w:u w:val="none"/>
          <w:lang w:val="en-US" w:eastAsia="zh-CN"/>
        </w:rPr>
        <w:t>声压</w:t>
      </w:r>
      <w:r>
        <w:rPr>
          <w:rFonts w:hint="eastAsia" w:ascii="Times New Roman" w:hAnsi="Times New Roman" w:eastAsia="宋体" w:cs="Calibri"/>
          <w:color w:val="auto"/>
          <w:kern w:val="0"/>
          <w:sz w:val="24"/>
          <w:szCs w:val="20"/>
          <w:highlight w:val="none"/>
          <w:u w:val="none"/>
        </w:rPr>
        <w:t>级，</w:t>
      </w:r>
      <w:r>
        <w:rPr>
          <w:rFonts w:ascii="Times New Roman" w:hAnsi="Times New Roman" w:eastAsia="宋体" w:cs="Calibri"/>
          <w:color w:val="auto"/>
          <w:kern w:val="0"/>
          <w:sz w:val="24"/>
          <w:szCs w:val="20"/>
          <w:highlight w:val="none"/>
          <w:u w:val="none"/>
        </w:rPr>
        <w:t>dB</w:t>
      </w:r>
      <w:r>
        <w:rPr>
          <w:rFonts w:hint="eastAsia" w:ascii="Times New Roman" w:hAnsi="Times New Roman" w:eastAsia="宋体" w:cs="Calibri"/>
          <w:color w:val="auto"/>
          <w:kern w:val="0"/>
          <w:sz w:val="24"/>
          <w:szCs w:val="20"/>
          <w:highlight w:val="none"/>
          <w:u w:val="none"/>
        </w:rPr>
        <w:t>；</w:t>
      </w:r>
    </w:p>
    <w:p w14:paraId="2C7D766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color w:val="auto"/>
          <w:kern w:val="0"/>
          <w:sz w:val="24"/>
          <w:szCs w:val="20"/>
          <w:highlight w:val="none"/>
          <w:u w:val="none"/>
        </w:rPr>
      </w:pPr>
      <w:r>
        <w:rPr>
          <w:rFonts w:ascii="Times New Roman" w:hAnsi="Times New Roman" w:eastAsia="宋体" w:cs="Calibri"/>
          <w:color w:val="auto"/>
          <w:kern w:val="0"/>
          <w:sz w:val="24"/>
          <w:szCs w:val="20"/>
          <w:highlight w:val="none"/>
          <w:u w:val="none"/>
        </w:rPr>
        <w:t xml:space="preserve">      </w:t>
      </w:r>
      <w:r>
        <w:rPr>
          <w:rFonts w:hint="eastAsia" w:ascii="Times New Roman" w:hAnsi="Times New Roman" w:eastAsia="宋体" w:cs="Calibri"/>
          <w:i/>
          <w:color w:val="auto"/>
          <w:kern w:val="0"/>
          <w:sz w:val="24"/>
          <w:szCs w:val="20"/>
          <w:highlight w:val="none"/>
          <w:u w:val="none"/>
        </w:rPr>
        <w:t>L</w:t>
      </w:r>
      <w:r>
        <w:rPr>
          <w:rFonts w:hint="eastAsia" w:ascii="Times New Roman" w:hAnsi="Times New Roman" w:eastAsia="宋体" w:cs="Calibri"/>
          <w:i/>
          <w:color w:val="auto"/>
          <w:kern w:val="0"/>
          <w:sz w:val="24"/>
          <w:szCs w:val="20"/>
          <w:highlight w:val="none"/>
          <w:u w:val="none"/>
          <w:vertAlign w:val="subscript"/>
          <w:lang w:val="en-US" w:eastAsia="zh-CN"/>
        </w:rPr>
        <w:t>P</w:t>
      </w:r>
      <w:r>
        <w:rPr>
          <w:rFonts w:hint="eastAsia" w:ascii="Times New Roman" w:hAnsi="Times New Roman" w:eastAsia="宋体" w:cs="Calibri"/>
          <w:i/>
          <w:color w:val="auto"/>
          <w:kern w:val="0"/>
          <w:sz w:val="24"/>
          <w:szCs w:val="20"/>
          <w:highlight w:val="none"/>
          <w:u w:val="none"/>
        </w:rPr>
        <w:t>(r</w:t>
      </w:r>
      <w:r>
        <w:rPr>
          <w:rFonts w:hint="eastAsia" w:ascii="Times New Roman" w:hAnsi="Times New Roman" w:eastAsia="宋体" w:cs="Calibri"/>
          <w:i w:val="0"/>
          <w:iCs/>
          <w:color w:val="auto"/>
          <w:kern w:val="0"/>
          <w:sz w:val="24"/>
          <w:szCs w:val="20"/>
          <w:highlight w:val="none"/>
          <w:u w:val="none"/>
          <w:vertAlign w:val="subscript"/>
          <w:lang w:val="en-US" w:eastAsia="zh-CN"/>
        </w:rPr>
        <w:t>0</w:t>
      </w:r>
      <w:r>
        <w:rPr>
          <w:rFonts w:hint="eastAsia" w:ascii="Times New Roman" w:hAnsi="Times New Roman" w:eastAsia="宋体" w:cs="Calibri"/>
          <w:i/>
          <w:color w:val="auto"/>
          <w:kern w:val="0"/>
          <w:sz w:val="24"/>
          <w:szCs w:val="20"/>
          <w:highlight w:val="none"/>
          <w:u w:val="none"/>
        </w:rPr>
        <w:t>)</w:t>
      </w:r>
      <w:r>
        <w:rPr>
          <w:rFonts w:ascii="Times New Roman" w:hAnsi="Times New Roman" w:eastAsia="Yu Gothic Medium" w:cs="Times New Roman"/>
          <w:color w:val="auto"/>
          <w:kern w:val="0"/>
          <w:sz w:val="24"/>
          <w:szCs w:val="20"/>
          <w:highlight w:val="none"/>
          <w:u w:val="none"/>
        </w:rPr>
        <w:t xml:space="preserve"> </w:t>
      </w:r>
      <w:r>
        <w:rPr>
          <w:rFonts w:ascii="Times New Roman" w:hAnsi="Times New Roman" w:eastAsia="宋体" w:cs="Times New Roman"/>
          <w:color w:val="auto"/>
          <w:kern w:val="0"/>
          <w:sz w:val="24"/>
          <w:szCs w:val="20"/>
          <w:highlight w:val="none"/>
          <w:u w:val="none"/>
        </w:rPr>
        <w:t>——</w:t>
      </w:r>
      <w:r>
        <w:rPr>
          <w:rFonts w:hint="eastAsia" w:ascii="Times New Roman" w:hAnsi="Times New Roman" w:eastAsia="宋体" w:cs="Times New Roman"/>
          <w:color w:val="auto"/>
          <w:kern w:val="0"/>
          <w:sz w:val="24"/>
          <w:szCs w:val="20"/>
          <w:highlight w:val="none"/>
          <w:u w:val="none"/>
          <w:lang w:val="en-US" w:eastAsia="zh-CN"/>
        </w:rPr>
        <w:t>参考位置</w:t>
      </w:r>
      <w:r>
        <w:rPr>
          <w:rFonts w:hint="eastAsia" w:ascii="Times New Roman" w:hAnsi="Times New Roman" w:eastAsia="宋体" w:cs="Times New Roman"/>
          <w:i/>
          <w:iCs/>
          <w:color w:val="auto"/>
          <w:kern w:val="0"/>
          <w:sz w:val="24"/>
          <w:szCs w:val="20"/>
          <w:highlight w:val="none"/>
          <w:u w:val="none"/>
          <w:lang w:val="en-US" w:eastAsia="zh-CN"/>
        </w:rPr>
        <w:t>r</w:t>
      </w:r>
      <w:r>
        <w:rPr>
          <w:rFonts w:hint="eastAsia" w:ascii="Times New Roman" w:hAnsi="Times New Roman" w:eastAsia="宋体" w:cs="Times New Roman"/>
          <w:i w:val="0"/>
          <w:iCs w:val="0"/>
          <w:color w:val="auto"/>
          <w:kern w:val="0"/>
          <w:sz w:val="24"/>
          <w:szCs w:val="20"/>
          <w:highlight w:val="none"/>
          <w:u w:val="none"/>
          <w:vertAlign w:val="subscript"/>
          <w:lang w:val="en-US" w:eastAsia="zh-CN"/>
        </w:rPr>
        <w:t>0</w:t>
      </w:r>
      <w:r>
        <w:rPr>
          <w:rFonts w:hint="eastAsia" w:ascii="Times New Roman" w:hAnsi="Times New Roman" w:eastAsia="宋体" w:cs="Times New Roman"/>
          <w:i w:val="0"/>
          <w:iCs w:val="0"/>
          <w:color w:val="auto"/>
          <w:kern w:val="0"/>
          <w:sz w:val="24"/>
          <w:szCs w:val="20"/>
          <w:highlight w:val="none"/>
          <w:u w:val="none"/>
          <w:vertAlign w:val="baseline"/>
          <w:lang w:val="en-US" w:eastAsia="zh-CN"/>
        </w:rPr>
        <w:t>处的声压级</w:t>
      </w:r>
      <w:r>
        <w:rPr>
          <w:rFonts w:ascii="Times New Roman" w:hAnsi="Times New Roman" w:eastAsia="宋体" w:cs="Times New Roman"/>
          <w:color w:val="auto"/>
          <w:kern w:val="0"/>
          <w:sz w:val="24"/>
          <w:szCs w:val="20"/>
          <w:highlight w:val="none"/>
          <w:u w:val="none"/>
        </w:rPr>
        <w:t>，dB；</w:t>
      </w:r>
    </w:p>
    <w:p w14:paraId="21D102A3">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eastAsia" w:ascii="Times New Roman" w:hAnsi="Times New Roman" w:eastAsia="宋体" w:cs="Times New Roman"/>
          <w:color w:val="auto"/>
          <w:kern w:val="0"/>
          <w:sz w:val="24"/>
          <w:szCs w:val="20"/>
          <w:highlight w:val="none"/>
          <w:u w:val="none"/>
          <w:lang w:val="en-US" w:eastAsia="zh-CN"/>
        </w:rPr>
      </w:pPr>
      <w:r>
        <w:rPr>
          <w:rFonts w:hint="eastAsia" w:ascii="Times New Roman" w:hAnsi="Times New Roman" w:eastAsia="宋体" w:cs="Calibri"/>
          <w:i/>
          <w:color w:val="auto"/>
          <w:kern w:val="0"/>
          <w:sz w:val="24"/>
          <w:szCs w:val="20"/>
          <w:highlight w:val="none"/>
          <w:u w:val="none"/>
        </w:rPr>
        <w:t>L</w:t>
      </w:r>
      <w:r>
        <w:rPr>
          <w:rFonts w:hint="eastAsia" w:ascii="Times New Roman" w:hAnsi="Times New Roman" w:eastAsia="宋体" w:cs="Calibri"/>
          <w:i/>
          <w:color w:val="auto"/>
          <w:kern w:val="0"/>
          <w:sz w:val="24"/>
          <w:szCs w:val="20"/>
          <w:highlight w:val="none"/>
          <w:u w:val="none"/>
          <w:vertAlign w:val="subscript"/>
          <w:lang w:val="en-US" w:eastAsia="zh-CN"/>
        </w:rPr>
        <w:t>w</w:t>
      </w:r>
      <w:r>
        <w:rPr>
          <w:rFonts w:ascii="Times New Roman" w:hAnsi="Times New Roman" w:eastAsia="Yu Gothic Medium" w:cs="Times New Roman"/>
          <w:color w:val="auto"/>
          <w:kern w:val="0"/>
          <w:sz w:val="24"/>
          <w:szCs w:val="20"/>
          <w:highlight w:val="none"/>
          <w:u w:val="none"/>
        </w:rPr>
        <w:t xml:space="preserve"> ——</w:t>
      </w:r>
      <w:r>
        <w:rPr>
          <w:rFonts w:hint="eastAsia" w:ascii="Times New Roman" w:hAnsi="Times New Roman" w:eastAsia="宋体" w:cs="Times New Roman"/>
          <w:color w:val="auto"/>
          <w:kern w:val="0"/>
          <w:sz w:val="24"/>
          <w:szCs w:val="20"/>
          <w:highlight w:val="none"/>
          <w:u w:val="none"/>
          <w:lang w:val="en-US" w:eastAsia="zh-CN"/>
        </w:rPr>
        <w:t>点声源产生的声功率级，dB；</w:t>
      </w:r>
    </w:p>
    <w:p w14:paraId="5DDBFDB0">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Calibri"/>
          <w:i/>
          <w:color w:val="auto"/>
          <w:kern w:val="0"/>
          <w:sz w:val="24"/>
          <w:szCs w:val="20"/>
          <w:highlight w:val="none"/>
          <w:u w:val="none"/>
          <w:lang w:val="en-US" w:eastAsia="zh-CN"/>
        </w:rPr>
      </w:pPr>
      <w:r>
        <w:rPr>
          <w:rFonts w:hint="eastAsia" w:ascii="Times New Roman" w:hAnsi="Times New Roman" w:eastAsia="宋体" w:cs="Calibri"/>
          <w:i/>
          <w:color w:val="auto"/>
          <w:kern w:val="0"/>
          <w:sz w:val="24"/>
          <w:szCs w:val="20"/>
          <w:highlight w:val="none"/>
          <w:u w:val="none"/>
          <w:lang w:val="en-US" w:eastAsia="zh-CN"/>
        </w:rPr>
        <w:t>D</w:t>
      </w:r>
      <w:r>
        <w:rPr>
          <w:rFonts w:hint="eastAsia" w:ascii="Times New Roman" w:hAnsi="Times New Roman" w:eastAsia="宋体" w:cs="Calibri"/>
          <w:i/>
          <w:color w:val="auto"/>
          <w:kern w:val="0"/>
          <w:sz w:val="24"/>
          <w:szCs w:val="20"/>
          <w:highlight w:val="none"/>
          <w:u w:val="none"/>
          <w:vertAlign w:val="subscript"/>
          <w:lang w:val="en-US" w:eastAsia="zh-CN"/>
        </w:rPr>
        <w:t>C</w:t>
      </w:r>
      <w:r>
        <w:rPr>
          <w:rFonts w:ascii="Times New Roman" w:hAnsi="Times New Roman" w:eastAsia="Yu Gothic Medium" w:cs="Times New Roman"/>
          <w:color w:val="auto"/>
          <w:kern w:val="0"/>
          <w:sz w:val="24"/>
          <w:szCs w:val="20"/>
          <w:highlight w:val="none"/>
          <w:u w:val="none"/>
        </w:rPr>
        <w:t>——</w:t>
      </w:r>
      <w:r>
        <w:rPr>
          <w:rFonts w:hint="eastAsia" w:ascii="Times New Roman" w:hAnsi="Times New Roman" w:eastAsia="宋体" w:cs="Times New Roman"/>
          <w:color w:val="auto"/>
          <w:kern w:val="0"/>
          <w:sz w:val="24"/>
          <w:szCs w:val="20"/>
          <w:highlight w:val="none"/>
          <w:u w:val="none"/>
          <w:lang w:val="en-US" w:eastAsia="zh-CN"/>
        </w:rPr>
        <w:t>指向性校正，dB；</w:t>
      </w:r>
    </w:p>
    <w:p w14:paraId="6942E2D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Calibri"/>
          <w:color w:val="auto"/>
          <w:kern w:val="0"/>
          <w:sz w:val="24"/>
          <w:szCs w:val="20"/>
          <w:highlight w:val="none"/>
          <w:u w:val="none"/>
        </w:rPr>
      </w:pPr>
      <w:r>
        <w:rPr>
          <w:rFonts w:ascii="Times New Roman" w:hAnsi="Times New Roman" w:eastAsia="宋体" w:cs="Calibri"/>
          <w:color w:val="auto"/>
          <w:kern w:val="0"/>
          <w:sz w:val="24"/>
          <w:szCs w:val="20"/>
          <w:highlight w:val="none"/>
          <w:u w:val="none"/>
        </w:rPr>
        <w:t xml:space="preserve">      </w:t>
      </w:r>
      <w:r>
        <w:rPr>
          <w:rFonts w:hint="eastAsia" w:ascii="Times New Roman" w:hAnsi="Times New Roman" w:eastAsia="宋体" w:cs="Calibri"/>
          <w:i/>
          <w:color w:val="auto"/>
          <w:kern w:val="0"/>
          <w:sz w:val="24"/>
          <w:szCs w:val="20"/>
          <w:highlight w:val="none"/>
          <w:u w:val="none"/>
        </w:rPr>
        <w:t>A</w:t>
      </w:r>
      <w:r>
        <w:rPr>
          <w:rFonts w:hint="eastAsia" w:ascii="Times New Roman" w:hAnsi="Times New Roman" w:eastAsia="宋体" w:cs="Calibri"/>
          <w:i/>
          <w:color w:val="auto"/>
          <w:kern w:val="0"/>
          <w:sz w:val="24"/>
          <w:szCs w:val="20"/>
          <w:highlight w:val="none"/>
          <w:u w:val="none"/>
          <w:vertAlign w:val="subscript"/>
        </w:rPr>
        <w:t>div</w:t>
      </w:r>
      <w:r>
        <w:rPr>
          <w:rFonts w:ascii="Times New Roman" w:hAnsi="Times New Roman" w:eastAsia="Yu Gothic Medium" w:cs="Times New Roman"/>
          <w:color w:val="auto"/>
          <w:kern w:val="0"/>
          <w:sz w:val="24"/>
          <w:szCs w:val="20"/>
          <w:highlight w:val="none"/>
          <w:u w:val="none"/>
        </w:rPr>
        <w:t>——</w:t>
      </w:r>
      <w:r>
        <w:rPr>
          <w:rFonts w:hint="eastAsia" w:ascii="Times New Roman" w:hAnsi="Times New Roman" w:eastAsia="宋体" w:cs="Calibri"/>
          <w:color w:val="auto"/>
          <w:kern w:val="0"/>
          <w:sz w:val="24"/>
          <w:szCs w:val="20"/>
          <w:highlight w:val="none"/>
          <w:u w:val="none"/>
        </w:rPr>
        <w:t>几何发散引起的衰减，</w:t>
      </w:r>
      <w:r>
        <w:rPr>
          <w:rFonts w:ascii="Times New Roman" w:hAnsi="Times New Roman" w:eastAsia="宋体" w:cs="Calibri"/>
          <w:color w:val="auto"/>
          <w:kern w:val="0"/>
          <w:sz w:val="24"/>
          <w:szCs w:val="20"/>
          <w:highlight w:val="none"/>
          <w:u w:val="none"/>
        </w:rPr>
        <w:t>dB</w:t>
      </w:r>
      <w:r>
        <w:rPr>
          <w:rFonts w:hint="eastAsia" w:ascii="Times New Roman" w:hAnsi="Times New Roman" w:eastAsia="宋体" w:cs="Calibri"/>
          <w:color w:val="auto"/>
          <w:kern w:val="0"/>
          <w:sz w:val="24"/>
          <w:szCs w:val="20"/>
          <w:highlight w:val="none"/>
          <w:u w:val="none"/>
        </w:rPr>
        <w:t>；</w:t>
      </w:r>
    </w:p>
    <w:p w14:paraId="76B7D2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Calibri"/>
          <w:color w:val="auto"/>
          <w:kern w:val="0"/>
          <w:sz w:val="24"/>
          <w:szCs w:val="20"/>
          <w:highlight w:val="none"/>
          <w:u w:val="none"/>
        </w:rPr>
      </w:pPr>
      <w:r>
        <w:rPr>
          <w:rFonts w:ascii="Times New Roman" w:hAnsi="Times New Roman" w:eastAsia="宋体" w:cs="Calibri"/>
          <w:color w:val="auto"/>
          <w:kern w:val="0"/>
          <w:sz w:val="24"/>
          <w:szCs w:val="20"/>
          <w:highlight w:val="none"/>
          <w:u w:val="none"/>
        </w:rPr>
        <w:t xml:space="preserve">     </w:t>
      </w:r>
      <w:r>
        <w:rPr>
          <w:rFonts w:hint="eastAsia" w:ascii="Times New Roman" w:hAnsi="Times New Roman" w:eastAsia="宋体" w:cs="Calibri"/>
          <w:color w:val="auto"/>
          <w:kern w:val="0"/>
          <w:sz w:val="24"/>
          <w:szCs w:val="20"/>
          <w:highlight w:val="none"/>
          <w:u w:val="none"/>
        </w:rPr>
        <w:t xml:space="preserve"> </w:t>
      </w:r>
      <w:r>
        <w:rPr>
          <w:rFonts w:hint="eastAsia" w:ascii="Times New Roman" w:hAnsi="Times New Roman" w:eastAsia="宋体" w:cs="Calibri"/>
          <w:i/>
          <w:color w:val="auto"/>
          <w:kern w:val="0"/>
          <w:sz w:val="24"/>
          <w:szCs w:val="20"/>
          <w:highlight w:val="none"/>
          <w:u w:val="none"/>
        </w:rPr>
        <w:t>A</w:t>
      </w:r>
      <w:r>
        <w:rPr>
          <w:rFonts w:hint="eastAsia" w:ascii="Times New Roman" w:hAnsi="Times New Roman" w:eastAsia="宋体" w:cs="Calibri"/>
          <w:i/>
          <w:color w:val="auto"/>
          <w:kern w:val="0"/>
          <w:sz w:val="24"/>
          <w:szCs w:val="20"/>
          <w:highlight w:val="none"/>
          <w:u w:val="none"/>
          <w:vertAlign w:val="subscript"/>
        </w:rPr>
        <w:t>gr</w:t>
      </w:r>
      <w:r>
        <w:rPr>
          <w:rFonts w:ascii="Times New Roman" w:hAnsi="Times New Roman" w:eastAsia="Yu Gothic Medium" w:cs="Times New Roman"/>
          <w:color w:val="auto"/>
          <w:kern w:val="0"/>
          <w:sz w:val="24"/>
          <w:szCs w:val="20"/>
          <w:highlight w:val="none"/>
          <w:u w:val="none"/>
        </w:rPr>
        <w:t>——</w:t>
      </w:r>
      <w:r>
        <w:rPr>
          <w:rFonts w:hint="eastAsia" w:ascii="Times New Roman" w:hAnsi="Times New Roman" w:eastAsia="宋体" w:cs="Calibri"/>
          <w:color w:val="auto"/>
          <w:kern w:val="0"/>
          <w:sz w:val="24"/>
          <w:szCs w:val="20"/>
          <w:highlight w:val="none"/>
          <w:u w:val="none"/>
        </w:rPr>
        <w:t>地面效应引起的衰减，</w:t>
      </w:r>
      <w:r>
        <w:rPr>
          <w:rFonts w:ascii="Times New Roman" w:hAnsi="Times New Roman" w:eastAsia="宋体" w:cs="Calibri"/>
          <w:color w:val="auto"/>
          <w:kern w:val="0"/>
          <w:sz w:val="24"/>
          <w:szCs w:val="20"/>
          <w:highlight w:val="none"/>
          <w:u w:val="none"/>
        </w:rPr>
        <w:t>dB</w:t>
      </w:r>
      <w:r>
        <w:rPr>
          <w:rFonts w:hint="eastAsia" w:ascii="Times New Roman" w:hAnsi="Times New Roman" w:eastAsia="宋体" w:cs="Calibri"/>
          <w:color w:val="auto"/>
          <w:kern w:val="0"/>
          <w:sz w:val="24"/>
          <w:szCs w:val="20"/>
          <w:highlight w:val="none"/>
          <w:u w:val="none"/>
        </w:rPr>
        <w:t>；</w:t>
      </w:r>
    </w:p>
    <w:p w14:paraId="5C158A3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Calibri"/>
          <w:color w:val="auto"/>
          <w:kern w:val="0"/>
          <w:sz w:val="24"/>
          <w:szCs w:val="20"/>
          <w:highlight w:val="none"/>
          <w:u w:val="none"/>
        </w:rPr>
      </w:pPr>
      <w:r>
        <w:rPr>
          <w:rFonts w:ascii="Times New Roman" w:hAnsi="Times New Roman" w:eastAsia="宋体" w:cs="Calibri"/>
          <w:color w:val="auto"/>
          <w:kern w:val="0"/>
          <w:sz w:val="24"/>
          <w:szCs w:val="20"/>
          <w:highlight w:val="none"/>
          <w:u w:val="none"/>
        </w:rPr>
        <w:t xml:space="preserve">      </w:t>
      </w:r>
      <w:r>
        <w:rPr>
          <w:rFonts w:hint="eastAsia" w:ascii="Times New Roman" w:hAnsi="Times New Roman" w:eastAsia="宋体" w:cs="Calibri"/>
          <w:i/>
          <w:color w:val="auto"/>
          <w:kern w:val="0"/>
          <w:sz w:val="24"/>
          <w:szCs w:val="20"/>
          <w:highlight w:val="none"/>
          <w:u w:val="none"/>
        </w:rPr>
        <w:t>A</w:t>
      </w:r>
      <w:r>
        <w:rPr>
          <w:rFonts w:hint="eastAsia" w:ascii="Times New Roman" w:hAnsi="Times New Roman" w:eastAsia="宋体" w:cs="Calibri"/>
          <w:i/>
          <w:color w:val="auto"/>
          <w:kern w:val="0"/>
          <w:sz w:val="24"/>
          <w:szCs w:val="20"/>
          <w:highlight w:val="none"/>
          <w:u w:val="none"/>
          <w:vertAlign w:val="subscript"/>
        </w:rPr>
        <w:t>atm</w:t>
      </w:r>
      <w:r>
        <w:rPr>
          <w:rFonts w:ascii="Times New Roman" w:hAnsi="Times New Roman" w:eastAsia="Yu Gothic Medium" w:cs="Times New Roman"/>
          <w:color w:val="auto"/>
          <w:kern w:val="0"/>
          <w:sz w:val="24"/>
          <w:szCs w:val="20"/>
          <w:highlight w:val="none"/>
          <w:u w:val="none"/>
        </w:rPr>
        <w:t>——</w:t>
      </w:r>
      <w:r>
        <w:rPr>
          <w:rFonts w:hint="eastAsia" w:ascii="Times New Roman" w:hAnsi="Times New Roman" w:eastAsia="宋体" w:cs="Calibri"/>
          <w:color w:val="auto"/>
          <w:kern w:val="0"/>
          <w:sz w:val="24"/>
          <w:szCs w:val="20"/>
          <w:highlight w:val="none"/>
          <w:u w:val="none"/>
        </w:rPr>
        <w:t>大气吸收引起的衰减，</w:t>
      </w:r>
      <w:r>
        <w:rPr>
          <w:rFonts w:ascii="Times New Roman" w:hAnsi="Times New Roman" w:eastAsia="宋体" w:cs="Calibri"/>
          <w:color w:val="auto"/>
          <w:kern w:val="0"/>
          <w:sz w:val="24"/>
          <w:szCs w:val="20"/>
          <w:highlight w:val="none"/>
          <w:u w:val="none"/>
        </w:rPr>
        <w:t>dB</w:t>
      </w:r>
      <w:r>
        <w:rPr>
          <w:rFonts w:hint="eastAsia" w:ascii="Times New Roman" w:hAnsi="Times New Roman" w:eastAsia="宋体" w:cs="Calibri"/>
          <w:color w:val="auto"/>
          <w:kern w:val="0"/>
          <w:sz w:val="24"/>
          <w:szCs w:val="20"/>
          <w:highlight w:val="none"/>
          <w:u w:val="none"/>
        </w:rPr>
        <w:t>；</w:t>
      </w:r>
    </w:p>
    <w:p w14:paraId="440C64AA">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ascii="Times New Roman" w:hAnsi="Times New Roman" w:eastAsia="宋体" w:cs="Calibri"/>
          <w:color w:val="auto"/>
          <w:kern w:val="0"/>
          <w:sz w:val="24"/>
          <w:szCs w:val="20"/>
          <w:highlight w:val="none"/>
          <w:u w:val="none"/>
        </w:rPr>
      </w:pPr>
      <w:r>
        <w:rPr>
          <w:rFonts w:hint="eastAsia" w:ascii="Times New Roman" w:hAnsi="Times New Roman" w:eastAsia="宋体" w:cs="Calibri"/>
          <w:i/>
          <w:color w:val="auto"/>
          <w:kern w:val="0"/>
          <w:sz w:val="24"/>
          <w:szCs w:val="20"/>
          <w:highlight w:val="none"/>
          <w:u w:val="none"/>
        </w:rPr>
        <w:t>A</w:t>
      </w:r>
      <w:r>
        <w:rPr>
          <w:rFonts w:hint="eastAsia" w:ascii="Times New Roman" w:hAnsi="Times New Roman" w:eastAsia="宋体" w:cs="Calibri"/>
          <w:i/>
          <w:color w:val="auto"/>
          <w:kern w:val="0"/>
          <w:sz w:val="24"/>
          <w:szCs w:val="20"/>
          <w:highlight w:val="none"/>
          <w:u w:val="none"/>
          <w:vertAlign w:val="subscript"/>
        </w:rPr>
        <w:t>bar</w:t>
      </w:r>
      <w:r>
        <w:rPr>
          <w:rFonts w:ascii="Times New Roman" w:hAnsi="Times New Roman" w:eastAsia="Yu Gothic Medium" w:cs="Times New Roman"/>
          <w:color w:val="auto"/>
          <w:kern w:val="0"/>
          <w:sz w:val="24"/>
          <w:szCs w:val="20"/>
          <w:highlight w:val="none"/>
          <w:u w:val="none"/>
        </w:rPr>
        <w:t>——</w:t>
      </w:r>
      <w:r>
        <w:rPr>
          <w:rFonts w:hint="eastAsia" w:ascii="Times New Roman" w:hAnsi="Times New Roman" w:eastAsia="宋体" w:cs="Calibri"/>
          <w:color w:val="auto"/>
          <w:kern w:val="0"/>
          <w:sz w:val="24"/>
          <w:szCs w:val="20"/>
          <w:highlight w:val="none"/>
          <w:u w:val="none"/>
        </w:rPr>
        <w:t>障碍物屏蔽引起的衰减，</w:t>
      </w:r>
      <w:r>
        <w:rPr>
          <w:rFonts w:ascii="Times New Roman" w:hAnsi="Times New Roman" w:eastAsia="宋体" w:cs="Calibri"/>
          <w:color w:val="auto"/>
          <w:kern w:val="0"/>
          <w:sz w:val="24"/>
          <w:szCs w:val="20"/>
          <w:highlight w:val="none"/>
          <w:u w:val="none"/>
        </w:rPr>
        <w:t>dB</w:t>
      </w:r>
      <w:r>
        <w:rPr>
          <w:rFonts w:hint="eastAsia" w:ascii="Times New Roman" w:hAnsi="Times New Roman" w:eastAsia="宋体" w:cs="Calibri"/>
          <w:color w:val="auto"/>
          <w:kern w:val="0"/>
          <w:sz w:val="24"/>
          <w:szCs w:val="20"/>
          <w:highlight w:val="none"/>
          <w:u w:val="none"/>
        </w:rPr>
        <w:t>；</w:t>
      </w:r>
    </w:p>
    <w:p w14:paraId="769E5B23">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Calibri"/>
          <w:color w:val="auto"/>
          <w:kern w:val="0"/>
          <w:sz w:val="24"/>
          <w:szCs w:val="20"/>
          <w:highlight w:val="none"/>
          <w:u w:val="none"/>
        </w:rPr>
      </w:pPr>
      <w:r>
        <w:rPr>
          <w:rFonts w:hint="eastAsia" w:ascii="Times New Roman" w:hAnsi="Times New Roman" w:eastAsia="宋体" w:cs="Calibri"/>
          <w:i/>
          <w:color w:val="auto"/>
          <w:kern w:val="0"/>
          <w:sz w:val="24"/>
          <w:szCs w:val="20"/>
          <w:highlight w:val="none"/>
          <w:u w:val="none"/>
        </w:rPr>
        <w:t>A</w:t>
      </w:r>
      <w:r>
        <w:rPr>
          <w:rFonts w:hint="eastAsia" w:ascii="Times New Roman" w:hAnsi="Times New Roman" w:eastAsia="宋体" w:cs="Calibri"/>
          <w:i/>
          <w:color w:val="auto"/>
          <w:kern w:val="0"/>
          <w:sz w:val="24"/>
          <w:szCs w:val="20"/>
          <w:highlight w:val="none"/>
          <w:u w:val="none"/>
          <w:vertAlign w:val="subscript"/>
        </w:rPr>
        <w:t>misc</w:t>
      </w:r>
      <w:r>
        <w:rPr>
          <w:rFonts w:ascii="Times New Roman" w:hAnsi="Times New Roman" w:eastAsia="Yu Gothic Medium" w:cs="Times New Roman"/>
          <w:color w:val="auto"/>
          <w:kern w:val="0"/>
          <w:sz w:val="24"/>
          <w:szCs w:val="20"/>
          <w:highlight w:val="none"/>
          <w:u w:val="none"/>
        </w:rPr>
        <w:t>——</w:t>
      </w:r>
      <w:r>
        <w:rPr>
          <w:rFonts w:hint="eastAsia" w:ascii="Times New Roman" w:hAnsi="Times New Roman" w:eastAsia="宋体" w:cs="Calibri"/>
          <w:color w:val="auto"/>
          <w:kern w:val="0"/>
          <w:sz w:val="24"/>
          <w:szCs w:val="20"/>
          <w:highlight w:val="none"/>
          <w:u w:val="none"/>
        </w:rPr>
        <w:t>其他多方面效应引起的衰减，</w:t>
      </w:r>
      <w:r>
        <w:rPr>
          <w:rFonts w:ascii="Times New Roman" w:hAnsi="Times New Roman" w:eastAsia="宋体" w:cs="Calibri"/>
          <w:color w:val="auto"/>
          <w:kern w:val="0"/>
          <w:sz w:val="24"/>
          <w:szCs w:val="20"/>
          <w:highlight w:val="none"/>
          <w:u w:val="none"/>
        </w:rPr>
        <w:t>dB</w:t>
      </w:r>
      <w:r>
        <w:rPr>
          <w:rFonts w:hint="eastAsia" w:ascii="Times New Roman" w:hAnsi="Times New Roman" w:eastAsia="宋体" w:cs="Calibri"/>
          <w:color w:val="auto"/>
          <w:kern w:val="0"/>
          <w:sz w:val="24"/>
          <w:szCs w:val="20"/>
          <w:highlight w:val="none"/>
          <w:u w:val="none"/>
        </w:rPr>
        <w:t>。</w:t>
      </w:r>
    </w:p>
    <w:p w14:paraId="21161384">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6</w:t>
      </w:r>
      <w:r>
        <w:rPr>
          <w:rFonts w:hint="eastAsia" w:ascii="宋体" w:hAnsi="宋体" w:eastAsia="宋体" w:cs="宋体"/>
          <w:color w:val="auto"/>
          <w:u w:val="none"/>
          <w:lang w:val="en-US" w:eastAsia="zh-CN"/>
        </w:rPr>
        <w:t xml:space="preserve">.2.3 </w:t>
      </w:r>
      <w:r>
        <w:rPr>
          <w:rFonts w:hint="default" w:ascii="宋体" w:hAnsi="宋体" w:eastAsia="宋体" w:cs="宋体"/>
          <w:color w:val="auto"/>
          <w:u w:val="none"/>
          <w:lang w:val="en-US" w:eastAsia="zh-CN"/>
        </w:rPr>
        <w:t>预测条件概化</w:t>
      </w:r>
    </w:p>
    <w:p w14:paraId="17B6EDDC">
      <w:pPr>
        <w:keepNext w:val="0"/>
        <w:keepLines w:val="0"/>
        <w:pageBreakBefore w:val="0"/>
        <w:widowControl w:val="0"/>
        <w:kinsoku/>
        <w:wordWrap/>
        <w:overflowPunct/>
        <w:topLinePunct w:val="0"/>
        <w:autoSpaceDE/>
        <w:autoSpaceDN/>
        <w:bidi w:val="0"/>
        <w:spacing w:line="480" w:lineRule="exact"/>
        <w:ind w:firstLine="482"/>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本工程</w:t>
      </w:r>
      <w:r>
        <w:rPr>
          <w:rFonts w:hint="default" w:ascii="Times New Roman" w:hAnsi="Times New Roman" w:eastAsia="宋体" w:cs="Times New Roman"/>
          <w:color w:val="auto"/>
          <w:sz w:val="24"/>
          <w:szCs w:val="24"/>
          <w:highlight w:val="none"/>
          <w:u w:val="none"/>
          <w:lang w:val="en-US" w:eastAsia="zh-CN"/>
        </w:rPr>
        <w:t>主要为室</w:t>
      </w:r>
      <w:r>
        <w:rPr>
          <w:rFonts w:hint="eastAsia" w:ascii="Times New Roman" w:hAnsi="Times New Roman" w:eastAsia="宋体" w:cs="Times New Roman"/>
          <w:color w:val="auto"/>
          <w:sz w:val="24"/>
          <w:szCs w:val="24"/>
          <w:highlight w:val="none"/>
          <w:u w:val="none"/>
          <w:lang w:val="en-US" w:eastAsia="zh-CN"/>
        </w:rPr>
        <w:t>外</w:t>
      </w:r>
      <w:r>
        <w:rPr>
          <w:rFonts w:hint="default" w:ascii="Times New Roman" w:hAnsi="Times New Roman" w:eastAsia="宋体" w:cs="Times New Roman"/>
          <w:color w:val="auto"/>
          <w:sz w:val="24"/>
          <w:szCs w:val="24"/>
          <w:highlight w:val="none"/>
          <w:u w:val="none"/>
          <w:lang w:val="en-US" w:eastAsia="zh-CN"/>
        </w:rPr>
        <w:t>声源，根据室</w:t>
      </w:r>
      <w:r>
        <w:rPr>
          <w:rFonts w:hint="eastAsia" w:ascii="Times New Roman" w:hAnsi="Times New Roman" w:eastAsia="宋体" w:cs="Times New Roman"/>
          <w:color w:val="auto"/>
          <w:sz w:val="24"/>
          <w:szCs w:val="24"/>
          <w:highlight w:val="none"/>
          <w:u w:val="none"/>
          <w:lang w:val="en-US" w:eastAsia="zh-CN"/>
        </w:rPr>
        <w:t>外</w:t>
      </w:r>
      <w:r>
        <w:rPr>
          <w:rFonts w:hint="default" w:ascii="Times New Roman" w:hAnsi="Times New Roman" w:eastAsia="宋体" w:cs="Times New Roman"/>
          <w:color w:val="auto"/>
          <w:sz w:val="24"/>
          <w:szCs w:val="24"/>
          <w:highlight w:val="none"/>
          <w:u w:val="none"/>
          <w:lang w:val="en-US" w:eastAsia="zh-CN"/>
        </w:rPr>
        <w:t>点声源对厂界噪声预测点贡献值预测模式，计算预测值。</w:t>
      </w:r>
      <w:r>
        <w:rPr>
          <w:rFonts w:hint="eastAsia" w:ascii="Times New Roman" w:hAnsi="Times New Roman" w:eastAsia="宋体" w:cs="Times New Roman"/>
          <w:color w:val="auto"/>
          <w:sz w:val="24"/>
          <w:szCs w:val="24"/>
          <w:highlight w:val="none"/>
          <w:u w:val="none"/>
          <w:lang w:val="en-US" w:eastAsia="zh-CN"/>
        </w:rPr>
        <w:t>本工程</w:t>
      </w:r>
      <w:r>
        <w:rPr>
          <w:rFonts w:hint="default" w:ascii="Times New Roman" w:hAnsi="Times New Roman" w:eastAsia="宋体" w:cs="Times New Roman"/>
          <w:color w:val="auto"/>
          <w:sz w:val="24"/>
          <w:szCs w:val="24"/>
          <w:highlight w:val="none"/>
          <w:u w:val="none"/>
          <w:lang w:val="en-US" w:eastAsia="zh-CN"/>
        </w:rPr>
        <w:t>预测条件概化如下：</w:t>
      </w:r>
    </w:p>
    <w:p w14:paraId="5A637013">
      <w:pPr>
        <w:keepNext w:val="0"/>
        <w:keepLines w:val="0"/>
        <w:pageBreakBefore w:val="0"/>
        <w:widowControl w:val="0"/>
        <w:kinsoku/>
        <w:wordWrap/>
        <w:overflowPunct/>
        <w:topLinePunct w:val="0"/>
        <w:autoSpaceDE/>
        <w:autoSpaceDN/>
        <w:bidi w:val="0"/>
        <w:spacing w:line="480" w:lineRule="exact"/>
        <w:ind w:firstLine="482"/>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产噪设备均在正常工况条件下连续运行；</w:t>
      </w:r>
    </w:p>
    <w:p w14:paraId="68EE6CC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为简化计算工作，预测计算中</w:t>
      </w:r>
      <w:r>
        <w:rPr>
          <w:rFonts w:hint="eastAsia" w:ascii="Times New Roman" w:hAnsi="Times New Roman" w:eastAsia="宋体" w:cs="Times New Roman"/>
          <w:color w:val="auto"/>
          <w:sz w:val="24"/>
          <w:szCs w:val="24"/>
          <w:highlight w:val="none"/>
          <w:u w:val="none"/>
          <w:lang w:val="en-US" w:eastAsia="zh-CN"/>
        </w:rPr>
        <w:t>主要</w:t>
      </w:r>
      <w:r>
        <w:rPr>
          <w:rFonts w:hint="default" w:ascii="Times New Roman" w:hAnsi="Times New Roman" w:eastAsia="宋体" w:cs="Times New Roman"/>
          <w:color w:val="auto"/>
          <w:sz w:val="24"/>
          <w:szCs w:val="24"/>
          <w:highlight w:val="none"/>
          <w:u w:val="none"/>
          <w:lang w:val="en-US" w:eastAsia="zh-CN"/>
        </w:rPr>
        <w:t>考虑厂区内声源至受声点（预测点）的距离衰减作用。声源由于空气吸收引起的衰减以及由于云、雾、温度梯度、风及地面其它效应等引起的衰减，因衰减量不大，本次计算忽略不计。</w:t>
      </w:r>
    </w:p>
    <w:p w14:paraId="1CBA99BE">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6</w:t>
      </w:r>
      <w:r>
        <w:rPr>
          <w:rFonts w:hint="eastAsia" w:ascii="宋体" w:hAnsi="宋体" w:eastAsia="宋体" w:cs="宋体"/>
          <w:color w:val="auto"/>
          <w:u w:val="none"/>
          <w:lang w:val="en-US" w:eastAsia="zh-CN"/>
        </w:rPr>
        <w:t xml:space="preserve">.2.4 </w:t>
      </w:r>
      <w:r>
        <w:rPr>
          <w:rFonts w:hint="default" w:ascii="宋体" w:hAnsi="宋体" w:eastAsia="宋体" w:cs="宋体"/>
          <w:color w:val="auto"/>
          <w:u w:val="none"/>
          <w:lang w:val="en-US" w:eastAsia="zh-CN"/>
        </w:rPr>
        <w:t>预测与评价内容</w:t>
      </w:r>
    </w:p>
    <w:p w14:paraId="7438DD9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本次评价以厂界噪声预测值作为评价量，并按照《工业企业厂界环境噪声排放标准》（GB12348-2008）中的</w:t>
      </w:r>
      <w:r>
        <w:rPr>
          <w:rFonts w:hint="eastAsia" w:ascii="Times New Roman" w:hAnsi="Times New Roman" w:eastAsia="宋体" w:cs="Times New Roman"/>
          <w:color w:val="auto"/>
          <w:kern w:val="2"/>
          <w:sz w:val="24"/>
          <w:szCs w:val="24"/>
          <w:highlight w:val="none"/>
          <w:u w:val="none"/>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类区标准进行评价。</w:t>
      </w:r>
    </w:p>
    <w:p w14:paraId="1AA8A63B">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6</w:t>
      </w:r>
      <w:r>
        <w:rPr>
          <w:rFonts w:hint="eastAsia" w:ascii="宋体" w:hAnsi="宋体" w:eastAsia="宋体" w:cs="宋体"/>
          <w:color w:val="auto"/>
          <w:u w:val="none"/>
          <w:lang w:val="en-US" w:eastAsia="zh-CN"/>
        </w:rPr>
        <w:t xml:space="preserve">.2.5 </w:t>
      </w:r>
      <w:r>
        <w:rPr>
          <w:rFonts w:hint="default" w:ascii="宋体" w:hAnsi="宋体" w:eastAsia="宋体" w:cs="宋体"/>
          <w:color w:val="auto"/>
          <w:u w:val="none"/>
          <w:lang w:val="en-US" w:eastAsia="zh-CN"/>
        </w:rPr>
        <w:t>预测结果</w:t>
      </w:r>
    </w:p>
    <w:p w14:paraId="516054FE">
      <w:pPr>
        <w:keepNext w:val="0"/>
        <w:keepLines w:val="0"/>
        <w:pageBreakBefore w:val="0"/>
        <w:widowControl w:val="0"/>
        <w:kinsoku/>
        <w:wordWrap/>
        <w:overflowPunct/>
        <w:topLinePunct w:val="0"/>
        <w:autoSpaceDE/>
        <w:autoSpaceDN/>
        <w:bidi w:val="0"/>
        <w:spacing w:line="480" w:lineRule="exact"/>
        <w:ind w:firstLine="482"/>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厂界噪声预测结果及达标情况</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见表</w:t>
      </w:r>
      <w:r>
        <w:rPr>
          <w:rFonts w:hint="eastAsia" w:ascii="Times New Roman" w:hAnsi="Times New Roman" w:eastAsia="宋体" w:cs="Times New Roman"/>
          <w:color w:val="auto"/>
          <w:sz w:val="24"/>
          <w:szCs w:val="24"/>
          <w:highlight w:val="none"/>
          <w:u w:val="none"/>
          <w:lang w:val="en-US" w:eastAsia="zh-CN"/>
        </w:rPr>
        <w:t>5.</w:t>
      </w:r>
      <w:r>
        <w:rPr>
          <w:rFonts w:hint="eastAsia" w:cs="Times New Roman"/>
          <w:color w:val="auto"/>
          <w:sz w:val="24"/>
          <w:szCs w:val="24"/>
          <w:highlight w:val="none"/>
          <w:u w:val="none"/>
          <w:lang w:val="en-US" w:eastAsia="zh-CN"/>
        </w:rPr>
        <w:t>6</w:t>
      </w:r>
      <w:r>
        <w:rPr>
          <w:rFonts w:hint="eastAsia"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w:t>
      </w:r>
    </w:p>
    <w:p w14:paraId="003425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color w:val="auto"/>
          <w:highlight w:val="none"/>
          <w:u w:val="none"/>
          <w:lang w:val="en-US" w:eastAsia="zh-CN"/>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5.6-3</w:t>
      </w:r>
      <w:r>
        <w:rPr>
          <w:rFonts w:hint="default" w:ascii="黑体" w:hAnsi="黑体" w:eastAsia="黑体" w:cs="黑体"/>
          <w:b w:val="0"/>
          <w:bCs/>
          <w:color w:val="auto"/>
          <w:kern w:val="2"/>
          <w:sz w:val="24"/>
          <w:szCs w:val="24"/>
          <w:u w:val="none"/>
          <w:lang w:val="en-US" w:eastAsia="zh-CN" w:bidi="ar-SA"/>
        </w:rPr>
        <w:t xml:space="preserve">    </w:t>
      </w:r>
      <w:r>
        <w:rPr>
          <w:rFonts w:hint="eastAsia" w:ascii="黑体" w:hAnsi="黑体" w:eastAsia="黑体" w:cs="黑体"/>
          <w:b w:val="0"/>
          <w:bCs/>
          <w:color w:val="auto"/>
          <w:kern w:val="2"/>
          <w:sz w:val="24"/>
          <w:szCs w:val="24"/>
          <w:u w:val="none"/>
          <w:lang w:val="en-US" w:eastAsia="zh-CN" w:bidi="ar-SA"/>
        </w:rPr>
        <w:t>井场</w:t>
      </w:r>
      <w:r>
        <w:rPr>
          <w:rFonts w:hint="default" w:ascii="黑体" w:hAnsi="黑体" w:eastAsia="黑体" w:cs="黑体"/>
          <w:b w:val="0"/>
          <w:bCs/>
          <w:color w:val="auto"/>
          <w:kern w:val="2"/>
          <w:sz w:val="24"/>
          <w:szCs w:val="24"/>
          <w:u w:val="none"/>
          <w:lang w:val="en-US" w:eastAsia="zh-CN" w:bidi="ar-SA"/>
        </w:rPr>
        <w:t>厂界噪声预测结果与达标分析表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14:paraId="489273A0">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108" w:type="dxa"/>
            <w:bottom w:w="0" w:type="dxa"/>
            <w:right w:w="108" w:type="dxa"/>
          </w:tblCellMar>
        </w:tblPrEx>
        <w:trPr>
          <w:trHeight w:val="23" w:hRule="atLeast"/>
          <w:jc w:val="center"/>
        </w:trPr>
        <w:tc>
          <w:tcPr>
            <w:tcW w:w="1101" w:type="dxa"/>
            <w:vMerge w:val="restart"/>
            <w:tcBorders>
              <w:tl2br w:val="nil"/>
              <w:tr2bl w:val="nil"/>
            </w:tcBorders>
            <w:vAlign w:val="center"/>
          </w:tcPr>
          <w:p w14:paraId="3EAF2C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预测方位</w:t>
            </w:r>
          </w:p>
        </w:tc>
        <w:tc>
          <w:tcPr>
            <w:tcW w:w="2409" w:type="dxa"/>
            <w:gridSpan w:val="3"/>
            <w:tcBorders>
              <w:tl2br w:val="nil"/>
              <w:tr2bl w:val="nil"/>
            </w:tcBorders>
            <w:vAlign w:val="center"/>
          </w:tcPr>
          <w:p w14:paraId="0143B2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val="en-US" w:eastAsia="zh-CN"/>
              </w:rPr>
              <w:t>最大值点</w:t>
            </w:r>
            <w:r>
              <w:rPr>
                <w:rFonts w:hint="eastAsia" w:ascii="宋体" w:hAnsi="宋体" w:eastAsia="宋体" w:cs="宋体"/>
                <w:color w:val="auto"/>
                <w:sz w:val="21"/>
                <w:szCs w:val="21"/>
                <w:u w:val="none"/>
              </w:rPr>
              <w:t>空间相对位置/m</w:t>
            </w:r>
          </w:p>
        </w:tc>
        <w:tc>
          <w:tcPr>
            <w:tcW w:w="993" w:type="dxa"/>
            <w:vMerge w:val="restart"/>
            <w:tcBorders>
              <w:tl2br w:val="nil"/>
              <w:tr2bl w:val="nil"/>
            </w:tcBorders>
            <w:vAlign w:val="center"/>
          </w:tcPr>
          <w:p w14:paraId="39C2C9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时段</w:t>
            </w:r>
          </w:p>
        </w:tc>
        <w:tc>
          <w:tcPr>
            <w:tcW w:w="1417" w:type="dxa"/>
            <w:vMerge w:val="restart"/>
            <w:tcBorders>
              <w:tl2br w:val="nil"/>
              <w:tr2bl w:val="nil"/>
            </w:tcBorders>
            <w:vAlign w:val="center"/>
          </w:tcPr>
          <w:p w14:paraId="76394A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贡献值（dB(A)）</w:t>
            </w:r>
          </w:p>
        </w:tc>
        <w:tc>
          <w:tcPr>
            <w:tcW w:w="1418" w:type="dxa"/>
            <w:vMerge w:val="restart"/>
            <w:tcBorders>
              <w:tl2br w:val="nil"/>
              <w:tr2bl w:val="nil"/>
            </w:tcBorders>
            <w:vAlign w:val="center"/>
          </w:tcPr>
          <w:p w14:paraId="0D3FFF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标准限值（dB(A)）</w:t>
            </w:r>
          </w:p>
        </w:tc>
        <w:tc>
          <w:tcPr>
            <w:tcW w:w="1188" w:type="dxa"/>
            <w:vMerge w:val="restart"/>
            <w:tcBorders>
              <w:tl2br w:val="nil"/>
              <w:tr2bl w:val="nil"/>
            </w:tcBorders>
            <w:vAlign w:val="center"/>
          </w:tcPr>
          <w:p w14:paraId="4F4C09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达标情况</w:t>
            </w:r>
          </w:p>
        </w:tc>
      </w:tr>
      <w:tr w14:paraId="2EC79ED8">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vAlign w:val="center"/>
          </w:tcPr>
          <w:p w14:paraId="36C736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803" w:type="dxa"/>
            <w:tcBorders>
              <w:tl2br w:val="nil"/>
              <w:tr2bl w:val="nil"/>
            </w:tcBorders>
            <w:shd w:val="clear" w:color="auto" w:fill="FFFFFF"/>
            <w:vAlign w:val="center"/>
          </w:tcPr>
          <w:p w14:paraId="1CCA04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X</w:t>
            </w:r>
          </w:p>
        </w:tc>
        <w:tc>
          <w:tcPr>
            <w:tcW w:w="803" w:type="dxa"/>
            <w:tcBorders>
              <w:tl2br w:val="nil"/>
              <w:tr2bl w:val="nil"/>
            </w:tcBorders>
            <w:shd w:val="clear" w:color="auto" w:fill="FFFFFF"/>
            <w:vAlign w:val="center"/>
          </w:tcPr>
          <w:p w14:paraId="7196AB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Y</w:t>
            </w:r>
          </w:p>
        </w:tc>
        <w:tc>
          <w:tcPr>
            <w:tcW w:w="803" w:type="dxa"/>
            <w:tcBorders>
              <w:tl2br w:val="nil"/>
              <w:tr2bl w:val="nil"/>
            </w:tcBorders>
            <w:shd w:val="clear" w:color="auto" w:fill="FFFFFF"/>
            <w:vAlign w:val="center"/>
          </w:tcPr>
          <w:p w14:paraId="481C9B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Z</w:t>
            </w:r>
          </w:p>
        </w:tc>
        <w:tc>
          <w:tcPr>
            <w:tcW w:w="993" w:type="dxa"/>
            <w:vMerge w:val="continue"/>
            <w:tcBorders>
              <w:tl2br w:val="nil"/>
              <w:tr2bl w:val="nil"/>
            </w:tcBorders>
            <w:shd w:val="clear" w:color="auto" w:fill="FFFFFF"/>
            <w:vAlign w:val="center"/>
          </w:tcPr>
          <w:p w14:paraId="4C2E6E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1417" w:type="dxa"/>
            <w:vMerge w:val="continue"/>
            <w:tcBorders>
              <w:tl2br w:val="nil"/>
              <w:tr2bl w:val="nil"/>
            </w:tcBorders>
            <w:shd w:val="clear" w:color="auto" w:fill="FFFFFF"/>
            <w:vAlign w:val="center"/>
          </w:tcPr>
          <w:p w14:paraId="51B6AA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1418" w:type="dxa"/>
            <w:vMerge w:val="continue"/>
            <w:tcBorders>
              <w:tl2br w:val="nil"/>
              <w:tr2bl w:val="nil"/>
            </w:tcBorders>
            <w:shd w:val="clear" w:color="auto" w:fill="FFFFFF"/>
            <w:vAlign w:val="center"/>
          </w:tcPr>
          <w:p w14:paraId="482B42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1188" w:type="dxa"/>
            <w:vMerge w:val="continue"/>
            <w:tcBorders>
              <w:tl2br w:val="nil"/>
              <w:tr2bl w:val="nil"/>
            </w:tcBorders>
            <w:shd w:val="clear" w:color="auto" w:fill="FFFFFF"/>
            <w:vAlign w:val="center"/>
          </w:tcPr>
          <w:p w14:paraId="6562E5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r>
      <w:tr w14:paraId="4ECED90E">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tcBorders>
              <w:tl2br w:val="nil"/>
              <w:tr2bl w:val="nil"/>
            </w:tcBorders>
            <w:shd w:val="clear" w:color="auto" w:fill="FFFFFF"/>
            <w:vAlign w:val="center"/>
          </w:tcPr>
          <w:p w14:paraId="7AD336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东侧</w:t>
            </w:r>
            <w:r>
              <w:rPr>
                <w:rFonts w:hint="eastAsia" w:ascii="宋体" w:hAnsi="宋体" w:cs="宋体"/>
                <w:color w:val="auto"/>
                <w:sz w:val="21"/>
                <w:szCs w:val="21"/>
                <w:u w:val="none"/>
                <w:lang w:val="en-US" w:eastAsia="zh-CN"/>
              </w:rPr>
              <w:t>厂界</w:t>
            </w:r>
          </w:p>
        </w:tc>
        <w:tc>
          <w:tcPr>
            <w:tcW w:w="803" w:type="dxa"/>
            <w:tcBorders>
              <w:tl2br w:val="nil"/>
              <w:tr2bl w:val="nil"/>
            </w:tcBorders>
            <w:shd w:val="clear" w:color="auto" w:fill="FFFFFF"/>
            <w:vAlign w:val="center"/>
          </w:tcPr>
          <w:p w14:paraId="65531C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16</w:t>
            </w:r>
          </w:p>
        </w:tc>
        <w:tc>
          <w:tcPr>
            <w:tcW w:w="803" w:type="dxa"/>
            <w:tcBorders>
              <w:tl2br w:val="nil"/>
              <w:tr2bl w:val="nil"/>
            </w:tcBorders>
            <w:shd w:val="clear" w:color="auto" w:fill="FFFFFF"/>
            <w:vAlign w:val="center"/>
          </w:tcPr>
          <w:p w14:paraId="466A73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0</w:t>
            </w:r>
          </w:p>
        </w:tc>
        <w:tc>
          <w:tcPr>
            <w:tcW w:w="803" w:type="dxa"/>
            <w:tcBorders>
              <w:tl2br w:val="nil"/>
              <w:tr2bl w:val="nil"/>
            </w:tcBorders>
            <w:shd w:val="clear" w:color="auto" w:fill="FFFFFF"/>
            <w:vAlign w:val="center"/>
          </w:tcPr>
          <w:p w14:paraId="45BF9B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993" w:type="dxa"/>
            <w:tcBorders>
              <w:tl2br w:val="nil"/>
              <w:tr2bl w:val="nil"/>
            </w:tcBorders>
            <w:shd w:val="clear" w:color="auto" w:fill="FFFFFF"/>
            <w:vAlign w:val="center"/>
          </w:tcPr>
          <w:p w14:paraId="3A1169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昼间</w:t>
            </w:r>
          </w:p>
        </w:tc>
        <w:tc>
          <w:tcPr>
            <w:tcW w:w="1417" w:type="dxa"/>
            <w:tcBorders>
              <w:tl2br w:val="nil"/>
              <w:tr2bl w:val="nil"/>
            </w:tcBorders>
            <w:shd w:val="clear" w:color="auto" w:fill="FFFFFF"/>
            <w:vAlign w:val="center"/>
          </w:tcPr>
          <w:p w14:paraId="54B4BD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47.8</w:t>
            </w:r>
          </w:p>
        </w:tc>
        <w:tc>
          <w:tcPr>
            <w:tcW w:w="1418" w:type="dxa"/>
            <w:tcBorders>
              <w:tl2br w:val="nil"/>
              <w:tr2bl w:val="nil"/>
            </w:tcBorders>
            <w:shd w:val="clear" w:color="auto" w:fill="FFFFFF"/>
            <w:vAlign w:val="center"/>
          </w:tcPr>
          <w:p w14:paraId="6B4B18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60</w:t>
            </w:r>
          </w:p>
        </w:tc>
        <w:tc>
          <w:tcPr>
            <w:tcW w:w="1188" w:type="dxa"/>
            <w:tcBorders>
              <w:tl2br w:val="nil"/>
              <w:tr2bl w:val="nil"/>
            </w:tcBorders>
            <w:shd w:val="clear" w:color="auto" w:fill="FFFFFF"/>
            <w:vAlign w:val="center"/>
          </w:tcPr>
          <w:p w14:paraId="248AFC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7CE412C5">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vAlign w:val="center"/>
          </w:tcPr>
          <w:p w14:paraId="69795F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东侧</w:t>
            </w:r>
          </w:p>
        </w:tc>
        <w:tc>
          <w:tcPr>
            <w:tcW w:w="803" w:type="dxa"/>
            <w:tcBorders>
              <w:tl2br w:val="nil"/>
              <w:tr2bl w:val="nil"/>
            </w:tcBorders>
            <w:shd w:val="clear" w:color="auto" w:fill="FFFFFF"/>
            <w:vAlign w:val="center"/>
          </w:tcPr>
          <w:p w14:paraId="00B7FC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rPr>
            </w:pPr>
            <w:r>
              <w:rPr>
                <w:rFonts w:hint="eastAsia" w:ascii="宋体" w:hAnsi="宋体" w:cs="宋体"/>
                <w:color w:val="auto"/>
                <w:sz w:val="21"/>
                <w:szCs w:val="21"/>
                <w:u w:val="none"/>
                <w:lang w:val="en-US" w:eastAsia="zh-CN"/>
              </w:rPr>
              <w:t>16</w:t>
            </w:r>
          </w:p>
        </w:tc>
        <w:tc>
          <w:tcPr>
            <w:tcW w:w="803" w:type="dxa"/>
            <w:tcBorders>
              <w:tl2br w:val="nil"/>
              <w:tr2bl w:val="nil"/>
            </w:tcBorders>
            <w:shd w:val="clear" w:color="auto" w:fill="FFFFFF"/>
            <w:vAlign w:val="center"/>
          </w:tcPr>
          <w:p w14:paraId="29ED0F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0</w:t>
            </w:r>
          </w:p>
        </w:tc>
        <w:tc>
          <w:tcPr>
            <w:tcW w:w="803" w:type="dxa"/>
            <w:tcBorders>
              <w:tl2br w:val="nil"/>
              <w:tr2bl w:val="nil"/>
            </w:tcBorders>
            <w:shd w:val="clear" w:color="auto" w:fill="FFFFFF"/>
            <w:vAlign w:val="center"/>
          </w:tcPr>
          <w:p w14:paraId="7CCBB2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993" w:type="dxa"/>
            <w:tcBorders>
              <w:tl2br w:val="nil"/>
              <w:tr2bl w:val="nil"/>
            </w:tcBorders>
            <w:shd w:val="clear" w:color="auto" w:fill="FFFFFF"/>
            <w:vAlign w:val="center"/>
          </w:tcPr>
          <w:p w14:paraId="42EC10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夜间</w:t>
            </w:r>
          </w:p>
        </w:tc>
        <w:tc>
          <w:tcPr>
            <w:tcW w:w="1417" w:type="dxa"/>
            <w:tcBorders>
              <w:tl2br w:val="nil"/>
              <w:tr2bl w:val="nil"/>
            </w:tcBorders>
            <w:shd w:val="clear" w:color="auto" w:fill="FFFFFF"/>
            <w:vAlign w:val="center"/>
          </w:tcPr>
          <w:p w14:paraId="75CA34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47.8</w:t>
            </w:r>
          </w:p>
        </w:tc>
        <w:tc>
          <w:tcPr>
            <w:tcW w:w="1418" w:type="dxa"/>
            <w:tcBorders>
              <w:tl2br w:val="nil"/>
              <w:tr2bl w:val="nil"/>
            </w:tcBorders>
            <w:shd w:val="clear" w:color="auto" w:fill="FFFFFF"/>
            <w:vAlign w:val="center"/>
          </w:tcPr>
          <w:p w14:paraId="0448CB0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50</w:t>
            </w:r>
          </w:p>
        </w:tc>
        <w:tc>
          <w:tcPr>
            <w:tcW w:w="1188" w:type="dxa"/>
            <w:tcBorders>
              <w:tl2br w:val="nil"/>
              <w:tr2bl w:val="nil"/>
            </w:tcBorders>
            <w:shd w:val="clear" w:color="auto" w:fill="FFFFFF"/>
            <w:vAlign w:val="center"/>
          </w:tcPr>
          <w:p w14:paraId="2C6EC7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6CBACBAE">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tcBorders>
              <w:tl2br w:val="nil"/>
              <w:tr2bl w:val="nil"/>
            </w:tcBorders>
            <w:shd w:val="clear" w:color="auto" w:fill="FFFFFF"/>
            <w:vAlign w:val="center"/>
          </w:tcPr>
          <w:p w14:paraId="044FD3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南侧</w:t>
            </w:r>
            <w:r>
              <w:rPr>
                <w:rFonts w:hint="eastAsia" w:ascii="宋体" w:hAnsi="宋体" w:cs="宋体"/>
                <w:color w:val="auto"/>
                <w:sz w:val="21"/>
                <w:szCs w:val="21"/>
                <w:u w:val="none"/>
                <w:lang w:val="en-US" w:eastAsia="zh-CN"/>
              </w:rPr>
              <w:t>厂界</w:t>
            </w:r>
          </w:p>
        </w:tc>
        <w:tc>
          <w:tcPr>
            <w:tcW w:w="803" w:type="dxa"/>
            <w:tcBorders>
              <w:tl2br w:val="nil"/>
              <w:tr2bl w:val="nil"/>
            </w:tcBorders>
            <w:shd w:val="clear" w:color="auto" w:fill="FFFFFF"/>
            <w:vAlign w:val="center"/>
          </w:tcPr>
          <w:p w14:paraId="049F65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zh-CN"/>
              </w:rPr>
            </w:pPr>
            <w:r>
              <w:rPr>
                <w:rFonts w:hint="eastAsia" w:ascii="宋体" w:hAnsi="宋体" w:cs="宋体"/>
                <w:color w:val="auto"/>
                <w:sz w:val="21"/>
                <w:szCs w:val="21"/>
                <w:u w:val="none"/>
                <w:lang w:val="en-US" w:eastAsia="zh-CN"/>
              </w:rPr>
              <w:t>0</w:t>
            </w:r>
          </w:p>
        </w:tc>
        <w:tc>
          <w:tcPr>
            <w:tcW w:w="803" w:type="dxa"/>
            <w:tcBorders>
              <w:tl2br w:val="nil"/>
              <w:tr2bl w:val="nil"/>
            </w:tcBorders>
            <w:shd w:val="clear" w:color="auto" w:fill="FFFFFF"/>
            <w:vAlign w:val="center"/>
          </w:tcPr>
          <w:p w14:paraId="1024B4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-13.5</w:t>
            </w:r>
          </w:p>
        </w:tc>
        <w:tc>
          <w:tcPr>
            <w:tcW w:w="803" w:type="dxa"/>
            <w:tcBorders>
              <w:tl2br w:val="nil"/>
              <w:tr2bl w:val="nil"/>
            </w:tcBorders>
            <w:shd w:val="clear" w:color="auto" w:fill="FFFFFF"/>
            <w:vAlign w:val="center"/>
          </w:tcPr>
          <w:p w14:paraId="06E24B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993" w:type="dxa"/>
            <w:tcBorders>
              <w:tl2br w:val="nil"/>
              <w:tr2bl w:val="nil"/>
            </w:tcBorders>
            <w:shd w:val="clear" w:color="auto" w:fill="FFFFFF"/>
            <w:vAlign w:val="center"/>
          </w:tcPr>
          <w:p w14:paraId="7918A2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昼间</w:t>
            </w:r>
          </w:p>
        </w:tc>
        <w:tc>
          <w:tcPr>
            <w:tcW w:w="1417" w:type="dxa"/>
            <w:tcBorders>
              <w:tl2br w:val="nil"/>
              <w:tr2bl w:val="nil"/>
            </w:tcBorders>
            <w:shd w:val="clear" w:color="auto" w:fill="FFFFFF"/>
            <w:vAlign w:val="center"/>
          </w:tcPr>
          <w:p w14:paraId="069E1C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49.3</w:t>
            </w:r>
          </w:p>
        </w:tc>
        <w:tc>
          <w:tcPr>
            <w:tcW w:w="1418" w:type="dxa"/>
            <w:tcBorders>
              <w:tl2br w:val="nil"/>
              <w:tr2bl w:val="nil"/>
            </w:tcBorders>
            <w:shd w:val="clear" w:color="auto" w:fill="FFFFFF"/>
            <w:vAlign w:val="center"/>
          </w:tcPr>
          <w:p w14:paraId="68B59E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60</w:t>
            </w:r>
          </w:p>
        </w:tc>
        <w:tc>
          <w:tcPr>
            <w:tcW w:w="1188" w:type="dxa"/>
            <w:tcBorders>
              <w:tl2br w:val="nil"/>
              <w:tr2bl w:val="nil"/>
            </w:tcBorders>
            <w:shd w:val="clear" w:color="auto" w:fill="FFFFFF"/>
            <w:vAlign w:val="center"/>
          </w:tcPr>
          <w:p w14:paraId="20EF0E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5C37D9C6">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vAlign w:val="center"/>
          </w:tcPr>
          <w:p w14:paraId="4D3632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南侧</w:t>
            </w:r>
          </w:p>
        </w:tc>
        <w:tc>
          <w:tcPr>
            <w:tcW w:w="803" w:type="dxa"/>
            <w:tcBorders>
              <w:tl2br w:val="nil"/>
              <w:tr2bl w:val="nil"/>
            </w:tcBorders>
            <w:shd w:val="clear" w:color="auto" w:fill="FFFFFF"/>
            <w:vAlign w:val="center"/>
          </w:tcPr>
          <w:p w14:paraId="218C46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0</w:t>
            </w:r>
          </w:p>
        </w:tc>
        <w:tc>
          <w:tcPr>
            <w:tcW w:w="803" w:type="dxa"/>
            <w:tcBorders>
              <w:tl2br w:val="nil"/>
              <w:tr2bl w:val="nil"/>
            </w:tcBorders>
            <w:shd w:val="clear" w:color="auto" w:fill="FFFFFF"/>
            <w:vAlign w:val="center"/>
          </w:tcPr>
          <w:p w14:paraId="2334BC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rPr>
            </w:pPr>
            <w:r>
              <w:rPr>
                <w:rFonts w:hint="eastAsia" w:ascii="宋体" w:hAnsi="宋体" w:cs="宋体"/>
                <w:color w:val="auto"/>
                <w:sz w:val="21"/>
                <w:szCs w:val="21"/>
                <w:u w:val="none"/>
                <w:lang w:val="en-US" w:eastAsia="zh-CN"/>
              </w:rPr>
              <w:t>-13.5</w:t>
            </w:r>
          </w:p>
        </w:tc>
        <w:tc>
          <w:tcPr>
            <w:tcW w:w="803" w:type="dxa"/>
            <w:tcBorders>
              <w:tl2br w:val="nil"/>
              <w:tr2bl w:val="nil"/>
            </w:tcBorders>
            <w:shd w:val="clear" w:color="auto" w:fill="FFFFFF"/>
            <w:vAlign w:val="center"/>
          </w:tcPr>
          <w:p w14:paraId="2E65D7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993" w:type="dxa"/>
            <w:tcBorders>
              <w:tl2br w:val="nil"/>
              <w:tr2bl w:val="nil"/>
            </w:tcBorders>
            <w:shd w:val="clear" w:color="auto" w:fill="FFFFFF"/>
            <w:vAlign w:val="center"/>
          </w:tcPr>
          <w:p w14:paraId="470CAD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夜间</w:t>
            </w:r>
          </w:p>
        </w:tc>
        <w:tc>
          <w:tcPr>
            <w:tcW w:w="1417" w:type="dxa"/>
            <w:tcBorders>
              <w:tl2br w:val="nil"/>
              <w:tr2bl w:val="nil"/>
            </w:tcBorders>
            <w:shd w:val="clear" w:color="auto" w:fill="FFFFFF"/>
            <w:vAlign w:val="center"/>
          </w:tcPr>
          <w:p w14:paraId="0E6C4E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49.3</w:t>
            </w:r>
          </w:p>
        </w:tc>
        <w:tc>
          <w:tcPr>
            <w:tcW w:w="1418" w:type="dxa"/>
            <w:tcBorders>
              <w:tl2br w:val="nil"/>
              <w:tr2bl w:val="nil"/>
            </w:tcBorders>
            <w:shd w:val="clear" w:color="auto" w:fill="FFFFFF"/>
            <w:vAlign w:val="center"/>
          </w:tcPr>
          <w:p w14:paraId="706729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50</w:t>
            </w:r>
          </w:p>
        </w:tc>
        <w:tc>
          <w:tcPr>
            <w:tcW w:w="1188" w:type="dxa"/>
            <w:tcBorders>
              <w:tl2br w:val="nil"/>
              <w:tr2bl w:val="nil"/>
            </w:tcBorders>
            <w:shd w:val="clear" w:color="auto" w:fill="FFFFFF"/>
            <w:vAlign w:val="center"/>
          </w:tcPr>
          <w:p w14:paraId="483F67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092617E5">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tcBorders>
              <w:tl2br w:val="nil"/>
              <w:tr2bl w:val="nil"/>
            </w:tcBorders>
            <w:shd w:val="clear" w:color="auto" w:fill="FFFFFF"/>
            <w:vAlign w:val="center"/>
          </w:tcPr>
          <w:p w14:paraId="372FFB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西侧</w:t>
            </w:r>
            <w:r>
              <w:rPr>
                <w:rFonts w:hint="eastAsia" w:ascii="宋体" w:hAnsi="宋体" w:cs="宋体"/>
                <w:color w:val="auto"/>
                <w:sz w:val="21"/>
                <w:szCs w:val="21"/>
                <w:u w:val="none"/>
                <w:lang w:val="en-US" w:eastAsia="zh-CN"/>
              </w:rPr>
              <w:t>厂界</w:t>
            </w:r>
          </w:p>
        </w:tc>
        <w:tc>
          <w:tcPr>
            <w:tcW w:w="803" w:type="dxa"/>
            <w:tcBorders>
              <w:tl2br w:val="nil"/>
              <w:tr2bl w:val="nil"/>
            </w:tcBorders>
            <w:shd w:val="clear" w:color="auto" w:fill="FFFFFF"/>
            <w:vAlign w:val="center"/>
          </w:tcPr>
          <w:p w14:paraId="7C26F4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-1</w:t>
            </w:r>
            <w:r>
              <w:rPr>
                <w:rFonts w:hint="eastAsia" w:ascii="宋体" w:hAnsi="宋体" w:cs="宋体"/>
                <w:color w:val="auto"/>
                <w:sz w:val="21"/>
                <w:szCs w:val="21"/>
                <w:u w:val="none"/>
                <w:lang w:val="en-US" w:eastAsia="zh-CN"/>
              </w:rPr>
              <w:t>6</w:t>
            </w:r>
          </w:p>
        </w:tc>
        <w:tc>
          <w:tcPr>
            <w:tcW w:w="803" w:type="dxa"/>
            <w:tcBorders>
              <w:tl2br w:val="nil"/>
              <w:tr2bl w:val="nil"/>
            </w:tcBorders>
            <w:shd w:val="clear" w:color="auto" w:fill="FFFFFF"/>
            <w:vAlign w:val="center"/>
          </w:tcPr>
          <w:p w14:paraId="04FD17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zh-CN"/>
              </w:rPr>
            </w:pPr>
            <w:r>
              <w:rPr>
                <w:rFonts w:hint="eastAsia" w:ascii="宋体" w:hAnsi="宋体" w:cs="宋体"/>
                <w:color w:val="auto"/>
                <w:sz w:val="21"/>
                <w:szCs w:val="21"/>
                <w:u w:val="none"/>
                <w:lang w:val="en-US" w:eastAsia="zh-CN"/>
              </w:rPr>
              <w:t>0</w:t>
            </w:r>
          </w:p>
        </w:tc>
        <w:tc>
          <w:tcPr>
            <w:tcW w:w="803" w:type="dxa"/>
            <w:tcBorders>
              <w:tl2br w:val="nil"/>
              <w:tr2bl w:val="nil"/>
            </w:tcBorders>
            <w:shd w:val="clear" w:color="auto" w:fill="FFFFFF"/>
            <w:vAlign w:val="center"/>
          </w:tcPr>
          <w:p w14:paraId="58EE8F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993" w:type="dxa"/>
            <w:tcBorders>
              <w:tl2br w:val="nil"/>
              <w:tr2bl w:val="nil"/>
            </w:tcBorders>
            <w:shd w:val="clear" w:color="auto" w:fill="FFFFFF"/>
            <w:vAlign w:val="center"/>
          </w:tcPr>
          <w:p w14:paraId="584550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昼间</w:t>
            </w:r>
          </w:p>
        </w:tc>
        <w:tc>
          <w:tcPr>
            <w:tcW w:w="1417" w:type="dxa"/>
            <w:tcBorders>
              <w:tl2br w:val="nil"/>
              <w:tr2bl w:val="nil"/>
            </w:tcBorders>
            <w:shd w:val="clear" w:color="auto" w:fill="FFFFFF"/>
            <w:vAlign w:val="center"/>
          </w:tcPr>
          <w:p w14:paraId="6655D9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47.8</w:t>
            </w:r>
          </w:p>
        </w:tc>
        <w:tc>
          <w:tcPr>
            <w:tcW w:w="1418" w:type="dxa"/>
            <w:tcBorders>
              <w:tl2br w:val="nil"/>
              <w:tr2bl w:val="nil"/>
            </w:tcBorders>
            <w:shd w:val="clear" w:color="auto" w:fill="FFFFFF"/>
            <w:vAlign w:val="center"/>
          </w:tcPr>
          <w:p w14:paraId="3D739E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60</w:t>
            </w:r>
          </w:p>
        </w:tc>
        <w:tc>
          <w:tcPr>
            <w:tcW w:w="1188" w:type="dxa"/>
            <w:tcBorders>
              <w:tl2br w:val="nil"/>
              <w:tr2bl w:val="nil"/>
            </w:tcBorders>
            <w:shd w:val="clear" w:color="auto" w:fill="FFFFFF"/>
            <w:vAlign w:val="center"/>
          </w:tcPr>
          <w:p w14:paraId="1873DF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12EF686D">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vAlign w:val="center"/>
          </w:tcPr>
          <w:p w14:paraId="52782E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西侧</w:t>
            </w:r>
          </w:p>
        </w:tc>
        <w:tc>
          <w:tcPr>
            <w:tcW w:w="803" w:type="dxa"/>
            <w:tcBorders>
              <w:tl2br w:val="nil"/>
              <w:tr2bl w:val="nil"/>
            </w:tcBorders>
            <w:shd w:val="clear" w:color="auto" w:fill="FFFFFF"/>
            <w:vAlign w:val="center"/>
          </w:tcPr>
          <w:p w14:paraId="50C4DF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-1</w:t>
            </w:r>
            <w:r>
              <w:rPr>
                <w:rFonts w:hint="eastAsia" w:ascii="宋体" w:hAnsi="宋体" w:cs="宋体"/>
                <w:color w:val="auto"/>
                <w:sz w:val="21"/>
                <w:szCs w:val="21"/>
                <w:u w:val="none"/>
                <w:lang w:val="en-US" w:eastAsia="zh-CN"/>
              </w:rPr>
              <w:t>6</w:t>
            </w:r>
          </w:p>
        </w:tc>
        <w:tc>
          <w:tcPr>
            <w:tcW w:w="803" w:type="dxa"/>
            <w:tcBorders>
              <w:tl2br w:val="nil"/>
              <w:tr2bl w:val="nil"/>
            </w:tcBorders>
            <w:shd w:val="clear" w:color="auto" w:fill="FFFFFF"/>
            <w:vAlign w:val="center"/>
          </w:tcPr>
          <w:p w14:paraId="1DD825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0</w:t>
            </w:r>
          </w:p>
        </w:tc>
        <w:tc>
          <w:tcPr>
            <w:tcW w:w="803" w:type="dxa"/>
            <w:tcBorders>
              <w:tl2br w:val="nil"/>
              <w:tr2bl w:val="nil"/>
            </w:tcBorders>
            <w:shd w:val="clear" w:color="auto" w:fill="FFFFFF"/>
            <w:vAlign w:val="center"/>
          </w:tcPr>
          <w:p w14:paraId="20A5A9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993" w:type="dxa"/>
            <w:tcBorders>
              <w:tl2br w:val="nil"/>
              <w:tr2bl w:val="nil"/>
            </w:tcBorders>
            <w:shd w:val="clear" w:color="auto" w:fill="FFFFFF"/>
            <w:vAlign w:val="center"/>
          </w:tcPr>
          <w:p w14:paraId="0B3337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夜间</w:t>
            </w:r>
          </w:p>
        </w:tc>
        <w:tc>
          <w:tcPr>
            <w:tcW w:w="1417" w:type="dxa"/>
            <w:tcBorders>
              <w:tl2br w:val="nil"/>
              <w:tr2bl w:val="nil"/>
            </w:tcBorders>
            <w:shd w:val="clear" w:color="auto" w:fill="FFFFFF"/>
            <w:vAlign w:val="center"/>
          </w:tcPr>
          <w:p w14:paraId="2B6740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47.8</w:t>
            </w:r>
          </w:p>
        </w:tc>
        <w:tc>
          <w:tcPr>
            <w:tcW w:w="1418" w:type="dxa"/>
            <w:tcBorders>
              <w:tl2br w:val="nil"/>
              <w:tr2bl w:val="nil"/>
            </w:tcBorders>
            <w:shd w:val="clear" w:color="auto" w:fill="FFFFFF"/>
            <w:vAlign w:val="center"/>
          </w:tcPr>
          <w:p w14:paraId="01AC81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50</w:t>
            </w:r>
          </w:p>
        </w:tc>
        <w:tc>
          <w:tcPr>
            <w:tcW w:w="1188" w:type="dxa"/>
            <w:tcBorders>
              <w:tl2br w:val="nil"/>
              <w:tr2bl w:val="nil"/>
            </w:tcBorders>
            <w:shd w:val="clear" w:color="auto" w:fill="FFFFFF"/>
            <w:vAlign w:val="center"/>
          </w:tcPr>
          <w:p w14:paraId="52C0669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44E4F2DD">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tcBorders>
              <w:tl2br w:val="nil"/>
              <w:tr2bl w:val="nil"/>
            </w:tcBorders>
            <w:shd w:val="clear" w:color="auto" w:fill="FFFFFF"/>
            <w:vAlign w:val="center"/>
          </w:tcPr>
          <w:p w14:paraId="5B5FFA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北侧</w:t>
            </w:r>
            <w:r>
              <w:rPr>
                <w:rFonts w:hint="eastAsia" w:ascii="宋体" w:hAnsi="宋体" w:cs="宋体"/>
                <w:color w:val="auto"/>
                <w:sz w:val="21"/>
                <w:szCs w:val="21"/>
                <w:u w:val="none"/>
                <w:lang w:val="en-US" w:eastAsia="zh-CN"/>
              </w:rPr>
              <w:t>厂界</w:t>
            </w:r>
          </w:p>
        </w:tc>
        <w:tc>
          <w:tcPr>
            <w:tcW w:w="803" w:type="dxa"/>
            <w:tcBorders>
              <w:tl2br w:val="nil"/>
              <w:tr2bl w:val="nil"/>
            </w:tcBorders>
            <w:shd w:val="clear" w:color="auto" w:fill="FFFFFF"/>
            <w:vAlign w:val="center"/>
          </w:tcPr>
          <w:p w14:paraId="11650B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w:t>
            </w:r>
          </w:p>
        </w:tc>
        <w:tc>
          <w:tcPr>
            <w:tcW w:w="803" w:type="dxa"/>
            <w:tcBorders>
              <w:tl2br w:val="nil"/>
              <w:tr2bl w:val="nil"/>
            </w:tcBorders>
            <w:shd w:val="clear" w:color="auto" w:fill="FFFFFF"/>
            <w:vAlign w:val="center"/>
          </w:tcPr>
          <w:p w14:paraId="44C890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13.5</w:t>
            </w:r>
          </w:p>
        </w:tc>
        <w:tc>
          <w:tcPr>
            <w:tcW w:w="803" w:type="dxa"/>
            <w:tcBorders>
              <w:tl2br w:val="nil"/>
              <w:tr2bl w:val="nil"/>
            </w:tcBorders>
            <w:shd w:val="clear" w:color="auto" w:fill="FFFFFF"/>
            <w:vAlign w:val="center"/>
          </w:tcPr>
          <w:p w14:paraId="1BE82E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993" w:type="dxa"/>
            <w:tcBorders>
              <w:tl2br w:val="nil"/>
              <w:tr2bl w:val="nil"/>
            </w:tcBorders>
            <w:shd w:val="clear" w:color="auto" w:fill="FFFFFF"/>
            <w:vAlign w:val="center"/>
          </w:tcPr>
          <w:p w14:paraId="531DCF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昼间</w:t>
            </w:r>
          </w:p>
        </w:tc>
        <w:tc>
          <w:tcPr>
            <w:tcW w:w="1417" w:type="dxa"/>
            <w:tcBorders>
              <w:tl2br w:val="nil"/>
              <w:tr2bl w:val="nil"/>
            </w:tcBorders>
            <w:shd w:val="clear" w:color="auto" w:fill="FFFFFF"/>
            <w:vAlign w:val="center"/>
          </w:tcPr>
          <w:p w14:paraId="11BF22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49.3</w:t>
            </w:r>
          </w:p>
        </w:tc>
        <w:tc>
          <w:tcPr>
            <w:tcW w:w="1418" w:type="dxa"/>
            <w:tcBorders>
              <w:tl2br w:val="nil"/>
              <w:tr2bl w:val="nil"/>
            </w:tcBorders>
            <w:shd w:val="clear" w:color="auto" w:fill="FFFFFF"/>
            <w:vAlign w:val="center"/>
          </w:tcPr>
          <w:p w14:paraId="5D0C32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60</w:t>
            </w:r>
          </w:p>
        </w:tc>
        <w:tc>
          <w:tcPr>
            <w:tcW w:w="1188" w:type="dxa"/>
            <w:tcBorders>
              <w:tl2br w:val="nil"/>
              <w:tr2bl w:val="nil"/>
            </w:tcBorders>
            <w:shd w:val="clear" w:color="auto" w:fill="FFFFFF"/>
            <w:vAlign w:val="center"/>
          </w:tcPr>
          <w:p w14:paraId="149162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r w14:paraId="54488981">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vAlign w:val="center"/>
          </w:tcPr>
          <w:p w14:paraId="4E6DC6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北侧</w:t>
            </w:r>
          </w:p>
        </w:tc>
        <w:tc>
          <w:tcPr>
            <w:tcW w:w="803" w:type="dxa"/>
            <w:tcBorders>
              <w:tl2br w:val="nil"/>
              <w:tr2bl w:val="nil"/>
            </w:tcBorders>
            <w:shd w:val="clear" w:color="auto" w:fill="FFFFFF"/>
            <w:vAlign w:val="center"/>
          </w:tcPr>
          <w:p w14:paraId="2426C1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0</w:t>
            </w:r>
          </w:p>
        </w:tc>
        <w:tc>
          <w:tcPr>
            <w:tcW w:w="803" w:type="dxa"/>
            <w:tcBorders>
              <w:tl2br w:val="nil"/>
              <w:tr2bl w:val="nil"/>
            </w:tcBorders>
            <w:shd w:val="clear" w:color="auto" w:fill="FFFFFF"/>
            <w:vAlign w:val="center"/>
          </w:tcPr>
          <w:p w14:paraId="209E26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13.5</w:t>
            </w:r>
          </w:p>
        </w:tc>
        <w:tc>
          <w:tcPr>
            <w:tcW w:w="803" w:type="dxa"/>
            <w:tcBorders>
              <w:tl2br w:val="nil"/>
              <w:tr2bl w:val="nil"/>
            </w:tcBorders>
            <w:shd w:val="clear" w:color="auto" w:fill="FFFFFF"/>
            <w:vAlign w:val="center"/>
          </w:tcPr>
          <w:p w14:paraId="6E6756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1.2</w:t>
            </w:r>
          </w:p>
        </w:tc>
        <w:tc>
          <w:tcPr>
            <w:tcW w:w="993" w:type="dxa"/>
            <w:tcBorders>
              <w:tl2br w:val="nil"/>
              <w:tr2bl w:val="nil"/>
            </w:tcBorders>
            <w:shd w:val="clear" w:color="auto" w:fill="FFFFFF"/>
            <w:vAlign w:val="center"/>
          </w:tcPr>
          <w:p w14:paraId="2AEE7F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夜间</w:t>
            </w:r>
          </w:p>
        </w:tc>
        <w:tc>
          <w:tcPr>
            <w:tcW w:w="1417" w:type="dxa"/>
            <w:tcBorders>
              <w:tl2br w:val="nil"/>
              <w:tr2bl w:val="nil"/>
            </w:tcBorders>
            <w:shd w:val="clear" w:color="auto" w:fill="FFFFFF"/>
            <w:vAlign w:val="center"/>
          </w:tcPr>
          <w:p w14:paraId="354C66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49.3</w:t>
            </w:r>
          </w:p>
        </w:tc>
        <w:tc>
          <w:tcPr>
            <w:tcW w:w="1418" w:type="dxa"/>
            <w:tcBorders>
              <w:tl2br w:val="nil"/>
              <w:tr2bl w:val="nil"/>
            </w:tcBorders>
            <w:shd w:val="clear" w:color="auto" w:fill="FFFFFF"/>
            <w:vAlign w:val="center"/>
          </w:tcPr>
          <w:p w14:paraId="1A54A9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50</w:t>
            </w:r>
          </w:p>
        </w:tc>
        <w:tc>
          <w:tcPr>
            <w:tcW w:w="1188" w:type="dxa"/>
            <w:tcBorders>
              <w:tl2br w:val="nil"/>
              <w:tr2bl w:val="nil"/>
            </w:tcBorders>
            <w:shd w:val="clear" w:color="auto" w:fill="FFFFFF"/>
            <w:vAlign w:val="center"/>
          </w:tcPr>
          <w:p w14:paraId="6E62F5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达标</w:t>
            </w:r>
          </w:p>
        </w:tc>
      </w:tr>
    </w:tbl>
    <w:p w14:paraId="5BED451F">
      <w:pPr>
        <w:keepNext w:val="0"/>
        <w:keepLines w:val="0"/>
        <w:pageBreakBefore w:val="0"/>
        <w:widowControl w:val="0"/>
        <w:kinsoku/>
        <w:wordWrap/>
        <w:overflowPunct/>
        <w:topLinePunct w:val="0"/>
        <w:autoSpaceDE/>
        <w:autoSpaceDN/>
        <w:bidi w:val="0"/>
        <w:adjustRightInd w:val="0"/>
        <w:snapToGrid w:val="0"/>
        <w:spacing w:before="313" w:beforeLines="100" w:line="332" w:lineRule="auto"/>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本工程</w:t>
      </w:r>
      <w:r>
        <w:rPr>
          <w:rFonts w:hint="default" w:ascii="Times New Roman" w:hAnsi="Times New Roman" w:eastAsia="宋体" w:cs="Times New Roman"/>
          <w:color w:val="auto"/>
          <w:sz w:val="24"/>
          <w:szCs w:val="24"/>
          <w:highlight w:val="none"/>
          <w:u w:val="none"/>
          <w:lang w:val="en-US" w:eastAsia="zh-CN"/>
        </w:rPr>
        <w:t>噪声</w:t>
      </w:r>
      <w:r>
        <w:rPr>
          <w:rFonts w:hint="eastAsia" w:ascii="Times New Roman" w:hAnsi="Times New Roman" w:eastAsia="宋体" w:cs="Times New Roman"/>
          <w:color w:val="auto"/>
          <w:sz w:val="24"/>
          <w:szCs w:val="24"/>
          <w:highlight w:val="none"/>
          <w:u w:val="none"/>
          <w:lang w:val="en-US" w:eastAsia="zh-CN"/>
        </w:rPr>
        <w:t>预测</w:t>
      </w:r>
      <w:r>
        <w:rPr>
          <w:rFonts w:hint="default" w:ascii="Times New Roman" w:hAnsi="Times New Roman" w:eastAsia="宋体" w:cs="Times New Roman"/>
          <w:color w:val="auto"/>
          <w:sz w:val="24"/>
          <w:szCs w:val="24"/>
          <w:highlight w:val="none"/>
          <w:u w:val="none"/>
          <w:lang w:val="en-US" w:eastAsia="zh-CN"/>
        </w:rPr>
        <w:t>结果显示：在采取了环评提出的降噪措施后，项目运营期</w:t>
      </w:r>
      <w:r>
        <w:rPr>
          <w:rFonts w:hint="eastAsia" w:cs="Times New Roman"/>
          <w:color w:val="auto"/>
          <w:sz w:val="24"/>
          <w:szCs w:val="24"/>
          <w:highlight w:val="none"/>
          <w:u w:val="none"/>
          <w:lang w:val="en-US" w:eastAsia="zh-CN"/>
        </w:rPr>
        <w:t>井场</w:t>
      </w:r>
      <w:r>
        <w:rPr>
          <w:rFonts w:hint="default" w:ascii="Times New Roman" w:hAnsi="Times New Roman" w:eastAsia="宋体" w:cs="Times New Roman"/>
          <w:color w:val="auto"/>
          <w:sz w:val="24"/>
          <w:szCs w:val="24"/>
          <w:highlight w:val="none"/>
          <w:u w:val="none"/>
          <w:lang w:val="en-US" w:eastAsia="zh-CN"/>
        </w:rPr>
        <w:t>厂界昼、夜间噪声预测值均</w:t>
      </w:r>
      <w:r>
        <w:rPr>
          <w:rFonts w:hint="eastAsia" w:ascii="Times New Roman" w:hAnsi="Times New Roman" w:eastAsia="宋体" w:cs="Times New Roman"/>
          <w:color w:val="auto"/>
          <w:sz w:val="24"/>
          <w:szCs w:val="24"/>
          <w:highlight w:val="none"/>
          <w:u w:val="none"/>
          <w:lang w:val="en-US" w:eastAsia="zh-CN"/>
        </w:rPr>
        <w:t>可满足</w:t>
      </w:r>
      <w:r>
        <w:rPr>
          <w:rFonts w:hint="default" w:ascii="Times New Roman" w:hAnsi="Times New Roman" w:eastAsia="宋体" w:cs="Times New Roman"/>
          <w:color w:val="auto"/>
          <w:sz w:val="24"/>
          <w:szCs w:val="24"/>
          <w:highlight w:val="none"/>
          <w:u w:val="none"/>
          <w:lang w:val="en-US" w:eastAsia="zh-CN"/>
        </w:rPr>
        <w:t>《工业企业厂界环境噪声排放标准》（GB12348</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2008）中</w:t>
      </w: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类</w:t>
      </w:r>
      <w:r>
        <w:rPr>
          <w:rFonts w:hint="eastAsia" w:ascii="Times New Roman" w:hAnsi="Times New Roman" w:eastAsia="宋体" w:cs="Times New Roman"/>
          <w:color w:val="auto"/>
          <w:sz w:val="24"/>
          <w:szCs w:val="24"/>
          <w:highlight w:val="none"/>
          <w:u w:val="none"/>
          <w:lang w:val="en-US" w:eastAsia="zh-CN"/>
        </w:rPr>
        <w:t>区</w:t>
      </w:r>
      <w:r>
        <w:rPr>
          <w:rFonts w:hint="default" w:ascii="Times New Roman" w:hAnsi="Times New Roman" w:eastAsia="宋体" w:cs="Times New Roman"/>
          <w:color w:val="auto"/>
          <w:sz w:val="24"/>
          <w:szCs w:val="24"/>
          <w:highlight w:val="none"/>
          <w:u w:val="none"/>
          <w:lang w:val="en-US" w:eastAsia="zh-CN"/>
        </w:rPr>
        <w:t>标准，不会</w:t>
      </w:r>
      <w:r>
        <w:rPr>
          <w:rFonts w:hint="eastAsia" w:ascii="Times New Roman" w:hAnsi="Times New Roman" w:eastAsia="宋体" w:cs="Times New Roman"/>
          <w:color w:val="auto"/>
          <w:sz w:val="24"/>
          <w:szCs w:val="24"/>
          <w:highlight w:val="none"/>
          <w:u w:val="none"/>
          <w:lang w:val="en-US" w:eastAsia="zh-CN"/>
        </w:rPr>
        <w:t>使</w:t>
      </w:r>
      <w:r>
        <w:rPr>
          <w:rFonts w:hint="default" w:ascii="Times New Roman" w:hAnsi="Times New Roman" w:eastAsia="宋体" w:cs="Times New Roman"/>
          <w:color w:val="auto"/>
          <w:sz w:val="24"/>
          <w:szCs w:val="24"/>
          <w:highlight w:val="none"/>
          <w:u w:val="none"/>
          <w:lang w:val="en-US" w:eastAsia="zh-CN"/>
        </w:rPr>
        <w:t>项目区声环境质量明显降低。</w:t>
      </w:r>
    </w:p>
    <w:p w14:paraId="5E87E264">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6</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3 </w:t>
      </w:r>
      <w:r>
        <w:rPr>
          <w:rFonts w:hint="default" w:ascii="黑体" w:hAnsi="黑体" w:eastAsia="黑体" w:cs="黑体"/>
          <w:b/>
          <w:color w:val="auto"/>
          <w:kern w:val="0"/>
          <w:sz w:val="24"/>
          <w:szCs w:val="24"/>
          <w:highlight w:val="none"/>
          <w:u w:val="none"/>
          <w:lang w:val="en-US" w:eastAsia="zh-CN"/>
        </w:rPr>
        <w:t>声环境影响评价小结</w:t>
      </w:r>
    </w:p>
    <w:p w14:paraId="62A5ECB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通过类比分析可知，本工程施工期昼间施工场50m以外均不超过《建筑施工场界环境噪声排放标准》（昼间75dB（A）），而在夜间则会超标（夜间55dB(A)）。项目区200m范围内无居民，并且施工期噪声源均为暂时性的，只在短时期对局部环境和施工人员造成影响，待施工结束后这种影响也随之消失。施工期噪声对周围环境造成的影响属可接受范围。</w:t>
      </w:r>
    </w:p>
    <w:p w14:paraId="7078C70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b/>
          <w:color w:val="auto"/>
          <w:kern w:val="2"/>
          <w:sz w:val="24"/>
          <w:szCs w:val="22"/>
          <w:highlight w:val="none"/>
          <w:u w:val="none"/>
          <w:lang w:val="en-US" w:eastAsia="zh-CN" w:bidi="ar-SA"/>
        </w:rPr>
      </w:pPr>
      <w:r>
        <w:rPr>
          <w:rFonts w:hint="eastAsia" w:ascii="宋体" w:hAnsi="宋体" w:eastAsia="宋体" w:cs="宋体"/>
          <w:color w:val="auto"/>
          <w:sz w:val="24"/>
          <w:szCs w:val="24"/>
          <w:u w:val="none"/>
          <w:lang w:val="en-US" w:eastAsia="zh-CN"/>
        </w:rPr>
        <w:t>本工程</w:t>
      </w:r>
      <w:r>
        <w:rPr>
          <w:rFonts w:hint="eastAsia" w:ascii="宋体" w:hAnsi="宋体" w:eastAsia="宋体" w:cs="宋体"/>
          <w:color w:val="auto"/>
          <w:sz w:val="24"/>
          <w:szCs w:val="24"/>
          <w:u w:val="none"/>
        </w:rPr>
        <w:t>运营期间的噪声源主要为井场设备的运转噪声，噪声预测结果</w:t>
      </w:r>
      <w:r>
        <w:rPr>
          <w:rFonts w:hint="eastAsia" w:ascii="宋体" w:hAnsi="宋体" w:eastAsia="宋体" w:cs="宋体"/>
          <w:color w:val="auto"/>
          <w:sz w:val="24"/>
          <w:szCs w:val="24"/>
          <w:u w:val="none"/>
          <w:lang w:val="en-US" w:eastAsia="zh-CN"/>
        </w:rPr>
        <w:t>可知</w:t>
      </w:r>
      <w:r>
        <w:rPr>
          <w:rFonts w:hint="eastAsia" w:ascii="宋体" w:hAnsi="宋体" w:eastAsia="宋体" w:cs="宋体"/>
          <w:color w:val="auto"/>
          <w:sz w:val="24"/>
          <w:szCs w:val="24"/>
          <w:u w:val="none"/>
        </w:rPr>
        <w:t>显示：在采取了环评提出的降噪措施后，项目运营期厂界昼、夜间噪声预测值均可满足《工业企业厂界环境噪声排放标准》（GB12348-2008）中2类区标准，不会使项目区声环境质量明显降低。不会对周围声环境产生影响。</w:t>
      </w:r>
    </w:p>
    <w:p w14:paraId="0C191419">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6</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4 </w:t>
      </w:r>
      <w:r>
        <w:rPr>
          <w:rFonts w:hint="default" w:ascii="黑体" w:hAnsi="黑体" w:eastAsia="黑体" w:cs="黑体"/>
          <w:b/>
          <w:color w:val="auto"/>
          <w:kern w:val="0"/>
          <w:sz w:val="24"/>
          <w:szCs w:val="24"/>
          <w:highlight w:val="none"/>
          <w:u w:val="none"/>
          <w:lang w:val="en-US" w:eastAsia="zh-CN"/>
        </w:rPr>
        <w:t>声环境影响</w:t>
      </w:r>
      <w:r>
        <w:rPr>
          <w:rFonts w:hint="eastAsia" w:ascii="黑体" w:hAnsi="黑体" w:eastAsia="黑体" w:cs="黑体"/>
          <w:b/>
          <w:color w:val="auto"/>
          <w:kern w:val="0"/>
          <w:sz w:val="24"/>
          <w:szCs w:val="24"/>
          <w:highlight w:val="none"/>
          <w:u w:val="none"/>
          <w:lang w:val="en-US" w:eastAsia="zh-CN"/>
        </w:rPr>
        <w:t>自查表</w:t>
      </w:r>
    </w:p>
    <w:p w14:paraId="7C41004C">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ascii="黑体" w:hAnsi="宋体" w:eastAsia="黑体" w:cs="黑体"/>
          <w:snapToGrid w:val="0"/>
          <w:color w:val="auto"/>
          <w:kern w:val="0"/>
          <w:sz w:val="20"/>
          <w:szCs w:val="20"/>
          <w:highlight w:val="none"/>
          <w:u w:val="none"/>
          <w:lang w:val="en-US" w:eastAsia="zh-CN" w:bidi="ar"/>
        </w:rPr>
      </w:pPr>
      <w:r>
        <w:rPr>
          <w:rFonts w:hint="eastAsia" w:ascii="Times New Roman" w:hAnsi="Times New Roman" w:eastAsia="宋体" w:cs="Times New Roman"/>
          <w:snapToGrid w:val="0"/>
          <w:color w:val="auto"/>
          <w:kern w:val="2"/>
          <w:sz w:val="24"/>
          <w:szCs w:val="24"/>
          <w:highlight w:val="none"/>
          <w:u w:val="none"/>
          <w:lang w:val="en-US" w:eastAsia="zh-CN" w:bidi="ar-SA"/>
        </w:rPr>
        <w:t>本工程声环境影响自查表</w:t>
      </w:r>
      <w:r>
        <w:rPr>
          <w:rFonts w:hint="eastAsia" w:cs="Times New Roman"/>
          <w:snapToGrid w:val="0"/>
          <w:color w:val="auto"/>
          <w:kern w:val="2"/>
          <w:sz w:val="24"/>
          <w:szCs w:val="24"/>
          <w:highlight w:val="none"/>
          <w:u w:val="none"/>
          <w:lang w:val="en-US" w:eastAsia="zh-CN" w:bidi="ar-SA"/>
        </w:rPr>
        <w:t>，</w:t>
      </w:r>
      <w:r>
        <w:rPr>
          <w:rFonts w:hint="eastAsia" w:ascii="Times New Roman" w:hAnsi="Times New Roman" w:eastAsia="宋体" w:cs="Times New Roman"/>
          <w:snapToGrid w:val="0"/>
          <w:color w:val="auto"/>
          <w:kern w:val="2"/>
          <w:sz w:val="24"/>
          <w:szCs w:val="24"/>
          <w:highlight w:val="none"/>
          <w:u w:val="none"/>
          <w:lang w:val="en-US" w:eastAsia="zh-CN" w:bidi="ar-SA"/>
        </w:rPr>
        <w:t>见表5.</w:t>
      </w:r>
      <w:r>
        <w:rPr>
          <w:rFonts w:hint="eastAsia" w:cs="Times New Roman"/>
          <w:snapToGrid w:val="0"/>
          <w:color w:val="auto"/>
          <w:kern w:val="2"/>
          <w:sz w:val="24"/>
          <w:szCs w:val="24"/>
          <w:highlight w:val="none"/>
          <w:u w:val="none"/>
          <w:lang w:val="en-US" w:eastAsia="zh-CN" w:bidi="ar-SA"/>
        </w:rPr>
        <w:t>6</w:t>
      </w:r>
      <w:r>
        <w:rPr>
          <w:rFonts w:hint="eastAsia" w:ascii="Times New Roman" w:hAnsi="Times New Roman" w:eastAsia="宋体" w:cs="Times New Roman"/>
          <w:snapToGrid w:val="0"/>
          <w:color w:val="auto"/>
          <w:kern w:val="2"/>
          <w:sz w:val="24"/>
          <w:szCs w:val="24"/>
          <w:highlight w:val="none"/>
          <w:u w:val="none"/>
          <w:lang w:val="en-US" w:eastAsia="zh-CN" w:bidi="ar-SA"/>
        </w:rPr>
        <w:t>-4</w:t>
      </w:r>
      <w:r>
        <w:rPr>
          <w:rFonts w:ascii="Times New Roman" w:hAnsi="Times New Roman" w:eastAsia="宋体" w:cs="Times New Roman"/>
          <w:snapToGrid/>
          <w:color w:val="auto"/>
          <w:kern w:val="2"/>
          <w:sz w:val="24"/>
          <w:szCs w:val="24"/>
          <w:highlight w:val="none"/>
          <w:u w:val="none"/>
          <w:lang w:val="en-US" w:eastAsia="zh-CN" w:bidi="ar-SA"/>
        </w:rPr>
        <w:t>。</w:t>
      </w:r>
    </w:p>
    <w:p w14:paraId="1A67A2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heme="majorEastAsia" w:hAnsiTheme="majorEastAsia" w:eastAsiaTheme="majorEastAsia" w:cstheme="majorEastAsia"/>
          <w:b/>
          <w:bCs w:val="0"/>
          <w:color w:val="auto"/>
          <w:kern w:val="2"/>
          <w:sz w:val="24"/>
          <w:szCs w:val="24"/>
          <w:u w:val="none"/>
          <w:lang w:val="en-US" w:eastAsia="zh-CN" w:bidi="ar-SA"/>
        </w:rPr>
      </w:pPr>
      <w:r>
        <w:rPr>
          <w:rFonts w:hint="default" w:ascii="黑体" w:hAnsi="黑体" w:eastAsia="黑体" w:cs="黑体"/>
          <w:b w:val="0"/>
          <w:bCs/>
          <w:color w:val="auto"/>
          <w:kern w:val="2"/>
          <w:sz w:val="24"/>
          <w:szCs w:val="24"/>
          <w:u w:val="none"/>
          <w:lang w:val="en-US" w:eastAsia="zh-CN" w:bidi="ar-SA"/>
        </w:rPr>
        <w:t>表5.</w:t>
      </w:r>
      <w:r>
        <w:rPr>
          <w:rFonts w:hint="eastAsia" w:ascii="黑体" w:hAnsi="黑体" w:eastAsia="黑体" w:cs="黑体"/>
          <w:b w:val="0"/>
          <w:bCs/>
          <w:color w:val="auto"/>
          <w:kern w:val="2"/>
          <w:sz w:val="24"/>
          <w:szCs w:val="24"/>
          <w:u w:val="none"/>
          <w:lang w:val="en-US" w:eastAsia="zh-CN" w:bidi="ar-SA"/>
        </w:rPr>
        <w:t>6</w:t>
      </w:r>
      <w:r>
        <w:rPr>
          <w:rFonts w:hint="default" w:ascii="黑体" w:hAnsi="黑体" w:eastAsia="黑体" w:cs="黑体"/>
          <w:b w:val="0"/>
          <w:bCs/>
          <w:color w:val="auto"/>
          <w:kern w:val="2"/>
          <w:sz w:val="24"/>
          <w:szCs w:val="24"/>
          <w:u w:val="none"/>
          <w:lang w:val="en-US" w:eastAsia="zh-CN" w:bidi="ar-SA"/>
        </w:rPr>
        <w:t>-4</w:t>
      </w:r>
      <w:r>
        <w:rPr>
          <w:rFonts w:hint="eastAsia" w:ascii="黑体" w:hAnsi="黑体" w:eastAsia="黑体" w:cs="黑体"/>
          <w:b w:val="0"/>
          <w:bCs/>
          <w:color w:val="auto"/>
          <w:kern w:val="2"/>
          <w:sz w:val="24"/>
          <w:szCs w:val="24"/>
          <w:u w:val="none"/>
          <w:lang w:val="en-US" w:eastAsia="zh-CN" w:bidi="ar-SA"/>
        </w:rPr>
        <w:t xml:space="preserve">    </w:t>
      </w:r>
      <w:r>
        <w:rPr>
          <w:rFonts w:hint="default" w:ascii="黑体" w:hAnsi="黑体" w:eastAsia="黑体" w:cs="黑体"/>
          <w:b w:val="0"/>
          <w:bCs/>
          <w:color w:val="auto"/>
          <w:kern w:val="2"/>
          <w:sz w:val="24"/>
          <w:szCs w:val="24"/>
          <w:u w:val="none"/>
          <w:lang w:val="en-US" w:eastAsia="zh-CN" w:bidi="ar-SA"/>
        </w:rPr>
        <w:t xml:space="preserve"> </w:t>
      </w:r>
      <w:r>
        <w:rPr>
          <w:rFonts w:hint="eastAsia" w:ascii="黑体" w:hAnsi="黑体" w:eastAsia="黑体" w:cs="黑体"/>
          <w:b w:val="0"/>
          <w:bCs/>
          <w:color w:val="auto"/>
          <w:kern w:val="2"/>
          <w:sz w:val="24"/>
          <w:szCs w:val="24"/>
          <w:u w:val="none"/>
          <w:lang w:val="en-US" w:eastAsia="zh-CN" w:bidi="ar-SA"/>
        </w:rPr>
        <w:t>声环境影响评价自查表</w:t>
      </w:r>
    </w:p>
    <w:tbl>
      <w:tblPr>
        <w:tblStyle w:val="37"/>
        <w:tblW w:w="85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Layout w:type="fixed"/>
        <w:tblCellMar>
          <w:top w:w="0" w:type="dxa"/>
          <w:left w:w="0" w:type="dxa"/>
          <w:bottom w:w="0" w:type="dxa"/>
          <w:right w:w="0" w:type="dxa"/>
        </w:tblCellMar>
      </w:tblPr>
      <w:tblGrid>
        <w:gridCol w:w="930"/>
        <w:gridCol w:w="1325"/>
        <w:gridCol w:w="1009"/>
        <w:gridCol w:w="247"/>
        <w:gridCol w:w="286"/>
        <w:gridCol w:w="297"/>
        <w:gridCol w:w="185"/>
        <w:gridCol w:w="488"/>
        <w:gridCol w:w="535"/>
        <w:gridCol w:w="15"/>
        <w:gridCol w:w="79"/>
        <w:gridCol w:w="627"/>
        <w:gridCol w:w="342"/>
        <w:gridCol w:w="518"/>
        <w:gridCol w:w="396"/>
        <w:gridCol w:w="63"/>
        <w:gridCol w:w="35"/>
        <w:gridCol w:w="1162"/>
      </w:tblGrid>
      <w:tr w14:paraId="0D0EEF2B">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366" w:hRule="atLeast"/>
        </w:trPr>
        <w:tc>
          <w:tcPr>
            <w:tcW w:w="2255" w:type="dxa"/>
            <w:gridSpan w:val="2"/>
            <w:tcBorders>
              <w:tl2br w:val="nil"/>
              <w:tr2bl w:val="nil"/>
            </w:tcBorders>
            <w:noWrap w:val="0"/>
            <w:vAlign w:val="center"/>
          </w:tcPr>
          <w:p w14:paraId="426E178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工作内</w:t>
            </w:r>
            <w:r>
              <w:rPr>
                <w:rFonts w:hint="eastAsia" w:ascii="宋体" w:hAnsi="宋体" w:eastAsia="宋体" w:cs="宋体"/>
                <w:color w:val="auto"/>
                <w:spacing w:val="-1"/>
                <w:kern w:val="0"/>
                <w:sz w:val="21"/>
                <w:szCs w:val="21"/>
                <w:highlight w:val="none"/>
                <w:u w:val="none"/>
              </w:rPr>
              <w:t>容</w:t>
            </w:r>
          </w:p>
        </w:tc>
        <w:tc>
          <w:tcPr>
            <w:tcW w:w="6284" w:type="dxa"/>
            <w:gridSpan w:val="16"/>
            <w:tcBorders>
              <w:tl2br w:val="nil"/>
              <w:tr2bl w:val="nil"/>
            </w:tcBorders>
            <w:noWrap w:val="0"/>
            <w:vAlign w:val="center"/>
          </w:tcPr>
          <w:p w14:paraId="7ED5E50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7"/>
                <w:kern w:val="0"/>
                <w:sz w:val="21"/>
                <w:szCs w:val="21"/>
                <w:highlight w:val="none"/>
                <w:u w:val="none"/>
              </w:rPr>
              <w:t>自查项目</w:t>
            </w:r>
          </w:p>
        </w:tc>
      </w:tr>
      <w:tr w14:paraId="5C0BDD5F">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367" w:hRule="atLeast"/>
        </w:trPr>
        <w:tc>
          <w:tcPr>
            <w:tcW w:w="930" w:type="dxa"/>
            <w:vMerge w:val="restart"/>
            <w:tcBorders>
              <w:tl2br w:val="nil"/>
              <w:tr2bl w:val="nil"/>
            </w:tcBorders>
            <w:noWrap w:val="0"/>
            <w:vAlign w:val="center"/>
          </w:tcPr>
          <w:p w14:paraId="095A2D9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评价等</w:t>
            </w:r>
            <w:r>
              <w:rPr>
                <w:rFonts w:hint="eastAsia" w:ascii="宋体" w:hAnsi="宋体" w:eastAsia="宋体" w:cs="宋体"/>
                <w:color w:val="auto"/>
                <w:spacing w:val="-1"/>
                <w:kern w:val="0"/>
                <w:sz w:val="21"/>
                <w:szCs w:val="21"/>
                <w:highlight w:val="none"/>
                <w:u w:val="none"/>
              </w:rPr>
              <w:t>级</w:t>
            </w:r>
            <w:r>
              <w:rPr>
                <w:rFonts w:hint="eastAsia" w:ascii="宋体" w:hAnsi="宋体" w:eastAsia="宋体" w:cs="宋体"/>
                <w:color w:val="auto"/>
                <w:spacing w:val="-4"/>
                <w:kern w:val="0"/>
                <w:sz w:val="21"/>
                <w:szCs w:val="21"/>
                <w:highlight w:val="none"/>
                <w:u w:val="none"/>
              </w:rPr>
              <w:t>与</w:t>
            </w:r>
            <w:r>
              <w:rPr>
                <w:rFonts w:hint="eastAsia" w:ascii="宋体" w:hAnsi="宋体" w:eastAsia="宋体" w:cs="宋体"/>
                <w:color w:val="auto"/>
                <w:spacing w:val="-2"/>
                <w:kern w:val="0"/>
                <w:sz w:val="21"/>
                <w:szCs w:val="21"/>
                <w:highlight w:val="none"/>
                <w:u w:val="none"/>
              </w:rPr>
              <w:t>范围</w:t>
            </w:r>
          </w:p>
        </w:tc>
        <w:tc>
          <w:tcPr>
            <w:tcW w:w="1325" w:type="dxa"/>
            <w:tcBorders>
              <w:tl2br w:val="nil"/>
              <w:tr2bl w:val="nil"/>
            </w:tcBorders>
            <w:noWrap w:val="0"/>
            <w:vAlign w:val="center"/>
          </w:tcPr>
          <w:p w14:paraId="6C4991D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w:t>
            </w:r>
            <w:r>
              <w:rPr>
                <w:rFonts w:hint="eastAsia" w:ascii="宋体" w:hAnsi="宋体" w:eastAsia="宋体" w:cs="宋体"/>
                <w:color w:val="auto"/>
                <w:spacing w:val="-1"/>
                <w:kern w:val="0"/>
                <w:sz w:val="21"/>
                <w:szCs w:val="21"/>
                <w:highlight w:val="none"/>
                <w:u w:val="none"/>
              </w:rPr>
              <w:t>价等级</w:t>
            </w:r>
          </w:p>
        </w:tc>
        <w:tc>
          <w:tcPr>
            <w:tcW w:w="6284" w:type="dxa"/>
            <w:gridSpan w:val="16"/>
            <w:tcBorders>
              <w:tl2br w:val="nil"/>
              <w:tr2bl w:val="nil"/>
            </w:tcBorders>
            <w:noWrap w:val="0"/>
            <w:vAlign w:val="center"/>
          </w:tcPr>
          <w:p w14:paraId="3DBD15F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3"/>
                <w:kern w:val="0"/>
                <w:sz w:val="21"/>
                <w:szCs w:val="21"/>
                <w:highlight w:val="none"/>
                <w:u w:val="none"/>
              </w:rPr>
              <w:t>一</w:t>
            </w:r>
            <w:r>
              <w:rPr>
                <w:rFonts w:hint="eastAsia" w:ascii="宋体" w:hAnsi="宋体" w:eastAsia="宋体" w:cs="宋体"/>
                <w:color w:val="auto"/>
                <w:spacing w:val="-2"/>
                <w:kern w:val="0"/>
                <w:sz w:val="21"/>
                <w:szCs w:val="21"/>
                <w:highlight w:val="none"/>
                <w:u w:val="none"/>
              </w:rPr>
              <w:t xml:space="preserve">级□              </w:t>
            </w:r>
            <w:r>
              <w:rPr>
                <w:rFonts w:hint="eastAsia" w:ascii="宋体" w:hAnsi="宋体" w:eastAsia="宋体" w:cs="宋体"/>
                <w:color w:val="auto"/>
                <w:spacing w:val="-4"/>
                <w:kern w:val="0"/>
                <w:sz w:val="21"/>
                <w:szCs w:val="21"/>
                <w:highlight w:val="none"/>
                <w:u w:val="none"/>
              </w:rPr>
              <w:t>二</w:t>
            </w:r>
            <w:r>
              <w:rPr>
                <w:rFonts w:hint="eastAsia" w:ascii="宋体" w:hAnsi="宋体" w:eastAsia="宋体" w:cs="宋体"/>
                <w:color w:val="auto"/>
                <w:spacing w:val="-3"/>
                <w:kern w:val="0"/>
                <w:sz w:val="21"/>
                <w:szCs w:val="21"/>
                <w:highlight w:val="none"/>
                <w:u w:val="none"/>
              </w:rPr>
              <w:t>级</w:t>
            </w:r>
            <w:r>
              <w:rPr>
                <w:rFonts w:hint="eastAsia" w:ascii="宋体" w:hAnsi="宋体" w:eastAsia="宋体" w:cs="宋体"/>
                <w:color w:val="auto"/>
                <w:spacing w:val="-6"/>
                <w:kern w:val="0"/>
                <w:sz w:val="21"/>
                <w:szCs w:val="21"/>
                <w:highlight w:val="none"/>
                <w:u w:val="none"/>
                <w:lang w:eastAsia="zh-CN"/>
              </w:rPr>
              <w:t>☑</w:t>
            </w:r>
            <w:r>
              <w:rPr>
                <w:rFonts w:hint="eastAsia" w:ascii="宋体" w:hAnsi="宋体" w:eastAsia="宋体" w:cs="宋体"/>
                <w:color w:val="auto"/>
                <w:spacing w:val="-2"/>
                <w:kern w:val="0"/>
                <w:sz w:val="21"/>
                <w:szCs w:val="21"/>
                <w:highlight w:val="none"/>
                <w:u w:val="none"/>
              </w:rPr>
              <w:t xml:space="preserve">              三级</w:t>
            </w:r>
            <w:r>
              <w:rPr>
                <w:rFonts w:hint="eastAsia" w:ascii="宋体" w:hAnsi="宋体" w:eastAsia="宋体" w:cs="宋体"/>
                <w:color w:val="auto"/>
                <w:spacing w:val="-1"/>
                <w:kern w:val="0"/>
                <w:sz w:val="21"/>
                <w:szCs w:val="21"/>
                <w:highlight w:val="none"/>
                <w:u w:val="none"/>
              </w:rPr>
              <w:t>□</w:t>
            </w:r>
          </w:p>
        </w:tc>
      </w:tr>
      <w:tr w14:paraId="50CCFAE1">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390" w:hRule="atLeast"/>
        </w:trPr>
        <w:tc>
          <w:tcPr>
            <w:tcW w:w="930" w:type="dxa"/>
            <w:vMerge w:val="continue"/>
            <w:tcBorders>
              <w:tl2br w:val="nil"/>
              <w:tr2bl w:val="nil"/>
            </w:tcBorders>
            <w:noWrap w:val="0"/>
            <w:vAlign w:val="center"/>
          </w:tcPr>
          <w:p w14:paraId="6C4FBB2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p>
        </w:tc>
        <w:tc>
          <w:tcPr>
            <w:tcW w:w="1325" w:type="dxa"/>
            <w:tcBorders>
              <w:tl2br w:val="nil"/>
              <w:tr2bl w:val="nil"/>
            </w:tcBorders>
            <w:noWrap w:val="0"/>
            <w:vAlign w:val="center"/>
          </w:tcPr>
          <w:p w14:paraId="09934BD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w:t>
            </w:r>
            <w:r>
              <w:rPr>
                <w:rFonts w:hint="eastAsia" w:ascii="宋体" w:hAnsi="宋体" w:eastAsia="宋体" w:cs="宋体"/>
                <w:color w:val="auto"/>
                <w:spacing w:val="-1"/>
                <w:kern w:val="0"/>
                <w:sz w:val="21"/>
                <w:szCs w:val="21"/>
                <w:highlight w:val="none"/>
                <w:u w:val="none"/>
              </w:rPr>
              <w:t>价范围</w:t>
            </w:r>
          </w:p>
        </w:tc>
        <w:tc>
          <w:tcPr>
            <w:tcW w:w="6284" w:type="dxa"/>
            <w:gridSpan w:val="16"/>
            <w:tcBorders>
              <w:tl2br w:val="nil"/>
              <w:tr2bl w:val="nil"/>
            </w:tcBorders>
            <w:noWrap w:val="0"/>
            <w:vAlign w:val="center"/>
          </w:tcPr>
          <w:p w14:paraId="7869716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
                <w:kern w:val="0"/>
                <w:position w:val="1"/>
                <w:sz w:val="21"/>
                <w:szCs w:val="21"/>
                <w:highlight w:val="none"/>
                <w:u w:val="none"/>
              </w:rPr>
              <w:t>20</w:t>
            </w:r>
            <w:r>
              <w:rPr>
                <w:rFonts w:hint="eastAsia" w:ascii="宋体" w:hAnsi="宋体" w:eastAsia="宋体" w:cs="宋体"/>
                <w:color w:val="auto"/>
                <w:kern w:val="0"/>
                <w:position w:val="1"/>
                <w:sz w:val="21"/>
                <w:szCs w:val="21"/>
                <w:highlight w:val="none"/>
                <w:u w:val="none"/>
              </w:rPr>
              <w:t>0 m</w:t>
            </w:r>
            <w:r>
              <w:rPr>
                <w:rFonts w:hint="eastAsia" w:ascii="宋体" w:hAnsi="宋体" w:eastAsia="宋体" w:cs="宋体"/>
                <w:color w:val="auto"/>
                <w:spacing w:val="-6"/>
                <w:kern w:val="0"/>
                <w:sz w:val="21"/>
                <w:szCs w:val="21"/>
                <w:highlight w:val="none"/>
                <w:u w:val="none"/>
                <w:lang w:eastAsia="zh-CN"/>
              </w:rPr>
              <w:t>☑</w:t>
            </w:r>
            <w:r>
              <w:rPr>
                <w:rFonts w:hint="eastAsia" w:ascii="宋体" w:hAnsi="宋体" w:eastAsia="宋体" w:cs="宋体"/>
                <w:color w:val="auto"/>
                <w:kern w:val="0"/>
                <w:position w:val="1"/>
                <w:sz w:val="21"/>
                <w:szCs w:val="21"/>
                <w:highlight w:val="none"/>
                <w:u w:val="none"/>
              </w:rPr>
              <w:t xml:space="preserve">         </w:t>
            </w:r>
            <w:r>
              <w:rPr>
                <w:rFonts w:hint="eastAsia" w:ascii="宋体" w:hAnsi="宋体" w:eastAsia="宋体" w:cs="宋体"/>
                <w:color w:val="auto"/>
                <w:spacing w:val="-7"/>
                <w:kern w:val="0"/>
                <w:sz w:val="21"/>
                <w:szCs w:val="21"/>
                <w:highlight w:val="none"/>
                <w:u w:val="none"/>
              </w:rPr>
              <w:t>大</w:t>
            </w:r>
            <w:r>
              <w:rPr>
                <w:rFonts w:hint="eastAsia" w:ascii="宋体" w:hAnsi="宋体" w:eastAsia="宋体" w:cs="宋体"/>
                <w:color w:val="auto"/>
                <w:spacing w:val="-6"/>
                <w:kern w:val="0"/>
                <w:sz w:val="21"/>
                <w:szCs w:val="21"/>
                <w:highlight w:val="none"/>
                <w:u w:val="none"/>
              </w:rPr>
              <w:t xml:space="preserve">于200 m□         </w:t>
            </w:r>
            <w:r>
              <w:rPr>
                <w:rFonts w:hint="eastAsia" w:ascii="宋体" w:hAnsi="宋体" w:eastAsia="宋体" w:cs="宋体"/>
                <w:color w:val="auto"/>
                <w:spacing w:val="-9"/>
                <w:kern w:val="0"/>
                <w:sz w:val="21"/>
                <w:szCs w:val="21"/>
                <w:highlight w:val="none"/>
                <w:u w:val="none"/>
              </w:rPr>
              <w:t>小</w:t>
            </w:r>
            <w:r>
              <w:rPr>
                <w:rFonts w:hint="eastAsia" w:ascii="宋体" w:hAnsi="宋体" w:eastAsia="宋体" w:cs="宋体"/>
                <w:color w:val="auto"/>
                <w:spacing w:val="-6"/>
                <w:kern w:val="0"/>
                <w:sz w:val="21"/>
                <w:szCs w:val="21"/>
                <w:highlight w:val="none"/>
                <w:u w:val="none"/>
              </w:rPr>
              <w:t>于200 m□</w:t>
            </w:r>
          </w:p>
        </w:tc>
      </w:tr>
      <w:tr w14:paraId="23A020B7">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432" w:hRule="atLeast"/>
        </w:trPr>
        <w:tc>
          <w:tcPr>
            <w:tcW w:w="930" w:type="dxa"/>
            <w:tcBorders>
              <w:tl2br w:val="nil"/>
              <w:tr2bl w:val="nil"/>
            </w:tcBorders>
            <w:noWrap w:val="0"/>
            <w:vAlign w:val="center"/>
          </w:tcPr>
          <w:p w14:paraId="68F6FBB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w:t>
            </w:r>
            <w:r>
              <w:rPr>
                <w:rFonts w:hint="eastAsia" w:ascii="宋体" w:hAnsi="宋体" w:eastAsia="宋体" w:cs="宋体"/>
                <w:color w:val="auto"/>
                <w:spacing w:val="-1"/>
                <w:kern w:val="0"/>
                <w:sz w:val="21"/>
                <w:szCs w:val="21"/>
                <w:highlight w:val="none"/>
                <w:u w:val="none"/>
              </w:rPr>
              <w:t>价因子</w:t>
            </w:r>
          </w:p>
        </w:tc>
        <w:tc>
          <w:tcPr>
            <w:tcW w:w="1325" w:type="dxa"/>
            <w:tcBorders>
              <w:tl2br w:val="nil"/>
              <w:tr2bl w:val="nil"/>
            </w:tcBorders>
            <w:noWrap w:val="0"/>
            <w:vAlign w:val="center"/>
          </w:tcPr>
          <w:p w14:paraId="698A1A3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w:t>
            </w:r>
            <w:r>
              <w:rPr>
                <w:rFonts w:hint="eastAsia" w:ascii="宋体" w:hAnsi="宋体" w:eastAsia="宋体" w:cs="宋体"/>
                <w:color w:val="auto"/>
                <w:spacing w:val="-1"/>
                <w:kern w:val="0"/>
                <w:sz w:val="21"/>
                <w:szCs w:val="21"/>
                <w:highlight w:val="none"/>
                <w:u w:val="none"/>
              </w:rPr>
              <w:t>价因子</w:t>
            </w:r>
          </w:p>
        </w:tc>
        <w:tc>
          <w:tcPr>
            <w:tcW w:w="6284" w:type="dxa"/>
            <w:gridSpan w:val="16"/>
            <w:tcBorders>
              <w:tl2br w:val="nil"/>
              <w:tr2bl w:val="nil"/>
            </w:tcBorders>
            <w:noWrap w:val="0"/>
            <w:vAlign w:val="center"/>
          </w:tcPr>
          <w:p w14:paraId="77E1C73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
                <w:kern w:val="0"/>
                <w:sz w:val="21"/>
                <w:szCs w:val="21"/>
                <w:highlight w:val="none"/>
                <w:u w:val="none"/>
              </w:rPr>
              <w:t>等效</w:t>
            </w:r>
            <w:r>
              <w:rPr>
                <w:rFonts w:hint="eastAsia" w:ascii="宋体" w:hAnsi="宋体" w:eastAsia="宋体" w:cs="宋体"/>
                <w:color w:val="auto"/>
                <w:kern w:val="0"/>
                <w:sz w:val="21"/>
                <w:szCs w:val="21"/>
                <w:highlight w:val="none"/>
                <w:u w:val="none"/>
              </w:rPr>
              <w:t>连续A声级</w:t>
            </w:r>
            <w:r>
              <w:rPr>
                <w:rFonts w:hint="eastAsia" w:ascii="宋体" w:hAnsi="宋体" w:eastAsia="宋体" w:cs="宋体"/>
                <w:color w:val="auto"/>
                <w:spacing w:val="-6"/>
                <w:kern w:val="0"/>
                <w:sz w:val="21"/>
                <w:szCs w:val="21"/>
                <w:highlight w:val="none"/>
                <w:u w:val="none"/>
                <w:lang w:eastAsia="zh-CN"/>
              </w:rPr>
              <w:t>☑</w:t>
            </w:r>
            <w:r>
              <w:rPr>
                <w:rFonts w:hint="eastAsia" w:ascii="宋体" w:hAnsi="宋体" w:eastAsia="宋体" w:cs="宋体"/>
                <w:color w:val="auto"/>
                <w:kern w:val="0"/>
                <w:sz w:val="21"/>
                <w:szCs w:val="21"/>
                <w:highlight w:val="none"/>
                <w:u w:val="none"/>
              </w:rPr>
              <w:t xml:space="preserve">   最大A声级□   计权等效连续感觉噪声级□</w:t>
            </w:r>
          </w:p>
        </w:tc>
      </w:tr>
      <w:tr w14:paraId="4CFAB01B">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421" w:hRule="atLeast"/>
        </w:trPr>
        <w:tc>
          <w:tcPr>
            <w:tcW w:w="930" w:type="dxa"/>
            <w:tcBorders>
              <w:tl2br w:val="nil"/>
              <w:tr2bl w:val="nil"/>
            </w:tcBorders>
            <w:noWrap w:val="0"/>
            <w:vAlign w:val="center"/>
          </w:tcPr>
          <w:p w14:paraId="0857904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w:t>
            </w:r>
            <w:r>
              <w:rPr>
                <w:rFonts w:hint="eastAsia" w:ascii="宋体" w:hAnsi="宋体" w:eastAsia="宋体" w:cs="宋体"/>
                <w:color w:val="auto"/>
                <w:spacing w:val="-1"/>
                <w:kern w:val="0"/>
                <w:sz w:val="21"/>
                <w:szCs w:val="21"/>
                <w:highlight w:val="none"/>
                <w:u w:val="none"/>
              </w:rPr>
              <w:t>价标准</w:t>
            </w:r>
          </w:p>
        </w:tc>
        <w:tc>
          <w:tcPr>
            <w:tcW w:w="1325" w:type="dxa"/>
            <w:tcBorders>
              <w:tl2br w:val="nil"/>
              <w:tr2bl w:val="nil"/>
            </w:tcBorders>
            <w:noWrap w:val="0"/>
            <w:vAlign w:val="center"/>
          </w:tcPr>
          <w:p w14:paraId="40310F7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w:t>
            </w:r>
            <w:r>
              <w:rPr>
                <w:rFonts w:hint="eastAsia" w:ascii="宋体" w:hAnsi="宋体" w:eastAsia="宋体" w:cs="宋体"/>
                <w:color w:val="auto"/>
                <w:spacing w:val="-1"/>
                <w:kern w:val="0"/>
                <w:sz w:val="21"/>
                <w:szCs w:val="21"/>
                <w:highlight w:val="none"/>
                <w:u w:val="none"/>
              </w:rPr>
              <w:t>价标准</w:t>
            </w:r>
          </w:p>
        </w:tc>
        <w:tc>
          <w:tcPr>
            <w:tcW w:w="6284" w:type="dxa"/>
            <w:gridSpan w:val="16"/>
            <w:tcBorders>
              <w:tl2br w:val="nil"/>
              <w:tr2bl w:val="nil"/>
            </w:tcBorders>
            <w:noWrap w:val="0"/>
            <w:vAlign w:val="center"/>
          </w:tcPr>
          <w:p w14:paraId="289D345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4"/>
                <w:kern w:val="0"/>
                <w:sz w:val="21"/>
                <w:szCs w:val="21"/>
                <w:highlight w:val="none"/>
                <w:u w:val="none"/>
              </w:rPr>
              <w:t>国家标准</w:t>
            </w:r>
            <w:r>
              <w:rPr>
                <w:rFonts w:hint="eastAsia" w:ascii="宋体" w:hAnsi="宋体" w:eastAsia="宋体" w:cs="宋体"/>
                <w:color w:val="auto"/>
                <w:spacing w:val="-6"/>
                <w:kern w:val="0"/>
                <w:sz w:val="21"/>
                <w:szCs w:val="21"/>
                <w:highlight w:val="none"/>
                <w:u w:val="none"/>
                <w:lang w:eastAsia="zh-CN"/>
              </w:rPr>
              <w:t>☑</w:t>
            </w:r>
            <w:r>
              <w:rPr>
                <w:rFonts w:hint="eastAsia" w:ascii="宋体" w:hAnsi="宋体" w:eastAsia="宋体" w:cs="宋体"/>
                <w:color w:val="auto"/>
                <w:spacing w:val="-4"/>
                <w:kern w:val="0"/>
                <w:sz w:val="21"/>
                <w:szCs w:val="21"/>
                <w:highlight w:val="none"/>
                <w:u w:val="none"/>
              </w:rPr>
              <w:t xml:space="preserve">           </w:t>
            </w:r>
            <w:r>
              <w:rPr>
                <w:rFonts w:hint="eastAsia" w:ascii="宋体" w:hAnsi="宋体" w:eastAsia="宋体" w:cs="宋体"/>
                <w:color w:val="auto"/>
                <w:spacing w:val="-2"/>
                <w:kern w:val="0"/>
                <w:sz w:val="21"/>
                <w:szCs w:val="21"/>
                <w:highlight w:val="none"/>
                <w:u w:val="none"/>
              </w:rPr>
              <w:t>地</w:t>
            </w:r>
            <w:r>
              <w:rPr>
                <w:rFonts w:hint="eastAsia" w:ascii="宋体" w:hAnsi="宋体" w:eastAsia="宋体" w:cs="宋体"/>
                <w:color w:val="auto"/>
                <w:spacing w:val="-1"/>
                <w:kern w:val="0"/>
                <w:sz w:val="21"/>
                <w:szCs w:val="21"/>
                <w:highlight w:val="none"/>
                <w:u w:val="none"/>
              </w:rPr>
              <w:t xml:space="preserve">方标准□            </w:t>
            </w:r>
            <w:r>
              <w:rPr>
                <w:rFonts w:hint="eastAsia" w:ascii="宋体" w:hAnsi="宋体" w:eastAsia="宋体" w:cs="宋体"/>
                <w:color w:val="auto"/>
                <w:spacing w:val="-4"/>
                <w:kern w:val="0"/>
                <w:sz w:val="21"/>
                <w:szCs w:val="21"/>
                <w:highlight w:val="none"/>
                <w:u w:val="none"/>
              </w:rPr>
              <w:t>国外标准□</w:t>
            </w:r>
          </w:p>
        </w:tc>
      </w:tr>
      <w:tr w14:paraId="1E3A2275">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438" w:hRule="atLeast"/>
        </w:trPr>
        <w:tc>
          <w:tcPr>
            <w:tcW w:w="930" w:type="dxa"/>
            <w:vMerge w:val="restart"/>
            <w:tcBorders>
              <w:tl2br w:val="nil"/>
              <w:tr2bl w:val="nil"/>
            </w:tcBorders>
            <w:noWrap w:val="0"/>
            <w:vAlign w:val="center"/>
          </w:tcPr>
          <w:p w14:paraId="6051286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现状评</w:t>
            </w:r>
            <w:r>
              <w:rPr>
                <w:rFonts w:hint="eastAsia" w:ascii="宋体" w:hAnsi="宋体" w:eastAsia="宋体" w:cs="宋体"/>
                <w:color w:val="auto"/>
                <w:spacing w:val="-1"/>
                <w:kern w:val="0"/>
                <w:sz w:val="21"/>
                <w:szCs w:val="21"/>
                <w:highlight w:val="none"/>
                <w:u w:val="none"/>
              </w:rPr>
              <w:t>价</w:t>
            </w:r>
          </w:p>
        </w:tc>
        <w:tc>
          <w:tcPr>
            <w:tcW w:w="1325" w:type="dxa"/>
            <w:tcBorders>
              <w:tl2br w:val="nil"/>
              <w:tr2bl w:val="nil"/>
            </w:tcBorders>
            <w:noWrap w:val="0"/>
            <w:vAlign w:val="center"/>
          </w:tcPr>
          <w:p w14:paraId="43D9BCC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环</w:t>
            </w:r>
            <w:r>
              <w:rPr>
                <w:rFonts w:hint="eastAsia" w:ascii="宋体" w:hAnsi="宋体" w:eastAsia="宋体" w:cs="宋体"/>
                <w:color w:val="auto"/>
                <w:spacing w:val="-1"/>
                <w:kern w:val="0"/>
                <w:sz w:val="21"/>
                <w:szCs w:val="21"/>
                <w:highlight w:val="none"/>
                <w:u w:val="none"/>
              </w:rPr>
              <w:t>境功能区</w:t>
            </w:r>
          </w:p>
        </w:tc>
        <w:tc>
          <w:tcPr>
            <w:tcW w:w="1009" w:type="dxa"/>
            <w:tcBorders>
              <w:tl2br w:val="nil"/>
              <w:tr2bl w:val="nil"/>
            </w:tcBorders>
            <w:noWrap w:val="0"/>
            <w:vAlign w:val="center"/>
          </w:tcPr>
          <w:p w14:paraId="6A4ED72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
                <w:kern w:val="0"/>
                <w:sz w:val="21"/>
                <w:szCs w:val="21"/>
                <w:highlight w:val="none"/>
                <w:u w:val="none"/>
              </w:rPr>
              <w:t>0类</w:t>
            </w:r>
            <w:r>
              <w:rPr>
                <w:rFonts w:hint="eastAsia" w:ascii="宋体" w:hAnsi="宋体" w:eastAsia="宋体" w:cs="宋体"/>
                <w:color w:val="auto"/>
                <w:kern w:val="0"/>
                <w:sz w:val="21"/>
                <w:szCs w:val="21"/>
                <w:highlight w:val="none"/>
                <w:u w:val="none"/>
              </w:rPr>
              <w:t>区□</w:t>
            </w:r>
          </w:p>
        </w:tc>
        <w:tc>
          <w:tcPr>
            <w:tcW w:w="1015" w:type="dxa"/>
            <w:gridSpan w:val="4"/>
            <w:tcBorders>
              <w:tl2br w:val="nil"/>
              <w:tr2bl w:val="nil"/>
            </w:tcBorders>
            <w:noWrap w:val="0"/>
            <w:vAlign w:val="center"/>
          </w:tcPr>
          <w:p w14:paraId="08490BB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5"/>
                <w:kern w:val="0"/>
                <w:sz w:val="21"/>
                <w:szCs w:val="21"/>
                <w:highlight w:val="none"/>
                <w:u w:val="none"/>
              </w:rPr>
              <w:t>1</w:t>
            </w:r>
            <w:r>
              <w:rPr>
                <w:rFonts w:hint="eastAsia" w:ascii="宋体" w:hAnsi="宋体" w:eastAsia="宋体" w:cs="宋体"/>
                <w:color w:val="auto"/>
                <w:spacing w:val="-3"/>
                <w:kern w:val="0"/>
                <w:sz w:val="21"/>
                <w:szCs w:val="21"/>
                <w:highlight w:val="none"/>
                <w:u w:val="none"/>
              </w:rPr>
              <w:t>类区□</w:t>
            </w:r>
          </w:p>
        </w:tc>
        <w:tc>
          <w:tcPr>
            <w:tcW w:w="1038" w:type="dxa"/>
            <w:gridSpan w:val="3"/>
            <w:tcBorders>
              <w:tl2br w:val="nil"/>
              <w:tr2bl w:val="nil"/>
            </w:tcBorders>
            <w:noWrap w:val="0"/>
            <w:vAlign w:val="center"/>
          </w:tcPr>
          <w:p w14:paraId="14BEDC3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kern w:val="0"/>
                <w:sz w:val="21"/>
                <w:szCs w:val="21"/>
                <w:highlight w:val="none"/>
                <w:u w:val="none"/>
              </w:rPr>
              <w:t>2类区</w:t>
            </w:r>
            <w:r>
              <w:rPr>
                <w:rFonts w:hint="eastAsia" w:ascii="宋体" w:hAnsi="宋体" w:eastAsia="宋体" w:cs="宋体"/>
                <w:color w:val="auto"/>
                <w:spacing w:val="-6"/>
                <w:kern w:val="0"/>
                <w:sz w:val="21"/>
                <w:szCs w:val="21"/>
                <w:highlight w:val="none"/>
                <w:u w:val="none"/>
                <w:lang w:eastAsia="zh-CN"/>
              </w:rPr>
              <w:t>☑</w:t>
            </w:r>
          </w:p>
        </w:tc>
        <w:tc>
          <w:tcPr>
            <w:tcW w:w="1048" w:type="dxa"/>
            <w:gridSpan w:val="3"/>
            <w:tcBorders>
              <w:tl2br w:val="nil"/>
              <w:tr2bl w:val="nil"/>
            </w:tcBorders>
            <w:noWrap w:val="0"/>
            <w:vAlign w:val="center"/>
          </w:tcPr>
          <w:p w14:paraId="66B3209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
                <w:kern w:val="0"/>
                <w:sz w:val="21"/>
                <w:szCs w:val="21"/>
                <w:highlight w:val="none"/>
                <w:u w:val="none"/>
              </w:rPr>
              <w:t>3类区</w:t>
            </w:r>
            <w:r>
              <w:rPr>
                <w:rFonts w:hint="eastAsia" w:ascii="宋体" w:hAnsi="宋体" w:eastAsia="宋体" w:cs="宋体"/>
                <w:color w:val="auto"/>
                <w:kern w:val="0"/>
                <w:sz w:val="21"/>
                <w:szCs w:val="21"/>
                <w:highlight w:val="none"/>
                <w:u w:val="none"/>
              </w:rPr>
              <w:t>□</w:t>
            </w:r>
          </w:p>
        </w:tc>
        <w:tc>
          <w:tcPr>
            <w:tcW w:w="1012" w:type="dxa"/>
            <w:gridSpan w:val="4"/>
            <w:tcBorders>
              <w:tl2br w:val="nil"/>
              <w:tr2bl w:val="nil"/>
            </w:tcBorders>
            <w:noWrap w:val="0"/>
            <w:vAlign w:val="center"/>
          </w:tcPr>
          <w:p w14:paraId="4022BB8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
                <w:kern w:val="0"/>
                <w:sz w:val="21"/>
                <w:szCs w:val="21"/>
                <w:highlight w:val="none"/>
                <w:u w:val="none"/>
              </w:rPr>
              <w:t>4</w:t>
            </w:r>
            <w:r>
              <w:rPr>
                <w:rFonts w:hint="eastAsia" w:ascii="宋体" w:hAnsi="宋体" w:eastAsia="宋体" w:cs="宋体"/>
                <w:color w:val="auto"/>
                <w:kern w:val="0"/>
                <w:sz w:val="21"/>
                <w:szCs w:val="21"/>
                <w:highlight w:val="none"/>
                <w:u w:val="none"/>
              </w:rPr>
              <w:t>a类区□</w:t>
            </w:r>
          </w:p>
        </w:tc>
        <w:tc>
          <w:tcPr>
            <w:tcW w:w="1162" w:type="dxa"/>
            <w:tcBorders>
              <w:tl2br w:val="nil"/>
              <w:tr2bl w:val="nil"/>
            </w:tcBorders>
            <w:noWrap w:val="0"/>
            <w:vAlign w:val="center"/>
          </w:tcPr>
          <w:p w14:paraId="5C59F7F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
                <w:kern w:val="0"/>
                <w:sz w:val="21"/>
                <w:szCs w:val="21"/>
                <w:highlight w:val="none"/>
                <w:u w:val="none"/>
              </w:rPr>
              <w:t>4</w:t>
            </w:r>
            <w:r>
              <w:rPr>
                <w:rFonts w:hint="eastAsia" w:ascii="宋体" w:hAnsi="宋体" w:eastAsia="宋体" w:cs="宋体"/>
                <w:color w:val="auto"/>
                <w:kern w:val="0"/>
                <w:sz w:val="21"/>
                <w:szCs w:val="21"/>
                <w:highlight w:val="none"/>
                <w:u w:val="none"/>
              </w:rPr>
              <w:t>b类区□</w:t>
            </w:r>
          </w:p>
        </w:tc>
      </w:tr>
      <w:tr w14:paraId="1FE6FBF0">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408" w:hRule="atLeast"/>
        </w:trPr>
        <w:tc>
          <w:tcPr>
            <w:tcW w:w="930" w:type="dxa"/>
            <w:vMerge w:val="continue"/>
            <w:tcBorders>
              <w:tl2br w:val="nil"/>
              <w:tr2bl w:val="nil"/>
            </w:tcBorders>
            <w:noWrap w:val="0"/>
            <w:vAlign w:val="center"/>
          </w:tcPr>
          <w:p w14:paraId="421BC35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p>
        </w:tc>
        <w:tc>
          <w:tcPr>
            <w:tcW w:w="1325" w:type="dxa"/>
            <w:tcBorders>
              <w:tl2br w:val="nil"/>
              <w:tr2bl w:val="nil"/>
            </w:tcBorders>
            <w:noWrap w:val="0"/>
            <w:vAlign w:val="center"/>
          </w:tcPr>
          <w:p w14:paraId="6EE6E35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w:t>
            </w:r>
            <w:r>
              <w:rPr>
                <w:rFonts w:hint="eastAsia" w:ascii="宋体" w:hAnsi="宋体" w:eastAsia="宋体" w:cs="宋体"/>
                <w:color w:val="auto"/>
                <w:spacing w:val="-1"/>
                <w:kern w:val="0"/>
                <w:sz w:val="21"/>
                <w:szCs w:val="21"/>
                <w:highlight w:val="none"/>
                <w:u w:val="none"/>
              </w:rPr>
              <w:t>价年度</w:t>
            </w:r>
          </w:p>
        </w:tc>
        <w:tc>
          <w:tcPr>
            <w:tcW w:w="1542" w:type="dxa"/>
            <w:gridSpan w:val="3"/>
            <w:tcBorders>
              <w:tl2br w:val="nil"/>
              <w:tr2bl w:val="nil"/>
            </w:tcBorders>
            <w:noWrap w:val="0"/>
            <w:vAlign w:val="center"/>
          </w:tcPr>
          <w:p w14:paraId="674DBA8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spacing w:val="-2"/>
                <w:kern w:val="0"/>
                <w:sz w:val="21"/>
                <w:szCs w:val="21"/>
                <w:highlight w:val="none"/>
                <w:u w:val="none"/>
              </w:rPr>
              <w:t>初期</w:t>
            </w:r>
            <w:r>
              <w:rPr>
                <w:rFonts w:hint="eastAsia" w:ascii="宋体" w:hAnsi="宋体" w:eastAsia="宋体" w:cs="宋体"/>
                <w:color w:val="auto"/>
                <w:spacing w:val="-6"/>
                <w:kern w:val="0"/>
                <w:sz w:val="21"/>
                <w:szCs w:val="21"/>
                <w:highlight w:val="none"/>
                <w:u w:val="none"/>
                <w:lang w:eastAsia="zh-CN"/>
              </w:rPr>
              <w:t>☑</w:t>
            </w:r>
          </w:p>
        </w:tc>
        <w:tc>
          <w:tcPr>
            <w:tcW w:w="1520" w:type="dxa"/>
            <w:gridSpan w:val="5"/>
            <w:tcBorders>
              <w:tl2br w:val="nil"/>
              <w:tr2bl w:val="nil"/>
            </w:tcBorders>
            <w:noWrap w:val="0"/>
            <w:vAlign w:val="center"/>
          </w:tcPr>
          <w:p w14:paraId="2279A1B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spacing w:val="-2"/>
                <w:kern w:val="0"/>
                <w:sz w:val="21"/>
                <w:szCs w:val="21"/>
                <w:highlight w:val="none"/>
                <w:u w:val="none"/>
              </w:rPr>
              <w:t>近期</w:t>
            </w:r>
            <w:r>
              <w:rPr>
                <w:rFonts w:hint="eastAsia" w:ascii="宋体" w:hAnsi="宋体" w:eastAsia="宋体" w:cs="宋体"/>
                <w:color w:val="auto"/>
                <w:spacing w:val="-1"/>
                <w:kern w:val="0"/>
                <w:sz w:val="21"/>
                <w:szCs w:val="21"/>
                <w:highlight w:val="none"/>
                <w:u w:val="none"/>
                <w:lang w:eastAsia="zh-CN"/>
              </w:rPr>
              <w:t>☑</w:t>
            </w:r>
          </w:p>
        </w:tc>
        <w:tc>
          <w:tcPr>
            <w:tcW w:w="1566" w:type="dxa"/>
            <w:gridSpan w:val="4"/>
            <w:tcBorders>
              <w:tl2br w:val="nil"/>
              <w:tr2bl w:val="nil"/>
            </w:tcBorders>
            <w:noWrap w:val="0"/>
            <w:vAlign w:val="center"/>
          </w:tcPr>
          <w:p w14:paraId="65D7923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6"/>
                <w:kern w:val="0"/>
                <w:sz w:val="21"/>
                <w:szCs w:val="21"/>
                <w:highlight w:val="none"/>
                <w:u w:val="none"/>
              </w:rPr>
              <w:t>中</w:t>
            </w:r>
            <w:r>
              <w:rPr>
                <w:rFonts w:hint="eastAsia" w:ascii="宋体" w:hAnsi="宋体" w:eastAsia="宋体" w:cs="宋体"/>
                <w:color w:val="auto"/>
                <w:spacing w:val="-5"/>
                <w:kern w:val="0"/>
                <w:sz w:val="21"/>
                <w:szCs w:val="21"/>
                <w:highlight w:val="none"/>
                <w:u w:val="none"/>
              </w:rPr>
              <w:t>期□</w:t>
            </w:r>
          </w:p>
        </w:tc>
        <w:tc>
          <w:tcPr>
            <w:tcW w:w="1656" w:type="dxa"/>
            <w:gridSpan w:val="4"/>
            <w:tcBorders>
              <w:tl2br w:val="nil"/>
              <w:tr2bl w:val="nil"/>
            </w:tcBorders>
            <w:noWrap w:val="0"/>
            <w:vAlign w:val="center"/>
          </w:tcPr>
          <w:p w14:paraId="602E79B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远期</w:t>
            </w:r>
            <w:r>
              <w:rPr>
                <w:rFonts w:hint="eastAsia" w:ascii="宋体" w:hAnsi="宋体" w:eastAsia="宋体" w:cs="宋体"/>
                <w:color w:val="auto"/>
                <w:spacing w:val="-1"/>
                <w:kern w:val="0"/>
                <w:sz w:val="21"/>
                <w:szCs w:val="21"/>
                <w:highlight w:val="none"/>
                <w:u w:val="none"/>
              </w:rPr>
              <w:t>□</w:t>
            </w:r>
          </w:p>
        </w:tc>
      </w:tr>
      <w:tr w14:paraId="5909E80C">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594" w:hRule="atLeast"/>
        </w:trPr>
        <w:tc>
          <w:tcPr>
            <w:tcW w:w="930" w:type="dxa"/>
            <w:vMerge w:val="continue"/>
            <w:tcBorders>
              <w:tl2br w:val="nil"/>
              <w:tr2bl w:val="nil"/>
            </w:tcBorders>
            <w:noWrap w:val="0"/>
            <w:vAlign w:val="center"/>
          </w:tcPr>
          <w:p w14:paraId="34EFE39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p>
        </w:tc>
        <w:tc>
          <w:tcPr>
            <w:tcW w:w="1325" w:type="dxa"/>
            <w:tcBorders>
              <w:tl2br w:val="nil"/>
              <w:tr2bl w:val="nil"/>
            </w:tcBorders>
            <w:noWrap w:val="0"/>
            <w:vAlign w:val="center"/>
          </w:tcPr>
          <w:p w14:paraId="7FCB6F0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现状</w:t>
            </w:r>
            <w:r>
              <w:rPr>
                <w:rFonts w:hint="eastAsia" w:ascii="宋体" w:hAnsi="宋体" w:eastAsia="宋体" w:cs="宋体"/>
                <w:color w:val="auto"/>
                <w:spacing w:val="-1"/>
                <w:kern w:val="0"/>
                <w:sz w:val="21"/>
                <w:szCs w:val="21"/>
                <w:highlight w:val="none"/>
                <w:u w:val="none"/>
              </w:rPr>
              <w:t>调查方法</w:t>
            </w:r>
          </w:p>
        </w:tc>
        <w:tc>
          <w:tcPr>
            <w:tcW w:w="6284" w:type="dxa"/>
            <w:gridSpan w:val="16"/>
            <w:tcBorders>
              <w:tl2br w:val="nil"/>
              <w:tr2bl w:val="nil"/>
            </w:tcBorders>
            <w:noWrap w:val="0"/>
            <w:vAlign w:val="center"/>
          </w:tcPr>
          <w:p w14:paraId="0D73516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现场实测法</w:t>
            </w:r>
            <w:r>
              <w:rPr>
                <w:rFonts w:hint="eastAsia" w:ascii="宋体" w:hAnsi="宋体" w:eastAsia="宋体" w:cs="宋体"/>
                <w:color w:val="auto"/>
                <w:spacing w:val="2"/>
                <w:kern w:val="0"/>
                <w:sz w:val="21"/>
                <w:szCs w:val="21"/>
                <w:highlight w:val="none"/>
                <w:u w:val="none"/>
              </w:rPr>
              <w:sym w:font="Wingdings 2" w:char="0052"/>
            </w:r>
            <w:r>
              <w:rPr>
                <w:rFonts w:hint="eastAsia" w:ascii="宋体" w:hAnsi="宋体" w:eastAsia="宋体" w:cs="宋体"/>
                <w:color w:val="auto"/>
                <w:spacing w:val="2"/>
                <w:kern w:val="0"/>
                <w:sz w:val="21"/>
                <w:szCs w:val="21"/>
                <w:highlight w:val="none"/>
                <w:u w:val="none"/>
              </w:rPr>
              <w:t xml:space="preserve">  </w:t>
            </w:r>
            <w:r>
              <w:rPr>
                <w:rFonts w:hint="eastAsia" w:ascii="宋体" w:hAnsi="宋体" w:eastAsia="宋体" w:cs="宋体"/>
                <w:color w:val="auto"/>
                <w:spacing w:val="1"/>
                <w:kern w:val="0"/>
                <w:sz w:val="21"/>
                <w:szCs w:val="21"/>
                <w:highlight w:val="none"/>
                <w:u w:val="none"/>
              </w:rPr>
              <w:t xml:space="preserve">   现场实测加模型计算法</w:t>
            </w:r>
            <w:r>
              <w:rPr>
                <w:rFonts w:hint="eastAsia" w:ascii="宋体" w:hAnsi="宋体" w:eastAsia="宋体" w:cs="宋体"/>
                <w:color w:val="auto"/>
                <w:spacing w:val="-6"/>
                <w:kern w:val="0"/>
                <w:sz w:val="21"/>
                <w:szCs w:val="21"/>
                <w:highlight w:val="none"/>
                <w:u w:val="none"/>
                <w:lang w:eastAsia="zh-CN"/>
              </w:rPr>
              <w:t>□</w:t>
            </w:r>
            <w:r>
              <w:rPr>
                <w:rFonts w:hint="eastAsia" w:ascii="宋体" w:hAnsi="宋体" w:eastAsia="宋体" w:cs="宋体"/>
                <w:color w:val="auto"/>
                <w:spacing w:val="1"/>
                <w:kern w:val="0"/>
                <w:sz w:val="21"/>
                <w:szCs w:val="21"/>
                <w:highlight w:val="none"/>
                <w:u w:val="none"/>
              </w:rPr>
              <w:t xml:space="preserve">     收集资料□</w:t>
            </w:r>
          </w:p>
        </w:tc>
      </w:tr>
      <w:tr w14:paraId="4A86CFF4">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430" w:hRule="atLeast"/>
        </w:trPr>
        <w:tc>
          <w:tcPr>
            <w:tcW w:w="930" w:type="dxa"/>
            <w:vMerge w:val="continue"/>
            <w:tcBorders>
              <w:tl2br w:val="nil"/>
              <w:tr2bl w:val="nil"/>
            </w:tcBorders>
            <w:noWrap w:val="0"/>
            <w:vAlign w:val="center"/>
          </w:tcPr>
          <w:p w14:paraId="6A8009B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p>
        </w:tc>
        <w:tc>
          <w:tcPr>
            <w:tcW w:w="1325" w:type="dxa"/>
            <w:tcBorders>
              <w:tl2br w:val="nil"/>
              <w:tr2bl w:val="nil"/>
            </w:tcBorders>
            <w:noWrap w:val="0"/>
            <w:vAlign w:val="center"/>
          </w:tcPr>
          <w:p w14:paraId="13DDDAB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现状评</w:t>
            </w:r>
            <w:r>
              <w:rPr>
                <w:rFonts w:hint="eastAsia" w:ascii="宋体" w:hAnsi="宋体" w:eastAsia="宋体" w:cs="宋体"/>
                <w:color w:val="auto"/>
                <w:spacing w:val="-1"/>
                <w:kern w:val="0"/>
                <w:sz w:val="21"/>
                <w:szCs w:val="21"/>
                <w:highlight w:val="none"/>
                <w:u w:val="none"/>
              </w:rPr>
              <w:t>价</w:t>
            </w:r>
          </w:p>
        </w:tc>
        <w:tc>
          <w:tcPr>
            <w:tcW w:w="1839" w:type="dxa"/>
            <w:gridSpan w:val="4"/>
            <w:tcBorders>
              <w:tl2br w:val="nil"/>
              <w:tr2bl w:val="nil"/>
            </w:tcBorders>
            <w:noWrap w:val="0"/>
            <w:vAlign w:val="center"/>
          </w:tcPr>
          <w:p w14:paraId="6B77EF5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达</w:t>
            </w:r>
            <w:r>
              <w:rPr>
                <w:rFonts w:hint="eastAsia" w:ascii="宋体" w:hAnsi="宋体" w:eastAsia="宋体" w:cs="宋体"/>
                <w:color w:val="auto"/>
                <w:spacing w:val="-1"/>
                <w:kern w:val="0"/>
                <w:sz w:val="21"/>
                <w:szCs w:val="21"/>
                <w:highlight w:val="none"/>
                <w:u w:val="none"/>
              </w:rPr>
              <w:t>标百分比</w:t>
            </w:r>
          </w:p>
        </w:tc>
        <w:tc>
          <w:tcPr>
            <w:tcW w:w="4445" w:type="dxa"/>
            <w:gridSpan w:val="12"/>
            <w:tcBorders>
              <w:tl2br w:val="nil"/>
              <w:tr2bl w:val="nil"/>
            </w:tcBorders>
            <w:noWrap w:val="0"/>
            <w:vAlign w:val="center"/>
          </w:tcPr>
          <w:p w14:paraId="4ADAB99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100%</w:t>
            </w:r>
          </w:p>
        </w:tc>
      </w:tr>
      <w:tr w14:paraId="72BF3E9E">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683" w:hRule="atLeast"/>
        </w:trPr>
        <w:tc>
          <w:tcPr>
            <w:tcW w:w="930" w:type="dxa"/>
            <w:tcBorders>
              <w:tl2br w:val="nil"/>
              <w:tr2bl w:val="nil"/>
            </w:tcBorders>
            <w:noWrap w:val="0"/>
            <w:vAlign w:val="center"/>
          </w:tcPr>
          <w:p w14:paraId="0998CEE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5"/>
                <w:kern w:val="0"/>
                <w:position w:val="6"/>
                <w:sz w:val="21"/>
                <w:szCs w:val="21"/>
                <w:highlight w:val="none"/>
                <w:u w:val="none"/>
              </w:rPr>
              <w:t>噪</w:t>
            </w:r>
            <w:r>
              <w:rPr>
                <w:rFonts w:hint="eastAsia" w:ascii="宋体" w:hAnsi="宋体" w:eastAsia="宋体" w:cs="宋体"/>
                <w:color w:val="auto"/>
                <w:spacing w:val="-3"/>
                <w:kern w:val="0"/>
                <w:position w:val="6"/>
                <w:sz w:val="21"/>
                <w:szCs w:val="21"/>
                <w:highlight w:val="none"/>
                <w:u w:val="none"/>
              </w:rPr>
              <w:t>声源</w:t>
            </w:r>
          </w:p>
          <w:p w14:paraId="5CC3C06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3"/>
                <w:kern w:val="0"/>
                <w:sz w:val="21"/>
                <w:szCs w:val="21"/>
                <w:highlight w:val="none"/>
                <w:u w:val="none"/>
              </w:rPr>
              <w:t>调</w:t>
            </w:r>
            <w:r>
              <w:rPr>
                <w:rFonts w:hint="eastAsia" w:ascii="宋体" w:hAnsi="宋体" w:eastAsia="宋体" w:cs="宋体"/>
                <w:color w:val="auto"/>
                <w:spacing w:val="-2"/>
                <w:kern w:val="0"/>
                <w:sz w:val="21"/>
                <w:szCs w:val="21"/>
                <w:highlight w:val="none"/>
                <w:u w:val="none"/>
              </w:rPr>
              <w:t>查</w:t>
            </w:r>
          </w:p>
        </w:tc>
        <w:tc>
          <w:tcPr>
            <w:tcW w:w="1325" w:type="dxa"/>
            <w:tcBorders>
              <w:tl2br w:val="nil"/>
              <w:tr2bl w:val="nil"/>
            </w:tcBorders>
            <w:noWrap w:val="0"/>
            <w:vAlign w:val="center"/>
          </w:tcPr>
          <w:p w14:paraId="719DAE7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4"/>
                <w:kern w:val="0"/>
                <w:sz w:val="21"/>
                <w:szCs w:val="21"/>
                <w:highlight w:val="none"/>
                <w:u w:val="none"/>
              </w:rPr>
              <w:t>噪声</w:t>
            </w:r>
            <w:r>
              <w:rPr>
                <w:rFonts w:hint="eastAsia" w:ascii="宋体" w:hAnsi="宋体" w:eastAsia="宋体" w:cs="宋体"/>
                <w:color w:val="auto"/>
                <w:spacing w:val="-2"/>
                <w:kern w:val="0"/>
                <w:sz w:val="21"/>
                <w:szCs w:val="21"/>
                <w:highlight w:val="none"/>
                <w:u w:val="none"/>
              </w:rPr>
              <w:t>源调查方</w:t>
            </w:r>
            <w:r>
              <w:rPr>
                <w:rFonts w:hint="eastAsia" w:ascii="宋体" w:hAnsi="宋体" w:eastAsia="宋体" w:cs="宋体"/>
                <w:color w:val="auto"/>
                <w:kern w:val="0"/>
                <w:sz w:val="21"/>
                <w:szCs w:val="21"/>
                <w:highlight w:val="none"/>
                <w:u w:val="none"/>
              </w:rPr>
              <w:t>法</w:t>
            </w:r>
          </w:p>
        </w:tc>
        <w:tc>
          <w:tcPr>
            <w:tcW w:w="6284" w:type="dxa"/>
            <w:gridSpan w:val="16"/>
            <w:tcBorders>
              <w:tl2br w:val="nil"/>
              <w:tr2bl w:val="nil"/>
            </w:tcBorders>
            <w:noWrap w:val="0"/>
            <w:vAlign w:val="center"/>
          </w:tcPr>
          <w:p w14:paraId="30F84879">
            <w:pPr>
              <w:keepNext w:val="0"/>
              <w:keepLines w:val="0"/>
              <w:pageBreakBefore w:val="0"/>
              <w:widowControl w:val="0"/>
              <w:kinsoku/>
              <w:wordWrap/>
              <w:overflowPunct/>
              <w:topLinePunct w:val="0"/>
              <w:autoSpaceDE/>
              <w:autoSpaceDN/>
              <w:bidi w:val="0"/>
              <w:adjustRightInd/>
              <w:snapToGrid/>
              <w:spacing w:line="340" w:lineRule="exact"/>
              <w:ind w:firstLine="412" w:firstLineChars="200"/>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现场</w:t>
            </w:r>
            <w:r>
              <w:rPr>
                <w:rFonts w:hint="eastAsia" w:ascii="宋体" w:hAnsi="宋体" w:eastAsia="宋体" w:cs="宋体"/>
                <w:color w:val="auto"/>
                <w:spacing w:val="-1"/>
                <w:kern w:val="0"/>
                <w:sz w:val="21"/>
                <w:szCs w:val="21"/>
                <w:highlight w:val="none"/>
                <w:u w:val="none"/>
              </w:rPr>
              <w:t xml:space="preserve">实测□          </w:t>
            </w:r>
            <w:r>
              <w:rPr>
                <w:rFonts w:hint="eastAsia" w:ascii="宋体" w:hAnsi="宋体" w:eastAsia="宋体" w:cs="宋体"/>
                <w:color w:val="auto"/>
                <w:spacing w:val="1"/>
                <w:kern w:val="0"/>
                <w:sz w:val="21"/>
                <w:szCs w:val="21"/>
                <w:highlight w:val="none"/>
                <w:u w:val="none"/>
              </w:rPr>
              <w:t>已有资料</w:t>
            </w:r>
            <w:r>
              <w:rPr>
                <w:rFonts w:hint="eastAsia" w:ascii="宋体" w:hAnsi="宋体" w:eastAsia="宋体" w:cs="宋体"/>
                <w:color w:val="auto"/>
                <w:spacing w:val="-6"/>
                <w:kern w:val="0"/>
                <w:sz w:val="21"/>
                <w:szCs w:val="21"/>
                <w:highlight w:val="none"/>
                <w:u w:val="none"/>
                <w:lang w:eastAsia="zh-CN"/>
              </w:rPr>
              <w:t>☑</w:t>
            </w:r>
            <w:r>
              <w:rPr>
                <w:rFonts w:hint="eastAsia" w:ascii="宋体" w:hAnsi="宋体" w:eastAsia="宋体" w:cs="宋体"/>
                <w:color w:val="auto"/>
                <w:spacing w:val="1"/>
                <w:kern w:val="0"/>
                <w:sz w:val="21"/>
                <w:szCs w:val="21"/>
                <w:highlight w:val="none"/>
                <w:u w:val="none"/>
              </w:rPr>
              <w:t xml:space="preserve">            研究成果</w:t>
            </w:r>
            <w:r>
              <w:rPr>
                <w:rFonts w:hint="eastAsia" w:ascii="宋体" w:hAnsi="宋体" w:eastAsia="宋体" w:cs="宋体"/>
                <w:color w:val="auto"/>
                <w:kern w:val="0"/>
                <w:sz w:val="21"/>
                <w:szCs w:val="21"/>
                <w:highlight w:val="none"/>
                <w:u w:val="none"/>
              </w:rPr>
              <w:t>□</w:t>
            </w:r>
          </w:p>
        </w:tc>
      </w:tr>
      <w:tr w14:paraId="71D7932A">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380" w:hRule="atLeast"/>
        </w:trPr>
        <w:tc>
          <w:tcPr>
            <w:tcW w:w="930" w:type="dxa"/>
            <w:vMerge w:val="restart"/>
            <w:tcBorders>
              <w:tl2br w:val="nil"/>
              <w:tr2bl w:val="nil"/>
            </w:tcBorders>
            <w:noWrap w:val="0"/>
            <w:vAlign w:val="center"/>
          </w:tcPr>
          <w:p w14:paraId="2D41FCD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声环境影</w:t>
            </w:r>
          </w:p>
          <w:p w14:paraId="55E41EB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4"/>
                <w:kern w:val="0"/>
                <w:sz w:val="21"/>
                <w:szCs w:val="21"/>
                <w:highlight w:val="none"/>
                <w:u w:val="none"/>
              </w:rPr>
              <w:t>响</w:t>
            </w:r>
            <w:r>
              <w:rPr>
                <w:rFonts w:hint="eastAsia" w:ascii="宋体" w:hAnsi="宋体" w:eastAsia="宋体" w:cs="宋体"/>
                <w:color w:val="auto"/>
                <w:spacing w:val="-3"/>
                <w:kern w:val="0"/>
                <w:sz w:val="21"/>
                <w:szCs w:val="21"/>
                <w:highlight w:val="none"/>
                <w:u w:val="none"/>
              </w:rPr>
              <w:t>预测与</w:t>
            </w:r>
          </w:p>
          <w:p w14:paraId="0B5F39E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评价</w:t>
            </w:r>
          </w:p>
        </w:tc>
        <w:tc>
          <w:tcPr>
            <w:tcW w:w="1325" w:type="dxa"/>
            <w:tcBorders>
              <w:tl2br w:val="nil"/>
              <w:tr2bl w:val="nil"/>
            </w:tcBorders>
            <w:noWrap w:val="0"/>
            <w:vAlign w:val="center"/>
          </w:tcPr>
          <w:p w14:paraId="7EF683C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预测模</w:t>
            </w:r>
            <w:r>
              <w:rPr>
                <w:rFonts w:hint="eastAsia" w:ascii="宋体" w:hAnsi="宋体" w:eastAsia="宋体" w:cs="宋体"/>
                <w:color w:val="auto"/>
                <w:spacing w:val="-1"/>
                <w:kern w:val="0"/>
                <w:sz w:val="21"/>
                <w:szCs w:val="21"/>
                <w:highlight w:val="none"/>
                <w:u w:val="none"/>
              </w:rPr>
              <w:t>型</w:t>
            </w:r>
          </w:p>
        </w:tc>
        <w:tc>
          <w:tcPr>
            <w:tcW w:w="6284" w:type="dxa"/>
            <w:gridSpan w:val="16"/>
            <w:tcBorders>
              <w:tl2br w:val="nil"/>
              <w:tr2bl w:val="nil"/>
            </w:tcBorders>
            <w:noWrap w:val="0"/>
            <w:vAlign w:val="center"/>
          </w:tcPr>
          <w:p w14:paraId="5F3B788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导则推荐模</w:t>
            </w:r>
            <w:r>
              <w:rPr>
                <w:rFonts w:hint="eastAsia" w:ascii="宋体" w:hAnsi="宋体" w:eastAsia="宋体" w:cs="宋体"/>
                <w:color w:val="auto"/>
                <w:spacing w:val="-1"/>
                <w:kern w:val="0"/>
                <w:sz w:val="21"/>
                <w:szCs w:val="21"/>
                <w:highlight w:val="none"/>
                <w:u w:val="none"/>
              </w:rPr>
              <w:t>型</w:t>
            </w:r>
            <w:r>
              <w:rPr>
                <w:rFonts w:hint="eastAsia" w:ascii="宋体" w:hAnsi="宋体" w:eastAsia="宋体" w:cs="宋体"/>
                <w:color w:val="auto"/>
                <w:spacing w:val="-6"/>
                <w:kern w:val="0"/>
                <w:sz w:val="21"/>
                <w:szCs w:val="21"/>
                <w:highlight w:val="none"/>
                <w:u w:val="none"/>
                <w:lang w:eastAsia="zh-CN"/>
              </w:rPr>
              <w:t>☑</w:t>
            </w:r>
            <w:r>
              <w:rPr>
                <w:rFonts w:hint="eastAsia" w:ascii="宋体" w:hAnsi="宋体" w:eastAsia="宋体" w:cs="宋体"/>
                <w:color w:val="auto"/>
                <w:spacing w:val="-1"/>
                <w:kern w:val="0"/>
                <w:sz w:val="21"/>
                <w:szCs w:val="21"/>
                <w:highlight w:val="none"/>
                <w:u w:val="none"/>
              </w:rPr>
              <w:t xml:space="preserve">                   </w:t>
            </w:r>
            <w:r>
              <w:rPr>
                <w:rFonts w:hint="eastAsia" w:ascii="宋体" w:hAnsi="宋体" w:eastAsia="宋体" w:cs="宋体"/>
                <w:color w:val="auto"/>
                <w:spacing w:val="-4"/>
                <w:kern w:val="0"/>
                <w:sz w:val="21"/>
                <w:szCs w:val="21"/>
                <w:highlight w:val="none"/>
                <w:u w:val="none"/>
              </w:rPr>
              <w:t>其</w:t>
            </w:r>
            <w:r>
              <w:rPr>
                <w:rFonts w:hint="eastAsia" w:ascii="宋体" w:hAnsi="宋体" w:eastAsia="宋体" w:cs="宋体"/>
                <w:color w:val="auto"/>
                <w:spacing w:val="-2"/>
                <w:kern w:val="0"/>
                <w:sz w:val="21"/>
                <w:szCs w:val="21"/>
                <w:highlight w:val="none"/>
                <w:u w:val="none"/>
              </w:rPr>
              <w:t>他□</w:t>
            </w:r>
          </w:p>
        </w:tc>
      </w:tr>
      <w:tr w14:paraId="57953F2E">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422" w:hRule="atLeast"/>
        </w:trPr>
        <w:tc>
          <w:tcPr>
            <w:tcW w:w="930" w:type="dxa"/>
            <w:vMerge w:val="continue"/>
            <w:tcBorders>
              <w:tl2br w:val="nil"/>
              <w:tr2bl w:val="nil"/>
            </w:tcBorders>
            <w:noWrap w:val="0"/>
            <w:vAlign w:val="center"/>
          </w:tcPr>
          <w:p w14:paraId="38E9BB2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p>
        </w:tc>
        <w:tc>
          <w:tcPr>
            <w:tcW w:w="1325" w:type="dxa"/>
            <w:tcBorders>
              <w:tl2br w:val="nil"/>
              <w:tr2bl w:val="nil"/>
            </w:tcBorders>
            <w:noWrap w:val="0"/>
            <w:vAlign w:val="center"/>
          </w:tcPr>
          <w:p w14:paraId="77F0A54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预测范</w:t>
            </w:r>
            <w:r>
              <w:rPr>
                <w:rFonts w:hint="eastAsia" w:ascii="宋体" w:hAnsi="宋体" w:eastAsia="宋体" w:cs="宋体"/>
                <w:color w:val="auto"/>
                <w:spacing w:val="-1"/>
                <w:kern w:val="0"/>
                <w:sz w:val="21"/>
                <w:szCs w:val="21"/>
                <w:highlight w:val="none"/>
                <w:u w:val="none"/>
              </w:rPr>
              <w:t>围</w:t>
            </w:r>
          </w:p>
        </w:tc>
        <w:tc>
          <w:tcPr>
            <w:tcW w:w="6284" w:type="dxa"/>
            <w:gridSpan w:val="16"/>
            <w:tcBorders>
              <w:tl2br w:val="nil"/>
              <w:tr2bl w:val="nil"/>
            </w:tcBorders>
            <w:noWrap w:val="0"/>
            <w:vAlign w:val="center"/>
          </w:tcPr>
          <w:p w14:paraId="757C224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
                <w:kern w:val="0"/>
                <w:sz w:val="21"/>
                <w:szCs w:val="21"/>
                <w:highlight w:val="none"/>
                <w:u w:val="none"/>
              </w:rPr>
              <w:t>200</w:t>
            </w:r>
            <w:r>
              <w:rPr>
                <w:rFonts w:hint="eastAsia" w:ascii="宋体" w:hAnsi="宋体" w:eastAsia="宋体" w:cs="宋体"/>
                <w:color w:val="auto"/>
                <w:kern w:val="0"/>
                <w:sz w:val="21"/>
                <w:szCs w:val="21"/>
                <w:highlight w:val="none"/>
                <w:u w:val="none"/>
              </w:rPr>
              <w:t>m</w:t>
            </w:r>
            <w:r>
              <w:rPr>
                <w:rFonts w:hint="eastAsia" w:ascii="宋体" w:hAnsi="宋体" w:eastAsia="宋体" w:cs="宋体"/>
                <w:color w:val="auto"/>
                <w:spacing w:val="1"/>
                <w:kern w:val="0"/>
                <w:sz w:val="21"/>
                <w:szCs w:val="21"/>
                <w:highlight w:val="none"/>
                <w:u w:val="none"/>
                <w:lang w:eastAsia="zh-CN"/>
              </w:rPr>
              <w:t>☑</w:t>
            </w:r>
            <w:r>
              <w:rPr>
                <w:rFonts w:hint="eastAsia" w:ascii="宋体" w:hAnsi="宋体" w:eastAsia="宋体" w:cs="宋体"/>
                <w:color w:val="auto"/>
                <w:spacing w:val="1"/>
                <w:kern w:val="0"/>
                <w:sz w:val="21"/>
                <w:szCs w:val="21"/>
                <w:highlight w:val="none"/>
                <w:u w:val="none"/>
              </w:rPr>
              <w:t xml:space="preserve">          大于200 </w:t>
            </w:r>
            <w:r>
              <w:rPr>
                <w:rFonts w:hint="eastAsia" w:ascii="宋体" w:hAnsi="宋体" w:eastAsia="宋体" w:cs="宋体"/>
                <w:color w:val="auto"/>
                <w:kern w:val="0"/>
                <w:sz w:val="21"/>
                <w:szCs w:val="21"/>
                <w:highlight w:val="none"/>
                <w:u w:val="none"/>
              </w:rPr>
              <w:t>m</w:t>
            </w:r>
            <w:r>
              <w:rPr>
                <w:rFonts w:hint="eastAsia" w:ascii="宋体" w:hAnsi="宋体" w:eastAsia="宋体" w:cs="宋体"/>
                <w:color w:val="auto"/>
                <w:spacing w:val="1"/>
                <w:kern w:val="0"/>
                <w:sz w:val="21"/>
                <w:szCs w:val="21"/>
                <w:highlight w:val="none"/>
                <w:u w:val="none"/>
              </w:rPr>
              <w:t>□</w:t>
            </w:r>
            <w:r>
              <w:rPr>
                <w:rFonts w:hint="eastAsia" w:ascii="宋体" w:hAnsi="宋体" w:eastAsia="宋体" w:cs="宋体"/>
                <w:color w:val="auto"/>
                <w:kern w:val="0"/>
                <w:sz w:val="21"/>
                <w:szCs w:val="21"/>
                <w:highlight w:val="none"/>
                <w:u w:val="none"/>
              </w:rPr>
              <w:t xml:space="preserve">          小于200 m</w:t>
            </w:r>
            <w:r>
              <w:rPr>
                <w:rFonts w:hint="eastAsia" w:ascii="宋体" w:hAnsi="宋体" w:eastAsia="宋体" w:cs="宋体"/>
                <w:color w:val="auto"/>
                <w:kern w:val="0"/>
                <w:sz w:val="21"/>
                <w:szCs w:val="21"/>
                <w:highlight w:val="none"/>
                <w:u w:val="none"/>
              </w:rPr>
              <w:sym w:font="Wingdings 2" w:char="00A3"/>
            </w:r>
          </w:p>
        </w:tc>
      </w:tr>
      <w:tr w14:paraId="5127CB0C">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388" w:hRule="atLeast"/>
        </w:trPr>
        <w:tc>
          <w:tcPr>
            <w:tcW w:w="930" w:type="dxa"/>
            <w:vMerge w:val="continue"/>
            <w:tcBorders>
              <w:tl2br w:val="nil"/>
              <w:tr2bl w:val="nil"/>
            </w:tcBorders>
            <w:noWrap w:val="0"/>
            <w:vAlign w:val="center"/>
          </w:tcPr>
          <w:p w14:paraId="0251220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p>
        </w:tc>
        <w:tc>
          <w:tcPr>
            <w:tcW w:w="1325" w:type="dxa"/>
            <w:tcBorders>
              <w:tl2br w:val="nil"/>
              <w:tr2bl w:val="nil"/>
            </w:tcBorders>
            <w:noWrap w:val="0"/>
            <w:vAlign w:val="center"/>
          </w:tcPr>
          <w:p w14:paraId="4271EA0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预测因</w:t>
            </w:r>
            <w:r>
              <w:rPr>
                <w:rFonts w:hint="eastAsia" w:ascii="宋体" w:hAnsi="宋体" w:eastAsia="宋体" w:cs="宋体"/>
                <w:color w:val="auto"/>
                <w:spacing w:val="-1"/>
                <w:kern w:val="0"/>
                <w:sz w:val="21"/>
                <w:szCs w:val="21"/>
                <w:highlight w:val="none"/>
                <w:u w:val="none"/>
              </w:rPr>
              <w:t>子</w:t>
            </w:r>
          </w:p>
        </w:tc>
        <w:tc>
          <w:tcPr>
            <w:tcW w:w="6284" w:type="dxa"/>
            <w:gridSpan w:val="16"/>
            <w:tcBorders>
              <w:tl2br w:val="nil"/>
              <w:tr2bl w:val="nil"/>
            </w:tcBorders>
            <w:noWrap w:val="0"/>
            <w:vAlign w:val="center"/>
          </w:tcPr>
          <w:p w14:paraId="08C9498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
                <w:kern w:val="0"/>
                <w:sz w:val="21"/>
                <w:szCs w:val="21"/>
                <w:highlight w:val="none"/>
                <w:u w:val="none"/>
              </w:rPr>
              <w:t>等效连续</w:t>
            </w:r>
            <w:r>
              <w:rPr>
                <w:rFonts w:hint="eastAsia" w:ascii="宋体" w:hAnsi="宋体" w:eastAsia="宋体" w:cs="宋体"/>
                <w:color w:val="auto"/>
                <w:kern w:val="0"/>
                <w:sz w:val="21"/>
                <w:szCs w:val="21"/>
                <w:highlight w:val="none"/>
                <w:u w:val="none"/>
              </w:rPr>
              <w:t>A</w:t>
            </w:r>
            <w:r>
              <w:rPr>
                <w:rFonts w:hint="eastAsia" w:ascii="宋体" w:hAnsi="宋体" w:eastAsia="宋体" w:cs="宋体"/>
                <w:color w:val="auto"/>
                <w:spacing w:val="-1"/>
                <w:kern w:val="0"/>
                <w:sz w:val="21"/>
                <w:szCs w:val="21"/>
                <w:highlight w:val="none"/>
                <w:u w:val="none"/>
              </w:rPr>
              <w:t>声级</w:t>
            </w:r>
            <w:r>
              <w:rPr>
                <w:rFonts w:hint="eastAsia" w:ascii="宋体" w:hAnsi="宋体" w:eastAsia="宋体" w:cs="宋体"/>
                <w:color w:val="auto"/>
                <w:spacing w:val="-6"/>
                <w:kern w:val="0"/>
                <w:sz w:val="21"/>
                <w:szCs w:val="21"/>
                <w:highlight w:val="none"/>
                <w:u w:val="none"/>
                <w:lang w:eastAsia="zh-CN"/>
              </w:rPr>
              <w:t>☑</w:t>
            </w:r>
            <w:r>
              <w:rPr>
                <w:rFonts w:hint="eastAsia" w:ascii="宋体" w:hAnsi="宋体" w:eastAsia="宋体" w:cs="宋体"/>
                <w:color w:val="auto"/>
                <w:spacing w:val="-1"/>
                <w:kern w:val="0"/>
                <w:sz w:val="21"/>
                <w:szCs w:val="21"/>
                <w:highlight w:val="none"/>
                <w:u w:val="none"/>
              </w:rPr>
              <w:t xml:space="preserve">    最大</w:t>
            </w:r>
            <w:r>
              <w:rPr>
                <w:rFonts w:hint="eastAsia" w:ascii="宋体" w:hAnsi="宋体" w:eastAsia="宋体" w:cs="宋体"/>
                <w:color w:val="auto"/>
                <w:kern w:val="0"/>
                <w:sz w:val="21"/>
                <w:szCs w:val="21"/>
                <w:highlight w:val="none"/>
                <w:u w:val="none"/>
              </w:rPr>
              <w:t>A</w:t>
            </w:r>
            <w:r>
              <w:rPr>
                <w:rFonts w:hint="eastAsia" w:ascii="宋体" w:hAnsi="宋体" w:eastAsia="宋体" w:cs="宋体"/>
                <w:color w:val="auto"/>
                <w:spacing w:val="-1"/>
                <w:kern w:val="0"/>
                <w:sz w:val="21"/>
                <w:szCs w:val="21"/>
                <w:highlight w:val="none"/>
                <w:u w:val="none"/>
              </w:rPr>
              <w:t xml:space="preserve">声级□  </w:t>
            </w:r>
            <w:r>
              <w:rPr>
                <w:rFonts w:hint="eastAsia" w:ascii="宋体" w:hAnsi="宋体" w:eastAsia="宋体" w:cs="宋体"/>
                <w:color w:val="auto"/>
                <w:kern w:val="0"/>
                <w:sz w:val="21"/>
                <w:szCs w:val="21"/>
                <w:highlight w:val="none"/>
                <w:u w:val="none"/>
              </w:rPr>
              <w:t xml:space="preserve"> 计权等效连续感觉噪声级□</w:t>
            </w:r>
          </w:p>
        </w:tc>
      </w:tr>
      <w:tr w14:paraId="4D4BF914">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683" w:hRule="atLeast"/>
        </w:trPr>
        <w:tc>
          <w:tcPr>
            <w:tcW w:w="930" w:type="dxa"/>
            <w:vMerge w:val="continue"/>
            <w:tcBorders>
              <w:tl2br w:val="nil"/>
              <w:tr2bl w:val="nil"/>
            </w:tcBorders>
            <w:noWrap w:val="0"/>
            <w:vAlign w:val="center"/>
          </w:tcPr>
          <w:p w14:paraId="58960D4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p>
        </w:tc>
        <w:tc>
          <w:tcPr>
            <w:tcW w:w="1325" w:type="dxa"/>
            <w:tcBorders>
              <w:tl2br w:val="nil"/>
              <w:tr2bl w:val="nil"/>
            </w:tcBorders>
            <w:noWrap w:val="0"/>
            <w:vAlign w:val="center"/>
          </w:tcPr>
          <w:p w14:paraId="7900471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厂界噪声</w:t>
            </w:r>
            <w:r>
              <w:rPr>
                <w:rFonts w:hint="eastAsia" w:ascii="宋体" w:hAnsi="宋体" w:eastAsia="宋体" w:cs="宋体"/>
                <w:color w:val="auto"/>
                <w:spacing w:val="-1"/>
                <w:kern w:val="0"/>
                <w:sz w:val="21"/>
                <w:szCs w:val="21"/>
                <w:highlight w:val="none"/>
                <w:u w:val="none"/>
              </w:rPr>
              <w:t>贡献</w:t>
            </w:r>
            <w:r>
              <w:rPr>
                <w:rFonts w:hint="eastAsia" w:ascii="宋体" w:hAnsi="宋体" w:eastAsia="宋体" w:cs="宋体"/>
                <w:color w:val="auto"/>
                <w:kern w:val="0"/>
                <w:sz w:val="21"/>
                <w:szCs w:val="21"/>
                <w:highlight w:val="none"/>
                <w:u w:val="none"/>
              </w:rPr>
              <w:t>值</w:t>
            </w:r>
          </w:p>
        </w:tc>
        <w:tc>
          <w:tcPr>
            <w:tcW w:w="3141" w:type="dxa"/>
            <w:gridSpan w:val="9"/>
            <w:tcBorders>
              <w:tl2br w:val="nil"/>
              <w:tr2bl w:val="nil"/>
            </w:tcBorders>
            <w:noWrap w:val="0"/>
            <w:vAlign w:val="center"/>
          </w:tcPr>
          <w:p w14:paraId="6472F69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达标</w:t>
            </w:r>
            <w:r>
              <w:rPr>
                <w:rFonts w:hint="eastAsia" w:ascii="宋体" w:hAnsi="宋体" w:eastAsia="宋体" w:cs="宋体"/>
                <w:color w:val="auto"/>
                <w:spacing w:val="-6"/>
                <w:kern w:val="0"/>
                <w:sz w:val="21"/>
                <w:szCs w:val="21"/>
                <w:highlight w:val="none"/>
                <w:u w:val="none"/>
                <w:lang w:eastAsia="zh-CN"/>
              </w:rPr>
              <w:t>☑</w:t>
            </w:r>
          </w:p>
        </w:tc>
        <w:tc>
          <w:tcPr>
            <w:tcW w:w="3143" w:type="dxa"/>
            <w:gridSpan w:val="7"/>
            <w:tcBorders>
              <w:tl2br w:val="nil"/>
              <w:tr2bl w:val="nil"/>
            </w:tcBorders>
            <w:noWrap w:val="0"/>
            <w:vAlign w:val="center"/>
          </w:tcPr>
          <w:p w14:paraId="563C067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pacing w:val="-2"/>
                <w:kern w:val="0"/>
                <w:sz w:val="21"/>
                <w:szCs w:val="21"/>
                <w:highlight w:val="none"/>
                <w:u w:val="none"/>
              </w:rPr>
            </w:pPr>
            <w:r>
              <w:rPr>
                <w:rFonts w:hint="eastAsia" w:ascii="宋体" w:hAnsi="宋体" w:eastAsia="宋体" w:cs="宋体"/>
                <w:color w:val="auto"/>
                <w:spacing w:val="-2"/>
                <w:kern w:val="0"/>
                <w:sz w:val="21"/>
                <w:szCs w:val="21"/>
                <w:highlight w:val="none"/>
                <w:u w:val="none"/>
              </w:rPr>
              <w:t>不达标□</w:t>
            </w:r>
          </w:p>
        </w:tc>
      </w:tr>
      <w:tr w14:paraId="5D4B8BA7">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683" w:hRule="atLeast"/>
        </w:trPr>
        <w:tc>
          <w:tcPr>
            <w:tcW w:w="930" w:type="dxa"/>
            <w:vMerge w:val="continue"/>
            <w:tcBorders>
              <w:tl2br w:val="nil"/>
              <w:tr2bl w:val="nil"/>
            </w:tcBorders>
            <w:noWrap w:val="0"/>
            <w:vAlign w:val="center"/>
          </w:tcPr>
          <w:p w14:paraId="19ADC80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p>
        </w:tc>
        <w:tc>
          <w:tcPr>
            <w:tcW w:w="1325" w:type="dxa"/>
            <w:tcBorders>
              <w:tl2br w:val="nil"/>
              <w:tr2bl w:val="nil"/>
            </w:tcBorders>
            <w:noWrap w:val="0"/>
            <w:vAlign w:val="center"/>
          </w:tcPr>
          <w:p w14:paraId="1C99EA4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声环境保护</w:t>
            </w:r>
            <w:r>
              <w:rPr>
                <w:rFonts w:hint="eastAsia" w:ascii="宋体" w:hAnsi="宋体" w:eastAsia="宋体" w:cs="宋体"/>
                <w:color w:val="auto"/>
                <w:spacing w:val="-1"/>
                <w:kern w:val="0"/>
                <w:sz w:val="21"/>
                <w:szCs w:val="21"/>
                <w:highlight w:val="none"/>
                <w:u w:val="none"/>
              </w:rPr>
              <w:t>目</w:t>
            </w:r>
            <w:r>
              <w:rPr>
                <w:rFonts w:hint="eastAsia" w:ascii="宋体" w:hAnsi="宋体" w:eastAsia="宋体" w:cs="宋体"/>
                <w:color w:val="auto"/>
                <w:spacing w:val="-2"/>
                <w:kern w:val="0"/>
                <w:sz w:val="21"/>
                <w:szCs w:val="21"/>
                <w:highlight w:val="none"/>
                <w:u w:val="none"/>
              </w:rPr>
              <w:t>标处</w:t>
            </w:r>
            <w:r>
              <w:rPr>
                <w:rFonts w:hint="eastAsia" w:ascii="宋体" w:hAnsi="宋体" w:eastAsia="宋体" w:cs="宋体"/>
                <w:color w:val="auto"/>
                <w:spacing w:val="-1"/>
                <w:kern w:val="0"/>
                <w:sz w:val="21"/>
                <w:szCs w:val="21"/>
                <w:highlight w:val="none"/>
                <w:u w:val="none"/>
              </w:rPr>
              <w:t>噪声值</w:t>
            </w:r>
          </w:p>
        </w:tc>
        <w:tc>
          <w:tcPr>
            <w:tcW w:w="3141" w:type="dxa"/>
            <w:gridSpan w:val="9"/>
            <w:tcBorders>
              <w:tl2br w:val="nil"/>
              <w:tr2bl w:val="nil"/>
            </w:tcBorders>
            <w:noWrap w:val="0"/>
            <w:vAlign w:val="center"/>
          </w:tcPr>
          <w:p w14:paraId="59C8732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达标</w:t>
            </w:r>
            <w:r>
              <w:rPr>
                <w:rFonts w:hint="eastAsia" w:ascii="宋体" w:hAnsi="宋体" w:eastAsia="宋体" w:cs="宋体"/>
                <w:color w:val="auto"/>
                <w:spacing w:val="-6"/>
                <w:kern w:val="0"/>
                <w:sz w:val="21"/>
                <w:szCs w:val="21"/>
                <w:highlight w:val="none"/>
                <w:u w:val="none"/>
                <w:lang w:eastAsia="zh-CN"/>
              </w:rPr>
              <w:t>□</w:t>
            </w:r>
          </w:p>
        </w:tc>
        <w:tc>
          <w:tcPr>
            <w:tcW w:w="3143" w:type="dxa"/>
            <w:gridSpan w:val="7"/>
            <w:tcBorders>
              <w:tl2br w:val="nil"/>
              <w:tr2bl w:val="nil"/>
            </w:tcBorders>
            <w:noWrap w:val="0"/>
            <w:vAlign w:val="center"/>
          </w:tcPr>
          <w:p w14:paraId="4AC4726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pacing w:val="-2"/>
                <w:kern w:val="0"/>
                <w:sz w:val="21"/>
                <w:szCs w:val="21"/>
                <w:highlight w:val="none"/>
                <w:u w:val="none"/>
              </w:rPr>
            </w:pPr>
            <w:r>
              <w:rPr>
                <w:rFonts w:hint="eastAsia" w:ascii="宋体" w:hAnsi="宋体" w:eastAsia="宋体" w:cs="宋体"/>
                <w:color w:val="auto"/>
                <w:spacing w:val="-2"/>
                <w:kern w:val="0"/>
                <w:sz w:val="21"/>
                <w:szCs w:val="21"/>
                <w:highlight w:val="none"/>
                <w:u w:val="none"/>
              </w:rPr>
              <w:t>不达标□</w:t>
            </w:r>
          </w:p>
        </w:tc>
      </w:tr>
      <w:tr w14:paraId="3A465D5D">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1973" w:hRule="atLeast"/>
        </w:trPr>
        <w:tc>
          <w:tcPr>
            <w:tcW w:w="930" w:type="dxa"/>
            <w:vMerge w:val="restart"/>
            <w:tcBorders>
              <w:tl2br w:val="nil"/>
              <w:tr2bl w:val="nil"/>
            </w:tcBorders>
            <w:noWrap w:val="0"/>
            <w:vAlign w:val="center"/>
          </w:tcPr>
          <w:p w14:paraId="240FFED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环境监测计划</w:t>
            </w:r>
          </w:p>
        </w:tc>
        <w:tc>
          <w:tcPr>
            <w:tcW w:w="1325" w:type="dxa"/>
            <w:tcBorders>
              <w:tl2br w:val="nil"/>
              <w:tr2bl w:val="nil"/>
            </w:tcBorders>
            <w:noWrap w:val="0"/>
            <w:vAlign w:val="center"/>
          </w:tcPr>
          <w:p w14:paraId="720F372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排放</w:t>
            </w:r>
            <w:r>
              <w:rPr>
                <w:rFonts w:hint="eastAsia" w:ascii="宋体" w:hAnsi="宋体" w:eastAsia="宋体" w:cs="宋体"/>
                <w:color w:val="auto"/>
                <w:spacing w:val="-1"/>
                <w:kern w:val="0"/>
                <w:sz w:val="21"/>
                <w:szCs w:val="21"/>
                <w:highlight w:val="none"/>
                <w:u w:val="none"/>
              </w:rPr>
              <w:t>监测</w:t>
            </w:r>
          </w:p>
        </w:tc>
        <w:tc>
          <w:tcPr>
            <w:tcW w:w="1256" w:type="dxa"/>
            <w:gridSpan w:val="2"/>
            <w:tcBorders>
              <w:tl2br w:val="nil"/>
              <w:tr2bl w:val="nil"/>
            </w:tcBorders>
            <w:noWrap w:val="0"/>
            <w:vAlign w:val="center"/>
          </w:tcPr>
          <w:p w14:paraId="1ED1149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spacing w:val="1"/>
                <w:kern w:val="0"/>
                <w:sz w:val="21"/>
                <w:szCs w:val="21"/>
                <w:highlight w:val="none"/>
                <w:u w:val="none"/>
              </w:rPr>
              <w:t>厂界监测</w:t>
            </w:r>
            <w:r>
              <w:rPr>
                <w:rFonts w:hint="eastAsia" w:ascii="宋体" w:hAnsi="宋体" w:eastAsia="宋体" w:cs="宋体"/>
                <w:color w:val="auto"/>
                <w:spacing w:val="1"/>
                <w:kern w:val="0"/>
                <w:sz w:val="21"/>
                <w:szCs w:val="21"/>
                <w:highlight w:val="none"/>
                <w:u w:val="none"/>
                <w:lang w:eastAsia="zh-CN"/>
              </w:rPr>
              <w:t>☑</w:t>
            </w:r>
          </w:p>
        </w:tc>
        <w:tc>
          <w:tcPr>
            <w:tcW w:w="1256" w:type="dxa"/>
            <w:gridSpan w:val="4"/>
            <w:tcBorders>
              <w:tl2br w:val="nil"/>
              <w:tr2bl w:val="nil"/>
            </w:tcBorders>
            <w:noWrap w:val="0"/>
            <w:vAlign w:val="center"/>
          </w:tcPr>
          <w:p w14:paraId="743BE7A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pacing w:val="1"/>
                <w:kern w:val="0"/>
                <w:sz w:val="21"/>
                <w:szCs w:val="21"/>
                <w:highlight w:val="none"/>
                <w:u w:val="none"/>
              </w:rPr>
            </w:pPr>
            <w:r>
              <w:rPr>
                <w:rFonts w:hint="eastAsia" w:ascii="宋体" w:hAnsi="宋体" w:eastAsia="宋体" w:cs="宋体"/>
                <w:color w:val="auto"/>
                <w:spacing w:val="1"/>
                <w:kern w:val="0"/>
                <w:sz w:val="21"/>
                <w:szCs w:val="21"/>
                <w:highlight w:val="none"/>
                <w:u w:val="none"/>
              </w:rPr>
              <w:t>固定位置监测□</w:t>
            </w:r>
          </w:p>
        </w:tc>
        <w:tc>
          <w:tcPr>
            <w:tcW w:w="1256" w:type="dxa"/>
            <w:gridSpan w:val="4"/>
            <w:tcBorders>
              <w:tl2br w:val="nil"/>
              <w:tr2bl w:val="nil"/>
            </w:tcBorders>
            <w:noWrap w:val="0"/>
            <w:vAlign w:val="center"/>
          </w:tcPr>
          <w:p w14:paraId="139005F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pacing w:val="1"/>
                <w:kern w:val="0"/>
                <w:sz w:val="21"/>
                <w:szCs w:val="21"/>
                <w:highlight w:val="none"/>
                <w:u w:val="none"/>
              </w:rPr>
            </w:pPr>
            <w:r>
              <w:rPr>
                <w:rFonts w:hint="eastAsia" w:ascii="宋体" w:hAnsi="宋体" w:eastAsia="宋体" w:cs="宋体"/>
                <w:color w:val="auto"/>
                <w:spacing w:val="1"/>
                <w:kern w:val="0"/>
                <w:sz w:val="21"/>
                <w:szCs w:val="21"/>
                <w:highlight w:val="none"/>
                <w:u w:val="none"/>
              </w:rPr>
              <w:t>自动监测□</w:t>
            </w:r>
          </w:p>
        </w:tc>
        <w:tc>
          <w:tcPr>
            <w:tcW w:w="1256" w:type="dxa"/>
            <w:gridSpan w:val="3"/>
            <w:tcBorders>
              <w:tl2br w:val="nil"/>
              <w:tr2bl w:val="nil"/>
            </w:tcBorders>
            <w:noWrap w:val="0"/>
            <w:vAlign w:val="center"/>
          </w:tcPr>
          <w:p w14:paraId="4470CFE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pacing w:val="1"/>
                <w:kern w:val="0"/>
                <w:sz w:val="21"/>
                <w:szCs w:val="21"/>
                <w:highlight w:val="none"/>
                <w:u w:val="none"/>
              </w:rPr>
            </w:pPr>
            <w:r>
              <w:rPr>
                <w:rFonts w:hint="eastAsia" w:ascii="宋体" w:hAnsi="宋体" w:eastAsia="宋体" w:cs="宋体"/>
                <w:color w:val="auto"/>
                <w:spacing w:val="1"/>
                <w:kern w:val="0"/>
                <w:sz w:val="21"/>
                <w:szCs w:val="21"/>
                <w:highlight w:val="none"/>
                <w:u w:val="none"/>
              </w:rPr>
              <w:t>手动</w:t>
            </w:r>
            <w:r>
              <w:rPr>
                <w:rFonts w:hint="eastAsia" w:ascii="宋体" w:hAnsi="宋体" w:eastAsia="宋体" w:cs="宋体"/>
                <w:color w:val="auto"/>
                <w:kern w:val="0"/>
                <w:sz w:val="21"/>
                <w:szCs w:val="21"/>
                <w:highlight w:val="none"/>
                <w:u w:val="none"/>
              </w:rPr>
              <w:t>监测□</w:t>
            </w:r>
          </w:p>
        </w:tc>
        <w:tc>
          <w:tcPr>
            <w:tcW w:w="1260" w:type="dxa"/>
            <w:gridSpan w:val="3"/>
            <w:tcBorders>
              <w:tl2br w:val="nil"/>
              <w:tr2bl w:val="nil"/>
            </w:tcBorders>
            <w:noWrap w:val="0"/>
            <w:vAlign w:val="center"/>
          </w:tcPr>
          <w:p w14:paraId="4984231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pacing w:val="1"/>
                <w:kern w:val="0"/>
                <w:sz w:val="21"/>
                <w:szCs w:val="21"/>
                <w:highlight w:val="none"/>
                <w:u w:val="none"/>
              </w:rPr>
            </w:pPr>
            <w:r>
              <w:rPr>
                <w:rFonts w:hint="eastAsia" w:ascii="宋体" w:hAnsi="宋体" w:eastAsia="宋体" w:cs="宋体"/>
                <w:color w:val="auto"/>
                <w:kern w:val="0"/>
                <w:sz w:val="21"/>
                <w:szCs w:val="21"/>
                <w:highlight w:val="none"/>
                <w:u w:val="none"/>
              </w:rPr>
              <w:t>无监测□</w:t>
            </w:r>
          </w:p>
        </w:tc>
      </w:tr>
      <w:tr w14:paraId="39F4DA0E">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683" w:hRule="atLeast"/>
        </w:trPr>
        <w:tc>
          <w:tcPr>
            <w:tcW w:w="930" w:type="dxa"/>
            <w:vMerge w:val="continue"/>
            <w:tcBorders>
              <w:tl2br w:val="nil"/>
              <w:tr2bl w:val="nil"/>
            </w:tcBorders>
            <w:noWrap w:val="0"/>
            <w:vAlign w:val="center"/>
          </w:tcPr>
          <w:p w14:paraId="1392FC0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p>
        </w:tc>
        <w:tc>
          <w:tcPr>
            <w:tcW w:w="1325" w:type="dxa"/>
            <w:tcBorders>
              <w:tl2br w:val="nil"/>
              <w:tr2bl w:val="nil"/>
            </w:tcBorders>
            <w:noWrap w:val="0"/>
            <w:vAlign w:val="center"/>
          </w:tcPr>
          <w:p w14:paraId="6353579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声环境保护</w:t>
            </w:r>
            <w:r>
              <w:rPr>
                <w:rFonts w:hint="eastAsia" w:ascii="宋体" w:hAnsi="宋体" w:eastAsia="宋体" w:cs="宋体"/>
                <w:color w:val="auto"/>
                <w:spacing w:val="-1"/>
                <w:kern w:val="0"/>
                <w:sz w:val="21"/>
                <w:szCs w:val="21"/>
                <w:highlight w:val="none"/>
                <w:u w:val="none"/>
              </w:rPr>
              <w:t>目</w:t>
            </w:r>
            <w:r>
              <w:rPr>
                <w:rFonts w:hint="eastAsia" w:ascii="宋体" w:hAnsi="宋体" w:eastAsia="宋体" w:cs="宋体"/>
                <w:color w:val="auto"/>
                <w:spacing w:val="-2"/>
                <w:kern w:val="0"/>
                <w:sz w:val="21"/>
                <w:szCs w:val="21"/>
                <w:highlight w:val="none"/>
                <w:u w:val="none"/>
              </w:rPr>
              <w:t>标处</w:t>
            </w:r>
            <w:r>
              <w:rPr>
                <w:rFonts w:hint="eastAsia" w:ascii="宋体" w:hAnsi="宋体" w:eastAsia="宋体" w:cs="宋体"/>
                <w:color w:val="auto"/>
                <w:spacing w:val="-1"/>
                <w:kern w:val="0"/>
                <w:sz w:val="21"/>
                <w:szCs w:val="21"/>
                <w:highlight w:val="none"/>
                <w:u w:val="none"/>
              </w:rPr>
              <w:t>噪声监测</w:t>
            </w:r>
          </w:p>
        </w:tc>
        <w:tc>
          <w:tcPr>
            <w:tcW w:w="3047" w:type="dxa"/>
            <w:gridSpan w:val="7"/>
            <w:tcBorders>
              <w:tl2br w:val="nil"/>
              <w:tr2bl w:val="nil"/>
            </w:tcBorders>
            <w:noWrap w:val="0"/>
            <w:vAlign w:val="center"/>
          </w:tcPr>
          <w:p w14:paraId="0ABA7D7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监测因子：</w:t>
            </w:r>
            <w:r>
              <w:rPr>
                <w:rFonts w:hint="eastAsia" w:ascii="宋体" w:hAnsi="宋体" w:eastAsia="宋体" w:cs="宋体"/>
                <w:color w:val="auto"/>
                <w:spacing w:val="2"/>
                <w:kern w:val="0"/>
                <w:sz w:val="21"/>
                <w:szCs w:val="21"/>
                <w:highlight w:val="none"/>
                <w:u w:val="none"/>
                <w:lang w:eastAsia="zh-CN"/>
              </w:rPr>
              <w:t>(</w:t>
            </w:r>
            <w:r>
              <w:rPr>
                <w:rFonts w:hint="eastAsia" w:ascii="宋体" w:hAnsi="宋体" w:eastAsia="宋体" w:cs="宋体"/>
                <w:color w:val="auto"/>
                <w:spacing w:val="2"/>
                <w:kern w:val="0"/>
                <w:sz w:val="21"/>
                <w:szCs w:val="21"/>
                <w:highlight w:val="none"/>
                <w:u w:val="none"/>
                <w:lang w:val="en-US" w:eastAsia="zh-CN"/>
              </w:rPr>
              <w:t>/</w:t>
            </w:r>
            <w:r>
              <w:rPr>
                <w:rFonts w:hint="eastAsia" w:ascii="宋体" w:hAnsi="宋体" w:eastAsia="宋体" w:cs="宋体"/>
                <w:color w:val="auto"/>
                <w:spacing w:val="1"/>
                <w:kern w:val="0"/>
                <w:sz w:val="21"/>
                <w:szCs w:val="21"/>
                <w:highlight w:val="none"/>
                <w:u w:val="none"/>
              </w:rPr>
              <w:t>)</w:t>
            </w:r>
          </w:p>
        </w:tc>
        <w:tc>
          <w:tcPr>
            <w:tcW w:w="2040" w:type="dxa"/>
            <w:gridSpan w:val="7"/>
            <w:tcBorders>
              <w:tl2br w:val="nil"/>
              <w:tr2bl w:val="nil"/>
            </w:tcBorders>
            <w:noWrap w:val="0"/>
            <w:vAlign w:val="center"/>
          </w:tcPr>
          <w:p w14:paraId="3A0AE72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3"/>
                <w:kern w:val="0"/>
                <w:sz w:val="21"/>
                <w:szCs w:val="21"/>
                <w:highlight w:val="none"/>
                <w:u w:val="none"/>
              </w:rPr>
              <w:t>监</w:t>
            </w:r>
            <w:r>
              <w:rPr>
                <w:rFonts w:hint="eastAsia" w:ascii="宋体" w:hAnsi="宋体" w:eastAsia="宋体" w:cs="宋体"/>
                <w:color w:val="auto"/>
                <w:spacing w:val="9"/>
                <w:kern w:val="0"/>
                <w:sz w:val="21"/>
                <w:szCs w:val="21"/>
                <w:highlight w:val="none"/>
                <w:u w:val="none"/>
              </w:rPr>
              <w:t>测点位数</w:t>
            </w:r>
            <w:r>
              <w:rPr>
                <w:rFonts w:hint="eastAsia" w:ascii="宋体" w:hAnsi="宋体" w:eastAsia="宋体" w:cs="宋体"/>
                <w:color w:val="auto"/>
                <w:spacing w:val="9"/>
                <w:kern w:val="0"/>
                <w:sz w:val="21"/>
                <w:szCs w:val="21"/>
                <w:highlight w:val="none"/>
                <w:u w:val="none"/>
                <w:lang w:eastAsia="zh-CN"/>
              </w:rPr>
              <w:t>（</w:t>
            </w:r>
            <w:r>
              <w:rPr>
                <w:rFonts w:hint="eastAsia" w:ascii="宋体" w:hAnsi="宋体" w:eastAsia="宋体" w:cs="宋体"/>
                <w:color w:val="auto"/>
                <w:spacing w:val="9"/>
                <w:kern w:val="0"/>
                <w:sz w:val="21"/>
                <w:szCs w:val="21"/>
                <w:highlight w:val="none"/>
                <w:u w:val="none"/>
                <w:lang w:val="en-US" w:eastAsia="zh-CN"/>
              </w:rPr>
              <w:t>/）</w:t>
            </w:r>
          </w:p>
        </w:tc>
        <w:tc>
          <w:tcPr>
            <w:tcW w:w="1197" w:type="dxa"/>
            <w:gridSpan w:val="2"/>
            <w:tcBorders>
              <w:tl2br w:val="nil"/>
              <w:tr2bl w:val="nil"/>
            </w:tcBorders>
            <w:noWrap w:val="0"/>
            <w:vAlign w:val="center"/>
          </w:tcPr>
          <w:p w14:paraId="774FE45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lang w:eastAsia="zh-CN"/>
              </w:rPr>
            </w:pPr>
            <w:r>
              <w:rPr>
                <w:rFonts w:hint="eastAsia" w:ascii="宋体" w:hAnsi="宋体" w:eastAsia="宋体" w:cs="宋体"/>
                <w:color w:val="auto"/>
                <w:spacing w:val="-2"/>
                <w:kern w:val="0"/>
                <w:sz w:val="21"/>
                <w:szCs w:val="21"/>
                <w:highlight w:val="none"/>
                <w:u w:val="none"/>
              </w:rPr>
              <w:t>无监测</w:t>
            </w:r>
            <w:r>
              <w:rPr>
                <w:rFonts w:hint="eastAsia" w:ascii="宋体" w:hAnsi="宋体" w:eastAsia="宋体" w:cs="宋体"/>
                <w:color w:val="auto"/>
                <w:spacing w:val="-1"/>
                <w:kern w:val="0"/>
                <w:sz w:val="21"/>
                <w:szCs w:val="21"/>
                <w:highlight w:val="none"/>
                <w:u w:val="none"/>
                <w:lang w:eastAsia="zh-CN"/>
              </w:rPr>
              <w:t>☑</w:t>
            </w:r>
          </w:p>
        </w:tc>
      </w:tr>
      <w:tr w14:paraId="2E1881ED">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388" w:hRule="atLeast"/>
        </w:trPr>
        <w:tc>
          <w:tcPr>
            <w:tcW w:w="930" w:type="dxa"/>
            <w:tcBorders>
              <w:tl2br w:val="nil"/>
              <w:tr2bl w:val="nil"/>
            </w:tcBorders>
            <w:noWrap w:val="0"/>
            <w:vAlign w:val="center"/>
          </w:tcPr>
          <w:p w14:paraId="19DA2F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评</w:t>
            </w:r>
            <w:r>
              <w:rPr>
                <w:rFonts w:hint="eastAsia" w:ascii="宋体" w:hAnsi="宋体" w:eastAsia="宋体" w:cs="宋体"/>
                <w:color w:val="auto"/>
                <w:spacing w:val="-1"/>
                <w:kern w:val="0"/>
                <w:sz w:val="21"/>
                <w:szCs w:val="21"/>
                <w:highlight w:val="none"/>
                <w:u w:val="none"/>
              </w:rPr>
              <w:t>价结论</w:t>
            </w:r>
          </w:p>
        </w:tc>
        <w:tc>
          <w:tcPr>
            <w:tcW w:w="1325" w:type="dxa"/>
            <w:tcBorders>
              <w:tl2br w:val="nil"/>
              <w:tr2bl w:val="nil"/>
            </w:tcBorders>
            <w:noWrap w:val="0"/>
            <w:vAlign w:val="center"/>
          </w:tcPr>
          <w:p w14:paraId="3C320EA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
                <w:kern w:val="0"/>
                <w:sz w:val="21"/>
                <w:szCs w:val="21"/>
                <w:highlight w:val="none"/>
                <w:u w:val="none"/>
              </w:rPr>
              <w:t>环境</w:t>
            </w:r>
            <w:r>
              <w:rPr>
                <w:rFonts w:hint="eastAsia" w:ascii="宋体" w:hAnsi="宋体" w:eastAsia="宋体" w:cs="宋体"/>
                <w:color w:val="auto"/>
                <w:spacing w:val="-1"/>
                <w:kern w:val="0"/>
                <w:sz w:val="21"/>
                <w:szCs w:val="21"/>
                <w:highlight w:val="none"/>
                <w:u w:val="none"/>
              </w:rPr>
              <w:t>影响</w:t>
            </w:r>
          </w:p>
        </w:tc>
        <w:tc>
          <w:tcPr>
            <w:tcW w:w="6284" w:type="dxa"/>
            <w:gridSpan w:val="16"/>
            <w:tcBorders>
              <w:tl2br w:val="nil"/>
              <w:tr2bl w:val="nil"/>
            </w:tcBorders>
            <w:noWrap w:val="0"/>
            <w:vAlign w:val="center"/>
          </w:tcPr>
          <w:p w14:paraId="2817BE7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
                <w:kern w:val="0"/>
                <w:sz w:val="21"/>
                <w:szCs w:val="21"/>
                <w:highlight w:val="none"/>
                <w:u w:val="none"/>
              </w:rPr>
              <w:t>可行</w:t>
            </w:r>
            <w:r>
              <w:rPr>
                <w:rFonts w:hint="eastAsia" w:ascii="宋体" w:hAnsi="宋体" w:eastAsia="宋体" w:cs="宋体"/>
                <w:color w:val="auto"/>
                <w:spacing w:val="1"/>
                <w:kern w:val="0"/>
                <w:sz w:val="21"/>
                <w:szCs w:val="21"/>
                <w:highlight w:val="none"/>
                <w:u w:val="none"/>
                <w:lang w:eastAsia="zh-CN"/>
              </w:rPr>
              <w:t>☑</w:t>
            </w:r>
            <w:r>
              <w:rPr>
                <w:rFonts w:hint="eastAsia" w:ascii="宋体" w:hAnsi="宋体" w:eastAsia="宋体" w:cs="宋体"/>
                <w:color w:val="auto"/>
                <w:kern w:val="0"/>
                <w:sz w:val="21"/>
                <w:szCs w:val="21"/>
                <w:highlight w:val="none"/>
                <w:u w:val="none"/>
              </w:rPr>
              <w:t xml:space="preserve">       不可行□</w:t>
            </w:r>
          </w:p>
        </w:tc>
      </w:tr>
      <w:tr w14:paraId="497C0D88">
        <w:tblPrEx>
          <w:tblBorders>
            <w:top w:val="single" w:color="auto" w:sz="12" w:space="0"/>
            <w:left w:val="single" w:color="auto" w:sz="12" w:space="0"/>
            <w:bottom w:val="single" w:color="auto" w:sz="12" w:space="0"/>
            <w:right w:val="single" w:color="auto" w:sz="12" w:space="0"/>
            <w:insideH w:val="single" w:color="auto" w:sz="4" w:space="0"/>
            <w:insideV w:val="single" w:color="000000" w:sz="2" w:space="0"/>
          </w:tblBorders>
          <w:tblCellMar>
            <w:top w:w="0" w:type="dxa"/>
            <w:left w:w="0" w:type="dxa"/>
            <w:bottom w:w="0" w:type="dxa"/>
            <w:right w:w="0" w:type="dxa"/>
          </w:tblCellMar>
        </w:tblPrEx>
        <w:trPr>
          <w:trHeight w:val="423" w:hRule="atLeast"/>
        </w:trPr>
        <w:tc>
          <w:tcPr>
            <w:tcW w:w="8539" w:type="dxa"/>
            <w:gridSpan w:val="18"/>
            <w:tcBorders>
              <w:tl2br w:val="nil"/>
              <w:tr2bl w:val="nil"/>
            </w:tcBorders>
            <w:noWrap w:val="0"/>
            <w:vAlign w:val="center"/>
          </w:tcPr>
          <w:p w14:paraId="498F43DF">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22"/>
                <w:kern w:val="0"/>
                <w:sz w:val="21"/>
                <w:szCs w:val="21"/>
                <w:highlight w:val="none"/>
                <w:u w:val="none"/>
              </w:rPr>
              <w:t>注</w:t>
            </w:r>
            <w:r>
              <w:rPr>
                <w:rFonts w:hint="eastAsia" w:ascii="宋体" w:hAnsi="宋体" w:eastAsia="宋体" w:cs="宋体"/>
                <w:color w:val="auto"/>
                <w:spacing w:val="-21"/>
                <w:kern w:val="0"/>
                <w:sz w:val="21"/>
                <w:szCs w:val="21"/>
                <w:highlight w:val="none"/>
                <w:u w:val="none"/>
              </w:rPr>
              <w:t>：</w:t>
            </w:r>
            <w:r>
              <w:rPr>
                <w:rFonts w:hint="eastAsia" w:ascii="宋体" w:hAnsi="宋体" w:eastAsia="宋体" w:cs="宋体"/>
                <w:color w:val="auto"/>
                <w:spacing w:val="-11"/>
                <w:kern w:val="0"/>
                <w:sz w:val="21"/>
                <w:szCs w:val="21"/>
                <w:highlight w:val="none"/>
                <w:u w:val="none"/>
              </w:rPr>
              <w:t>“□”为勾选项，可 √ ；“</w:t>
            </w:r>
            <w:r>
              <w:rPr>
                <w:rFonts w:hint="eastAsia" w:ascii="宋体" w:hAnsi="宋体" w:eastAsia="宋体" w:cs="宋体"/>
                <w:color w:val="auto"/>
                <w:spacing w:val="-11"/>
                <w:kern w:val="0"/>
                <w:sz w:val="21"/>
                <w:szCs w:val="21"/>
                <w:highlight w:val="none"/>
                <w:u w:val="none"/>
                <w:lang w:eastAsia="zh-CN"/>
              </w:rPr>
              <w:t>（</w:t>
            </w:r>
            <w:r>
              <w:rPr>
                <w:rFonts w:hint="eastAsia" w:ascii="宋体" w:hAnsi="宋体" w:eastAsia="宋体" w:cs="宋体"/>
                <w:color w:val="auto"/>
                <w:spacing w:val="-11"/>
                <w:kern w:val="0"/>
                <w:sz w:val="21"/>
                <w:szCs w:val="21"/>
                <w:highlight w:val="none"/>
                <w:u w:val="none"/>
              </w:rPr>
              <w:t xml:space="preserve">   </w:t>
            </w:r>
            <w:r>
              <w:rPr>
                <w:rFonts w:hint="eastAsia" w:ascii="宋体" w:hAnsi="宋体" w:eastAsia="宋体" w:cs="宋体"/>
                <w:color w:val="auto"/>
                <w:spacing w:val="-11"/>
                <w:kern w:val="0"/>
                <w:sz w:val="21"/>
                <w:szCs w:val="21"/>
                <w:highlight w:val="none"/>
                <w:u w:val="none"/>
                <w:lang w:eastAsia="zh-CN"/>
              </w:rPr>
              <w:t>）</w:t>
            </w:r>
            <w:r>
              <w:rPr>
                <w:rFonts w:hint="eastAsia" w:ascii="宋体" w:hAnsi="宋体" w:eastAsia="宋体" w:cs="宋体"/>
                <w:color w:val="auto"/>
                <w:spacing w:val="-11"/>
                <w:kern w:val="0"/>
                <w:sz w:val="21"/>
                <w:szCs w:val="21"/>
                <w:highlight w:val="none"/>
                <w:u w:val="none"/>
              </w:rPr>
              <w:t>”为内容填写项。</w:t>
            </w:r>
          </w:p>
        </w:tc>
      </w:tr>
      <w:bookmarkEnd w:id="432"/>
      <w:bookmarkEnd w:id="433"/>
      <w:bookmarkEnd w:id="434"/>
      <w:bookmarkEnd w:id="435"/>
      <w:bookmarkEnd w:id="436"/>
      <w:bookmarkEnd w:id="437"/>
    </w:tbl>
    <w:p w14:paraId="36ACA698">
      <w:pPr>
        <w:rPr>
          <w:rFonts w:hint="eastAsia" w:ascii="Times New Roman" w:hAnsi="Times New Roman" w:eastAsia="宋体" w:cs="Times New Roman"/>
          <w:b/>
          <w:color w:val="auto"/>
          <w:kern w:val="44"/>
          <w:sz w:val="30"/>
          <w:szCs w:val="20"/>
          <w:highlight w:val="none"/>
          <w:u w:val="none"/>
          <w:lang w:val="en-US" w:eastAsia="zh-CN" w:bidi="ar-SA"/>
        </w:rPr>
      </w:pPr>
      <w:bookmarkStart w:id="444" w:name="_Toc18833"/>
      <w:bookmarkStart w:id="445" w:name="_Toc4695"/>
      <w:bookmarkStart w:id="446" w:name="_Toc8695"/>
      <w:r>
        <w:rPr>
          <w:rFonts w:hint="eastAsia" w:ascii="Times New Roman" w:hAnsi="Times New Roman" w:eastAsia="宋体" w:cs="Times New Roman"/>
          <w:b/>
          <w:color w:val="auto"/>
          <w:kern w:val="44"/>
          <w:sz w:val="30"/>
          <w:szCs w:val="20"/>
          <w:highlight w:val="none"/>
          <w:u w:val="none"/>
          <w:lang w:val="en-US" w:eastAsia="zh-CN" w:bidi="ar-SA"/>
        </w:rPr>
        <w:br w:type="page"/>
      </w:r>
    </w:p>
    <w:bookmarkEnd w:id="438"/>
    <w:bookmarkEnd w:id="439"/>
    <w:bookmarkEnd w:id="440"/>
    <w:bookmarkEnd w:id="444"/>
    <w:bookmarkEnd w:id="445"/>
    <w:bookmarkEnd w:id="446"/>
    <w:p w14:paraId="78C315E8">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447" w:name="_Toc2124"/>
      <w:bookmarkStart w:id="448" w:name="_Toc28109"/>
      <w:bookmarkStart w:id="449" w:name="_Toc23194"/>
      <w:bookmarkStart w:id="450" w:name="_Toc24464"/>
      <w:bookmarkStart w:id="451" w:name="_Toc24257"/>
      <w:bookmarkStart w:id="452" w:name="_Toc119915025"/>
      <w:bookmarkStart w:id="453" w:name="_Toc5340"/>
      <w:bookmarkStart w:id="454" w:name="_Toc3626"/>
      <w:bookmarkStart w:id="455" w:name="_Toc22422"/>
      <w:bookmarkStart w:id="456" w:name="_Toc23746"/>
      <w:bookmarkStart w:id="457" w:name="_Toc29496"/>
      <w:bookmarkStart w:id="458" w:name="_Toc23530"/>
      <w:bookmarkStart w:id="459" w:name="_Toc119915024"/>
      <w:bookmarkStart w:id="460" w:name="_Toc31201"/>
      <w:bookmarkStart w:id="461" w:name="_Toc26476"/>
      <w:r>
        <w:rPr>
          <w:rFonts w:hint="default" w:ascii="黑体" w:hAnsi="黑体" w:eastAsia="黑体" w:cs="黑体"/>
          <w:color w:val="auto"/>
          <w:sz w:val="28"/>
          <w:szCs w:val="28"/>
          <w:u w:val="none"/>
          <w:lang w:val="en-US" w:eastAsia="zh-CN"/>
        </w:rPr>
        <w:t>5.</w:t>
      </w:r>
      <w:r>
        <w:rPr>
          <w:rFonts w:hint="eastAsia" w:ascii="黑体" w:hAnsi="黑体" w:eastAsia="黑体" w:cs="黑体"/>
          <w:color w:val="auto"/>
          <w:sz w:val="28"/>
          <w:szCs w:val="28"/>
          <w:u w:val="none"/>
          <w:lang w:val="en-US" w:eastAsia="zh-CN"/>
        </w:rPr>
        <w:t xml:space="preserve">7 </w:t>
      </w:r>
      <w:r>
        <w:rPr>
          <w:rFonts w:hint="default" w:ascii="黑体" w:hAnsi="黑体" w:eastAsia="黑体" w:cs="黑体"/>
          <w:color w:val="auto"/>
          <w:sz w:val="28"/>
          <w:szCs w:val="28"/>
          <w:u w:val="none"/>
          <w:lang w:val="en-US" w:eastAsia="zh-CN"/>
        </w:rPr>
        <w:t>固体废物影响</w:t>
      </w:r>
      <w:bookmarkEnd w:id="447"/>
      <w:bookmarkEnd w:id="448"/>
      <w:bookmarkEnd w:id="449"/>
      <w:bookmarkEnd w:id="450"/>
      <w:bookmarkEnd w:id="451"/>
      <w:bookmarkEnd w:id="452"/>
      <w:r>
        <w:rPr>
          <w:rFonts w:hint="eastAsia" w:ascii="黑体" w:hAnsi="黑体" w:eastAsia="黑体" w:cs="黑体"/>
          <w:color w:val="auto"/>
          <w:sz w:val="28"/>
          <w:szCs w:val="28"/>
          <w:u w:val="none"/>
          <w:lang w:val="en-US" w:eastAsia="zh-CN"/>
        </w:rPr>
        <w:t>分析</w:t>
      </w:r>
      <w:bookmarkEnd w:id="453"/>
    </w:p>
    <w:p w14:paraId="1C048B8C">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施工</w:t>
      </w:r>
      <w:r>
        <w:rPr>
          <w:rFonts w:hint="default" w:ascii="黑体" w:hAnsi="黑体" w:eastAsia="黑体" w:cs="黑体"/>
          <w:b/>
          <w:color w:val="auto"/>
          <w:kern w:val="0"/>
          <w:sz w:val="24"/>
          <w:szCs w:val="24"/>
          <w:highlight w:val="none"/>
          <w:u w:val="none"/>
          <w:lang w:val="en-US" w:eastAsia="zh-CN"/>
        </w:rPr>
        <w:t>期固体废物影响</w:t>
      </w:r>
    </w:p>
    <w:p w14:paraId="4612E076">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本工程在开发期产生的固体废物主要包括钻井泥浆、岩屑、施工废料、生活垃圾</w:t>
      </w:r>
      <w:r>
        <w:rPr>
          <w:rFonts w:hint="eastAsia" w:cs="Times New Roman"/>
          <w:bCs/>
          <w:color w:val="auto"/>
          <w:kern w:val="2"/>
          <w:sz w:val="24"/>
          <w:szCs w:val="22"/>
          <w:highlight w:val="none"/>
          <w:u w:val="none"/>
          <w:lang w:val="zh-CN" w:eastAsia="zh-CN" w:bidi="ar-SA"/>
        </w:rPr>
        <w:t>、</w:t>
      </w:r>
      <w:r>
        <w:rPr>
          <w:rFonts w:hint="eastAsia" w:ascii="Times New Roman" w:hAnsi="Times New Roman" w:eastAsia="宋体" w:cs="Times New Roman"/>
          <w:bCs/>
          <w:color w:val="auto"/>
          <w:kern w:val="2"/>
          <w:sz w:val="24"/>
          <w:szCs w:val="22"/>
          <w:highlight w:val="none"/>
          <w:u w:val="none"/>
          <w:lang w:val="zh-CN" w:eastAsia="zh-CN" w:bidi="ar-SA"/>
        </w:rPr>
        <w:t>施工机械废油</w:t>
      </w:r>
      <w:r>
        <w:rPr>
          <w:rFonts w:hint="eastAsia" w:cs="Times New Roman"/>
          <w:bCs/>
          <w:color w:val="auto"/>
          <w:kern w:val="2"/>
          <w:sz w:val="24"/>
          <w:szCs w:val="22"/>
          <w:highlight w:val="none"/>
          <w:u w:val="none"/>
          <w:lang w:val="zh-CN" w:eastAsia="zh-CN" w:bidi="ar-SA"/>
        </w:rPr>
        <w:t>、</w:t>
      </w:r>
      <w:r>
        <w:rPr>
          <w:rFonts w:hint="eastAsia" w:ascii="Times New Roman" w:hAnsi="Times New Roman" w:eastAsia="宋体" w:cs="Times New Roman"/>
          <w:bCs/>
          <w:color w:val="auto"/>
          <w:kern w:val="2"/>
          <w:sz w:val="24"/>
          <w:szCs w:val="22"/>
          <w:highlight w:val="none"/>
          <w:u w:val="none"/>
          <w:lang w:val="zh-CN" w:eastAsia="zh-CN" w:bidi="ar-SA"/>
        </w:rPr>
        <w:t>废烧碱包装袋等。</w:t>
      </w:r>
    </w:p>
    <w:p w14:paraId="13E5A4D4">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本项目钻井过程中一开、二开采用水基非磺化钻井液体系，三开采用油基钻井液体系，采用经不落地系统进行处理，在井场进行固液分离，分离后的液相回用于钻井液配备，分离后的水基钻井液产生的岩屑满足《油气田钻井固体废物综合利用污染控制要求》（DB65/T3997-2017）后</w:t>
      </w:r>
      <w:r>
        <w:rPr>
          <w:rFonts w:hint="eastAsia" w:cs="Times New Roman"/>
          <w:bCs/>
          <w:color w:val="auto"/>
          <w:kern w:val="2"/>
          <w:sz w:val="24"/>
          <w:szCs w:val="22"/>
          <w:highlight w:val="none"/>
          <w:u w:val="none"/>
          <w:lang w:val="en-US" w:eastAsia="zh-CN" w:bidi="ar-SA"/>
        </w:rPr>
        <w:t>综合利用</w:t>
      </w:r>
      <w:r>
        <w:rPr>
          <w:rFonts w:hint="eastAsia" w:ascii="Times New Roman" w:hAnsi="Times New Roman" w:eastAsia="宋体" w:cs="Times New Roman"/>
          <w:bCs/>
          <w:color w:val="auto"/>
          <w:kern w:val="2"/>
          <w:sz w:val="24"/>
          <w:szCs w:val="22"/>
          <w:highlight w:val="none"/>
          <w:u w:val="none"/>
          <w:lang w:val="zh-CN" w:eastAsia="zh-CN" w:bidi="ar-SA"/>
        </w:rPr>
        <w:t>；油基钻井液产生的岩屑为HW08含油危废（废物代码：072-001-08），在井场方罐暂存，定期委托具有相应危废处置资质的单位处置。</w:t>
      </w:r>
    </w:p>
    <w:p w14:paraId="77BCC6EC">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施工废料主要包括管材边角料、焊接作业中产生的废焊渣等，首先考虑回收利用，不可回收利用部分拉运至当地建筑垃圾填埋场填埋处置。</w:t>
      </w:r>
    </w:p>
    <w:p w14:paraId="1A878F7E">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施工期间施工人员生活垃圾集中收集至垃圾箱中，定期拉运至乌尔禾区生活垃圾填埋场。</w:t>
      </w:r>
    </w:p>
    <w:p w14:paraId="4BD41BE9">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钻井施工过程中配制钻井泥浆时会产生少量烧碱废包装袋，属于危险废物HW49（废物代码：900-041-49），施工单位及时回收烧碱废包装袋，暂存于危废贮存点，委托具有相关危废处置资质的公司接收处置。</w:t>
      </w:r>
    </w:p>
    <w:p w14:paraId="46A01F75">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本工程施工期产生</w:t>
      </w:r>
      <w:r>
        <w:rPr>
          <w:rFonts w:hint="eastAsia" w:cs="Times New Roman"/>
          <w:bCs/>
          <w:color w:val="auto"/>
          <w:kern w:val="2"/>
          <w:sz w:val="24"/>
          <w:szCs w:val="22"/>
          <w:highlight w:val="none"/>
          <w:u w:val="none"/>
          <w:lang w:val="en-US" w:eastAsia="zh-CN" w:bidi="ar-SA"/>
        </w:rPr>
        <w:t>的</w:t>
      </w:r>
      <w:r>
        <w:rPr>
          <w:rFonts w:hint="eastAsia" w:ascii="Times New Roman" w:hAnsi="Times New Roman" w:eastAsia="宋体" w:cs="Times New Roman"/>
          <w:bCs/>
          <w:color w:val="auto"/>
          <w:kern w:val="2"/>
          <w:sz w:val="24"/>
          <w:szCs w:val="22"/>
          <w:highlight w:val="none"/>
          <w:u w:val="none"/>
          <w:lang w:val="zh-CN" w:eastAsia="zh-CN" w:bidi="ar-SA"/>
        </w:rPr>
        <w:t>机械设备废油和含油废弃物采用专用罐集中收集后暂存于危废贮存点，作业施工结束后，委托具有相关危废处置资质的单位处置。危险废物临时贮存点须严格按照《危险废物贮存污染控制标准》（GB18597-2023）的相关要求建设。危险废物转运过程中由专用运输车辆进行运输、转移，按照危险废物收集贮存运输技术规范（HJ2025-2012），并严格按照《危险废物转移管理办法》，对危险废物实行全过程管理。</w:t>
      </w:r>
    </w:p>
    <w:p w14:paraId="3A087D93">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本工程开挖土方主要为管沟开挖产生土方，回填土方主要为管沟回填，可以做到“取弃平衡”。</w:t>
      </w:r>
    </w:p>
    <w:p w14:paraId="0D6A132B">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.2</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运营期固体废物影响</w:t>
      </w:r>
    </w:p>
    <w:p w14:paraId="12AAC458">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ascii="Times New Roman" w:hAnsi="Times New Roman" w:eastAsia="宋体" w:cs="Times New Roman"/>
          <w:bCs/>
          <w:color w:val="auto"/>
          <w:kern w:val="2"/>
          <w:sz w:val="24"/>
          <w:szCs w:val="22"/>
          <w:highlight w:val="none"/>
          <w:u w:val="none"/>
          <w:lang w:val="en-US" w:eastAsia="zh-CN" w:bidi="ar-SA"/>
        </w:rPr>
      </w:pPr>
      <w:r>
        <w:rPr>
          <w:rFonts w:ascii="Times New Roman" w:hAnsi="Times New Roman" w:eastAsia="宋体" w:cs="Times New Roman"/>
          <w:bCs/>
          <w:color w:val="auto"/>
          <w:kern w:val="2"/>
          <w:sz w:val="24"/>
          <w:szCs w:val="22"/>
          <w:highlight w:val="none"/>
          <w:u w:val="none"/>
          <w:lang w:val="en-US" w:eastAsia="zh-CN" w:bidi="ar-SA"/>
        </w:rPr>
        <w:t>本工程</w:t>
      </w:r>
      <w:r>
        <w:rPr>
          <w:rFonts w:hint="eastAsia" w:cs="Times New Roman"/>
          <w:bCs/>
          <w:color w:val="auto"/>
          <w:kern w:val="2"/>
          <w:sz w:val="24"/>
          <w:szCs w:val="22"/>
          <w:highlight w:val="none"/>
          <w:u w:val="none"/>
          <w:lang w:val="en-US" w:eastAsia="zh-CN" w:bidi="ar-SA"/>
        </w:rPr>
        <w:t>运营</w:t>
      </w:r>
      <w:r>
        <w:rPr>
          <w:rFonts w:ascii="Times New Roman" w:hAnsi="Times New Roman" w:eastAsia="宋体" w:cs="Times New Roman"/>
          <w:bCs/>
          <w:color w:val="auto"/>
          <w:kern w:val="2"/>
          <w:sz w:val="24"/>
          <w:szCs w:val="22"/>
          <w:highlight w:val="none"/>
          <w:u w:val="none"/>
          <w:lang w:val="en-US" w:eastAsia="zh-CN" w:bidi="ar-SA"/>
        </w:rPr>
        <w:t>期产生的固体废物主要为</w:t>
      </w:r>
      <w:r>
        <w:rPr>
          <w:rFonts w:hint="eastAsia" w:cs="Times New Roman"/>
          <w:bCs/>
          <w:color w:val="auto"/>
          <w:kern w:val="2"/>
          <w:sz w:val="24"/>
          <w:szCs w:val="22"/>
          <w:highlight w:val="none"/>
          <w:u w:val="none"/>
          <w:lang w:val="en-US" w:eastAsia="zh-CN" w:bidi="ar-SA"/>
        </w:rPr>
        <w:t>：</w:t>
      </w:r>
      <w:r>
        <w:rPr>
          <w:rFonts w:hint="eastAsia" w:ascii="Times New Roman" w:hAnsi="Times New Roman" w:eastAsia="宋体" w:cs="Times New Roman"/>
          <w:bCs/>
          <w:color w:val="auto"/>
          <w:kern w:val="2"/>
          <w:sz w:val="24"/>
          <w:szCs w:val="22"/>
          <w:highlight w:val="none"/>
          <w:u w:val="none"/>
          <w:lang w:val="en-US" w:eastAsia="zh-CN" w:bidi="ar-SA"/>
        </w:rPr>
        <w:t>油泥（砂）、清管废渣、落地原油、废弃含油抹布、劳保用品、废防渗材料等</w:t>
      </w:r>
      <w:r>
        <w:rPr>
          <w:rFonts w:ascii="Times New Roman" w:hAnsi="Times New Roman" w:eastAsia="宋体" w:cs="Times New Roman"/>
          <w:bCs/>
          <w:color w:val="auto"/>
          <w:kern w:val="2"/>
          <w:sz w:val="24"/>
          <w:szCs w:val="22"/>
          <w:highlight w:val="none"/>
          <w:u w:val="none"/>
          <w:lang w:val="en-US" w:eastAsia="zh-CN" w:bidi="ar-SA"/>
        </w:rPr>
        <w:t>。</w:t>
      </w:r>
    </w:p>
    <w:p w14:paraId="28ACEA48">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cs="Times New Roman"/>
          <w:bCs/>
          <w:color w:val="auto"/>
          <w:kern w:val="2"/>
          <w:sz w:val="24"/>
          <w:szCs w:val="22"/>
          <w:highlight w:val="none"/>
          <w:u w:val="none"/>
          <w:lang w:val="en-US" w:eastAsia="zh-CN" w:bidi="ar-SA"/>
        </w:rPr>
      </w:pPr>
      <w:r>
        <w:rPr>
          <w:rFonts w:hint="eastAsia" w:ascii="Times New Roman" w:hAnsi="Times New Roman" w:eastAsia="宋体" w:cs="Times New Roman"/>
          <w:bCs/>
          <w:color w:val="auto"/>
          <w:kern w:val="2"/>
          <w:sz w:val="24"/>
          <w:szCs w:val="22"/>
          <w:highlight w:val="none"/>
          <w:u w:val="none"/>
          <w:lang w:val="en-US" w:eastAsia="zh-CN" w:bidi="ar-SA"/>
        </w:rPr>
        <w:t>根据《国家危险废物名录》《危险废物环境管理指南 陆上石油天然气开采》，油泥</w:t>
      </w:r>
      <w:r>
        <w:rPr>
          <w:rFonts w:hint="eastAsia" w:cs="Times New Roman"/>
          <w:bCs/>
          <w:color w:val="auto"/>
          <w:kern w:val="2"/>
          <w:sz w:val="24"/>
          <w:szCs w:val="22"/>
          <w:highlight w:val="none"/>
          <w:u w:val="none"/>
          <w:lang w:val="en-US" w:eastAsia="zh-CN" w:bidi="ar-SA"/>
        </w:rPr>
        <w:t>（</w:t>
      </w:r>
      <w:r>
        <w:rPr>
          <w:rFonts w:hint="eastAsia" w:ascii="Times New Roman" w:hAnsi="Times New Roman" w:eastAsia="宋体" w:cs="Times New Roman"/>
          <w:bCs/>
          <w:color w:val="auto"/>
          <w:kern w:val="2"/>
          <w:sz w:val="24"/>
          <w:szCs w:val="22"/>
          <w:highlight w:val="none"/>
          <w:u w:val="none"/>
          <w:lang w:val="en-US" w:eastAsia="zh-CN" w:bidi="ar-SA"/>
        </w:rPr>
        <w:t>砂</w:t>
      </w:r>
      <w:r>
        <w:rPr>
          <w:rFonts w:hint="eastAsia" w:cs="Times New Roman"/>
          <w:bCs/>
          <w:color w:val="auto"/>
          <w:kern w:val="2"/>
          <w:sz w:val="24"/>
          <w:szCs w:val="22"/>
          <w:highlight w:val="none"/>
          <w:u w:val="none"/>
          <w:lang w:val="en-US" w:eastAsia="zh-CN" w:bidi="ar-SA"/>
        </w:rPr>
        <w:t>）</w:t>
      </w:r>
      <w:r>
        <w:rPr>
          <w:rFonts w:hint="eastAsia" w:ascii="Times New Roman" w:hAnsi="Times New Roman" w:eastAsia="宋体" w:cs="Times New Roman"/>
          <w:bCs/>
          <w:color w:val="auto"/>
          <w:kern w:val="2"/>
          <w:sz w:val="24"/>
          <w:szCs w:val="22"/>
          <w:highlight w:val="none"/>
          <w:u w:val="none"/>
          <w:lang w:val="en-US" w:eastAsia="zh-CN" w:bidi="ar-SA"/>
        </w:rPr>
        <w:t>主要为处理厂的采出水处理系统或沉降油罐产生的沉淀物，部分为原油，部分为泥土等杂质，属于危险废物（HW08）（071-001-08）</w:t>
      </w:r>
      <w:r>
        <w:rPr>
          <w:rFonts w:hint="eastAsia" w:cs="Times New Roman"/>
          <w:bCs/>
          <w:color w:val="auto"/>
          <w:kern w:val="2"/>
          <w:sz w:val="24"/>
          <w:szCs w:val="22"/>
          <w:highlight w:val="none"/>
          <w:u w:val="none"/>
          <w:lang w:val="en-US" w:eastAsia="zh-CN" w:bidi="ar-SA"/>
        </w:rPr>
        <w:t>；</w:t>
      </w:r>
      <w:r>
        <w:rPr>
          <w:rFonts w:hint="eastAsia" w:ascii="Times New Roman" w:hAnsi="Times New Roman" w:eastAsia="宋体" w:cs="Times New Roman"/>
          <w:bCs/>
          <w:color w:val="auto"/>
          <w:kern w:val="2"/>
          <w:sz w:val="24"/>
          <w:szCs w:val="22"/>
          <w:highlight w:val="none"/>
          <w:u w:val="none"/>
          <w:lang w:val="en-US" w:eastAsia="zh-CN" w:bidi="ar-SA"/>
        </w:rPr>
        <w:t>清管废渣的主要成分为SS和氧化铁等，还含有少量管道中的油，属于危险废物HW08（废物代码：</w:t>
      </w:r>
      <w:r>
        <w:rPr>
          <w:rFonts w:hint="eastAsia" w:cs="Times New Roman"/>
          <w:bCs/>
          <w:color w:val="auto"/>
          <w:kern w:val="2"/>
          <w:sz w:val="24"/>
          <w:szCs w:val="22"/>
          <w:highlight w:val="none"/>
          <w:u w:val="none"/>
          <w:lang w:val="en-US" w:eastAsia="zh-CN" w:bidi="ar-SA"/>
        </w:rPr>
        <w:t>251</w:t>
      </w:r>
      <w:r>
        <w:rPr>
          <w:rFonts w:hint="eastAsia" w:ascii="Times New Roman" w:hAnsi="Times New Roman" w:eastAsia="宋体" w:cs="Times New Roman"/>
          <w:bCs/>
          <w:color w:val="auto"/>
          <w:kern w:val="2"/>
          <w:sz w:val="24"/>
          <w:szCs w:val="22"/>
          <w:highlight w:val="none"/>
          <w:u w:val="none"/>
          <w:lang w:val="en-US" w:eastAsia="zh-CN" w:bidi="ar-SA"/>
        </w:rPr>
        <w:t>-001-08）</w:t>
      </w:r>
      <w:r>
        <w:rPr>
          <w:rFonts w:hint="eastAsia" w:cs="Times New Roman"/>
          <w:bCs/>
          <w:color w:val="auto"/>
          <w:kern w:val="2"/>
          <w:sz w:val="24"/>
          <w:szCs w:val="22"/>
          <w:highlight w:val="none"/>
          <w:u w:val="none"/>
          <w:lang w:val="en-US" w:eastAsia="zh-CN" w:bidi="ar-SA"/>
        </w:rPr>
        <w:t>；</w:t>
      </w:r>
      <w:r>
        <w:rPr>
          <w:rFonts w:hint="default" w:ascii="Times New Roman" w:hAnsi="Times New Roman" w:eastAsia="宋体" w:cs="Times New Roman"/>
          <w:bCs/>
          <w:snapToGrid w:val="0"/>
          <w:color w:val="auto"/>
          <w:sz w:val="24"/>
          <w:szCs w:val="24"/>
          <w:highlight w:val="none"/>
          <w:u w:val="none"/>
        </w:rPr>
        <w:t>作业过程中产生的含油废防渗材料</w:t>
      </w:r>
      <w:r>
        <w:rPr>
          <w:rFonts w:hint="eastAsia" w:cs="Times New Roman"/>
          <w:bCs/>
          <w:snapToGrid w:val="0"/>
          <w:color w:val="auto"/>
          <w:sz w:val="24"/>
          <w:szCs w:val="24"/>
          <w:highlight w:val="none"/>
          <w:u w:val="none"/>
          <w:lang w:eastAsia="zh-CN"/>
        </w:rPr>
        <w:t>，</w:t>
      </w:r>
      <w:r>
        <w:rPr>
          <w:rFonts w:hint="default" w:ascii="Times New Roman" w:hAnsi="Times New Roman" w:eastAsia="宋体" w:cs="Times New Roman"/>
          <w:bCs/>
          <w:snapToGrid w:val="0"/>
          <w:color w:val="auto"/>
          <w:sz w:val="24"/>
          <w:szCs w:val="24"/>
          <w:highlight w:val="none"/>
          <w:u w:val="none"/>
        </w:rPr>
        <w:t>属于危险废物</w:t>
      </w:r>
      <w:r>
        <w:rPr>
          <w:rFonts w:hint="eastAsia" w:cs="Times New Roman"/>
          <w:bCs/>
          <w:snapToGrid w:val="0"/>
          <w:color w:val="auto"/>
          <w:sz w:val="24"/>
          <w:szCs w:val="24"/>
          <w:highlight w:val="none"/>
          <w:u w:val="none"/>
          <w:lang w:eastAsia="zh-CN"/>
        </w:rPr>
        <w:t>（</w:t>
      </w:r>
      <w:r>
        <w:rPr>
          <w:rFonts w:hint="default" w:ascii="Times New Roman" w:hAnsi="Times New Roman" w:eastAsia="宋体" w:cs="Times New Roman"/>
          <w:bCs/>
          <w:snapToGrid w:val="0"/>
          <w:color w:val="auto"/>
          <w:sz w:val="24"/>
          <w:szCs w:val="24"/>
          <w:highlight w:val="none"/>
          <w:u w:val="none"/>
        </w:rPr>
        <w:t>HW08</w:t>
      </w:r>
      <w:r>
        <w:rPr>
          <w:rFonts w:hint="eastAsia" w:cs="Times New Roman"/>
          <w:bCs/>
          <w:snapToGrid w:val="0"/>
          <w:color w:val="auto"/>
          <w:sz w:val="24"/>
          <w:szCs w:val="24"/>
          <w:highlight w:val="none"/>
          <w:u w:val="none"/>
          <w:lang w:eastAsia="zh-CN"/>
        </w:rPr>
        <w:t>）</w:t>
      </w:r>
      <w:r>
        <w:rPr>
          <w:rFonts w:hint="default" w:ascii="Times New Roman" w:hAnsi="Times New Roman" w:eastAsia="宋体" w:cs="Times New Roman"/>
          <w:bCs/>
          <w:snapToGrid w:val="0"/>
          <w:color w:val="auto"/>
          <w:sz w:val="24"/>
          <w:szCs w:val="24"/>
          <w:highlight w:val="none"/>
          <w:u w:val="none"/>
        </w:rPr>
        <w:t>（900-249-08</w:t>
      </w:r>
      <w:r>
        <w:rPr>
          <w:rFonts w:hint="eastAsia" w:cs="Times New Roman"/>
          <w:bCs/>
          <w:snapToGrid w:val="0"/>
          <w:color w:val="auto"/>
          <w:sz w:val="24"/>
          <w:szCs w:val="24"/>
          <w:highlight w:val="none"/>
          <w:u w:val="none"/>
          <w:lang w:eastAsia="zh-CN"/>
        </w:rPr>
        <w:t>），委托具有相关危废处置资质的单位处置。</w:t>
      </w:r>
    </w:p>
    <w:p w14:paraId="639F926E">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落地油主要产生于阀门、法兰等处事故状态下的泄漏</w:t>
      </w:r>
      <w:r>
        <w:rPr>
          <w:rFonts w:hint="eastAsia" w:cs="Times New Roman"/>
          <w:color w:val="auto"/>
          <w:sz w:val="24"/>
          <w:highlight w:val="none"/>
          <w:u w:val="none"/>
          <w:lang w:val="en-US" w:eastAsia="zh-CN"/>
        </w:rPr>
        <w:t>以及</w:t>
      </w:r>
      <w:r>
        <w:rPr>
          <w:rFonts w:hint="default" w:ascii="Times New Roman" w:hAnsi="Times New Roman" w:cs="Times New Roman"/>
          <w:color w:val="auto"/>
          <w:sz w:val="24"/>
          <w:highlight w:val="none"/>
          <w:u w:val="none"/>
        </w:rPr>
        <w:t>管线破损</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属于危险废物HW08（废物代码：071-001-08）</w:t>
      </w:r>
      <w:r>
        <w:rPr>
          <w:rFonts w:hint="eastAsia" w:cs="Times New Roman"/>
          <w:color w:val="auto"/>
          <w:sz w:val="24"/>
          <w:highlight w:val="none"/>
          <w:u w:val="none"/>
          <w:lang w:eastAsia="zh-CN"/>
        </w:rPr>
        <w:t>，落地油100%回收，回收后的落地油</w:t>
      </w:r>
      <w:r>
        <w:rPr>
          <w:rFonts w:hint="eastAsia" w:cs="Times New Roman"/>
          <w:color w:val="auto"/>
          <w:sz w:val="24"/>
          <w:highlight w:val="none"/>
          <w:u w:val="none"/>
          <w:lang w:val="en-US" w:eastAsia="zh-CN"/>
        </w:rPr>
        <w:t>运至</w:t>
      </w:r>
      <w:r>
        <w:rPr>
          <w:rFonts w:hint="eastAsia" w:cs="Times New Roman"/>
          <w:color w:val="auto"/>
          <w:sz w:val="24"/>
          <w:highlight w:val="none"/>
          <w:u w:val="none"/>
          <w:lang w:eastAsia="zh-CN"/>
        </w:rPr>
        <w:t>石西集中处理站原油处理系统进行处理。</w:t>
      </w:r>
    </w:p>
    <w:p w14:paraId="5F79D6C3">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default" w:ascii="Times New Roman" w:hAnsi="Times New Roman" w:eastAsia="宋体" w:cs="Times New Roman"/>
          <w:bCs/>
          <w:snapToGrid w:val="0"/>
          <w:color w:val="auto"/>
          <w:sz w:val="24"/>
          <w:szCs w:val="24"/>
          <w:highlight w:val="none"/>
          <w:u w:val="none"/>
        </w:rPr>
      </w:pPr>
      <w:r>
        <w:rPr>
          <w:rFonts w:hint="default" w:ascii="Times New Roman" w:hAnsi="Times New Roman" w:eastAsia="宋体" w:cs="Times New Roman"/>
          <w:bCs/>
          <w:snapToGrid w:val="0"/>
          <w:color w:val="auto"/>
          <w:sz w:val="24"/>
          <w:szCs w:val="24"/>
          <w:highlight w:val="none"/>
          <w:u w:val="none"/>
        </w:rPr>
        <w:t>生产过程中产生的废弃的含油抹布、劳保用品，类别为HW49 其他废物，代码为 900-041-49。根据《危险废物名录》（202</w:t>
      </w:r>
      <w:r>
        <w:rPr>
          <w:rFonts w:hint="eastAsia" w:cs="Times New Roman"/>
          <w:bCs/>
          <w:snapToGrid w:val="0"/>
          <w:color w:val="auto"/>
          <w:sz w:val="24"/>
          <w:szCs w:val="24"/>
          <w:highlight w:val="none"/>
          <w:u w:val="none"/>
          <w:lang w:val="en-US" w:eastAsia="zh-CN"/>
        </w:rPr>
        <w:t>5年版</w:t>
      </w:r>
      <w:r>
        <w:rPr>
          <w:rFonts w:hint="default" w:ascii="Times New Roman" w:hAnsi="Times New Roman" w:eastAsia="宋体" w:cs="Times New Roman"/>
          <w:bCs/>
          <w:snapToGrid w:val="0"/>
          <w:color w:val="auto"/>
          <w:sz w:val="24"/>
          <w:szCs w:val="24"/>
          <w:highlight w:val="none"/>
          <w:u w:val="none"/>
        </w:rPr>
        <w:t>），本项目生产过程中产生的废弃的含油抹布、劳保用品产生量极少，在未分离收集情况下，收集、储存、运输、处置可以不按照危险废物管理，属于全过程豁免的。</w:t>
      </w:r>
    </w:p>
    <w:p w14:paraId="7080DA63">
      <w:pPr>
        <w:keepNext w:val="0"/>
        <w:keepLines w:val="0"/>
        <w:pageBreakBefore w:val="0"/>
        <w:widowControl w:val="0"/>
        <w:kinsoku/>
        <w:wordWrap w:val="0"/>
        <w:overflowPunct/>
        <w:topLinePunct w:val="0"/>
        <w:autoSpaceDE/>
        <w:autoSpaceDN/>
        <w:bidi w:val="0"/>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en-US" w:eastAsia="zh-CN" w:bidi="ar-SA"/>
        </w:rPr>
      </w:pPr>
      <w:r>
        <w:rPr>
          <w:rFonts w:hint="default" w:ascii="Times New Roman" w:hAnsi="Times New Roman" w:eastAsia="宋体" w:cs="Times New Roman"/>
          <w:bCs/>
          <w:snapToGrid w:val="0"/>
          <w:color w:val="auto"/>
          <w:sz w:val="24"/>
          <w:szCs w:val="24"/>
          <w:highlight w:val="none"/>
          <w:u w:val="none"/>
        </w:rPr>
        <w:t>豁免条件为未分类收可不按危险废物管理，但不得分类收集后混入生活垃圾处理。具备条件时，废含油抹布和劳保用品应尽可能分类收集，交相应的危废处置单位处置。</w:t>
      </w:r>
    </w:p>
    <w:p w14:paraId="68EAD824">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7</w:t>
      </w:r>
      <w:r>
        <w:rPr>
          <w:rFonts w:hint="eastAsia" w:ascii="宋体" w:hAnsi="宋体" w:eastAsia="宋体" w:cs="宋体"/>
          <w:color w:val="auto"/>
          <w:u w:val="none"/>
          <w:lang w:val="en-US" w:eastAsia="zh-CN"/>
        </w:rPr>
        <w:t>.2.1 危废收集过程影响分析</w:t>
      </w:r>
    </w:p>
    <w:p w14:paraId="11C9546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color w:val="auto"/>
          <w:kern w:val="0"/>
          <w:sz w:val="24"/>
          <w:szCs w:val="22"/>
          <w:highlight w:val="none"/>
          <w:u w:val="none"/>
        </w:rPr>
      </w:pPr>
      <w:r>
        <w:rPr>
          <w:rFonts w:hint="default" w:ascii="Times New Roman" w:hAnsi="Times New Roman" w:cs="Times New Roman"/>
          <w:color w:val="auto"/>
          <w:kern w:val="0"/>
          <w:sz w:val="24"/>
          <w:szCs w:val="22"/>
          <w:highlight w:val="none"/>
          <w:u w:val="none"/>
        </w:rPr>
        <w:t>本工程</w:t>
      </w:r>
      <w:r>
        <w:rPr>
          <w:rFonts w:hint="default" w:ascii="Times New Roman" w:hAnsi="Times New Roman" w:cs="Times New Roman"/>
          <w:color w:val="auto"/>
          <w:kern w:val="0"/>
          <w:sz w:val="24"/>
          <w:szCs w:val="22"/>
          <w:highlight w:val="none"/>
          <w:u w:val="none"/>
          <w:lang w:val="en-US" w:eastAsia="zh-CN"/>
        </w:rPr>
        <w:t>运营期</w:t>
      </w:r>
      <w:r>
        <w:rPr>
          <w:rFonts w:hint="default" w:ascii="Times New Roman" w:hAnsi="Times New Roman" w:cs="Times New Roman"/>
          <w:color w:val="auto"/>
          <w:kern w:val="0"/>
          <w:sz w:val="24"/>
          <w:szCs w:val="22"/>
          <w:highlight w:val="none"/>
          <w:u w:val="none"/>
        </w:rPr>
        <w:t>产生的危废按照《危险废物收集贮存运输技术规范》</w:t>
      </w:r>
      <w:r>
        <w:rPr>
          <w:rFonts w:hint="eastAsia" w:cs="Times New Roman"/>
          <w:color w:val="auto"/>
          <w:kern w:val="0"/>
          <w:sz w:val="24"/>
          <w:szCs w:val="22"/>
          <w:highlight w:val="none"/>
          <w:u w:val="none"/>
          <w:lang w:eastAsia="zh-CN"/>
        </w:rPr>
        <w:t>（</w:t>
      </w:r>
      <w:r>
        <w:rPr>
          <w:rFonts w:hint="default" w:ascii="Times New Roman" w:hAnsi="Times New Roman" w:cs="Times New Roman"/>
          <w:color w:val="auto"/>
          <w:kern w:val="0"/>
          <w:sz w:val="24"/>
          <w:szCs w:val="22"/>
          <w:highlight w:val="none"/>
          <w:u w:val="none"/>
        </w:rPr>
        <w:t>HJ2025-2012</w:t>
      </w:r>
      <w:r>
        <w:rPr>
          <w:rFonts w:hint="eastAsia" w:cs="Times New Roman"/>
          <w:color w:val="auto"/>
          <w:kern w:val="0"/>
          <w:sz w:val="24"/>
          <w:szCs w:val="22"/>
          <w:highlight w:val="none"/>
          <w:u w:val="none"/>
          <w:lang w:eastAsia="zh-CN"/>
        </w:rPr>
        <w:t>）</w:t>
      </w:r>
      <w:r>
        <w:rPr>
          <w:rFonts w:hint="default" w:ascii="Times New Roman" w:hAnsi="Times New Roman" w:cs="Times New Roman"/>
          <w:color w:val="auto"/>
          <w:kern w:val="0"/>
          <w:sz w:val="24"/>
          <w:szCs w:val="22"/>
          <w:highlight w:val="none"/>
          <w:u w:val="none"/>
        </w:rPr>
        <w:t>、《危险废物环境管理指南 陆上石油天然气开采》相关要求进行收集、运输，并按要求填写危险废物的收集记录、转运记录表，并将记录表作为危险废物管理的重要档案妥善保存。危险废物在按照规范要求进行收集的情况下，对环境的影响很小。</w:t>
      </w:r>
    </w:p>
    <w:p w14:paraId="28F6A46D">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5.</w:t>
      </w:r>
      <w:r>
        <w:rPr>
          <w:rFonts w:hint="eastAsia" w:ascii="宋体" w:hAnsi="宋体" w:cs="宋体"/>
          <w:color w:val="auto"/>
          <w:u w:val="none"/>
          <w:lang w:val="en-US" w:eastAsia="zh-CN"/>
        </w:rPr>
        <w:t>7</w:t>
      </w:r>
      <w:r>
        <w:rPr>
          <w:rFonts w:hint="eastAsia" w:ascii="宋体" w:hAnsi="宋体" w:eastAsia="宋体" w:cs="宋体"/>
          <w:color w:val="auto"/>
          <w:u w:val="none"/>
          <w:lang w:val="en-US" w:eastAsia="zh-CN"/>
        </w:rPr>
        <w:t>.2.2 危废运输过程影响分析</w:t>
      </w:r>
    </w:p>
    <w:p w14:paraId="3AA004F4">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kern w:val="0"/>
          <w:sz w:val="24"/>
          <w:szCs w:val="22"/>
          <w:highlight w:val="none"/>
          <w:u w:val="none"/>
        </w:rPr>
      </w:pPr>
      <w:bookmarkStart w:id="462" w:name="_Hlk76400921"/>
      <w:r>
        <w:rPr>
          <w:rFonts w:hint="default" w:ascii="Times New Roman" w:hAnsi="Times New Roman" w:cs="Times New Roman"/>
          <w:color w:val="auto"/>
          <w:kern w:val="0"/>
          <w:sz w:val="24"/>
          <w:szCs w:val="22"/>
          <w:highlight w:val="none"/>
          <w:u w:val="none"/>
          <w:lang w:val="en-US" w:eastAsia="zh-CN"/>
        </w:rPr>
        <w:t>本</w:t>
      </w:r>
      <w:r>
        <w:rPr>
          <w:rFonts w:hint="default" w:ascii="Times New Roman" w:hAnsi="Times New Roman" w:cs="Times New Roman"/>
          <w:color w:val="auto"/>
          <w:kern w:val="0"/>
          <w:sz w:val="24"/>
          <w:szCs w:val="22"/>
          <w:highlight w:val="none"/>
          <w:u w:val="none"/>
        </w:rPr>
        <w:t>工程</w:t>
      </w:r>
      <w:r>
        <w:rPr>
          <w:rFonts w:hint="default" w:ascii="Times New Roman" w:hAnsi="Times New Roman" w:cs="Times New Roman"/>
          <w:color w:val="auto"/>
          <w:kern w:val="0"/>
          <w:sz w:val="24"/>
          <w:szCs w:val="22"/>
          <w:highlight w:val="none"/>
          <w:u w:val="none"/>
          <w:lang w:val="en-US" w:eastAsia="zh-CN"/>
        </w:rPr>
        <w:t>运营期</w:t>
      </w:r>
      <w:r>
        <w:rPr>
          <w:rFonts w:hint="default" w:ascii="Times New Roman" w:hAnsi="Times New Roman" w:cs="Times New Roman"/>
          <w:color w:val="auto"/>
          <w:kern w:val="0"/>
          <w:sz w:val="24"/>
          <w:szCs w:val="22"/>
          <w:highlight w:val="none"/>
          <w:u w:val="none"/>
        </w:rPr>
        <w:t>产生的危险废物委托有危险废物运输资质的单位进行运输，</w:t>
      </w:r>
      <w:bookmarkEnd w:id="462"/>
      <w:r>
        <w:rPr>
          <w:rFonts w:hint="default" w:ascii="Times New Roman" w:hAnsi="Times New Roman" w:cs="Times New Roman"/>
          <w:color w:val="auto"/>
          <w:kern w:val="0"/>
          <w:sz w:val="24"/>
          <w:szCs w:val="22"/>
          <w:highlight w:val="none"/>
          <w:u w:val="none"/>
        </w:rPr>
        <w:t>运输过程中全部采用密闭容器收集储存，转运结束后及时对转运路线进行检查和清理，确保无危险废物散落或泄漏在转运路线上，危险废物运输过程符合《危险废物收集贮存运输技术规范》</w:t>
      </w:r>
      <w:r>
        <w:rPr>
          <w:rFonts w:hint="eastAsia" w:cs="Times New Roman"/>
          <w:color w:val="auto"/>
          <w:kern w:val="0"/>
          <w:sz w:val="24"/>
          <w:szCs w:val="22"/>
          <w:highlight w:val="none"/>
          <w:u w:val="none"/>
          <w:lang w:eastAsia="zh-CN"/>
        </w:rPr>
        <w:t>（</w:t>
      </w:r>
      <w:r>
        <w:rPr>
          <w:rFonts w:hint="default" w:ascii="Times New Roman" w:hAnsi="Times New Roman" w:cs="Times New Roman"/>
          <w:color w:val="auto"/>
          <w:kern w:val="0"/>
          <w:sz w:val="24"/>
          <w:szCs w:val="22"/>
          <w:highlight w:val="none"/>
          <w:u w:val="none"/>
        </w:rPr>
        <w:t>HJ2025-2012</w:t>
      </w:r>
      <w:r>
        <w:rPr>
          <w:rFonts w:hint="eastAsia" w:cs="Times New Roman"/>
          <w:color w:val="auto"/>
          <w:kern w:val="0"/>
          <w:sz w:val="24"/>
          <w:szCs w:val="22"/>
          <w:highlight w:val="none"/>
          <w:u w:val="none"/>
          <w:lang w:eastAsia="zh-CN"/>
        </w:rPr>
        <w:t>）</w:t>
      </w:r>
      <w:r>
        <w:rPr>
          <w:rFonts w:hint="default" w:ascii="Times New Roman" w:hAnsi="Times New Roman" w:cs="Times New Roman"/>
          <w:color w:val="auto"/>
          <w:kern w:val="0"/>
          <w:sz w:val="24"/>
          <w:szCs w:val="22"/>
          <w:highlight w:val="none"/>
          <w:u w:val="none"/>
        </w:rPr>
        <w:t>中的相关要求。</w:t>
      </w:r>
    </w:p>
    <w:p w14:paraId="75C13994">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ascii="宋体" w:hAnsi="宋体" w:cs="宋体"/>
          <w:color w:val="auto"/>
          <w:kern w:val="0"/>
          <w:sz w:val="24"/>
          <w:szCs w:val="22"/>
          <w:highlight w:val="none"/>
          <w:u w:val="none"/>
        </w:rPr>
      </w:pPr>
      <w:bookmarkStart w:id="463" w:name="_Hlk76401527"/>
      <w:r>
        <w:rPr>
          <w:rFonts w:hint="default" w:ascii="Times New Roman" w:hAnsi="Times New Roman" w:cs="Times New Roman"/>
          <w:color w:val="auto"/>
          <w:kern w:val="0"/>
          <w:sz w:val="24"/>
          <w:szCs w:val="22"/>
          <w:highlight w:val="none"/>
          <w:u w:val="none"/>
        </w:rPr>
        <w:t>综上，本工程产生的危险废物收集、转移、运输过程中按照《危险废物收集 贮存 运输技术规范》（HJ2025-2012）和《危险废物转移管理办法》要求进行运输，并由有资质的单位进行处置，对环境的影响很小</w:t>
      </w:r>
      <w:bookmarkEnd w:id="463"/>
      <w:r>
        <w:rPr>
          <w:rFonts w:hint="default" w:ascii="Times New Roman" w:hAnsi="Times New Roman" w:cs="Times New Roman"/>
          <w:color w:val="auto"/>
          <w:kern w:val="0"/>
          <w:sz w:val="24"/>
          <w:szCs w:val="22"/>
          <w:highlight w:val="none"/>
          <w:u w:val="none"/>
        </w:rPr>
        <w:t>。</w:t>
      </w:r>
    </w:p>
    <w:p w14:paraId="0D5B124C">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.3</w:t>
      </w:r>
      <w:r>
        <w:rPr>
          <w:rFonts w:hint="eastAsia" w:ascii="黑体" w:hAnsi="黑体" w:eastAsia="黑体" w:cs="黑体"/>
          <w:b/>
          <w:color w:val="auto"/>
          <w:kern w:val="0"/>
          <w:sz w:val="24"/>
          <w:szCs w:val="24"/>
          <w:highlight w:val="none"/>
          <w:u w:val="none"/>
          <w:lang w:val="en-US" w:eastAsia="zh-CN"/>
        </w:rPr>
        <w:t xml:space="preserve"> </w:t>
      </w:r>
      <w:r>
        <w:rPr>
          <w:rFonts w:hint="default" w:ascii="黑体" w:hAnsi="黑体" w:eastAsia="黑体" w:cs="黑体"/>
          <w:b/>
          <w:color w:val="auto"/>
          <w:kern w:val="0"/>
          <w:sz w:val="24"/>
          <w:szCs w:val="24"/>
          <w:highlight w:val="none"/>
          <w:u w:val="none"/>
          <w:lang w:val="en-US" w:eastAsia="zh-CN"/>
        </w:rPr>
        <w:t>退役期固体废物影响分析</w:t>
      </w:r>
    </w:p>
    <w:p w14:paraId="6F8A04F3">
      <w:pPr>
        <w:keepNext w:val="0"/>
        <w:keepLines w:val="0"/>
        <w:pageBreakBefore w:val="0"/>
        <w:widowControl/>
        <w:kinsoku/>
        <w:overflowPunct/>
        <w:topLinePunct w:val="0"/>
        <w:autoSpaceDE/>
        <w:autoSpaceDN/>
        <w:bidi w:val="0"/>
        <w:adjustRightInd/>
        <w:snapToGrid/>
        <w:spacing w:line="480" w:lineRule="exact"/>
        <w:ind w:firstLine="480" w:firstLineChars="200"/>
        <w:jc w:val="left"/>
        <w:textAlignment w:val="auto"/>
        <w:rPr>
          <w:rFonts w:hint="eastAsia" w:ascii="宋体" w:hAnsi="宋体" w:cs="宋体"/>
          <w:color w:val="auto"/>
          <w:kern w:val="0"/>
          <w:sz w:val="24"/>
          <w:szCs w:val="22"/>
          <w:highlight w:val="none"/>
          <w:u w:val="none"/>
        </w:rPr>
      </w:pPr>
      <w:r>
        <w:rPr>
          <w:rFonts w:hint="eastAsia" w:ascii="宋体" w:hAnsi="宋体" w:cs="宋体"/>
          <w:color w:val="auto"/>
          <w:kern w:val="0"/>
          <w:sz w:val="24"/>
          <w:szCs w:val="22"/>
          <w:highlight w:val="none"/>
          <w:u w:val="none"/>
          <w:lang w:val="en-US" w:eastAsia="zh-CN"/>
        </w:rPr>
        <w:t>气</w:t>
      </w:r>
      <w:r>
        <w:rPr>
          <w:rFonts w:hint="eastAsia" w:ascii="宋体" w:hAnsi="宋体" w:cs="宋体"/>
          <w:color w:val="auto"/>
          <w:kern w:val="0"/>
          <w:sz w:val="24"/>
          <w:szCs w:val="22"/>
          <w:highlight w:val="none"/>
          <w:u w:val="none"/>
        </w:rPr>
        <w:t>井退役后地面设施拆除、井场清理等工作会产生部分废弃管线、废弃建筑残渣 进行集中清理收集后外运。</w:t>
      </w:r>
    </w:p>
    <w:p w14:paraId="348A8D75">
      <w:pPr>
        <w:keepNext w:val="0"/>
        <w:keepLines w:val="0"/>
        <w:pageBreakBefore w:val="0"/>
        <w:widowControl/>
        <w:kinsoku/>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30"/>
          <w:szCs w:val="30"/>
          <w:highlight w:val="none"/>
          <w:u w:val="none"/>
        </w:rPr>
      </w:pPr>
      <w:r>
        <w:rPr>
          <w:rFonts w:hint="eastAsia" w:ascii="宋体" w:hAnsi="宋体" w:cs="宋体"/>
          <w:color w:val="auto"/>
          <w:kern w:val="0"/>
          <w:sz w:val="24"/>
          <w:szCs w:val="22"/>
          <w:highlight w:val="none"/>
          <w:u w:val="none"/>
        </w:rPr>
        <w:t>地面设施拆除、井场清理等工作过程中被原油污染的土壤或油渣等危险固废，交由有资质的单位进行无害化处置，不会对周围环境产生影响。</w:t>
      </w:r>
    </w:p>
    <w:p w14:paraId="65B3BF4E">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5.</w:t>
      </w:r>
      <w:r>
        <w:rPr>
          <w:rFonts w:hint="eastAsia" w:ascii="黑体" w:hAnsi="黑体" w:eastAsia="黑体" w:cs="黑体"/>
          <w:b/>
          <w:color w:val="auto"/>
          <w:kern w:val="0"/>
          <w:sz w:val="24"/>
          <w:szCs w:val="24"/>
          <w:highlight w:val="none"/>
          <w:u w:val="none"/>
          <w:lang w:val="en-US" w:eastAsia="zh-CN"/>
        </w:rPr>
        <w:t>7</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4 </w:t>
      </w:r>
      <w:r>
        <w:rPr>
          <w:rFonts w:hint="default" w:ascii="黑体" w:hAnsi="黑体" w:eastAsia="黑体" w:cs="黑体"/>
          <w:b/>
          <w:color w:val="auto"/>
          <w:kern w:val="0"/>
          <w:sz w:val="24"/>
          <w:szCs w:val="24"/>
          <w:highlight w:val="none"/>
          <w:u w:val="none"/>
          <w:lang w:val="en-US" w:eastAsia="zh-CN"/>
        </w:rPr>
        <w:t>小结</w:t>
      </w:r>
    </w:p>
    <w:p w14:paraId="42461C13">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本工程施工期固体废物主要为钻井泥浆、岩屑、施工废料、生活垃圾、施工机械废油、废烧碱包装袋等。钻井过程中一开、二开采用水基非磺化钻井液体系，三开采用油基钻井液体系，采用经不落地系统进行处理，在井场进行固液分离，分离后的液相回用于钻井液配备，分离后的水基钻井液产生的岩屑满足《油气田钻井固体废物综合利用污染控制要求》（DB65/T3997-2017）后</w:t>
      </w:r>
      <w:r>
        <w:rPr>
          <w:rFonts w:hint="eastAsia" w:cs="Times New Roman"/>
          <w:bCs/>
          <w:color w:val="auto"/>
          <w:kern w:val="2"/>
          <w:sz w:val="24"/>
          <w:szCs w:val="22"/>
          <w:highlight w:val="none"/>
          <w:u w:val="none"/>
          <w:lang w:val="en-US" w:eastAsia="zh-CN" w:bidi="ar-SA"/>
        </w:rPr>
        <w:t>综合利用</w:t>
      </w:r>
      <w:r>
        <w:rPr>
          <w:rFonts w:hint="eastAsia" w:ascii="Times New Roman" w:hAnsi="Times New Roman" w:eastAsia="宋体" w:cs="Times New Roman"/>
          <w:bCs/>
          <w:color w:val="auto"/>
          <w:kern w:val="2"/>
          <w:sz w:val="24"/>
          <w:szCs w:val="22"/>
          <w:highlight w:val="none"/>
          <w:u w:val="none"/>
          <w:lang w:val="zh-CN" w:eastAsia="zh-CN" w:bidi="ar-SA"/>
        </w:rPr>
        <w:t>；油基钻井液产生的岩屑为HW08含油危废（废物代码：072-001-08），在井场方罐暂存，定期委托具有相应危废处置资质的单位处置；施工废料首先考虑回收利用，不可回收利用的拉运至</w:t>
      </w:r>
      <w:r>
        <w:rPr>
          <w:rFonts w:hint="eastAsia" w:cs="Times New Roman"/>
          <w:bCs/>
          <w:color w:val="auto"/>
          <w:kern w:val="2"/>
          <w:sz w:val="24"/>
          <w:szCs w:val="22"/>
          <w:highlight w:val="none"/>
          <w:u w:val="none"/>
          <w:lang w:val="en-US" w:eastAsia="zh-CN" w:bidi="ar-SA"/>
        </w:rPr>
        <w:t>当地建筑垃圾填埋场填埋处置</w:t>
      </w:r>
      <w:r>
        <w:rPr>
          <w:rFonts w:hint="eastAsia" w:cs="Times New Roman"/>
          <w:bCs/>
          <w:color w:val="auto"/>
          <w:kern w:val="2"/>
          <w:sz w:val="24"/>
          <w:szCs w:val="22"/>
          <w:highlight w:val="none"/>
          <w:u w:val="none"/>
          <w:lang w:val="zh-CN" w:eastAsia="zh-CN" w:bidi="ar-SA"/>
        </w:rPr>
        <w:t>；</w:t>
      </w:r>
      <w:r>
        <w:rPr>
          <w:rFonts w:hint="eastAsia" w:ascii="Times New Roman" w:hAnsi="Times New Roman" w:eastAsia="宋体" w:cs="Times New Roman"/>
          <w:bCs/>
          <w:color w:val="auto"/>
          <w:kern w:val="2"/>
          <w:sz w:val="24"/>
          <w:szCs w:val="22"/>
          <w:highlight w:val="none"/>
          <w:u w:val="none"/>
          <w:lang w:val="zh-CN" w:eastAsia="zh-CN" w:bidi="ar-SA"/>
        </w:rPr>
        <w:t>施工期间施工人员生活垃圾集中收集至垃圾箱中，定期拉运至乌尔禾区生活垃圾填埋场</w:t>
      </w:r>
      <w:r>
        <w:rPr>
          <w:rFonts w:hint="eastAsia" w:cs="Times New Roman"/>
          <w:bCs/>
          <w:color w:val="auto"/>
          <w:kern w:val="2"/>
          <w:sz w:val="24"/>
          <w:szCs w:val="22"/>
          <w:highlight w:val="none"/>
          <w:u w:val="none"/>
          <w:lang w:val="zh-CN" w:eastAsia="zh-CN" w:bidi="ar-SA"/>
        </w:rPr>
        <w:t>；</w:t>
      </w:r>
      <w:r>
        <w:rPr>
          <w:rFonts w:hint="eastAsia" w:ascii="Times New Roman" w:hAnsi="Times New Roman" w:eastAsia="宋体" w:cs="Times New Roman"/>
          <w:bCs/>
          <w:color w:val="auto"/>
          <w:kern w:val="2"/>
          <w:sz w:val="24"/>
          <w:szCs w:val="22"/>
          <w:highlight w:val="none"/>
          <w:u w:val="none"/>
          <w:lang w:val="zh-CN" w:eastAsia="zh-CN" w:bidi="ar-SA"/>
        </w:rPr>
        <w:t>钻井施工过程中配制钻井泥浆时会产生少量烧碱废包装袋，暂存于危废贮存点，委托具有相关危废处置资质的公司接收处置</w:t>
      </w:r>
      <w:r>
        <w:rPr>
          <w:rFonts w:hint="eastAsia" w:cs="Times New Roman"/>
          <w:bCs/>
          <w:color w:val="auto"/>
          <w:kern w:val="2"/>
          <w:sz w:val="24"/>
          <w:szCs w:val="22"/>
          <w:highlight w:val="none"/>
          <w:u w:val="none"/>
          <w:lang w:val="zh-CN" w:eastAsia="zh-CN" w:bidi="ar-SA"/>
        </w:rPr>
        <w:t>；</w:t>
      </w:r>
      <w:r>
        <w:rPr>
          <w:rFonts w:hint="eastAsia" w:ascii="Times New Roman" w:hAnsi="Times New Roman" w:eastAsia="宋体" w:cs="Times New Roman"/>
          <w:bCs/>
          <w:color w:val="auto"/>
          <w:kern w:val="2"/>
          <w:sz w:val="24"/>
          <w:szCs w:val="22"/>
          <w:highlight w:val="none"/>
          <w:u w:val="none"/>
          <w:lang w:val="zh-CN" w:eastAsia="zh-CN" w:bidi="ar-SA"/>
        </w:rPr>
        <w:t>机械设备废油和含油废弃物采用专用罐集中收集后暂存于危废贮存点，委托具有相关危废处置资质的单位处置</w:t>
      </w:r>
      <w:r>
        <w:rPr>
          <w:rFonts w:hint="eastAsia" w:cs="Times New Roman"/>
          <w:bCs/>
          <w:color w:val="auto"/>
          <w:kern w:val="2"/>
          <w:sz w:val="24"/>
          <w:szCs w:val="22"/>
          <w:highlight w:val="none"/>
          <w:u w:val="none"/>
          <w:lang w:val="zh-CN" w:eastAsia="zh-CN" w:bidi="ar-SA"/>
        </w:rPr>
        <w:t>；</w:t>
      </w:r>
      <w:r>
        <w:rPr>
          <w:rFonts w:hint="eastAsia" w:ascii="Times New Roman" w:hAnsi="Times New Roman" w:eastAsia="宋体" w:cs="Times New Roman"/>
          <w:bCs/>
          <w:color w:val="auto"/>
          <w:kern w:val="2"/>
          <w:sz w:val="24"/>
          <w:szCs w:val="22"/>
          <w:highlight w:val="none"/>
          <w:u w:val="none"/>
          <w:lang w:val="zh-CN" w:eastAsia="zh-CN" w:bidi="ar-SA"/>
        </w:rPr>
        <w:t>施工土方在管线施工结束后回填在管堤上，站场施工过程产生的土方回填至挖方处或回填至周边低洼场地，并实施压实平整</w:t>
      </w:r>
      <w:r>
        <w:rPr>
          <w:rFonts w:hint="eastAsia" w:cs="Times New Roman"/>
          <w:bCs/>
          <w:color w:val="auto"/>
          <w:kern w:val="2"/>
          <w:sz w:val="24"/>
          <w:szCs w:val="22"/>
          <w:highlight w:val="none"/>
          <w:u w:val="none"/>
          <w:lang w:val="zh-CN" w:eastAsia="zh-CN" w:bidi="ar-SA"/>
        </w:rPr>
        <w:t>，无废弃土方及借方。</w:t>
      </w:r>
    </w:p>
    <w:p w14:paraId="7930F3A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运营期产生的固体废物主要为油泥（砂）、清管废渣、落地原油、废弃含油抹布、劳保用品、废防渗材料等。</w:t>
      </w:r>
    </w:p>
    <w:p w14:paraId="3481DD9D">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cs="Times New Roman"/>
          <w:bCs/>
          <w:color w:val="auto"/>
          <w:kern w:val="2"/>
          <w:sz w:val="24"/>
          <w:szCs w:val="22"/>
          <w:highlight w:val="none"/>
          <w:u w:val="none"/>
          <w:lang w:val="en-US" w:eastAsia="zh-CN" w:bidi="ar-SA"/>
        </w:rPr>
      </w:pPr>
      <w:r>
        <w:rPr>
          <w:rFonts w:hint="eastAsia" w:ascii="Times New Roman" w:hAnsi="Times New Roman" w:eastAsia="宋体" w:cs="Times New Roman"/>
          <w:bCs/>
          <w:color w:val="auto"/>
          <w:kern w:val="2"/>
          <w:sz w:val="24"/>
          <w:szCs w:val="22"/>
          <w:highlight w:val="none"/>
          <w:u w:val="none"/>
          <w:lang w:val="en-US" w:eastAsia="zh-CN" w:bidi="ar-SA"/>
        </w:rPr>
        <w:t>油泥</w:t>
      </w:r>
      <w:r>
        <w:rPr>
          <w:rFonts w:hint="eastAsia" w:cs="Times New Roman"/>
          <w:bCs/>
          <w:color w:val="auto"/>
          <w:kern w:val="2"/>
          <w:sz w:val="24"/>
          <w:szCs w:val="22"/>
          <w:highlight w:val="none"/>
          <w:u w:val="none"/>
          <w:lang w:val="en-US" w:eastAsia="zh-CN" w:bidi="ar-SA"/>
        </w:rPr>
        <w:t>（</w:t>
      </w:r>
      <w:r>
        <w:rPr>
          <w:rFonts w:hint="eastAsia" w:ascii="Times New Roman" w:hAnsi="Times New Roman" w:eastAsia="宋体" w:cs="Times New Roman"/>
          <w:bCs/>
          <w:color w:val="auto"/>
          <w:kern w:val="2"/>
          <w:sz w:val="24"/>
          <w:szCs w:val="22"/>
          <w:highlight w:val="none"/>
          <w:u w:val="none"/>
          <w:lang w:val="en-US" w:eastAsia="zh-CN" w:bidi="ar-SA"/>
        </w:rPr>
        <w:t>砂</w:t>
      </w:r>
      <w:r>
        <w:rPr>
          <w:rFonts w:hint="eastAsia" w:cs="Times New Roman"/>
          <w:bCs/>
          <w:color w:val="auto"/>
          <w:kern w:val="2"/>
          <w:sz w:val="24"/>
          <w:szCs w:val="22"/>
          <w:highlight w:val="none"/>
          <w:u w:val="none"/>
          <w:lang w:val="en-US" w:eastAsia="zh-CN" w:bidi="ar-SA"/>
        </w:rPr>
        <w:t>）</w:t>
      </w:r>
      <w:r>
        <w:rPr>
          <w:rFonts w:hint="eastAsia" w:ascii="Times New Roman" w:hAnsi="Times New Roman" w:eastAsia="宋体" w:cs="Times New Roman"/>
          <w:bCs/>
          <w:color w:val="auto"/>
          <w:kern w:val="2"/>
          <w:sz w:val="24"/>
          <w:szCs w:val="22"/>
          <w:highlight w:val="none"/>
          <w:u w:val="none"/>
          <w:lang w:val="en-US" w:eastAsia="zh-CN" w:bidi="ar-SA"/>
        </w:rPr>
        <w:t>主要为处理厂的采出水处理系统或沉降油罐产生的沉淀物，部分为原油，部分为泥土等杂质，属于危险废物（HW08）（071-001-08）</w:t>
      </w:r>
      <w:r>
        <w:rPr>
          <w:rFonts w:hint="eastAsia" w:cs="Times New Roman"/>
          <w:bCs/>
          <w:color w:val="auto"/>
          <w:kern w:val="2"/>
          <w:sz w:val="24"/>
          <w:szCs w:val="22"/>
          <w:highlight w:val="none"/>
          <w:u w:val="none"/>
          <w:lang w:val="en-US" w:eastAsia="zh-CN" w:bidi="ar-SA"/>
        </w:rPr>
        <w:t>；</w:t>
      </w:r>
      <w:r>
        <w:rPr>
          <w:rFonts w:hint="eastAsia" w:ascii="Times New Roman" w:hAnsi="Times New Roman" w:eastAsia="宋体" w:cs="Times New Roman"/>
          <w:bCs/>
          <w:color w:val="auto"/>
          <w:kern w:val="2"/>
          <w:sz w:val="24"/>
          <w:szCs w:val="22"/>
          <w:highlight w:val="none"/>
          <w:u w:val="none"/>
          <w:lang w:val="en-US" w:eastAsia="zh-CN" w:bidi="ar-SA"/>
        </w:rPr>
        <w:t>清管废渣的主要成分为SS和氧化铁等，还含有少量管道中的油，属于危险废物HW08（废物代码：</w:t>
      </w:r>
      <w:r>
        <w:rPr>
          <w:rFonts w:hint="eastAsia" w:cs="Times New Roman"/>
          <w:bCs/>
          <w:color w:val="auto"/>
          <w:kern w:val="2"/>
          <w:sz w:val="24"/>
          <w:szCs w:val="22"/>
          <w:highlight w:val="none"/>
          <w:u w:val="none"/>
          <w:lang w:val="en-US" w:eastAsia="zh-CN" w:bidi="ar-SA"/>
        </w:rPr>
        <w:t>251</w:t>
      </w:r>
      <w:r>
        <w:rPr>
          <w:rFonts w:hint="eastAsia" w:ascii="Times New Roman" w:hAnsi="Times New Roman" w:eastAsia="宋体" w:cs="Times New Roman"/>
          <w:bCs/>
          <w:color w:val="auto"/>
          <w:kern w:val="2"/>
          <w:sz w:val="24"/>
          <w:szCs w:val="22"/>
          <w:highlight w:val="none"/>
          <w:u w:val="none"/>
          <w:lang w:val="en-US" w:eastAsia="zh-CN" w:bidi="ar-SA"/>
        </w:rPr>
        <w:t>-001-08）</w:t>
      </w:r>
      <w:r>
        <w:rPr>
          <w:rFonts w:hint="eastAsia" w:cs="Times New Roman"/>
          <w:bCs/>
          <w:color w:val="auto"/>
          <w:kern w:val="2"/>
          <w:sz w:val="24"/>
          <w:szCs w:val="22"/>
          <w:highlight w:val="none"/>
          <w:u w:val="none"/>
          <w:lang w:val="en-US" w:eastAsia="zh-CN" w:bidi="ar-SA"/>
        </w:rPr>
        <w:t>；</w:t>
      </w:r>
      <w:r>
        <w:rPr>
          <w:rFonts w:hint="default" w:ascii="Times New Roman" w:hAnsi="Times New Roman" w:eastAsia="宋体" w:cs="Times New Roman"/>
          <w:bCs/>
          <w:snapToGrid w:val="0"/>
          <w:color w:val="auto"/>
          <w:sz w:val="24"/>
          <w:szCs w:val="24"/>
          <w:highlight w:val="none"/>
          <w:u w:val="none"/>
        </w:rPr>
        <w:t>作业过程中产生的含油废防渗材料</w:t>
      </w:r>
      <w:r>
        <w:rPr>
          <w:rFonts w:hint="eastAsia" w:cs="Times New Roman"/>
          <w:bCs/>
          <w:snapToGrid w:val="0"/>
          <w:color w:val="auto"/>
          <w:sz w:val="24"/>
          <w:szCs w:val="24"/>
          <w:highlight w:val="none"/>
          <w:u w:val="none"/>
          <w:lang w:eastAsia="zh-CN"/>
        </w:rPr>
        <w:t>，</w:t>
      </w:r>
      <w:r>
        <w:rPr>
          <w:rFonts w:hint="default" w:ascii="Times New Roman" w:hAnsi="Times New Roman" w:eastAsia="宋体" w:cs="Times New Roman"/>
          <w:bCs/>
          <w:snapToGrid w:val="0"/>
          <w:color w:val="auto"/>
          <w:sz w:val="24"/>
          <w:szCs w:val="24"/>
          <w:highlight w:val="none"/>
          <w:u w:val="none"/>
        </w:rPr>
        <w:t>属于危险废物</w:t>
      </w:r>
      <w:r>
        <w:rPr>
          <w:rFonts w:hint="eastAsia" w:cs="Times New Roman"/>
          <w:bCs/>
          <w:snapToGrid w:val="0"/>
          <w:color w:val="auto"/>
          <w:sz w:val="24"/>
          <w:szCs w:val="24"/>
          <w:highlight w:val="none"/>
          <w:u w:val="none"/>
          <w:lang w:eastAsia="zh-CN"/>
        </w:rPr>
        <w:t>（</w:t>
      </w:r>
      <w:r>
        <w:rPr>
          <w:rFonts w:hint="default" w:ascii="Times New Roman" w:hAnsi="Times New Roman" w:eastAsia="宋体" w:cs="Times New Roman"/>
          <w:bCs/>
          <w:snapToGrid w:val="0"/>
          <w:color w:val="auto"/>
          <w:sz w:val="24"/>
          <w:szCs w:val="24"/>
          <w:highlight w:val="none"/>
          <w:u w:val="none"/>
        </w:rPr>
        <w:t>HW08</w:t>
      </w:r>
      <w:r>
        <w:rPr>
          <w:rFonts w:hint="eastAsia" w:cs="Times New Roman"/>
          <w:bCs/>
          <w:snapToGrid w:val="0"/>
          <w:color w:val="auto"/>
          <w:sz w:val="24"/>
          <w:szCs w:val="24"/>
          <w:highlight w:val="none"/>
          <w:u w:val="none"/>
          <w:lang w:eastAsia="zh-CN"/>
        </w:rPr>
        <w:t>）</w:t>
      </w:r>
      <w:r>
        <w:rPr>
          <w:rFonts w:hint="default" w:ascii="Times New Roman" w:hAnsi="Times New Roman" w:eastAsia="宋体" w:cs="Times New Roman"/>
          <w:bCs/>
          <w:snapToGrid w:val="0"/>
          <w:color w:val="auto"/>
          <w:sz w:val="24"/>
          <w:szCs w:val="24"/>
          <w:highlight w:val="none"/>
          <w:u w:val="none"/>
        </w:rPr>
        <w:t>（900-249-08</w:t>
      </w:r>
      <w:r>
        <w:rPr>
          <w:rFonts w:hint="eastAsia" w:cs="Times New Roman"/>
          <w:bCs/>
          <w:snapToGrid w:val="0"/>
          <w:color w:val="auto"/>
          <w:sz w:val="24"/>
          <w:szCs w:val="24"/>
          <w:highlight w:val="none"/>
          <w:u w:val="none"/>
          <w:lang w:eastAsia="zh-CN"/>
        </w:rPr>
        <w:t>），委托具有相关危废处置资质的单位处置。</w:t>
      </w:r>
    </w:p>
    <w:p w14:paraId="54D87C70">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落地油主要产生于阀门、法兰等处事故状态下的泄漏</w:t>
      </w:r>
      <w:r>
        <w:rPr>
          <w:rFonts w:hint="eastAsia" w:cs="Times New Roman"/>
          <w:color w:val="auto"/>
          <w:sz w:val="24"/>
          <w:highlight w:val="none"/>
          <w:u w:val="none"/>
          <w:lang w:val="en-US" w:eastAsia="zh-CN"/>
        </w:rPr>
        <w:t>以及</w:t>
      </w:r>
      <w:r>
        <w:rPr>
          <w:rFonts w:hint="default" w:ascii="Times New Roman" w:hAnsi="Times New Roman" w:cs="Times New Roman"/>
          <w:color w:val="auto"/>
          <w:sz w:val="24"/>
          <w:highlight w:val="none"/>
          <w:u w:val="none"/>
        </w:rPr>
        <w:t>管线破损</w:t>
      </w:r>
      <w:r>
        <w:rPr>
          <w:rFonts w:hint="eastAsia" w:cs="Times New Roman"/>
          <w:color w:val="auto"/>
          <w:sz w:val="24"/>
          <w:highlight w:val="none"/>
          <w:u w:val="none"/>
          <w:lang w:eastAsia="zh-CN"/>
        </w:rPr>
        <w:t>，</w:t>
      </w:r>
      <w:r>
        <w:rPr>
          <w:rFonts w:hint="default" w:ascii="Times New Roman" w:hAnsi="Times New Roman" w:cs="Times New Roman"/>
          <w:color w:val="auto"/>
          <w:sz w:val="24"/>
          <w:highlight w:val="none"/>
          <w:u w:val="none"/>
        </w:rPr>
        <w:t>属于危险废物HW08（废物代码：071-001-08）</w:t>
      </w:r>
      <w:r>
        <w:rPr>
          <w:rFonts w:hint="eastAsia" w:cs="Times New Roman"/>
          <w:color w:val="auto"/>
          <w:sz w:val="24"/>
          <w:highlight w:val="none"/>
          <w:u w:val="none"/>
          <w:lang w:eastAsia="zh-CN"/>
        </w:rPr>
        <w:t>，落地油100%回收，回收后的落地油运至石西集中处理站原油处理系统进行处理。</w:t>
      </w:r>
    </w:p>
    <w:p w14:paraId="6DAA44E9">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snapToGrid w:val="0"/>
          <w:color w:val="auto"/>
          <w:sz w:val="24"/>
          <w:szCs w:val="24"/>
          <w:highlight w:val="none"/>
          <w:u w:val="none"/>
        </w:rPr>
      </w:pPr>
      <w:r>
        <w:rPr>
          <w:rFonts w:hint="default" w:ascii="Times New Roman" w:hAnsi="Times New Roman" w:eastAsia="宋体" w:cs="Times New Roman"/>
          <w:bCs/>
          <w:snapToGrid w:val="0"/>
          <w:color w:val="auto"/>
          <w:sz w:val="24"/>
          <w:szCs w:val="24"/>
          <w:highlight w:val="none"/>
          <w:u w:val="none"/>
        </w:rPr>
        <w:t>生产过程中产生的废弃的含油抹布、劳保用品，类别为HW49 其他废物，代码为 900-041-49。根据《危险废物名录》（202</w:t>
      </w:r>
      <w:r>
        <w:rPr>
          <w:rFonts w:hint="eastAsia" w:cs="Times New Roman"/>
          <w:bCs/>
          <w:snapToGrid w:val="0"/>
          <w:color w:val="auto"/>
          <w:sz w:val="24"/>
          <w:szCs w:val="24"/>
          <w:highlight w:val="none"/>
          <w:u w:val="none"/>
          <w:lang w:val="en-US" w:eastAsia="zh-CN"/>
        </w:rPr>
        <w:t>5年版</w:t>
      </w:r>
      <w:r>
        <w:rPr>
          <w:rFonts w:hint="default" w:ascii="Times New Roman" w:hAnsi="Times New Roman" w:eastAsia="宋体" w:cs="Times New Roman"/>
          <w:bCs/>
          <w:snapToGrid w:val="0"/>
          <w:color w:val="auto"/>
          <w:sz w:val="24"/>
          <w:szCs w:val="24"/>
          <w:highlight w:val="none"/>
          <w:u w:val="none"/>
        </w:rPr>
        <w:t>），本项目生产过程中产生的废弃的含油抹布、劳保用品产生量极少，在未分离收集情况下，收集、储存、运输、处置可以不按照危险废物管理，属于全过程豁免的。</w:t>
      </w:r>
    </w:p>
    <w:p w14:paraId="77C748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default" w:ascii="Times New Roman" w:hAnsi="Times New Roman" w:eastAsia="宋体" w:cs="Times New Roman"/>
          <w:bCs/>
          <w:snapToGrid w:val="0"/>
          <w:color w:val="auto"/>
          <w:sz w:val="24"/>
          <w:szCs w:val="24"/>
          <w:highlight w:val="none"/>
          <w:u w:val="none"/>
        </w:rPr>
        <w:t>豁免条件为未分类收可不按危险废物管理，但不得分类收集后混入生活垃圾处理。具备条件时，废含油抹布和劳保用品应尽可能分类收集，交相应的危废处置单位处置。</w:t>
      </w:r>
    </w:p>
    <w:p w14:paraId="34080A2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eastAsia="zh-CN"/>
        </w:rPr>
        <w:t>本工程</w:t>
      </w:r>
      <w:r>
        <w:rPr>
          <w:rFonts w:hint="eastAsia" w:ascii="宋体" w:hAnsi="宋体" w:eastAsia="宋体" w:cs="宋体"/>
          <w:color w:val="auto"/>
          <w:sz w:val="24"/>
          <w:szCs w:val="24"/>
          <w:u w:val="none"/>
        </w:rPr>
        <w:t>对建设期和运营期产生的各种固体废物均采取了妥善的处理、处置措施，只要严格管理，不会对环境产生较大影响。</w:t>
      </w:r>
    </w:p>
    <w:p w14:paraId="2DA026EB">
      <w:pPr>
        <w:pStyle w:val="9"/>
        <w:rPr>
          <w:rFonts w:hint="default" w:ascii="Times New Roman" w:hAnsi="Times New Roman" w:cs="Times New Roman"/>
          <w:color w:val="auto"/>
          <w:u w:val="none"/>
        </w:rPr>
        <w:sectPr>
          <w:footerReference r:id="rId13" w:type="default"/>
          <w:pgSz w:w="11906" w:h="16838"/>
          <w:pgMar w:top="1474" w:right="1474" w:bottom="1474"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413"/>
    <w:bookmarkEnd w:id="441"/>
    <w:bookmarkEnd w:id="442"/>
    <w:bookmarkEnd w:id="443"/>
    <w:bookmarkEnd w:id="454"/>
    <w:bookmarkEnd w:id="455"/>
    <w:bookmarkEnd w:id="456"/>
    <w:bookmarkEnd w:id="457"/>
    <w:bookmarkEnd w:id="458"/>
    <w:bookmarkEnd w:id="459"/>
    <w:bookmarkEnd w:id="460"/>
    <w:bookmarkEnd w:id="461"/>
    <w:p w14:paraId="3263E2CB">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eastAsia" w:ascii="黑体" w:hAnsi="黑体" w:eastAsia="黑体" w:cs="黑体"/>
          <w:color w:val="auto"/>
          <w:sz w:val="28"/>
          <w:szCs w:val="28"/>
          <w:u w:val="none"/>
          <w:lang w:val="en-US" w:eastAsia="zh-CN"/>
        </w:rPr>
      </w:pPr>
      <w:bookmarkStart w:id="464" w:name="_Toc19561"/>
      <w:bookmarkStart w:id="465" w:name="_Toc16472"/>
      <w:bookmarkStart w:id="466" w:name="_Toc420492420"/>
      <w:bookmarkStart w:id="467" w:name="_Toc508291899"/>
      <w:bookmarkStart w:id="468" w:name="_Toc109382939"/>
      <w:bookmarkStart w:id="469" w:name="_Toc22977"/>
      <w:r>
        <w:rPr>
          <w:rFonts w:hint="eastAsia" w:ascii="黑体" w:hAnsi="黑体" w:eastAsia="黑体" w:cs="黑体"/>
          <w:color w:val="auto"/>
          <w:sz w:val="28"/>
          <w:szCs w:val="28"/>
          <w:u w:val="none"/>
          <w:lang w:val="en-US" w:eastAsia="zh-CN"/>
        </w:rPr>
        <w:t>5.8 环境风险评价</w:t>
      </w:r>
      <w:bookmarkEnd w:id="464"/>
    </w:p>
    <w:p w14:paraId="57C01CE4">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eastAsia" w:ascii="黑体" w:hAnsi="黑体" w:eastAsia="黑体" w:cs="黑体"/>
          <w:b/>
          <w:color w:val="auto"/>
          <w:kern w:val="0"/>
          <w:sz w:val="24"/>
          <w:szCs w:val="24"/>
          <w:highlight w:val="none"/>
          <w:u w:val="none"/>
          <w:lang w:val="en-US" w:eastAsia="zh-CN"/>
        </w:rPr>
      </w:pPr>
      <w:bookmarkStart w:id="470" w:name="_Toc22877"/>
      <w:r>
        <w:rPr>
          <w:rFonts w:hint="eastAsia" w:ascii="黑体" w:hAnsi="黑体" w:eastAsia="黑体" w:cs="黑体"/>
          <w:b/>
          <w:color w:val="auto"/>
          <w:kern w:val="0"/>
          <w:sz w:val="24"/>
          <w:szCs w:val="24"/>
          <w:highlight w:val="none"/>
          <w:u w:val="none"/>
          <w:lang w:val="en-US" w:eastAsia="zh-CN"/>
        </w:rPr>
        <w:t>5.8.1 风险调查</w:t>
      </w:r>
    </w:p>
    <w:p w14:paraId="297F06B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项目施工期和运营期涉及的主要危险物质为</w:t>
      </w:r>
      <w:r>
        <w:rPr>
          <w:rFonts w:hint="eastAsia" w:cs="Times New Roman"/>
          <w:color w:val="auto"/>
          <w:kern w:val="0"/>
          <w:sz w:val="24"/>
          <w:szCs w:val="24"/>
          <w:highlight w:val="none"/>
          <w:u w:val="none"/>
          <w:lang w:val="en-US" w:eastAsia="zh-CN"/>
        </w:rPr>
        <w:t>柴油、</w:t>
      </w:r>
      <w:r>
        <w:rPr>
          <w:rFonts w:hint="eastAsia" w:cs="Times New Roman"/>
          <w:color w:val="auto"/>
          <w:kern w:val="2"/>
          <w:sz w:val="24"/>
          <w:szCs w:val="20"/>
          <w:highlight w:val="none"/>
          <w:u w:val="none"/>
          <w:lang w:val="en-US" w:eastAsia="zh-CN" w:bidi="ar"/>
        </w:rPr>
        <w:t>凝析油、</w:t>
      </w:r>
      <w:r>
        <w:rPr>
          <w:rFonts w:hint="default" w:ascii="Times New Roman" w:hAnsi="Times New Roman" w:eastAsia="宋体" w:cs="Times New Roman"/>
          <w:color w:val="auto"/>
          <w:kern w:val="2"/>
          <w:sz w:val="24"/>
          <w:szCs w:val="20"/>
          <w:highlight w:val="none"/>
          <w:u w:val="none"/>
          <w:lang w:val="en-US" w:eastAsia="zh-CN" w:bidi="ar"/>
        </w:rPr>
        <w:t>天然气</w:t>
      </w:r>
      <w:r>
        <w:rPr>
          <w:rFonts w:hint="default" w:ascii="Times New Roman" w:hAnsi="Times New Roman" w:cs="Times New Roman"/>
          <w:color w:val="auto"/>
          <w:kern w:val="0"/>
          <w:sz w:val="24"/>
          <w:szCs w:val="24"/>
          <w:highlight w:val="none"/>
          <w:u w:val="none"/>
        </w:rPr>
        <w:t>，涉及的风险为施工期钻井过程中柴油储罐的泄露，运行过程中集输管线破损造成的天然气、</w:t>
      </w:r>
      <w:r>
        <w:rPr>
          <w:rFonts w:hint="eastAsia" w:cs="Times New Roman"/>
          <w:color w:val="auto"/>
          <w:kern w:val="2"/>
          <w:sz w:val="24"/>
          <w:szCs w:val="20"/>
          <w:highlight w:val="none"/>
          <w:u w:val="none"/>
          <w:lang w:val="en-US" w:eastAsia="zh-CN" w:bidi="ar"/>
        </w:rPr>
        <w:t>凝析油</w:t>
      </w:r>
      <w:r>
        <w:rPr>
          <w:rFonts w:hint="default" w:ascii="Times New Roman" w:hAnsi="Times New Roman" w:cs="Times New Roman"/>
          <w:color w:val="auto"/>
          <w:kern w:val="0"/>
          <w:sz w:val="24"/>
          <w:szCs w:val="24"/>
          <w:highlight w:val="none"/>
          <w:u w:val="none"/>
        </w:rPr>
        <w:t>的泄漏。</w:t>
      </w:r>
    </w:p>
    <w:p w14:paraId="35F438B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5.8.2 环境风险浅势初判</w:t>
      </w:r>
    </w:p>
    <w:p w14:paraId="243FF355">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根据《建设项目环境风险评价技术导则》（HJ169-2018）附录B，本工程涉及的风险物质为</w:t>
      </w:r>
      <w:r>
        <w:rPr>
          <w:rFonts w:hint="eastAsia" w:cs="Times New Roman"/>
          <w:color w:val="auto"/>
          <w:kern w:val="2"/>
          <w:sz w:val="24"/>
          <w:szCs w:val="20"/>
          <w:highlight w:val="none"/>
          <w:u w:val="none"/>
          <w:lang w:val="en-US" w:eastAsia="zh-CN" w:bidi="ar"/>
        </w:rPr>
        <w:t>凝析油</w:t>
      </w:r>
      <w:r>
        <w:rPr>
          <w:rFonts w:hint="default" w:ascii="Times New Roman" w:hAnsi="Times New Roman" w:eastAsia="宋体" w:cs="Times New Roman"/>
          <w:color w:val="auto"/>
          <w:sz w:val="24"/>
          <w:szCs w:val="24"/>
          <w:highlight w:val="none"/>
          <w:u w:val="none"/>
        </w:rPr>
        <w:t>、天然气（甲烷），分别属于《建设项目环境风险评价技术导则》（HJ169－2018）附录B中的油类物质（矿物油类，如石油、汽油、柴油等，生物柴油等），临界量2500t；天然气（甲烷）临界量10t。根据《建设项目环境风险评价技术导则》（HJ169-2018），危险单元的定义为由一个或多个风险源构成的具有相对独立功能的单元，事故状况下应可实现与其他功能单元的分割。则本工程运营期风险单元为新建的集输管线。</w:t>
      </w:r>
    </w:p>
    <w:p w14:paraId="7D2806D0">
      <w:pPr>
        <w:keepNext w:val="0"/>
        <w:keepLines w:val="0"/>
        <w:pageBreakBefore w:val="0"/>
        <w:kinsoku/>
        <w:wordWrap/>
        <w:overflowPunct/>
        <w:topLinePunct w:val="0"/>
        <w:autoSpaceDE/>
        <w:autoSpaceDN/>
        <w:bidi w:val="0"/>
        <w:spacing w:line="480" w:lineRule="exact"/>
        <w:ind w:firstLine="42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highlight w:val="none"/>
          <w:u w:val="none"/>
        </w:rPr>
        <w:drawing>
          <wp:anchor distT="0" distB="0" distL="114300" distR="114300" simplePos="0" relativeHeight="251700224" behindDoc="0" locked="0" layoutInCell="1" allowOverlap="1">
            <wp:simplePos x="0" y="0"/>
            <wp:positionH relativeFrom="column">
              <wp:posOffset>1903730</wp:posOffset>
            </wp:positionH>
            <wp:positionV relativeFrom="paragraph">
              <wp:posOffset>609600</wp:posOffset>
            </wp:positionV>
            <wp:extent cx="1725930" cy="455930"/>
            <wp:effectExtent l="0" t="0" r="7620" b="1270"/>
            <wp:wrapTopAndBottom/>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7"/>
                    <a:stretch>
                      <a:fillRect/>
                    </a:stretch>
                  </pic:blipFill>
                  <pic:spPr>
                    <a:xfrm>
                      <a:off x="0" y="0"/>
                      <a:ext cx="1725930" cy="455930"/>
                    </a:xfrm>
                    <a:prstGeom prst="rect">
                      <a:avLst/>
                    </a:prstGeom>
                    <a:noFill/>
                    <a:ln>
                      <a:noFill/>
                    </a:ln>
                  </pic:spPr>
                </pic:pic>
              </a:graphicData>
            </a:graphic>
          </wp:anchor>
        </w:drawing>
      </w:r>
      <w:r>
        <w:rPr>
          <w:rFonts w:hint="default" w:ascii="Times New Roman" w:hAnsi="Times New Roman" w:eastAsia="宋体" w:cs="Times New Roman"/>
          <w:color w:val="auto"/>
          <w:sz w:val="24"/>
          <w:szCs w:val="24"/>
          <w:highlight w:val="none"/>
          <w:u w:val="none"/>
        </w:rPr>
        <w:t>根据HJ169-2018附录C，按下式计算本工程涉及的危险物质总量与其临界量比值（Q）：</w:t>
      </w:r>
    </w:p>
    <w:p w14:paraId="16DBD7BB">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根据《建设项目环境风险评价技术导则》（HJ169-2018）中的判定方法，当存在多种危险物质时，按照下式计算物质总量与其临界量比值（Q）：</w:t>
      </w:r>
    </w:p>
    <w:p w14:paraId="5C8A40E9">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式中：q1，q2，···，qn--每种危险物质的最大存在总量，t；</w:t>
      </w:r>
    </w:p>
    <w:p w14:paraId="269DC151">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Q1，Q2，···，Qn--每种危险物质的临界量，t；</w:t>
      </w:r>
    </w:p>
    <w:p w14:paraId="319FF441">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当Q&lt;1时，该项目环境风险潜势为I；</w:t>
      </w:r>
    </w:p>
    <w:p w14:paraId="1561C696">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当Q≥1时，将Q值划分为：（1）1≤Q&lt;10；（2）10≤Q&lt;100；（3）Q≥100。</w:t>
      </w:r>
    </w:p>
    <w:p w14:paraId="1263E82A">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lang w:val="en-US" w:eastAsia="zh-CN"/>
        </w:rPr>
        <w:t>新建单井采气管线7.4km</w:t>
      </w:r>
      <w:r>
        <w:rPr>
          <w:rFonts w:hint="eastAsia" w:cs="Times New Roman"/>
          <w:color w:val="auto"/>
          <w:kern w:val="0"/>
          <w:sz w:val="24"/>
          <w:szCs w:val="24"/>
          <w:highlight w:val="none"/>
          <w:u w:val="none"/>
          <w:lang w:eastAsia="zh-CN"/>
        </w:rPr>
        <w:t>（D60×5 20G号无缝钢管）</w:t>
      </w:r>
      <w:r>
        <w:rPr>
          <w:rFonts w:hint="default" w:ascii="Times New Roman" w:hAnsi="Times New Roman" w:eastAsia="宋体" w:cs="Times New Roman"/>
          <w:color w:val="auto"/>
          <w:kern w:val="0"/>
          <w:sz w:val="24"/>
          <w:szCs w:val="24"/>
          <w:highlight w:val="none"/>
          <w:u w:val="none"/>
        </w:rPr>
        <w:t>，</w:t>
      </w:r>
      <w:r>
        <w:rPr>
          <w:rFonts w:hint="eastAsia" w:cs="Times New Roman"/>
          <w:color w:val="auto"/>
          <w:kern w:val="0"/>
          <w:sz w:val="24"/>
          <w:szCs w:val="24"/>
          <w:highlight w:val="none"/>
          <w:u w:val="none"/>
          <w:lang w:val="en-US" w:eastAsia="zh-CN"/>
        </w:rPr>
        <w:t>其中MBHW6008井采气管道4.0km，MBHW6006井采气管道1.5km，MBHW6009井采气管道1.9km，设计</w:t>
      </w:r>
      <w:r>
        <w:rPr>
          <w:rFonts w:hint="eastAsia" w:cs="Times New Roman"/>
          <w:color w:val="auto"/>
          <w:kern w:val="0"/>
          <w:sz w:val="24"/>
          <w:szCs w:val="24"/>
          <w:highlight w:val="none"/>
          <w:u w:val="none"/>
          <w:lang w:eastAsia="zh-CN"/>
        </w:rPr>
        <w:t>运行压力</w:t>
      </w:r>
      <w:r>
        <w:rPr>
          <w:rFonts w:hint="eastAsia" w:cs="Times New Roman"/>
          <w:color w:val="auto"/>
          <w:kern w:val="0"/>
          <w:sz w:val="24"/>
          <w:szCs w:val="24"/>
          <w:highlight w:val="none"/>
          <w:u w:val="none"/>
          <w:lang w:val="en-US" w:eastAsia="zh-CN"/>
        </w:rPr>
        <w:t>10</w:t>
      </w:r>
      <w:r>
        <w:rPr>
          <w:rFonts w:hint="eastAsia" w:cs="Times New Roman"/>
          <w:color w:val="auto"/>
          <w:kern w:val="0"/>
          <w:sz w:val="24"/>
          <w:szCs w:val="24"/>
          <w:highlight w:val="none"/>
          <w:u w:val="none"/>
          <w:lang w:eastAsia="zh-CN"/>
        </w:rPr>
        <w:t>Mpa</w:t>
      </w:r>
      <w:r>
        <w:rPr>
          <w:rFonts w:hint="default" w:ascii="Times New Roman" w:hAnsi="Times New Roman" w:eastAsia="宋体" w:cs="Times New Roman"/>
          <w:color w:val="auto"/>
          <w:kern w:val="0"/>
          <w:sz w:val="24"/>
          <w:szCs w:val="24"/>
          <w:highlight w:val="none"/>
          <w:u w:val="none"/>
        </w:rPr>
        <w:t>。</w:t>
      </w:r>
      <w:r>
        <w:rPr>
          <w:rFonts w:hint="eastAsia" w:cs="Times New Roman"/>
          <w:color w:val="auto"/>
          <w:kern w:val="0"/>
          <w:sz w:val="24"/>
          <w:szCs w:val="24"/>
          <w:highlight w:val="none"/>
          <w:u w:val="none"/>
          <w:lang w:val="en-US" w:eastAsia="zh-CN"/>
        </w:rPr>
        <w:t>井场、管线</w:t>
      </w:r>
      <w:r>
        <w:rPr>
          <w:rFonts w:hint="default" w:ascii="Times New Roman" w:hAnsi="Times New Roman" w:eastAsia="宋体" w:cs="Times New Roman"/>
          <w:color w:val="auto"/>
          <w:kern w:val="0"/>
          <w:sz w:val="24"/>
          <w:szCs w:val="24"/>
          <w:highlight w:val="none"/>
          <w:u w:val="none"/>
        </w:rPr>
        <w:t>均</w:t>
      </w:r>
      <w:r>
        <w:rPr>
          <w:rFonts w:hint="eastAsia" w:cs="Times New Roman"/>
          <w:color w:val="auto"/>
          <w:kern w:val="0"/>
          <w:sz w:val="24"/>
          <w:szCs w:val="24"/>
          <w:highlight w:val="none"/>
          <w:u w:val="none"/>
          <w:lang w:val="en-US" w:eastAsia="zh-CN"/>
        </w:rPr>
        <w:t>设置</w:t>
      </w:r>
      <w:r>
        <w:rPr>
          <w:rFonts w:hint="default" w:ascii="Times New Roman" w:hAnsi="Times New Roman" w:eastAsia="宋体" w:cs="Times New Roman"/>
          <w:color w:val="auto"/>
          <w:kern w:val="0"/>
          <w:sz w:val="24"/>
          <w:szCs w:val="24"/>
          <w:highlight w:val="none"/>
          <w:u w:val="none"/>
        </w:rPr>
        <w:t>有控制（截断）阀，发生</w:t>
      </w:r>
      <w:r>
        <w:rPr>
          <w:rFonts w:hint="eastAsia" w:cs="Times New Roman"/>
          <w:color w:val="auto"/>
          <w:kern w:val="0"/>
          <w:sz w:val="24"/>
          <w:szCs w:val="24"/>
          <w:highlight w:val="none"/>
          <w:u w:val="none"/>
          <w:lang w:eastAsia="zh-CN"/>
        </w:rPr>
        <w:t>泄漏</w:t>
      </w:r>
      <w:r>
        <w:rPr>
          <w:rFonts w:hint="default" w:ascii="Times New Roman" w:hAnsi="Times New Roman" w:eastAsia="宋体" w:cs="Times New Roman"/>
          <w:color w:val="auto"/>
          <w:kern w:val="0"/>
          <w:sz w:val="24"/>
          <w:szCs w:val="24"/>
          <w:highlight w:val="none"/>
          <w:u w:val="none"/>
        </w:rPr>
        <w:t>时，可通过控制（截断）阀进行紧急切断。</w:t>
      </w:r>
    </w:p>
    <w:p w14:paraId="4691A4DC">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rPr>
        <w:t>根据附录C中表C.1</w:t>
      </w:r>
      <w:r>
        <w:rPr>
          <w:rFonts w:hint="eastAsia" w:cs="Times New Roman"/>
          <w:color w:val="auto"/>
          <w:kern w:val="0"/>
          <w:sz w:val="24"/>
          <w:szCs w:val="24"/>
          <w:highlight w:val="none"/>
          <w:u w:val="none"/>
          <w:lang w:val="en-US" w:eastAsia="zh-CN"/>
        </w:rPr>
        <w:t>.1</w:t>
      </w:r>
      <w:r>
        <w:rPr>
          <w:rFonts w:hint="default" w:ascii="Times New Roman" w:hAnsi="Times New Roman" w:eastAsia="宋体" w:cs="Times New Roman"/>
          <w:color w:val="auto"/>
          <w:kern w:val="0"/>
          <w:sz w:val="24"/>
          <w:szCs w:val="24"/>
          <w:highlight w:val="none"/>
          <w:u w:val="none"/>
        </w:rPr>
        <w:t>要求，</w:t>
      </w:r>
      <w:r>
        <w:rPr>
          <w:rFonts w:hint="eastAsia" w:cs="Times New Roman"/>
          <w:color w:val="auto"/>
          <w:kern w:val="0"/>
          <w:sz w:val="24"/>
          <w:szCs w:val="24"/>
          <w:highlight w:val="none"/>
          <w:u w:val="none"/>
          <w:lang w:val="en-US" w:eastAsia="zh-CN"/>
        </w:rPr>
        <w:t>对于长输管线项目，按照两个截断阀室之间管段危险废物最大存在总量计算</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本项目</w:t>
      </w:r>
      <w:r>
        <w:rPr>
          <w:rFonts w:hint="eastAsia" w:ascii="Times New Roman" w:hAnsi="Times New Roman" w:eastAsia="宋体" w:cs="Times New Roman"/>
          <w:color w:val="auto"/>
          <w:kern w:val="0"/>
          <w:sz w:val="24"/>
          <w:szCs w:val="24"/>
          <w:highlight w:val="none"/>
          <w:u w:val="none"/>
          <w:lang w:val="en-US" w:eastAsia="zh-CN"/>
        </w:rPr>
        <w:t>凝析油</w:t>
      </w:r>
      <w:r>
        <w:rPr>
          <w:rFonts w:hint="default" w:ascii="Times New Roman" w:hAnsi="Times New Roman" w:eastAsia="宋体" w:cs="Times New Roman"/>
          <w:color w:val="auto"/>
          <w:kern w:val="0"/>
          <w:sz w:val="24"/>
          <w:szCs w:val="24"/>
          <w:highlight w:val="none"/>
          <w:u w:val="none"/>
        </w:rPr>
        <w:t>密度按照</w:t>
      </w:r>
      <w:r>
        <w:rPr>
          <w:rFonts w:hint="eastAsia" w:ascii="Times New Roman" w:hAnsi="Times New Roman" w:eastAsia="宋体" w:cs="Times New Roman"/>
          <w:color w:val="auto"/>
          <w:kern w:val="0"/>
          <w:sz w:val="24"/>
          <w:szCs w:val="24"/>
          <w:highlight w:val="none"/>
          <w:u w:val="none"/>
          <w:lang w:val="en-US" w:eastAsia="zh-CN"/>
        </w:rPr>
        <w:t>0.81</w:t>
      </w:r>
      <w:r>
        <w:rPr>
          <w:rFonts w:hint="default" w:ascii="Times New Roman" w:hAnsi="Times New Roman" w:eastAsia="宋体" w:cs="Times New Roman"/>
          <w:color w:val="auto"/>
          <w:kern w:val="0"/>
          <w:sz w:val="24"/>
          <w:szCs w:val="24"/>
          <w:highlight w:val="none"/>
          <w:u w:val="none"/>
        </w:rPr>
        <w:t>t/m³</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管道容量按照80%，</w:t>
      </w:r>
      <w:r>
        <w:rPr>
          <w:rFonts w:hint="default" w:ascii="Times New Roman" w:hAnsi="Times New Roman" w:eastAsia="宋体" w:cs="Times New Roman"/>
          <w:color w:val="auto"/>
          <w:kern w:val="0"/>
          <w:sz w:val="24"/>
          <w:szCs w:val="24"/>
          <w:highlight w:val="none"/>
          <w:u w:val="none"/>
        </w:rPr>
        <w:t>天然气相对密度</w:t>
      </w:r>
      <w:r>
        <w:rPr>
          <w:rFonts w:hint="eastAsia" w:ascii="Times New Roman" w:hAnsi="Times New Roman" w:eastAsia="宋体" w:cs="Times New Roman"/>
          <w:color w:val="auto"/>
          <w:kern w:val="0"/>
          <w:sz w:val="24"/>
          <w:szCs w:val="24"/>
          <w:highlight w:val="none"/>
          <w:u w:val="none"/>
          <w:lang w:val="en-US" w:eastAsia="zh-CN"/>
        </w:rPr>
        <w:t>按照0.67（0.87</w:t>
      </w:r>
      <w:r>
        <w:rPr>
          <w:rFonts w:hint="default" w:ascii="Times New Roman" w:hAnsi="Times New Roman" w:eastAsia="宋体" w:cs="Times New Roman"/>
          <w:color w:val="auto"/>
          <w:kern w:val="0"/>
          <w:sz w:val="24"/>
          <w:szCs w:val="24"/>
          <w:highlight w:val="none"/>
          <w:u w:val="none"/>
        </w:rPr>
        <w:t>kg/m³</w:t>
      </w:r>
      <w:r>
        <w:rPr>
          <w:rFonts w:hint="eastAsia" w:ascii="Times New Roman" w:hAnsi="Times New Roman" w:eastAsia="宋体" w:cs="Times New Roman"/>
          <w:color w:val="auto"/>
          <w:kern w:val="0"/>
          <w:sz w:val="24"/>
          <w:szCs w:val="24"/>
          <w:highlight w:val="none"/>
          <w:u w:val="none"/>
          <w:lang w:val="en-US" w:eastAsia="zh-CN"/>
        </w:rPr>
        <w:t>）计算</w:t>
      </w:r>
      <w:r>
        <w:rPr>
          <w:rFonts w:hint="eastAsia" w:cs="Times New Roman"/>
          <w:color w:val="auto"/>
          <w:kern w:val="0"/>
          <w:sz w:val="24"/>
          <w:szCs w:val="24"/>
          <w:highlight w:val="none"/>
          <w:u w:val="none"/>
          <w:lang w:val="en-US" w:eastAsia="zh-CN"/>
        </w:rPr>
        <w:t>。</w:t>
      </w:r>
    </w:p>
    <w:p w14:paraId="746C48D3">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根据克拉伯龙方程，计算管道带压运行状态下的气体质量：</w:t>
      </w:r>
    </w:p>
    <w:p w14:paraId="0B2EC964">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pV=nRT</w:t>
      </w:r>
    </w:p>
    <w:p w14:paraId="02097802">
      <w:pPr>
        <w:keepNext w:val="0"/>
        <w:keepLines w:val="0"/>
        <w:pageBreakBefore w:val="0"/>
        <w:widowControl/>
        <w:shd w:val="clear" w:color="auto" w:fill="auto"/>
        <w:kinsoku/>
        <w:wordWrap/>
        <w:overflowPunct/>
        <w:topLinePunct w:val="0"/>
        <w:autoSpaceDE/>
        <w:autoSpaceDN/>
        <w:bidi w:val="0"/>
        <w:spacing w:line="480" w:lineRule="exact"/>
        <w:ind w:left="958" w:leftChars="456"/>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p：气体压强，标况压强0.101325M</w:t>
      </w:r>
      <w:r>
        <w:rPr>
          <w:rFonts w:hint="eastAsia" w:cs="Times New Roman"/>
          <w:color w:val="auto"/>
          <w:kern w:val="0"/>
          <w:sz w:val="24"/>
          <w:szCs w:val="24"/>
          <w:highlight w:val="none"/>
          <w:u w:val="none"/>
          <w:lang w:val="en-US" w:eastAsia="zh-CN"/>
        </w:rPr>
        <w:t>P</w:t>
      </w:r>
      <w:r>
        <w:rPr>
          <w:rFonts w:hint="default" w:ascii="Times New Roman" w:hAnsi="Times New Roman" w:eastAsia="宋体" w:cs="Times New Roman"/>
          <w:color w:val="auto"/>
          <w:kern w:val="0"/>
          <w:sz w:val="24"/>
          <w:szCs w:val="24"/>
          <w:highlight w:val="none"/>
          <w:u w:val="none"/>
        </w:rPr>
        <w:t>a，管线压力</w:t>
      </w:r>
      <w:r>
        <w:rPr>
          <w:rFonts w:hint="eastAsia" w:cs="Times New Roman"/>
          <w:color w:val="auto"/>
          <w:kern w:val="0"/>
          <w:sz w:val="24"/>
          <w:szCs w:val="24"/>
          <w:highlight w:val="none"/>
          <w:u w:val="none"/>
          <w:lang w:val="en-US" w:eastAsia="zh-CN"/>
        </w:rPr>
        <w:t>10</w:t>
      </w:r>
      <w:r>
        <w:rPr>
          <w:rFonts w:hint="default" w:ascii="Times New Roman" w:hAnsi="Times New Roman" w:eastAsia="宋体" w:cs="Times New Roman"/>
          <w:color w:val="auto"/>
          <w:kern w:val="0"/>
          <w:sz w:val="24"/>
          <w:szCs w:val="24"/>
          <w:highlight w:val="none"/>
          <w:u w:val="none"/>
        </w:rPr>
        <w:t>M</w:t>
      </w:r>
      <w:r>
        <w:rPr>
          <w:rFonts w:hint="eastAsia" w:cs="Times New Roman"/>
          <w:color w:val="auto"/>
          <w:kern w:val="0"/>
          <w:sz w:val="24"/>
          <w:szCs w:val="24"/>
          <w:highlight w:val="none"/>
          <w:u w:val="none"/>
          <w:lang w:val="en-US" w:eastAsia="zh-CN"/>
        </w:rPr>
        <w:t>P</w:t>
      </w:r>
      <w:r>
        <w:rPr>
          <w:rFonts w:hint="default" w:ascii="Times New Roman" w:hAnsi="Times New Roman" w:eastAsia="宋体" w:cs="Times New Roman"/>
          <w:color w:val="auto"/>
          <w:kern w:val="0"/>
          <w:sz w:val="24"/>
          <w:szCs w:val="24"/>
          <w:highlight w:val="none"/>
          <w:u w:val="none"/>
        </w:rPr>
        <w:t>a；</w:t>
      </w:r>
    </w:p>
    <w:p w14:paraId="4A14F742">
      <w:pPr>
        <w:keepNext w:val="0"/>
        <w:keepLines w:val="0"/>
        <w:pageBreakBefore w:val="0"/>
        <w:widowControl/>
        <w:shd w:val="clear" w:color="auto" w:fill="auto"/>
        <w:kinsoku/>
        <w:wordWrap/>
        <w:overflowPunct/>
        <w:topLinePunct w:val="0"/>
        <w:autoSpaceDE/>
        <w:autoSpaceDN/>
        <w:bidi w:val="0"/>
        <w:spacing w:line="480" w:lineRule="exact"/>
        <w:ind w:left="958" w:leftChars="456"/>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V：气体体积，管道体积；</w:t>
      </w:r>
    </w:p>
    <w:p w14:paraId="7B10F7DA">
      <w:pPr>
        <w:keepNext w:val="0"/>
        <w:keepLines w:val="0"/>
        <w:pageBreakBefore w:val="0"/>
        <w:widowControl/>
        <w:shd w:val="clear" w:color="auto" w:fill="auto"/>
        <w:kinsoku/>
        <w:wordWrap/>
        <w:overflowPunct/>
        <w:topLinePunct w:val="0"/>
        <w:autoSpaceDE/>
        <w:autoSpaceDN/>
        <w:bidi w:val="0"/>
        <w:spacing w:line="480" w:lineRule="exact"/>
        <w:ind w:left="958" w:leftChars="456"/>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n：气体的物质的量，单位mol；</w:t>
      </w:r>
    </w:p>
    <w:p w14:paraId="477EB48B">
      <w:pPr>
        <w:keepNext w:val="0"/>
        <w:keepLines w:val="0"/>
        <w:pageBreakBefore w:val="0"/>
        <w:widowControl/>
        <w:shd w:val="clear" w:color="auto" w:fill="auto"/>
        <w:kinsoku/>
        <w:wordWrap/>
        <w:overflowPunct/>
        <w:topLinePunct w:val="0"/>
        <w:autoSpaceDE/>
        <w:autoSpaceDN/>
        <w:bidi w:val="0"/>
        <w:spacing w:line="480" w:lineRule="exact"/>
        <w:ind w:left="958" w:leftChars="456"/>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T：绝对温度，293.15K；</w:t>
      </w:r>
    </w:p>
    <w:p w14:paraId="3E0CE01E">
      <w:pPr>
        <w:keepNext w:val="0"/>
        <w:keepLines w:val="0"/>
        <w:pageBreakBefore w:val="0"/>
        <w:widowControl/>
        <w:shd w:val="clear" w:color="auto" w:fill="auto"/>
        <w:kinsoku/>
        <w:wordWrap/>
        <w:overflowPunct/>
        <w:topLinePunct w:val="0"/>
        <w:autoSpaceDE/>
        <w:autoSpaceDN/>
        <w:bidi w:val="0"/>
        <w:spacing w:line="480" w:lineRule="exact"/>
        <w:ind w:left="958" w:leftChars="456"/>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R：气体常数。</w:t>
      </w:r>
    </w:p>
    <w:p w14:paraId="483BEE6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color w:val="auto"/>
          <w:sz w:val="24"/>
          <w:szCs w:val="24"/>
          <w:highlight w:val="none"/>
          <w:u w:val="none"/>
        </w:rPr>
      </w:pPr>
      <w:r>
        <w:rPr>
          <w:rFonts w:hint="eastAsia" w:cs="Times New Roman"/>
          <w:color w:val="auto"/>
          <w:sz w:val="24"/>
          <w:szCs w:val="24"/>
          <w:highlight w:val="none"/>
          <w:u w:val="none"/>
          <w:lang w:val="en-US" w:eastAsia="zh-CN"/>
        </w:rPr>
        <w:t>计算</w:t>
      </w:r>
      <w:r>
        <w:rPr>
          <w:rFonts w:ascii="Times New Roman" w:hAnsi="Times New Roman" w:eastAsia="宋体" w:cs="Times New Roman"/>
          <w:color w:val="auto"/>
          <w:sz w:val="24"/>
          <w:szCs w:val="24"/>
          <w:highlight w:val="none"/>
          <w:u w:val="none"/>
        </w:rPr>
        <w:t>结果</w:t>
      </w:r>
      <w:r>
        <w:rPr>
          <w:rFonts w:hint="eastAsia" w:cs="Times New Roman"/>
          <w:color w:val="auto"/>
          <w:sz w:val="24"/>
          <w:szCs w:val="24"/>
          <w:highlight w:val="none"/>
          <w:u w:val="none"/>
          <w:lang w:eastAsia="zh-CN"/>
        </w:rPr>
        <w:t>，</w:t>
      </w:r>
      <w:r>
        <w:rPr>
          <w:rFonts w:ascii="Times New Roman" w:hAnsi="Times New Roman" w:eastAsia="宋体" w:cs="Times New Roman"/>
          <w:color w:val="auto"/>
          <w:sz w:val="24"/>
          <w:szCs w:val="24"/>
          <w:highlight w:val="none"/>
          <w:u w:val="none"/>
        </w:rPr>
        <w:t>见表</w:t>
      </w:r>
      <w:r>
        <w:rPr>
          <w:rFonts w:hint="eastAsia" w:cs="Times New Roman"/>
          <w:color w:val="auto"/>
          <w:sz w:val="24"/>
          <w:szCs w:val="24"/>
          <w:highlight w:val="none"/>
          <w:u w:val="none"/>
          <w:lang w:val="en-US" w:eastAsia="zh-CN"/>
        </w:rPr>
        <w:t>5.8-1</w:t>
      </w:r>
      <w:r>
        <w:rPr>
          <w:rFonts w:ascii="Times New Roman" w:hAnsi="Times New Roman" w:eastAsia="宋体" w:cs="Times New Roman"/>
          <w:color w:val="auto"/>
          <w:sz w:val="24"/>
          <w:szCs w:val="24"/>
          <w:highlight w:val="none"/>
          <w:u w:val="none"/>
        </w:rPr>
        <w:t>。</w:t>
      </w:r>
    </w:p>
    <w:p w14:paraId="0F0739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黑体" w:cs="Times New Roman"/>
          <w:b/>
          <w:color w:val="auto"/>
          <w:kern w:val="2"/>
          <w:sz w:val="21"/>
          <w:szCs w:val="20"/>
          <w:highlight w:val="none"/>
          <w:u w:val="none"/>
          <w:lang w:val="en-US" w:eastAsia="zh-CN" w:bidi="ar-SA"/>
        </w:rPr>
      </w:pPr>
      <w:r>
        <w:rPr>
          <w:rFonts w:hint="eastAsia" w:ascii="黑体" w:hAnsi="黑体" w:eastAsia="黑体" w:cs="黑体"/>
          <w:b w:val="0"/>
          <w:bCs/>
          <w:color w:val="auto"/>
          <w:kern w:val="2"/>
          <w:sz w:val="24"/>
          <w:szCs w:val="24"/>
          <w:u w:val="none"/>
          <w:lang w:val="en-US" w:eastAsia="zh-CN" w:bidi="ar-SA"/>
        </w:rPr>
        <w:t>表5.8-1  本工程集油干线、输气干线危险单元Q值一览表表</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autofit"/>
        <w:tblCellMar>
          <w:top w:w="0" w:type="dxa"/>
          <w:left w:w="108" w:type="dxa"/>
          <w:bottom w:w="0" w:type="dxa"/>
          <w:right w:w="108" w:type="dxa"/>
        </w:tblCellMar>
      </w:tblPr>
      <w:tblGrid>
        <w:gridCol w:w="846"/>
        <w:gridCol w:w="1526"/>
        <w:gridCol w:w="1478"/>
        <w:gridCol w:w="1263"/>
        <w:gridCol w:w="1330"/>
        <w:gridCol w:w="1395"/>
        <w:gridCol w:w="991"/>
      </w:tblGrid>
      <w:tr w14:paraId="1D89ED8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tcBorders>
              <w:tl2br w:val="nil"/>
              <w:tr2bl w:val="nil"/>
            </w:tcBorders>
            <w:noWrap w:val="0"/>
            <w:vAlign w:val="center"/>
          </w:tcPr>
          <w:p w14:paraId="08F9269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时期</w:t>
            </w:r>
          </w:p>
        </w:tc>
        <w:tc>
          <w:tcPr>
            <w:tcW w:w="864" w:type="pct"/>
            <w:tcBorders>
              <w:tl2br w:val="nil"/>
              <w:tr2bl w:val="nil"/>
            </w:tcBorders>
            <w:noWrap w:val="0"/>
            <w:vAlign w:val="center"/>
          </w:tcPr>
          <w:p w14:paraId="1C037AA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位置</w:t>
            </w:r>
          </w:p>
        </w:tc>
        <w:tc>
          <w:tcPr>
            <w:tcW w:w="837" w:type="pct"/>
            <w:tcBorders>
              <w:tl2br w:val="nil"/>
              <w:tr2bl w:val="nil"/>
            </w:tcBorders>
            <w:noWrap w:val="0"/>
            <w:vAlign w:val="center"/>
          </w:tcPr>
          <w:p w14:paraId="1E4C5EE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储存装置</w:t>
            </w:r>
          </w:p>
        </w:tc>
        <w:tc>
          <w:tcPr>
            <w:tcW w:w="715" w:type="pct"/>
            <w:tcBorders>
              <w:tl2br w:val="nil"/>
              <w:tr2bl w:val="nil"/>
            </w:tcBorders>
            <w:noWrap w:val="0"/>
            <w:vAlign w:val="center"/>
          </w:tcPr>
          <w:p w14:paraId="0900005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物质名称</w:t>
            </w:r>
          </w:p>
        </w:tc>
        <w:tc>
          <w:tcPr>
            <w:tcW w:w="753" w:type="pct"/>
            <w:tcBorders>
              <w:tl2br w:val="nil"/>
              <w:tr2bl w:val="nil"/>
            </w:tcBorders>
            <w:noWrap w:val="0"/>
            <w:vAlign w:val="center"/>
          </w:tcPr>
          <w:p w14:paraId="4508C05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临界量（t）</w:t>
            </w:r>
          </w:p>
        </w:tc>
        <w:tc>
          <w:tcPr>
            <w:tcW w:w="790" w:type="pct"/>
            <w:tcBorders>
              <w:tl2br w:val="nil"/>
              <w:tr2bl w:val="nil"/>
            </w:tcBorders>
            <w:noWrap w:val="0"/>
            <w:vAlign w:val="center"/>
          </w:tcPr>
          <w:p w14:paraId="292BDAE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最大储存量（t）</w:t>
            </w:r>
          </w:p>
        </w:tc>
        <w:tc>
          <w:tcPr>
            <w:tcW w:w="561" w:type="pct"/>
            <w:tcBorders>
              <w:tl2br w:val="nil"/>
              <w:tr2bl w:val="nil"/>
            </w:tcBorders>
            <w:noWrap w:val="0"/>
            <w:vAlign w:val="center"/>
          </w:tcPr>
          <w:p w14:paraId="77EFFF6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Q</w:t>
            </w:r>
          </w:p>
        </w:tc>
      </w:tr>
      <w:tr w14:paraId="7B99CDF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noWrap w:val="0"/>
            <w:vAlign w:val="center"/>
          </w:tcPr>
          <w:p w14:paraId="0DC3B44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运营期</w:t>
            </w:r>
          </w:p>
        </w:tc>
        <w:tc>
          <w:tcPr>
            <w:tcW w:w="1701" w:type="pct"/>
            <w:gridSpan w:val="2"/>
            <w:vMerge w:val="restart"/>
            <w:tcBorders>
              <w:tl2br w:val="nil"/>
              <w:tr2bl w:val="nil"/>
            </w:tcBorders>
            <w:noWrap w:val="0"/>
            <w:vAlign w:val="center"/>
          </w:tcPr>
          <w:p w14:paraId="01EB571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bCs/>
                <w:color w:val="auto"/>
                <w:szCs w:val="21"/>
                <w:highlight w:val="none"/>
                <w:u w:val="none"/>
              </w:rPr>
              <w:t>MBHW6008井采气管道</w:t>
            </w:r>
            <w:r>
              <w:rPr>
                <w:rFonts w:hint="eastAsia" w:ascii="Times New Roman" w:hAnsi="Times New Roman" w:eastAsia="宋体" w:cs="Times New Roman"/>
                <w:bCs/>
                <w:color w:val="auto"/>
                <w:szCs w:val="21"/>
                <w:highlight w:val="none"/>
                <w:u w:val="none"/>
                <w:lang w:val="en-US" w:eastAsia="zh-CN"/>
              </w:rPr>
              <w:t>4.0</w:t>
            </w:r>
            <w:r>
              <w:rPr>
                <w:rFonts w:hint="eastAsia" w:ascii="Times New Roman" w:hAnsi="Times New Roman" w:eastAsia="宋体" w:cs="Times New Roman"/>
                <w:bCs/>
                <w:color w:val="auto"/>
                <w:szCs w:val="21"/>
                <w:highlight w:val="none"/>
                <w:u w:val="none"/>
              </w:rPr>
              <w:t>km（D60×5 20G）</w:t>
            </w:r>
          </w:p>
        </w:tc>
        <w:tc>
          <w:tcPr>
            <w:tcW w:w="715" w:type="pct"/>
            <w:tcBorders>
              <w:tl2br w:val="nil"/>
              <w:tr2bl w:val="nil"/>
            </w:tcBorders>
            <w:noWrap w:val="0"/>
            <w:vAlign w:val="center"/>
          </w:tcPr>
          <w:p w14:paraId="47EAD6E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凝析油</w:t>
            </w:r>
          </w:p>
        </w:tc>
        <w:tc>
          <w:tcPr>
            <w:tcW w:w="753" w:type="pct"/>
            <w:tcBorders>
              <w:tl2br w:val="nil"/>
              <w:tr2bl w:val="nil"/>
            </w:tcBorders>
            <w:noWrap w:val="0"/>
            <w:vAlign w:val="center"/>
          </w:tcPr>
          <w:p w14:paraId="1BD9BDA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2500</w:t>
            </w:r>
          </w:p>
        </w:tc>
        <w:tc>
          <w:tcPr>
            <w:tcW w:w="790" w:type="pct"/>
            <w:tcBorders>
              <w:tl2br w:val="nil"/>
              <w:tr2bl w:val="nil"/>
            </w:tcBorders>
            <w:noWrap w:val="0"/>
            <w:vAlign w:val="center"/>
          </w:tcPr>
          <w:p w14:paraId="118B74E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7.32</w:t>
            </w:r>
          </w:p>
        </w:tc>
        <w:tc>
          <w:tcPr>
            <w:tcW w:w="561" w:type="pct"/>
            <w:tcBorders>
              <w:tl2br w:val="nil"/>
              <w:tr2bl w:val="nil"/>
            </w:tcBorders>
            <w:noWrap w:val="0"/>
            <w:vAlign w:val="center"/>
          </w:tcPr>
          <w:p w14:paraId="1D43A05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0.003</w:t>
            </w:r>
          </w:p>
        </w:tc>
      </w:tr>
      <w:tr w14:paraId="5AF7796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noWrap w:val="0"/>
            <w:vAlign w:val="center"/>
          </w:tcPr>
          <w:p w14:paraId="20981E5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1701" w:type="pct"/>
            <w:gridSpan w:val="2"/>
            <w:vMerge w:val="continue"/>
            <w:tcBorders>
              <w:tl2br w:val="nil"/>
              <w:tr2bl w:val="nil"/>
            </w:tcBorders>
            <w:noWrap w:val="0"/>
            <w:vAlign w:val="center"/>
          </w:tcPr>
          <w:p w14:paraId="2946A9C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715" w:type="pct"/>
            <w:tcBorders>
              <w:tl2br w:val="nil"/>
              <w:tr2bl w:val="nil"/>
            </w:tcBorders>
            <w:noWrap w:val="0"/>
            <w:vAlign w:val="center"/>
          </w:tcPr>
          <w:p w14:paraId="445DC867">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天然</w:t>
            </w:r>
            <w:r>
              <w:rPr>
                <w:rFonts w:ascii="Times New Roman" w:hAnsi="Times New Roman" w:eastAsia="宋体" w:cs="Times New Roman"/>
                <w:color w:val="auto"/>
                <w:szCs w:val="21"/>
                <w:highlight w:val="none"/>
                <w:u w:val="none"/>
              </w:rPr>
              <w:t>气</w:t>
            </w:r>
          </w:p>
        </w:tc>
        <w:tc>
          <w:tcPr>
            <w:tcW w:w="753" w:type="pct"/>
            <w:tcBorders>
              <w:tl2br w:val="nil"/>
              <w:tr2bl w:val="nil"/>
            </w:tcBorders>
            <w:noWrap w:val="0"/>
            <w:vAlign w:val="center"/>
          </w:tcPr>
          <w:p w14:paraId="0FB873A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10</w:t>
            </w:r>
          </w:p>
        </w:tc>
        <w:tc>
          <w:tcPr>
            <w:tcW w:w="790" w:type="pct"/>
            <w:tcBorders>
              <w:tl2br w:val="nil"/>
              <w:tr2bl w:val="nil"/>
            </w:tcBorders>
            <w:noWrap w:val="0"/>
            <w:vAlign w:val="center"/>
          </w:tcPr>
          <w:p w14:paraId="7BCA67D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0.90</w:t>
            </w:r>
          </w:p>
        </w:tc>
        <w:tc>
          <w:tcPr>
            <w:tcW w:w="561" w:type="pct"/>
            <w:tcBorders>
              <w:tl2br w:val="nil"/>
              <w:tr2bl w:val="nil"/>
            </w:tcBorders>
            <w:noWrap w:val="0"/>
            <w:vAlign w:val="center"/>
          </w:tcPr>
          <w:p w14:paraId="792F1ED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0.09</w:t>
            </w:r>
          </w:p>
        </w:tc>
      </w:tr>
      <w:tr w14:paraId="726A2AC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438" w:type="pct"/>
            <w:gridSpan w:val="6"/>
            <w:tcBorders>
              <w:tl2br w:val="nil"/>
              <w:tr2bl w:val="nil"/>
            </w:tcBorders>
            <w:noWrap w:val="0"/>
            <w:vAlign w:val="center"/>
          </w:tcPr>
          <w:p w14:paraId="7DCB2FF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合计</w:t>
            </w:r>
          </w:p>
        </w:tc>
        <w:tc>
          <w:tcPr>
            <w:tcW w:w="561" w:type="pct"/>
            <w:tcBorders>
              <w:tl2br w:val="nil"/>
              <w:tr2bl w:val="nil"/>
            </w:tcBorders>
            <w:noWrap w:val="0"/>
            <w:vAlign w:val="center"/>
          </w:tcPr>
          <w:p w14:paraId="6AF2A6C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0.093</w:t>
            </w:r>
          </w:p>
        </w:tc>
      </w:tr>
      <w:tr w14:paraId="5FB732F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noWrap w:val="0"/>
            <w:vAlign w:val="center"/>
          </w:tcPr>
          <w:p w14:paraId="3FC3144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运营期</w:t>
            </w:r>
          </w:p>
        </w:tc>
        <w:tc>
          <w:tcPr>
            <w:tcW w:w="1701" w:type="pct"/>
            <w:gridSpan w:val="2"/>
            <w:vMerge w:val="restart"/>
            <w:tcBorders>
              <w:tl2br w:val="nil"/>
              <w:tr2bl w:val="nil"/>
            </w:tcBorders>
            <w:noWrap w:val="0"/>
            <w:vAlign w:val="center"/>
          </w:tcPr>
          <w:p w14:paraId="1FA5D81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bCs/>
                <w:color w:val="auto"/>
                <w:szCs w:val="21"/>
                <w:highlight w:val="none"/>
                <w:u w:val="none"/>
              </w:rPr>
              <w:t>MBHW600</w:t>
            </w:r>
            <w:r>
              <w:rPr>
                <w:rFonts w:hint="eastAsia" w:ascii="Times New Roman" w:hAnsi="Times New Roman" w:eastAsia="宋体" w:cs="Times New Roman"/>
                <w:bCs/>
                <w:color w:val="auto"/>
                <w:szCs w:val="21"/>
                <w:highlight w:val="none"/>
                <w:u w:val="none"/>
                <w:lang w:val="en-US" w:eastAsia="zh-CN"/>
              </w:rPr>
              <w:t>6</w:t>
            </w:r>
            <w:r>
              <w:rPr>
                <w:rFonts w:hint="eastAsia" w:ascii="Times New Roman" w:hAnsi="Times New Roman" w:eastAsia="宋体" w:cs="Times New Roman"/>
                <w:bCs/>
                <w:color w:val="auto"/>
                <w:szCs w:val="21"/>
                <w:highlight w:val="none"/>
                <w:u w:val="none"/>
              </w:rPr>
              <w:t>井采气管道</w:t>
            </w:r>
            <w:r>
              <w:rPr>
                <w:rFonts w:hint="eastAsia" w:ascii="Times New Roman" w:hAnsi="Times New Roman" w:eastAsia="宋体" w:cs="Times New Roman"/>
                <w:bCs/>
                <w:color w:val="auto"/>
                <w:szCs w:val="21"/>
                <w:highlight w:val="none"/>
                <w:u w:val="none"/>
                <w:lang w:val="en-US" w:eastAsia="zh-CN"/>
              </w:rPr>
              <w:t>1.5</w:t>
            </w:r>
            <w:r>
              <w:rPr>
                <w:rFonts w:hint="eastAsia" w:ascii="Times New Roman" w:hAnsi="Times New Roman" w:eastAsia="宋体" w:cs="Times New Roman"/>
                <w:bCs/>
                <w:color w:val="auto"/>
                <w:szCs w:val="21"/>
                <w:highlight w:val="none"/>
                <w:u w:val="none"/>
              </w:rPr>
              <w:t>km（D60×5 20G）</w:t>
            </w:r>
          </w:p>
        </w:tc>
        <w:tc>
          <w:tcPr>
            <w:tcW w:w="715" w:type="pct"/>
            <w:tcBorders>
              <w:tl2br w:val="nil"/>
              <w:tr2bl w:val="nil"/>
            </w:tcBorders>
            <w:noWrap w:val="0"/>
            <w:vAlign w:val="center"/>
          </w:tcPr>
          <w:p w14:paraId="01F0365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lang w:val="en-US" w:eastAsia="zh-CN"/>
              </w:rPr>
              <w:t>凝析油</w:t>
            </w:r>
          </w:p>
        </w:tc>
        <w:tc>
          <w:tcPr>
            <w:tcW w:w="753" w:type="pct"/>
            <w:tcBorders>
              <w:tl2br w:val="nil"/>
              <w:tr2bl w:val="nil"/>
            </w:tcBorders>
            <w:noWrap w:val="0"/>
            <w:vAlign w:val="center"/>
          </w:tcPr>
          <w:p w14:paraId="27B588B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2500</w:t>
            </w:r>
          </w:p>
        </w:tc>
        <w:tc>
          <w:tcPr>
            <w:tcW w:w="790" w:type="pct"/>
            <w:tcBorders>
              <w:tl2br w:val="nil"/>
              <w:tr2bl w:val="nil"/>
            </w:tcBorders>
            <w:noWrap w:val="0"/>
            <w:vAlign w:val="center"/>
          </w:tcPr>
          <w:p w14:paraId="7A2FF70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2.75</w:t>
            </w:r>
          </w:p>
        </w:tc>
        <w:tc>
          <w:tcPr>
            <w:tcW w:w="561" w:type="pct"/>
            <w:tcBorders>
              <w:tl2br w:val="nil"/>
              <w:tr2bl w:val="nil"/>
            </w:tcBorders>
            <w:noWrap w:val="0"/>
            <w:vAlign w:val="center"/>
          </w:tcPr>
          <w:p w14:paraId="2B1320C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0.001</w:t>
            </w:r>
          </w:p>
        </w:tc>
      </w:tr>
      <w:tr w14:paraId="4EF5D04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noWrap w:val="0"/>
            <w:vAlign w:val="center"/>
          </w:tcPr>
          <w:p w14:paraId="39C57E0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1701" w:type="pct"/>
            <w:gridSpan w:val="2"/>
            <w:vMerge w:val="continue"/>
            <w:tcBorders>
              <w:tl2br w:val="nil"/>
              <w:tr2bl w:val="nil"/>
            </w:tcBorders>
            <w:noWrap w:val="0"/>
            <w:vAlign w:val="center"/>
          </w:tcPr>
          <w:p w14:paraId="73AEAEE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715" w:type="pct"/>
            <w:tcBorders>
              <w:tl2br w:val="nil"/>
              <w:tr2bl w:val="nil"/>
            </w:tcBorders>
            <w:noWrap w:val="0"/>
            <w:vAlign w:val="center"/>
          </w:tcPr>
          <w:p w14:paraId="2EABE33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天然</w:t>
            </w:r>
            <w:r>
              <w:rPr>
                <w:rFonts w:ascii="Times New Roman" w:hAnsi="Times New Roman" w:eastAsia="宋体" w:cs="Times New Roman"/>
                <w:color w:val="auto"/>
                <w:szCs w:val="21"/>
                <w:highlight w:val="none"/>
                <w:u w:val="none"/>
              </w:rPr>
              <w:t>气</w:t>
            </w:r>
          </w:p>
        </w:tc>
        <w:tc>
          <w:tcPr>
            <w:tcW w:w="753" w:type="pct"/>
            <w:tcBorders>
              <w:tl2br w:val="nil"/>
              <w:tr2bl w:val="nil"/>
            </w:tcBorders>
            <w:noWrap w:val="0"/>
            <w:vAlign w:val="center"/>
          </w:tcPr>
          <w:p w14:paraId="5D2850E7">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10</w:t>
            </w:r>
          </w:p>
        </w:tc>
        <w:tc>
          <w:tcPr>
            <w:tcW w:w="790" w:type="pct"/>
            <w:tcBorders>
              <w:tl2br w:val="nil"/>
              <w:tr2bl w:val="nil"/>
            </w:tcBorders>
            <w:noWrap w:val="0"/>
            <w:vAlign w:val="center"/>
          </w:tcPr>
          <w:p w14:paraId="0EFC9C3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0.34</w:t>
            </w:r>
          </w:p>
        </w:tc>
        <w:tc>
          <w:tcPr>
            <w:tcW w:w="561" w:type="pct"/>
            <w:tcBorders>
              <w:tl2br w:val="nil"/>
              <w:tr2bl w:val="nil"/>
            </w:tcBorders>
            <w:noWrap w:val="0"/>
            <w:vAlign w:val="center"/>
          </w:tcPr>
          <w:p w14:paraId="47BEFBE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0.034</w:t>
            </w:r>
          </w:p>
        </w:tc>
      </w:tr>
      <w:tr w14:paraId="2FD4608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438" w:type="pct"/>
            <w:gridSpan w:val="6"/>
            <w:tcBorders>
              <w:tl2br w:val="nil"/>
              <w:tr2bl w:val="nil"/>
            </w:tcBorders>
            <w:noWrap w:val="0"/>
            <w:vAlign w:val="center"/>
          </w:tcPr>
          <w:p w14:paraId="6A41A3B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合计</w:t>
            </w:r>
          </w:p>
        </w:tc>
        <w:tc>
          <w:tcPr>
            <w:tcW w:w="561" w:type="pct"/>
            <w:tcBorders>
              <w:tl2br w:val="nil"/>
              <w:tr2bl w:val="nil"/>
            </w:tcBorders>
            <w:noWrap w:val="0"/>
            <w:vAlign w:val="center"/>
          </w:tcPr>
          <w:p w14:paraId="78E5B28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0.035</w:t>
            </w:r>
          </w:p>
        </w:tc>
      </w:tr>
      <w:tr w14:paraId="43DC3A1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noWrap w:val="0"/>
            <w:vAlign w:val="center"/>
          </w:tcPr>
          <w:p w14:paraId="663C343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运营期</w:t>
            </w:r>
          </w:p>
        </w:tc>
        <w:tc>
          <w:tcPr>
            <w:tcW w:w="1701" w:type="pct"/>
            <w:gridSpan w:val="2"/>
            <w:vMerge w:val="restart"/>
            <w:tcBorders>
              <w:tl2br w:val="nil"/>
              <w:tr2bl w:val="nil"/>
            </w:tcBorders>
            <w:noWrap w:val="0"/>
            <w:vAlign w:val="center"/>
          </w:tcPr>
          <w:p w14:paraId="7A01297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hint="eastAsia" w:ascii="Times New Roman" w:hAnsi="Times New Roman" w:eastAsia="宋体" w:cs="Times New Roman"/>
                <w:bCs/>
                <w:color w:val="auto"/>
                <w:szCs w:val="21"/>
                <w:highlight w:val="none"/>
                <w:u w:val="none"/>
              </w:rPr>
              <w:t>MBHW600</w:t>
            </w:r>
            <w:r>
              <w:rPr>
                <w:rFonts w:hint="eastAsia" w:ascii="Times New Roman" w:hAnsi="Times New Roman" w:eastAsia="宋体" w:cs="Times New Roman"/>
                <w:bCs/>
                <w:color w:val="auto"/>
                <w:szCs w:val="21"/>
                <w:highlight w:val="none"/>
                <w:u w:val="none"/>
                <w:lang w:val="en-US" w:eastAsia="zh-CN"/>
              </w:rPr>
              <w:t>9</w:t>
            </w:r>
            <w:r>
              <w:rPr>
                <w:rFonts w:hint="eastAsia" w:ascii="Times New Roman" w:hAnsi="Times New Roman" w:eastAsia="宋体" w:cs="Times New Roman"/>
                <w:bCs/>
                <w:color w:val="auto"/>
                <w:szCs w:val="21"/>
                <w:highlight w:val="none"/>
                <w:u w:val="none"/>
              </w:rPr>
              <w:t>井采气管道</w:t>
            </w:r>
            <w:r>
              <w:rPr>
                <w:rFonts w:hint="eastAsia" w:ascii="Times New Roman" w:hAnsi="Times New Roman" w:eastAsia="宋体" w:cs="Times New Roman"/>
                <w:bCs/>
                <w:color w:val="auto"/>
                <w:szCs w:val="21"/>
                <w:highlight w:val="none"/>
                <w:u w:val="none"/>
                <w:lang w:val="en-US" w:eastAsia="zh-CN"/>
              </w:rPr>
              <w:t>1.9</w:t>
            </w:r>
            <w:r>
              <w:rPr>
                <w:rFonts w:hint="eastAsia" w:ascii="Times New Roman" w:hAnsi="Times New Roman" w:eastAsia="宋体" w:cs="Times New Roman"/>
                <w:bCs/>
                <w:color w:val="auto"/>
                <w:szCs w:val="21"/>
                <w:highlight w:val="none"/>
                <w:u w:val="none"/>
              </w:rPr>
              <w:t>km（D60×5 20G）</w:t>
            </w:r>
          </w:p>
        </w:tc>
        <w:tc>
          <w:tcPr>
            <w:tcW w:w="715" w:type="pct"/>
            <w:tcBorders>
              <w:tl2br w:val="nil"/>
              <w:tr2bl w:val="nil"/>
            </w:tcBorders>
            <w:noWrap w:val="0"/>
            <w:vAlign w:val="center"/>
          </w:tcPr>
          <w:p w14:paraId="6773898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lang w:val="en-US" w:eastAsia="zh-CN"/>
              </w:rPr>
              <w:t>凝析油</w:t>
            </w:r>
          </w:p>
        </w:tc>
        <w:tc>
          <w:tcPr>
            <w:tcW w:w="753" w:type="pct"/>
            <w:tcBorders>
              <w:tl2br w:val="nil"/>
              <w:tr2bl w:val="nil"/>
            </w:tcBorders>
            <w:noWrap w:val="0"/>
            <w:vAlign w:val="center"/>
          </w:tcPr>
          <w:p w14:paraId="098A0B7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2500</w:t>
            </w:r>
          </w:p>
        </w:tc>
        <w:tc>
          <w:tcPr>
            <w:tcW w:w="790" w:type="pct"/>
            <w:tcBorders>
              <w:tl2br w:val="nil"/>
              <w:tr2bl w:val="nil"/>
            </w:tcBorders>
            <w:noWrap w:val="0"/>
            <w:vAlign w:val="center"/>
          </w:tcPr>
          <w:p w14:paraId="45DC877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3.48</w:t>
            </w:r>
          </w:p>
        </w:tc>
        <w:tc>
          <w:tcPr>
            <w:tcW w:w="561" w:type="pct"/>
            <w:tcBorders>
              <w:tl2br w:val="nil"/>
              <w:tr2bl w:val="nil"/>
            </w:tcBorders>
            <w:noWrap w:val="0"/>
            <w:vAlign w:val="center"/>
          </w:tcPr>
          <w:p w14:paraId="75F2EBA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0.001</w:t>
            </w:r>
          </w:p>
        </w:tc>
      </w:tr>
      <w:tr w14:paraId="2D19B4F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noWrap w:val="0"/>
            <w:vAlign w:val="center"/>
          </w:tcPr>
          <w:p w14:paraId="06028E0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1701" w:type="pct"/>
            <w:gridSpan w:val="2"/>
            <w:vMerge w:val="continue"/>
            <w:tcBorders>
              <w:tl2br w:val="nil"/>
              <w:tr2bl w:val="nil"/>
            </w:tcBorders>
            <w:noWrap w:val="0"/>
            <w:vAlign w:val="center"/>
          </w:tcPr>
          <w:p w14:paraId="06ABFE5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p>
        </w:tc>
        <w:tc>
          <w:tcPr>
            <w:tcW w:w="715" w:type="pct"/>
            <w:tcBorders>
              <w:tl2br w:val="nil"/>
              <w:tr2bl w:val="nil"/>
            </w:tcBorders>
            <w:noWrap w:val="0"/>
            <w:vAlign w:val="center"/>
          </w:tcPr>
          <w:p w14:paraId="6914D7B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天然</w:t>
            </w:r>
            <w:r>
              <w:rPr>
                <w:rFonts w:ascii="Times New Roman" w:hAnsi="Times New Roman" w:eastAsia="宋体" w:cs="Times New Roman"/>
                <w:color w:val="auto"/>
                <w:szCs w:val="21"/>
                <w:highlight w:val="none"/>
                <w:u w:val="none"/>
              </w:rPr>
              <w:t>气</w:t>
            </w:r>
          </w:p>
        </w:tc>
        <w:tc>
          <w:tcPr>
            <w:tcW w:w="753" w:type="pct"/>
            <w:tcBorders>
              <w:tl2br w:val="nil"/>
              <w:tr2bl w:val="nil"/>
            </w:tcBorders>
            <w:noWrap w:val="0"/>
            <w:vAlign w:val="center"/>
          </w:tcPr>
          <w:p w14:paraId="70D519B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rPr>
              <w:t>10</w:t>
            </w:r>
          </w:p>
        </w:tc>
        <w:tc>
          <w:tcPr>
            <w:tcW w:w="790" w:type="pct"/>
            <w:tcBorders>
              <w:tl2br w:val="nil"/>
              <w:tr2bl w:val="nil"/>
            </w:tcBorders>
            <w:noWrap w:val="0"/>
            <w:vAlign w:val="center"/>
          </w:tcPr>
          <w:p w14:paraId="378E9DB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0.43</w:t>
            </w:r>
          </w:p>
        </w:tc>
        <w:tc>
          <w:tcPr>
            <w:tcW w:w="561" w:type="pct"/>
            <w:tcBorders>
              <w:tl2br w:val="nil"/>
              <w:tr2bl w:val="nil"/>
            </w:tcBorders>
            <w:noWrap w:val="0"/>
            <w:vAlign w:val="center"/>
          </w:tcPr>
          <w:p w14:paraId="6D859E0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0.043</w:t>
            </w:r>
          </w:p>
        </w:tc>
      </w:tr>
      <w:tr w14:paraId="64E7F1A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trPr>
        <w:tc>
          <w:tcPr>
            <w:tcW w:w="4438" w:type="pct"/>
            <w:gridSpan w:val="6"/>
            <w:tcBorders>
              <w:tl2br w:val="nil"/>
              <w:tr2bl w:val="nil"/>
            </w:tcBorders>
            <w:noWrap w:val="0"/>
            <w:vAlign w:val="center"/>
          </w:tcPr>
          <w:p w14:paraId="0EDA255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合计</w:t>
            </w:r>
          </w:p>
        </w:tc>
        <w:tc>
          <w:tcPr>
            <w:tcW w:w="561" w:type="pct"/>
            <w:tcBorders>
              <w:tl2br w:val="nil"/>
              <w:tr2bl w:val="nil"/>
            </w:tcBorders>
            <w:noWrap w:val="0"/>
            <w:vAlign w:val="center"/>
          </w:tcPr>
          <w:p w14:paraId="1D90914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0.044</w:t>
            </w:r>
          </w:p>
        </w:tc>
      </w:tr>
    </w:tbl>
    <w:p w14:paraId="0E06E677">
      <w:pPr>
        <w:keepNext w:val="0"/>
        <w:keepLines w:val="0"/>
        <w:pageBreakBefore w:val="0"/>
        <w:widowControl/>
        <w:shd w:val="clear" w:color="auto" w:fill="auto"/>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宋体" w:hAnsi="宋体" w:eastAsia="宋体" w:cs="宋体"/>
          <w:color w:val="auto"/>
          <w:sz w:val="24"/>
          <w:szCs w:val="24"/>
          <w:highlight w:val="none"/>
          <w:u w:val="none"/>
        </w:rPr>
        <w:t>根据上表计算结果，本工程</w:t>
      </w:r>
      <w:r>
        <w:rPr>
          <w:rFonts w:hint="eastAsia" w:ascii="宋体" w:hAnsi="宋体" w:cs="宋体"/>
          <w:color w:val="auto"/>
          <w:sz w:val="24"/>
          <w:szCs w:val="24"/>
          <w:highlight w:val="none"/>
          <w:u w:val="none"/>
          <w:lang w:val="en-US" w:eastAsia="zh-CN"/>
        </w:rPr>
        <w:t>三</w:t>
      </w:r>
      <w:r>
        <w:rPr>
          <w:rFonts w:hint="eastAsia" w:ascii="宋体" w:hAnsi="宋体" w:eastAsia="宋体" w:cs="宋体"/>
          <w:color w:val="auto"/>
          <w:sz w:val="24"/>
          <w:szCs w:val="24"/>
          <w:highlight w:val="none"/>
          <w:u w:val="none"/>
        </w:rPr>
        <w:t>段管线Q值均小于1</w:t>
      </w:r>
      <w:r>
        <w:rPr>
          <w:rFonts w:hint="eastAsia" w:ascii="宋体" w:hAnsi="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判断项目风险潜势为Ⅰ，根据《建设项目环境风险评价技术导则》（HJ 169-2018）相关要求，本次评价仅对项目可能存在的环境风险进行简单分析。不设置环境风险评价范围。</w:t>
      </w:r>
    </w:p>
    <w:bookmarkEnd w:id="470"/>
    <w:p w14:paraId="745B6179">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471" w:name="_Toc16944"/>
      <w:bookmarkStart w:id="472" w:name="_Toc26723"/>
      <w:bookmarkStart w:id="473" w:name="_Toc30899"/>
      <w:bookmarkStart w:id="474" w:name="_Toc11253"/>
      <w:r>
        <w:rPr>
          <w:rFonts w:hint="eastAsia" w:ascii="黑体" w:hAnsi="黑体" w:eastAsia="黑体" w:cs="黑体"/>
          <w:b/>
          <w:color w:val="auto"/>
          <w:kern w:val="0"/>
          <w:sz w:val="24"/>
          <w:szCs w:val="24"/>
          <w:highlight w:val="none"/>
          <w:u w:val="none"/>
          <w:lang w:val="en-US" w:eastAsia="zh-CN"/>
        </w:rPr>
        <w:t xml:space="preserve">5.8.3 </w:t>
      </w:r>
      <w:r>
        <w:rPr>
          <w:rFonts w:hint="default" w:ascii="黑体" w:hAnsi="黑体" w:eastAsia="黑体" w:cs="黑体"/>
          <w:b/>
          <w:color w:val="auto"/>
          <w:kern w:val="0"/>
          <w:sz w:val="24"/>
          <w:szCs w:val="24"/>
          <w:highlight w:val="none"/>
          <w:u w:val="none"/>
          <w:lang w:val="en-US" w:eastAsia="zh-CN"/>
        </w:rPr>
        <w:t>环境敏感目标概况</w:t>
      </w:r>
      <w:bookmarkEnd w:id="471"/>
      <w:bookmarkEnd w:id="472"/>
      <w:bookmarkEnd w:id="473"/>
      <w:bookmarkEnd w:id="474"/>
    </w:p>
    <w:p w14:paraId="7BF776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spacing w:val="0"/>
          <w:kern w:val="2"/>
          <w:sz w:val="24"/>
          <w:szCs w:val="24"/>
          <w:highlight w:val="none"/>
          <w:u w:val="none"/>
          <w:lang w:val="en-US" w:eastAsia="zh-CN" w:bidi="ar-SA"/>
        </w:rPr>
        <w:t>本项目区位于准噶尔盆地古尔班通古特沙漠腹地，</w:t>
      </w:r>
      <w:r>
        <w:rPr>
          <w:rFonts w:ascii="Times New Roman" w:hAnsi="Times New Roman" w:eastAsia="宋体" w:cs="Times New Roman"/>
          <w:color w:val="auto"/>
          <w:spacing w:val="0"/>
          <w:kern w:val="2"/>
          <w:sz w:val="24"/>
          <w:szCs w:val="24"/>
          <w:highlight w:val="none"/>
          <w:u w:val="none"/>
          <w:lang w:val="en-US" w:eastAsia="zh-CN" w:bidi="ar-SA"/>
        </w:rPr>
        <w:t>不涉及自然保护区、水源保护区、文物保护单位等其它特殊敏感目标。</w:t>
      </w:r>
    </w:p>
    <w:p w14:paraId="4D2ABC04">
      <w:pPr>
        <w:rPr>
          <w:rFonts w:hint="eastAsia" w:ascii="Times New Roman" w:hAnsi="Times New Roman" w:cs="Times New Roman"/>
          <w:b/>
          <w:bCs/>
          <w:color w:val="auto"/>
          <w:kern w:val="0"/>
          <w:sz w:val="30"/>
          <w:szCs w:val="30"/>
          <w:highlight w:val="none"/>
          <w:u w:val="none"/>
          <w:lang w:val="en-US" w:eastAsia="zh-CN"/>
        </w:rPr>
      </w:pPr>
      <w:bookmarkStart w:id="475" w:name="_Toc24902"/>
      <w:r>
        <w:rPr>
          <w:rFonts w:hint="eastAsia" w:ascii="Times New Roman" w:hAnsi="Times New Roman" w:cs="Times New Roman"/>
          <w:b/>
          <w:bCs/>
          <w:color w:val="auto"/>
          <w:kern w:val="0"/>
          <w:sz w:val="30"/>
          <w:szCs w:val="30"/>
          <w:highlight w:val="none"/>
          <w:u w:val="none"/>
          <w:lang w:val="en-US" w:eastAsia="zh-CN"/>
        </w:rPr>
        <w:br w:type="page"/>
      </w:r>
    </w:p>
    <w:p w14:paraId="0C321D5F">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 xml:space="preserve">5.8.4 </w:t>
      </w:r>
      <w:r>
        <w:rPr>
          <w:rFonts w:hint="default" w:ascii="黑体" w:hAnsi="黑体" w:eastAsia="黑体" w:cs="黑体"/>
          <w:b/>
          <w:color w:val="auto"/>
          <w:kern w:val="0"/>
          <w:sz w:val="24"/>
          <w:szCs w:val="24"/>
          <w:highlight w:val="none"/>
          <w:u w:val="none"/>
          <w:lang w:val="en-US" w:eastAsia="zh-CN"/>
        </w:rPr>
        <w:t>环境风险识别</w:t>
      </w:r>
      <w:bookmarkEnd w:id="475"/>
    </w:p>
    <w:p w14:paraId="73FF06E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cs="宋体"/>
          <w:color w:val="auto"/>
          <w:u w:val="none"/>
          <w:lang w:val="en-US" w:eastAsia="zh-CN"/>
        </w:rPr>
        <w:t>5.8.4.1</w:t>
      </w:r>
      <w:r>
        <w:rPr>
          <w:rFonts w:hint="eastAsia" w:ascii="宋体" w:hAnsi="宋体" w:eastAsia="宋体" w:cs="宋体"/>
          <w:color w:val="auto"/>
          <w:u w:val="none"/>
          <w:lang w:val="en-US" w:eastAsia="zh-CN"/>
        </w:rPr>
        <w:t xml:space="preserve"> 危险性</w:t>
      </w:r>
      <w:r>
        <w:rPr>
          <w:rFonts w:hint="default" w:ascii="宋体" w:hAnsi="宋体" w:eastAsia="宋体" w:cs="宋体"/>
          <w:color w:val="auto"/>
          <w:u w:val="none"/>
          <w:lang w:val="en-US" w:eastAsia="zh-CN"/>
        </w:rPr>
        <w:t>识别</w:t>
      </w:r>
    </w:p>
    <w:p w14:paraId="42994A1B">
      <w:pPr>
        <w:pStyle w:val="56"/>
        <w:keepNext w:val="0"/>
        <w:keepLines/>
        <w:pageBreakBefore w:val="0"/>
        <w:widowControl w:val="0"/>
        <w:kinsoku/>
        <w:wordWrap/>
        <w:overflowPunct/>
        <w:topLinePunct w:val="0"/>
        <w:autoSpaceDE/>
        <w:autoSpaceDN/>
        <w:bidi w:val="0"/>
        <w:adjustRightInd w:val="0"/>
        <w:snapToGrid w:val="0"/>
        <w:spacing w:before="157" w:beforeLines="50"/>
        <w:ind w:firstLine="482" w:firstLineChars="200"/>
        <w:textAlignment w:val="auto"/>
        <w:outlineLvl w:val="9"/>
        <w:rPr>
          <w:rFonts w:hint="default" w:ascii="宋体" w:hAnsi="宋体" w:eastAsia="宋体" w:cs="宋体"/>
          <w:color w:val="auto"/>
          <w:u w:val="none"/>
          <w:lang w:val="en-US" w:eastAsia="zh-CN"/>
        </w:rPr>
      </w:pPr>
      <w:r>
        <w:rPr>
          <w:rFonts w:hint="eastAsia" w:ascii="宋体" w:hAnsi="宋体" w:cs="宋体"/>
          <w:color w:val="auto"/>
          <w:u w:val="none"/>
          <w:lang w:val="en-US" w:eastAsia="zh-CN"/>
        </w:rPr>
        <w:t>（1）</w:t>
      </w:r>
      <w:r>
        <w:rPr>
          <w:rFonts w:hint="eastAsia" w:ascii="宋体" w:hAnsi="宋体" w:eastAsia="宋体" w:cs="宋体"/>
          <w:color w:val="auto"/>
          <w:u w:val="none"/>
          <w:lang w:val="en-US" w:eastAsia="zh-CN"/>
        </w:rPr>
        <w:t>物质危险因素识别</w:t>
      </w:r>
    </w:p>
    <w:p w14:paraId="10FCE8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0"/>
          <w:highlight w:val="none"/>
          <w:u w:val="none"/>
          <w:lang w:val="en-US" w:eastAsia="zh-CN" w:bidi="ar"/>
        </w:rPr>
        <w:t>按照《建设项目环境风险评价技术导则》（HJ169－2018）附录B、《危险化学品重大危险源辨识》（GB18218-2018）、《职业性接触毒物危害程度分级》（</w:t>
      </w:r>
      <w:r>
        <w:rPr>
          <w:rFonts w:hint="eastAsia" w:ascii="Times New Roman" w:hAnsi="Times New Roman" w:eastAsia="宋体" w:cs="Times New Roman"/>
          <w:color w:val="auto"/>
          <w:kern w:val="2"/>
          <w:sz w:val="24"/>
          <w:szCs w:val="20"/>
          <w:highlight w:val="none"/>
          <w:u w:val="none"/>
          <w:lang w:val="en-US" w:eastAsia="zh-CN" w:bidi="ar"/>
        </w:rPr>
        <w:t>GBZ/T230-2010</w:t>
      </w:r>
      <w:r>
        <w:rPr>
          <w:rFonts w:hint="default" w:ascii="Times New Roman" w:hAnsi="Times New Roman" w:eastAsia="宋体" w:cs="Times New Roman"/>
          <w:color w:val="auto"/>
          <w:kern w:val="2"/>
          <w:sz w:val="24"/>
          <w:szCs w:val="20"/>
          <w:highlight w:val="none"/>
          <w:u w:val="none"/>
          <w:lang w:val="en-US" w:eastAsia="zh-CN" w:bidi="ar"/>
        </w:rPr>
        <w:t>）中涉及的有毒有害、易燃易爆物质进行危险性识别。对于中度危害以上的危险性物质应予以识别，按照物质危险性，结合受影响的环境因素，筛选</w:t>
      </w:r>
      <w:r>
        <w:rPr>
          <w:rFonts w:hint="eastAsia" w:ascii="Times New Roman" w:hAnsi="Times New Roman" w:eastAsia="宋体" w:cs="Times New Roman"/>
          <w:color w:val="auto"/>
          <w:kern w:val="2"/>
          <w:sz w:val="24"/>
          <w:szCs w:val="20"/>
          <w:highlight w:val="none"/>
          <w:u w:val="none"/>
          <w:lang w:val="en-US" w:eastAsia="zh-CN" w:bidi="ar"/>
        </w:rPr>
        <w:t>本工程</w:t>
      </w:r>
      <w:r>
        <w:rPr>
          <w:rFonts w:hint="default" w:ascii="Times New Roman" w:hAnsi="Times New Roman" w:eastAsia="宋体" w:cs="Times New Roman"/>
          <w:color w:val="auto"/>
          <w:kern w:val="2"/>
          <w:sz w:val="24"/>
          <w:szCs w:val="20"/>
          <w:highlight w:val="none"/>
          <w:u w:val="none"/>
          <w:lang w:val="en-US" w:eastAsia="zh-CN" w:bidi="ar"/>
        </w:rPr>
        <w:t>环境风险评价因子主要为</w:t>
      </w:r>
      <w:r>
        <w:rPr>
          <w:rFonts w:hint="eastAsia" w:cs="Times New Roman"/>
          <w:color w:val="auto"/>
          <w:kern w:val="2"/>
          <w:sz w:val="24"/>
          <w:szCs w:val="20"/>
          <w:highlight w:val="none"/>
          <w:u w:val="none"/>
          <w:lang w:val="en-US" w:eastAsia="zh-CN" w:bidi="ar"/>
        </w:rPr>
        <w:t>柴油、凝析油、</w:t>
      </w:r>
      <w:r>
        <w:rPr>
          <w:rFonts w:hint="default" w:ascii="Times New Roman" w:hAnsi="Times New Roman" w:eastAsia="宋体" w:cs="Times New Roman"/>
          <w:color w:val="auto"/>
          <w:kern w:val="2"/>
          <w:sz w:val="24"/>
          <w:szCs w:val="20"/>
          <w:highlight w:val="none"/>
          <w:u w:val="none"/>
          <w:lang w:val="en-US" w:eastAsia="zh-CN" w:bidi="ar"/>
        </w:rPr>
        <w:t>天然气。</w:t>
      </w:r>
    </w:p>
    <w:p w14:paraId="01CEAF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0"/>
          <w:highlight w:val="none"/>
          <w:u w:val="none"/>
          <w:lang w:val="en-US" w:eastAsia="zh-CN" w:bidi="ar"/>
        </w:rPr>
      </w:pPr>
      <w:r>
        <w:rPr>
          <w:rFonts w:hint="eastAsia" w:ascii="宋体" w:hAnsi="宋体" w:cs="宋体"/>
          <w:color w:val="auto"/>
          <w:kern w:val="2"/>
          <w:sz w:val="24"/>
          <w:szCs w:val="20"/>
          <w:highlight w:val="none"/>
          <w:u w:val="none"/>
          <w:lang w:val="en-US" w:eastAsia="zh-CN" w:bidi="ar"/>
        </w:rPr>
        <w:t>1）</w:t>
      </w:r>
      <w:r>
        <w:rPr>
          <w:rFonts w:hint="eastAsia" w:ascii="宋体" w:hAnsi="宋体" w:eastAsia="宋体" w:cs="宋体"/>
          <w:color w:val="auto"/>
          <w:kern w:val="2"/>
          <w:sz w:val="24"/>
          <w:szCs w:val="20"/>
          <w:highlight w:val="none"/>
          <w:u w:val="none"/>
          <w:lang w:val="en-US" w:eastAsia="zh-CN" w:bidi="ar"/>
        </w:rPr>
        <w:t>柴油</w:t>
      </w:r>
    </w:p>
    <w:p w14:paraId="7C32980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0"/>
          <w:highlight w:val="none"/>
          <w:u w:val="none"/>
          <w:lang w:val="en-US" w:eastAsia="zh-CN" w:bidi="ar"/>
        </w:rPr>
      </w:pPr>
      <w:r>
        <w:rPr>
          <w:rFonts w:hint="eastAsia" w:ascii="宋体" w:hAnsi="宋体" w:eastAsia="宋体" w:cs="宋体"/>
          <w:color w:val="auto"/>
          <w:kern w:val="2"/>
          <w:sz w:val="24"/>
          <w:szCs w:val="20"/>
          <w:highlight w:val="none"/>
          <w:u w:val="none"/>
          <w:lang w:val="en-US" w:eastAsia="zh-CN" w:bidi="ar"/>
        </w:rPr>
        <w:t>本工程施工期采用柴油作为发电和提供动力的燃料。本工程单井井场内配备各1个立式柴油储罐（20m</w:t>
      </w:r>
      <w:r>
        <w:rPr>
          <w:rFonts w:hint="eastAsia" w:ascii="宋体" w:hAnsi="宋体" w:eastAsia="宋体" w:cs="宋体"/>
          <w:color w:val="auto"/>
          <w:kern w:val="2"/>
          <w:sz w:val="24"/>
          <w:szCs w:val="20"/>
          <w:highlight w:val="none"/>
          <w:u w:val="none"/>
          <w:vertAlign w:val="superscript"/>
          <w:lang w:val="en-US" w:eastAsia="zh-CN" w:bidi="ar"/>
        </w:rPr>
        <w:t>3</w:t>
      </w:r>
      <w:r>
        <w:rPr>
          <w:rFonts w:hint="eastAsia" w:ascii="宋体" w:hAnsi="宋体" w:eastAsia="宋体" w:cs="宋体"/>
          <w:color w:val="auto"/>
          <w:kern w:val="2"/>
          <w:sz w:val="24"/>
          <w:szCs w:val="20"/>
          <w:highlight w:val="none"/>
          <w:u w:val="none"/>
          <w:lang w:val="en-US" w:eastAsia="zh-CN" w:bidi="ar"/>
        </w:rPr>
        <w:t>），日常储量18t。柴油为能源燃料，其毒性主要有麻醉和刺激作用，柴油的理化性质及危险特性见表</w:t>
      </w:r>
      <w:r>
        <w:rPr>
          <w:rFonts w:hint="eastAsia" w:ascii="宋体" w:hAnsi="宋体" w:cs="宋体"/>
          <w:color w:val="auto"/>
          <w:kern w:val="2"/>
          <w:sz w:val="24"/>
          <w:szCs w:val="20"/>
          <w:highlight w:val="none"/>
          <w:u w:val="none"/>
          <w:lang w:val="en-US" w:eastAsia="zh-CN" w:bidi="ar"/>
        </w:rPr>
        <w:t>5.8-2</w:t>
      </w:r>
      <w:r>
        <w:rPr>
          <w:rFonts w:hint="eastAsia" w:ascii="宋体" w:hAnsi="宋体" w:eastAsia="宋体" w:cs="宋体"/>
          <w:color w:val="auto"/>
          <w:kern w:val="2"/>
          <w:sz w:val="24"/>
          <w:szCs w:val="20"/>
          <w:highlight w:val="none"/>
          <w:u w:val="none"/>
          <w:lang w:val="en-US" w:eastAsia="zh-CN" w:bidi="ar"/>
        </w:rPr>
        <w:t>。</w:t>
      </w:r>
    </w:p>
    <w:p w14:paraId="6BD381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heme="majorEastAsia" w:hAnsiTheme="majorEastAsia" w:eastAsiaTheme="majorEastAsia" w:cstheme="majorEastAsia"/>
          <w:b/>
          <w:bCs w:val="0"/>
          <w:color w:val="auto"/>
          <w:kern w:val="2"/>
          <w:sz w:val="24"/>
          <w:szCs w:val="24"/>
          <w:highlight w:val="none"/>
          <w:u w:val="none"/>
          <w:lang w:val="en-US" w:eastAsia="zh-CN" w:bidi="ar-SA"/>
        </w:rPr>
      </w:pPr>
      <w:r>
        <w:rPr>
          <w:rFonts w:hint="eastAsia" w:ascii="黑体" w:hAnsi="黑体" w:eastAsia="黑体" w:cs="黑体"/>
          <w:b w:val="0"/>
          <w:bCs/>
          <w:color w:val="auto"/>
          <w:kern w:val="2"/>
          <w:sz w:val="24"/>
          <w:szCs w:val="24"/>
          <w:u w:val="none"/>
          <w:lang w:val="en-US" w:eastAsia="zh-CN" w:bidi="ar-SA"/>
        </w:rPr>
        <w:t>表5.8-2  柴油的理化性质及危害特性</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3918"/>
        <w:gridCol w:w="4059"/>
      </w:tblGrid>
      <w:tr w14:paraId="6337C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485" w:type="pct"/>
            <w:tcBorders>
              <w:tl2br w:val="nil"/>
              <w:tr2bl w:val="nil"/>
            </w:tcBorders>
            <w:noWrap w:val="0"/>
            <w:vAlign w:val="top"/>
          </w:tcPr>
          <w:p w14:paraId="2255983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标识</w:t>
            </w:r>
          </w:p>
        </w:tc>
        <w:tc>
          <w:tcPr>
            <w:tcW w:w="2217" w:type="pct"/>
            <w:tcBorders>
              <w:tl2br w:val="nil"/>
              <w:tr2bl w:val="nil"/>
            </w:tcBorders>
            <w:noWrap w:val="0"/>
            <w:vAlign w:val="top"/>
          </w:tcPr>
          <w:p w14:paraId="1D08AEC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中文名：柴油</w:t>
            </w:r>
          </w:p>
        </w:tc>
        <w:tc>
          <w:tcPr>
            <w:tcW w:w="2297" w:type="pct"/>
            <w:tcBorders>
              <w:tl2br w:val="nil"/>
              <w:tr2bl w:val="nil"/>
            </w:tcBorders>
            <w:noWrap w:val="0"/>
            <w:vAlign w:val="top"/>
          </w:tcPr>
          <w:p w14:paraId="74CC188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lang w:val="de-DE"/>
              </w:rPr>
            </w:pPr>
            <w:r>
              <w:rPr>
                <w:rFonts w:hint="eastAsia" w:ascii="宋体" w:hAnsi="宋体" w:eastAsia="宋体" w:cs="宋体"/>
                <w:color w:val="auto"/>
                <w:sz w:val="21"/>
                <w:szCs w:val="21"/>
                <w:highlight w:val="none"/>
                <w:u w:val="none"/>
              </w:rPr>
              <w:t>英文名</w:t>
            </w:r>
            <w:r>
              <w:rPr>
                <w:rFonts w:hint="eastAsia" w:ascii="宋体" w:hAnsi="宋体" w:eastAsia="宋体" w:cs="宋体"/>
                <w:color w:val="auto"/>
                <w:sz w:val="21"/>
                <w:szCs w:val="21"/>
                <w:highlight w:val="none"/>
                <w:u w:val="none"/>
                <w:lang w:val="de-DE"/>
              </w:rPr>
              <w:t>：dieseloil;dieselfuel</w:t>
            </w:r>
          </w:p>
        </w:tc>
      </w:tr>
      <w:tr w14:paraId="3BFC4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restart"/>
            <w:tcBorders>
              <w:tl2br w:val="nil"/>
              <w:tr2bl w:val="nil"/>
            </w:tcBorders>
            <w:noWrap w:val="0"/>
            <w:vAlign w:val="top"/>
          </w:tcPr>
          <w:p w14:paraId="58D96420">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理化性质</w:t>
            </w:r>
          </w:p>
        </w:tc>
        <w:tc>
          <w:tcPr>
            <w:tcW w:w="4514" w:type="pct"/>
            <w:gridSpan w:val="2"/>
            <w:tcBorders>
              <w:tl2br w:val="nil"/>
              <w:tr2bl w:val="nil"/>
            </w:tcBorders>
            <w:noWrap w:val="0"/>
            <w:vAlign w:val="top"/>
          </w:tcPr>
          <w:p w14:paraId="4A6DD4A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外观与现状：稍有粘性的浅黄至棕色液体</w:t>
            </w:r>
          </w:p>
        </w:tc>
      </w:tr>
      <w:tr w14:paraId="72A67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37F72B2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4514" w:type="pct"/>
            <w:gridSpan w:val="2"/>
            <w:tcBorders>
              <w:tl2br w:val="nil"/>
              <w:tr2bl w:val="nil"/>
            </w:tcBorders>
            <w:noWrap w:val="0"/>
            <w:vAlign w:val="top"/>
          </w:tcPr>
          <w:p w14:paraId="5D6D148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主要成分：烷烃、芳烃、烯烃等</w:t>
            </w:r>
          </w:p>
        </w:tc>
      </w:tr>
      <w:tr w14:paraId="068CC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0FBB016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2217" w:type="pct"/>
            <w:tcBorders>
              <w:tl2br w:val="nil"/>
              <w:tr2bl w:val="nil"/>
            </w:tcBorders>
            <w:noWrap w:val="0"/>
            <w:vAlign w:val="top"/>
          </w:tcPr>
          <w:p w14:paraId="094C4B7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熔点（℃）：﹤—35～20</w:t>
            </w:r>
          </w:p>
        </w:tc>
        <w:tc>
          <w:tcPr>
            <w:tcW w:w="2297" w:type="pct"/>
            <w:tcBorders>
              <w:tl2br w:val="nil"/>
              <w:tr2bl w:val="nil"/>
            </w:tcBorders>
            <w:noWrap w:val="0"/>
            <w:vAlign w:val="top"/>
          </w:tcPr>
          <w:p w14:paraId="2A26865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沸点（℃）：280～370</w:t>
            </w:r>
          </w:p>
        </w:tc>
      </w:tr>
      <w:tr w14:paraId="5FE56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1CD18552">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2217" w:type="pct"/>
            <w:tcBorders>
              <w:tl2br w:val="nil"/>
              <w:tr2bl w:val="nil"/>
            </w:tcBorders>
            <w:noWrap w:val="0"/>
            <w:vAlign w:val="top"/>
          </w:tcPr>
          <w:p w14:paraId="098CC0E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相对密度（水=1）：0.8～0.9</w:t>
            </w:r>
          </w:p>
        </w:tc>
        <w:tc>
          <w:tcPr>
            <w:tcW w:w="2297" w:type="pct"/>
            <w:tcBorders>
              <w:tl2br w:val="nil"/>
              <w:tr2bl w:val="nil"/>
            </w:tcBorders>
            <w:noWrap w:val="0"/>
            <w:vAlign w:val="top"/>
          </w:tcPr>
          <w:p w14:paraId="3F838D3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禁忌物：强化剂、卤素</w:t>
            </w:r>
          </w:p>
        </w:tc>
      </w:tr>
      <w:tr w14:paraId="1A85B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3274667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2217" w:type="pct"/>
            <w:tcBorders>
              <w:tl2br w:val="nil"/>
              <w:tr2bl w:val="nil"/>
            </w:tcBorders>
            <w:noWrap w:val="0"/>
            <w:vAlign w:val="top"/>
          </w:tcPr>
          <w:p w14:paraId="0130598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稳定性：稳定</w:t>
            </w:r>
          </w:p>
        </w:tc>
        <w:tc>
          <w:tcPr>
            <w:tcW w:w="2297" w:type="pct"/>
            <w:tcBorders>
              <w:tl2br w:val="nil"/>
              <w:tr2bl w:val="nil"/>
            </w:tcBorders>
            <w:noWrap w:val="0"/>
            <w:vAlign w:val="top"/>
          </w:tcPr>
          <w:p w14:paraId="349F1B9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聚合危害：不聚合</w:t>
            </w:r>
          </w:p>
        </w:tc>
      </w:tr>
      <w:tr w14:paraId="50B2A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2EF27F2B">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2217" w:type="pct"/>
            <w:tcBorders>
              <w:tl2br w:val="nil"/>
              <w:tr2bl w:val="nil"/>
            </w:tcBorders>
            <w:noWrap w:val="0"/>
            <w:vAlign w:val="top"/>
          </w:tcPr>
          <w:p w14:paraId="49AFFC8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电阻率（欧.米）：1012</w:t>
            </w:r>
          </w:p>
        </w:tc>
        <w:tc>
          <w:tcPr>
            <w:tcW w:w="2297" w:type="pct"/>
            <w:tcBorders>
              <w:tl2br w:val="nil"/>
              <w:tr2bl w:val="nil"/>
            </w:tcBorders>
            <w:noWrap w:val="0"/>
            <w:vAlign w:val="top"/>
          </w:tcPr>
          <w:p w14:paraId="2208F97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p>
        </w:tc>
      </w:tr>
      <w:tr w14:paraId="6357A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restart"/>
            <w:tcBorders>
              <w:tl2br w:val="nil"/>
              <w:tr2bl w:val="nil"/>
            </w:tcBorders>
            <w:noWrap w:val="0"/>
            <w:vAlign w:val="top"/>
          </w:tcPr>
          <w:p w14:paraId="68BA2FD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危险特性</w:t>
            </w:r>
          </w:p>
        </w:tc>
        <w:tc>
          <w:tcPr>
            <w:tcW w:w="2217" w:type="pct"/>
            <w:tcBorders>
              <w:tl2br w:val="nil"/>
              <w:tr2bl w:val="nil"/>
            </w:tcBorders>
            <w:noWrap w:val="0"/>
            <w:vAlign w:val="top"/>
          </w:tcPr>
          <w:p w14:paraId="3C65908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危险性类别：丙A类易燃液体</w:t>
            </w:r>
          </w:p>
        </w:tc>
        <w:tc>
          <w:tcPr>
            <w:tcW w:w="2297" w:type="pct"/>
            <w:tcBorders>
              <w:tl2br w:val="nil"/>
              <w:tr2bl w:val="nil"/>
            </w:tcBorders>
            <w:noWrap w:val="0"/>
            <w:vAlign w:val="top"/>
          </w:tcPr>
          <w:p w14:paraId="1B091BA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燃烧性：易燃</w:t>
            </w:r>
          </w:p>
        </w:tc>
      </w:tr>
      <w:tr w14:paraId="4A519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7D34F24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2217" w:type="pct"/>
            <w:tcBorders>
              <w:tl2br w:val="nil"/>
              <w:tr2bl w:val="nil"/>
            </w:tcBorders>
            <w:noWrap w:val="0"/>
            <w:vAlign w:val="top"/>
          </w:tcPr>
          <w:p w14:paraId="34F6621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自然温度</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：257</w:t>
            </w:r>
          </w:p>
        </w:tc>
        <w:tc>
          <w:tcPr>
            <w:tcW w:w="2297" w:type="pct"/>
            <w:tcBorders>
              <w:tl2br w:val="nil"/>
              <w:tr2bl w:val="nil"/>
            </w:tcBorders>
            <w:noWrap w:val="0"/>
            <w:vAlign w:val="top"/>
          </w:tcPr>
          <w:p w14:paraId="6E31E3D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闪电</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:易燃</w:t>
            </w:r>
          </w:p>
        </w:tc>
      </w:tr>
      <w:tr w14:paraId="7087A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6E8354D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2217" w:type="pct"/>
            <w:tcBorders>
              <w:tl2br w:val="nil"/>
              <w:tr2bl w:val="nil"/>
            </w:tcBorders>
            <w:noWrap w:val="0"/>
            <w:vAlign w:val="top"/>
          </w:tcPr>
          <w:p w14:paraId="05AFDC8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爆炸下限（%）：1.5</w:t>
            </w:r>
          </w:p>
        </w:tc>
        <w:tc>
          <w:tcPr>
            <w:tcW w:w="2297" w:type="pct"/>
            <w:tcBorders>
              <w:tl2br w:val="nil"/>
              <w:tr2bl w:val="nil"/>
            </w:tcBorders>
            <w:noWrap w:val="0"/>
            <w:vAlign w:val="top"/>
          </w:tcPr>
          <w:p w14:paraId="356B514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爆炸上限（%）：4.5</w:t>
            </w:r>
          </w:p>
        </w:tc>
      </w:tr>
      <w:tr w14:paraId="65BA4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0E0C3302">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2217" w:type="pct"/>
            <w:tcBorders>
              <w:tl2br w:val="nil"/>
              <w:tr2bl w:val="nil"/>
            </w:tcBorders>
            <w:noWrap w:val="0"/>
            <w:vAlign w:val="top"/>
          </w:tcPr>
          <w:p w14:paraId="16BEA1E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燃烧热（KJ/kg）43732</w:t>
            </w:r>
          </w:p>
        </w:tc>
        <w:tc>
          <w:tcPr>
            <w:tcW w:w="2297" w:type="pct"/>
            <w:tcBorders>
              <w:tl2br w:val="nil"/>
              <w:tr2bl w:val="nil"/>
            </w:tcBorders>
            <w:noWrap w:val="0"/>
            <w:vAlign w:val="top"/>
          </w:tcPr>
          <w:p w14:paraId="3610D1F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燃烧（分解）产物：一氧化碳、二氧化碳</w:t>
            </w:r>
          </w:p>
        </w:tc>
      </w:tr>
      <w:tr w14:paraId="05B6C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527D953A">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4514" w:type="pct"/>
            <w:gridSpan w:val="2"/>
            <w:tcBorders>
              <w:tl2br w:val="nil"/>
              <w:tr2bl w:val="nil"/>
            </w:tcBorders>
            <w:noWrap w:val="0"/>
            <w:vAlign w:val="top"/>
          </w:tcPr>
          <w:p w14:paraId="41AB98B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危险特性：遇明火、高热或与氧化剂接触，有引起燃烧爆炸的危险。若遇高热，容器压力增大，有开裂和爆炸的危险。</w:t>
            </w:r>
          </w:p>
        </w:tc>
      </w:tr>
      <w:tr w14:paraId="41967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77E21DA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4514" w:type="pct"/>
            <w:gridSpan w:val="2"/>
            <w:tcBorders>
              <w:tl2br w:val="nil"/>
              <w:tr2bl w:val="nil"/>
            </w:tcBorders>
            <w:noWrap w:val="0"/>
            <w:vAlign w:val="top"/>
          </w:tcPr>
          <w:p w14:paraId="7752F62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灭火的方法：喷水冷却容器，可能的话将容器从火场移至空旷处</w:t>
            </w:r>
          </w:p>
        </w:tc>
      </w:tr>
      <w:tr w14:paraId="679B9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7D1FDF3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4514" w:type="pct"/>
            <w:gridSpan w:val="2"/>
            <w:tcBorders>
              <w:tl2br w:val="nil"/>
              <w:tr2bl w:val="nil"/>
            </w:tcBorders>
            <w:noWrap w:val="0"/>
            <w:vAlign w:val="top"/>
          </w:tcPr>
          <w:p w14:paraId="52837F1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灭火剂：泡沫、干粉、二氧化碳</w:t>
            </w:r>
          </w:p>
        </w:tc>
      </w:tr>
      <w:tr w14:paraId="44F68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restart"/>
            <w:tcBorders>
              <w:tl2br w:val="nil"/>
              <w:tr2bl w:val="nil"/>
            </w:tcBorders>
            <w:noWrap w:val="0"/>
            <w:vAlign w:val="top"/>
          </w:tcPr>
          <w:p w14:paraId="775D086B">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健康危害</w:t>
            </w:r>
          </w:p>
        </w:tc>
        <w:tc>
          <w:tcPr>
            <w:tcW w:w="4514" w:type="pct"/>
            <w:gridSpan w:val="2"/>
            <w:tcBorders>
              <w:tl2br w:val="nil"/>
              <w:tr2bl w:val="nil"/>
            </w:tcBorders>
            <w:noWrap w:val="0"/>
            <w:vAlign w:val="top"/>
          </w:tcPr>
          <w:p w14:paraId="54469E8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侵入途径：吸入、食入、经皮肤吸收。</w:t>
            </w:r>
          </w:p>
        </w:tc>
      </w:tr>
      <w:tr w14:paraId="32018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5" w:type="pct"/>
            <w:vMerge w:val="continue"/>
            <w:tcBorders>
              <w:tl2br w:val="nil"/>
              <w:tr2bl w:val="nil"/>
            </w:tcBorders>
            <w:noWrap w:val="0"/>
            <w:vAlign w:val="top"/>
          </w:tcPr>
          <w:p w14:paraId="68C7A63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u w:val="none"/>
              </w:rPr>
            </w:pPr>
          </w:p>
        </w:tc>
        <w:tc>
          <w:tcPr>
            <w:tcW w:w="4514" w:type="pct"/>
            <w:gridSpan w:val="2"/>
            <w:tcBorders>
              <w:tl2br w:val="nil"/>
              <w:tr2bl w:val="nil"/>
            </w:tcBorders>
            <w:noWrap w:val="0"/>
            <w:vAlign w:val="top"/>
          </w:tcPr>
          <w:p w14:paraId="7993C0B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健康危害：皮肤接触柴油可能引起接触性皮炎。油性痤疮；吸入可引起吸入性肺炎。能引起胎盘进入胎儿血中。柴油废气可引起眼、鼻刺激症状，头晕及头痛。</w:t>
            </w:r>
          </w:p>
        </w:tc>
      </w:tr>
    </w:tbl>
    <w:p w14:paraId="690F34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u w:val="none"/>
          <w:lang w:val="en-US" w:eastAsia="zh-CN" w:bidi="ar-SA"/>
        </w:rPr>
      </w:pPr>
      <w:r>
        <w:rPr>
          <w:rFonts w:hint="eastAsia" w:cs="Times New Roman"/>
          <w:snapToGrid w:val="0"/>
          <w:color w:val="auto"/>
          <w:kern w:val="2"/>
          <w:sz w:val="24"/>
          <w:szCs w:val="20"/>
          <w:highlight w:val="none"/>
          <w:u w:val="none"/>
          <w:lang w:val="en-US" w:eastAsia="zh-CN" w:bidi="ar-SA"/>
        </w:rPr>
        <w:t>2）</w:t>
      </w:r>
      <w:r>
        <w:rPr>
          <w:rFonts w:hint="eastAsia" w:ascii="Times New Roman" w:hAnsi="Times New Roman" w:eastAsia="宋体" w:cs="Times New Roman"/>
          <w:snapToGrid w:val="0"/>
          <w:color w:val="auto"/>
          <w:kern w:val="2"/>
          <w:sz w:val="24"/>
          <w:szCs w:val="20"/>
          <w:highlight w:val="none"/>
          <w:u w:val="none"/>
          <w:lang w:val="en-US" w:eastAsia="zh-CN" w:bidi="ar"/>
        </w:rPr>
        <w:t>凝析油</w:t>
      </w:r>
    </w:p>
    <w:p w14:paraId="5CF0A83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bCs/>
          <w:snapToGrid w:val="0"/>
          <w:color w:val="auto"/>
          <w:kern w:val="2"/>
          <w:sz w:val="24"/>
          <w:szCs w:val="24"/>
          <w:highlight w:val="none"/>
          <w:u w:val="none"/>
          <w:lang w:val="en-US" w:eastAsia="zh-CN" w:bidi="ar-SA"/>
        </w:rPr>
        <w:t>凝析油</w:t>
      </w:r>
      <w:r>
        <w:rPr>
          <w:rFonts w:hint="default" w:ascii="Times New Roman" w:hAnsi="Times New Roman" w:eastAsia="宋体" w:cs="Times New Roman"/>
          <w:bCs/>
          <w:snapToGrid w:val="0"/>
          <w:color w:val="auto"/>
          <w:kern w:val="2"/>
          <w:sz w:val="24"/>
          <w:szCs w:val="24"/>
          <w:highlight w:val="none"/>
          <w:u w:val="none"/>
          <w:lang w:val="en-US" w:eastAsia="zh-CN" w:bidi="ar-SA"/>
        </w:rPr>
        <w:t>理化性质、危险危害特性及防护措施</w:t>
      </w:r>
      <w:r>
        <w:rPr>
          <w:rFonts w:hint="eastAsia" w:cs="Times New Roman"/>
          <w:bCs/>
          <w:snapToGrid w:val="0"/>
          <w:color w:val="auto"/>
          <w:kern w:val="2"/>
          <w:sz w:val="24"/>
          <w:szCs w:val="24"/>
          <w:highlight w:val="none"/>
          <w:u w:val="none"/>
          <w:lang w:val="en-US" w:eastAsia="zh-CN" w:bidi="ar-SA"/>
        </w:rPr>
        <w:t>，</w:t>
      </w:r>
      <w:r>
        <w:rPr>
          <w:rFonts w:hint="default" w:ascii="Times New Roman" w:hAnsi="Times New Roman" w:eastAsia="宋体" w:cs="Times New Roman"/>
          <w:bCs/>
          <w:snapToGrid w:val="0"/>
          <w:color w:val="auto"/>
          <w:kern w:val="2"/>
          <w:sz w:val="24"/>
          <w:szCs w:val="24"/>
          <w:highlight w:val="none"/>
          <w:u w:val="none"/>
          <w:lang w:val="en-US" w:eastAsia="zh-CN" w:bidi="ar-SA"/>
        </w:rPr>
        <w:t>见表</w:t>
      </w:r>
      <w:r>
        <w:rPr>
          <w:rFonts w:hint="eastAsia" w:cs="Times New Roman"/>
          <w:snapToGrid w:val="0"/>
          <w:color w:val="auto"/>
          <w:kern w:val="2"/>
          <w:sz w:val="24"/>
          <w:szCs w:val="20"/>
          <w:highlight w:val="none"/>
          <w:u w:val="none"/>
          <w:lang w:val="en-US" w:eastAsia="zh-CN" w:bidi="ar-SA"/>
        </w:rPr>
        <w:t>5.8-3</w:t>
      </w:r>
      <w:r>
        <w:rPr>
          <w:rFonts w:hint="default" w:ascii="Times New Roman" w:hAnsi="Times New Roman" w:eastAsia="宋体" w:cs="Times New Roman"/>
          <w:snapToGrid w:val="0"/>
          <w:color w:val="auto"/>
          <w:kern w:val="2"/>
          <w:sz w:val="24"/>
          <w:szCs w:val="20"/>
          <w:highlight w:val="none"/>
          <w:u w:val="none"/>
          <w:lang w:val="en-US" w:eastAsia="zh-CN" w:bidi="ar-SA"/>
        </w:rPr>
        <w:t>。</w:t>
      </w:r>
    </w:p>
    <w:p w14:paraId="4C7531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color w:val="auto"/>
          <w:kern w:val="2"/>
          <w:sz w:val="21"/>
          <w:szCs w:val="20"/>
          <w:highlight w:val="none"/>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5.8-3  凝析油</w:t>
      </w:r>
      <w:r>
        <w:rPr>
          <w:rFonts w:hint="default" w:ascii="黑体" w:hAnsi="黑体" w:eastAsia="黑体" w:cs="黑体"/>
          <w:b w:val="0"/>
          <w:bCs/>
          <w:color w:val="auto"/>
          <w:kern w:val="2"/>
          <w:sz w:val="24"/>
          <w:szCs w:val="24"/>
          <w:u w:val="none"/>
          <w:lang w:val="en-US" w:eastAsia="zh-CN" w:bidi="ar-SA"/>
        </w:rPr>
        <w:t>理化性质、危险危害特性及防护措施表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8087"/>
      </w:tblGrid>
      <w:tr w14:paraId="756A0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vAlign w:val="center"/>
          </w:tcPr>
          <w:p w14:paraId="5FF711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特别</w:t>
            </w:r>
          </w:p>
          <w:p w14:paraId="4CC128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警示</w:t>
            </w:r>
          </w:p>
        </w:tc>
        <w:tc>
          <w:tcPr>
            <w:tcW w:w="4576" w:type="pct"/>
            <w:tcBorders>
              <w:tl2br w:val="nil"/>
              <w:tr2bl w:val="nil"/>
            </w:tcBorders>
            <w:vAlign w:val="center"/>
          </w:tcPr>
          <w:p w14:paraId="55AFBDA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易燃易爆</w:t>
            </w:r>
          </w:p>
        </w:tc>
      </w:tr>
      <w:tr w14:paraId="3FB2F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vAlign w:val="center"/>
          </w:tcPr>
          <w:p w14:paraId="163E13E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理化</w:t>
            </w:r>
          </w:p>
          <w:p w14:paraId="5EF789F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特性</w:t>
            </w:r>
          </w:p>
        </w:tc>
        <w:tc>
          <w:tcPr>
            <w:tcW w:w="4576" w:type="pct"/>
            <w:tcBorders>
              <w:tl2br w:val="nil"/>
              <w:tr2bl w:val="nil"/>
            </w:tcBorders>
            <w:vAlign w:val="center"/>
          </w:tcPr>
          <w:p w14:paraId="74AF1E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凝析油是指从凝析气田或者气田伴生天然气凝析出来的液相组分，又称天然汽油。其主要成分是C</w:t>
            </w:r>
            <w:r>
              <w:rPr>
                <w:rFonts w:hint="eastAsia" w:ascii="宋体" w:hAnsi="宋体" w:eastAsia="宋体" w:cs="宋体"/>
                <w:color w:val="auto"/>
                <w:sz w:val="21"/>
                <w:szCs w:val="21"/>
                <w:u w:val="none"/>
                <w:vertAlign w:val="subscript"/>
              </w:rPr>
              <w:t>5</w:t>
            </w:r>
            <w:r>
              <w:rPr>
                <w:rFonts w:hint="eastAsia" w:ascii="宋体" w:hAnsi="宋体" w:eastAsia="宋体" w:cs="宋体"/>
                <w:color w:val="auto"/>
                <w:sz w:val="21"/>
                <w:szCs w:val="21"/>
                <w:u w:val="none"/>
              </w:rPr>
              <w:t>至C</w:t>
            </w:r>
            <w:r>
              <w:rPr>
                <w:rFonts w:hint="eastAsia" w:ascii="宋体" w:hAnsi="宋体" w:eastAsia="宋体" w:cs="宋体"/>
                <w:color w:val="auto"/>
                <w:sz w:val="21"/>
                <w:szCs w:val="21"/>
                <w:u w:val="none"/>
                <w:vertAlign w:val="subscript"/>
              </w:rPr>
              <w:t>11</w:t>
            </w:r>
            <w:r>
              <w:rPr>
                <w:rFonts w:hint="eastAsia" w:ascii="宋体" w:hAnsi="宋体" w:eastAsia="宋体" w:cs="宋体"/>
                <w:color w:val="auto"/>
                <w:sz w:val="21"/>
                <w:szCs w:val="21"/>
                <w:u w:val="none"/>
              </w:rPr>
              <w:t>+烃类的混合物，并含有少量的大于C</w:t>
            </w:r>
            <w:r>
              <w:rPr>
                <w:rFonts w:hint="eastAsia" w:ascii="宋体" w:hAnsi="宋体" w:eastAsia="宋体" w:cs="宋体"/>
                <w:color w:val="auto"/>
                <w:sz w:val="21"/>
                <w:szCs w:val="21"/>
                <w:u w:val="none"/>
                <w:vertAlign w:val="subscript"/>
              </w:rPr>
              <w:t>8</w:t>
            </w:r>
            <w:r>
              <w:rPr>
                <w:rFonts w:hint="eastAsia" w:ascii="宋体" w:hAnsi="宋体" w:eastAsia="宋体" w:cs="宋体"/>
                <w:color w:val="auto"/>
                <w:sz w:val="21"/>
                <w:szCs w:val="21"/>
                <w:u w:val="none"/>
              </w:rPr>
              <w:t>的烃类以及二氧化硫、噻吩类、硫醇类、硫醚类和多硫化物等杂质，其馏分多在20℃-200℃之间，挥发性好。</w:t>
            </w:r>
          </w:p>
          <w:p w14:paraId="0F6035A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【主要用途】是生产溶剂油优质的原料。</w:t>
            </w:r>
          </w:p>
        </w:tc>
      </w:tr>
      <w:tr w14:paraId="0F24A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vAlign w:val="center"/>
          </w:tcPr>
          <w:p w14:paraId="58A1963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危害</w:t>
            </w:r>
          </w:p>
          <w:p w14:paraId="1985593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信息</w:t>
            </w:r>
          </w:p>
        </w:tc>
        <w:tc>
          <w:tcPr>
            <w:tcW w:w="4576" w:type="pct"/>
            <w:tcBorders>
              <w:tl2br w:val="nil"/>
              <w:tr2bl w:val="nil"/>
            </w:tcBorders>
            <w:vAlign w:val="center"/>
          </w:tcPr>
          <w:p w14:paraId="05120EC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【燃烧和爆炸危险性】</w:t>
            </w:r>
          </w:p>
          <w:p w14:paraId="4FBA14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其蒸气与空气可形成爆炸性混合物，遇</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"http://baike.baidu.com/view/395.htm" \t "_blank" </w:instrText>
            </w:r>
            <w:r>
              <w:rPr>
                <w:rFonts w:hint="eastAsia" w:ascii="宋体" w:hAnsi="宋体" w:eastAsia="宋体" w:cs="宋体"/>
                <w:color w:val="auto"/>
                <w:sz w:val="21"/>
                <w:szCs w:val="21"/>
                <w:u w:val="none"/>
              </w:rPr>
              <w:fldChar w:fldCharType="separate"/>
            </w:r>
            <w:r>
              <w:rPr>
                <w:rFonts w:hint="eastAsia" w:ascii="宋体" w:hAnsi="宋体" w:eastAsia="宋体" w:cs="宋体"/>
                <w:color w:val="auto"/>
                <w:sz w:val="21"/>
                <w:szCs w:val="21"/>
                <w:u w:val="none"/>
              </w:rPr>
              <w:t>明火</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、高热能引起燃烧爆炸。与氧化剂能发生强烈反应。其蒸气比空气重，能在较低处扩散到相当远的地方，遇火源会着火回燃。</w:t>
            </w:r>
          </w:p>
          <w:p w14:paraId="51EE128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【健康危害】</w:t>
            </w:r>
          </w:p>
          <w:p w14:paraId="1353278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蒸气可引起眼及</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"http://baike.baidu.com/view/1696623.htm" \t "_blank" </w:instrText>
            </w:r>
            <w:r>
              <w:rPr>
                <w:rFonts w:hint="eastAsia" w:ascii="宋体" w:hAnsi="宋体" w:eastAsia="宋体" w:cs="宋体"/>
                <w:color w:val="auto"/>
                <w:sz w:val="21"/>
                <w:szCs w:val="21"/>
                <w:u w:val="none"/>
              </w:rPr>
              <w:fldChar w:fldCharType="separate"/>
            </w:r>
            <w:r>
              <w:rPr>
                <w:rFonts w:hint="eastAsia" w:ascii="宋体" w:hAnsi="宋体" w:eastAsia="宋体" w:cs="宋体"/>
                <w:color w:val="auto"/>
                <w:sz w:val="21"/>
                <w:szCs w:val="21"/>
                <w:u w:val="none"/>
              </w:rPr>
              <w:t>上呼吸道</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刺激症状，如浓度过高，几分钟即可引起</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"http://baike.baidu.com/view/140763.htm" \t "_blank" </w:instrText>
            </w:r>
            <w:r>
              <w:rPr>
                <w:rFonts w:hint="eastAsia" w:ascii="宋体" w:hAnsi="宋体" w:eastAsia="宋体" w:cs="宋体"/>
                <w:color w:val="auto"/>
                <w:sz w:val="21"/>
                <w:szCs w:val="21"/>
                <w:u w:val="none"/>
              </w:rPr>
              <w:fldChar w:fldCharType="separate"/>
            </w:r>
            <w:r>
              <w:rPr>
                <w:rFonts w:hint="eastAsia" w:ascii="宋体" w:hAnsi="宋体" w:eastAsia="宋体" w:cs="宋体"/>
                <w:color w:val="auto"/>
                <w:sz w:val="21"/>
                <w:szCs w:val="21"/>
                <w:u w:val="none"/>
              </w:rPr>
              <w:t>呼吸困难</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、紫绀等</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"http://baike.baidu.com/view/640930.htm" \t "_blank" </w:instrText>
            </w:r>
            <w:r>
              <w:rPr>
                <w:rFonts w:hint="eastAsia" w:ascii="宋体" w:hAnsi="宋体" w:eastAsia="宋体" w:cs="宋体"/>
                <w:color w:val="auto"/>
                <w:sz w:val="21"/>
                <w:szCs w:val="21"/>
                <w:u w:val="none"/>
              </w:rPr>
              <w:fldChar w:fldCharType="separate"/>
            </w:r>
            <w:r>
              <w:rPr>
                <w:rFonts w:hint="eastAsia" w:ascii="宋体" w:hAnsi="宋体" w:eastAsia="宋体" w:cs="宋体"/>
                <w:color w:val="auto"/>
                <w:sz w:val="21"/>
                <w:szCs w:val="21"/>
                <w:u w:val="none"/>
              </w:rPr>
              <w:t>缺氧症状</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w:t>
            </w:r>
          </w:p>
        </w:tc>
      </w:tr>
      <w:tr w14:paraId="1766B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vAlign w:val="center"/>
          </w:tcPr>
          <w:p w14:paraId="15CD5F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安全</w:t>
            </w:r>
          </w:p>
          <w:p w14:paraId="62C0B70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措施</w:t>
            </w:r>
          </w:p>
        </w:tc>
        <w:tc>
          <w:tcPr>
            <w:tcW w:w="4576" w:type="pct"/>
            <w:tcBorders>
              <w:tl2br w:val="nil"/>
              <w:tr2bl w:val="nil"/>
            </w:tcBorders>
            <w:vAlign w:val="center"/>
          </w:tcPr>
          <w:p w14:paraId="28D5C3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【操作安全】</w:t>
            </w:r>
          </w:p>
          <w:p w14:paraId="541E485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密闭操作，注意通风。操作人员必须经过专门培训，严格遵守操作规程。建议操作人员佩戴自吸过滤式防毒面具(半面罩)，戴化学安全防护眼镜，穿防静电工作服，戴橡胶耐油手套。远离火种、热源，工作场所严禁吸烟。使用防爆型的通风系统和设备。防止蒸气泄漏到工作场所空气中。避免与氧化剂、还原剂、碱类接触。灌装时应控制流速，且有接地装置，防止静电积聚。搬运时要轻装轻卸，防止包装及容器损坏。配备相应品种和数量的消防器材及泄漏应急处理设备。倒空的容器可能残留有害物。</w:t>
            </w:r>
          </w:p>
          <w:p w14:paraId="600FED5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【储存安全】</w:t>
            </w:r>
          </w:p>
          <w:p w14:paraId="1C5DB0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储存于阴凉、通风的</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"http://baike.baidu.com/view/355779.htm" \t "_blank" </w:instrText>
            </w:r>
            <w:r>
              <w:rPr>
                <w:rFonts w:hint="eastAsia" w:ascii="宋体" w:hAnsi="宋体" w:eastAsia="宋体" w:cs="宋体"/>
                <w:color w:val="auto"/>
                <w:sz w:val="21"/>
                <w:szCs w:val="21"/>
                <w:u w:val="none"/>
              </w:rPr>
              <w:fldChar w:fldCharType="separate"/>
            </w:r>
            <w:r>
              <w:rPr>
                <w:rFonts w:hint="eastAsia" w:ascii="宋体" w:hAnsi="宋体" w:eastAsia="宋体" w:cs="宋体"/>
                <w:color w:val="auto"/>
                <w:sz w:val="21"/>
                <w:szCs w:val="21"/>
                <w:u w:val="none"/>
              </w:rPr>
              <w:t>库房</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。远离</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"http://baike.baidu.com/view/392145.htm" \t "_blank" </w:instrText>
            </w:r>
            <w:r>
              <w:rPr>
                <w:rFonts w:hint="eastAsia" w:ascii="宋体" w:hAnsi="宋体" w:eastAsia="宋体" w:cs="宋体"/>
                <w:color w:val="auto"/>
                <w:sz w:val="21"/>
                <w:szCs w:val="21"/>
                <w:u w:val="none"/>
              </w:rPr>
              <w:fldChar w:fldCharType="separate"/>
            </w:r>
            <w:r>
              <w:rPr>
                <w:rFonts w:hint="eastAsia" w:ascii="宋体" w:hAnsi="宋体" w:eastAsia="宋体" w:cs="宋体"/>
                <w:color w:val="auto"/>
                <w:sz w:val="21"/>
                <w:szCs w:val="21"/>
                <w:u w:val="none"/>
              </w:rPr>
              <w:t>火种</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、热源。库温不宜超过30℃。保持容器密封。应与氧化剂分开存放，切忌混储。采用防爆型照明、通风设施。禁止使用易产生火花的机械设备和工具。储区应备有</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"http://baike.baidu.com/view/2840907.htm" \t "_blank" </w:instrText>
            </w:r>
            <w:r>
              <w:rPr>
                <w:rFonts w:hint="eastAsia" w:ascii="宋体" w:hAnsi="宋体" w:eastAsia="宋体" w:cs="宋体"/>
                <w:color w:val="auto"/>
                <w:sz w:val="21"/>
                <w:szCs w:val="21"/>
                <w:u w:val="none"/>
              </w:rPr>
              <w:fldChar w:fldCharType="separate"/>
            </w:r>
            <w:r>
              <w:rPr>
                <w:rFonts w:hint="eastAsia" w:ascii="宋体" w:hAnsi="宋体" w:eastAsia="宋体" w:cs="宋体"/>
                <w:color w:val="auto"/>
                <w:sz w:val="21"/>
                <w:szCs w:val="21"/>
                <w:u w:val="none"/>
              </w:rPr>
              <w:t>泄漏应急处理</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设备和合适的收容材料。</w:t>
            </w:r>
          </w:p>
          <w:p w14:paraId="4E99768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【运输安全】</w:t>
            </w:r>
          </w:p>
          <w:p w14:paraId="057B6EE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运输时运输车辆应配备相应品种和数量的消防器材及泄漏应急处理设备。夏季最好早晚运输。运输时所用的槽(罐)车应有接地链，槽内可设孔隔板以减少震荡产生静电。严禁与氧化剂、食用化学品等混装混运。运输途中应防曝晒、雨淋，防高温。中途停留时应远离火种、</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"http://baike.baidu.com/view/836215.htm" \t "_blank" </w:instrText>
            </w:r>
            <w:r>
              <w:rPr>
                <w:rFonts w:hint="eastAsia" w:ascii="宋体" w:hAnsi="宋体" w:eastAsia="宋体" w:cs="宋体"/>
                <w:color w:val="auto"/>
                <w:sz w:val="21"/>
                <w:szCs w:val="21"/>
                <w:u w:val="none"/>
              </w:rPr>
              <w:fldChar w:fldCharType="separate"/>
            </w:r>
            <w:r>
              <w:rPr>
                <w:rFonts w:hint="eastAsia" w:ascii="宋体" w:hAnsi="宋体" w:eastAsia="宋体" w:cs="宋体"/>
                <w:color w:val="auto"/>
                <w:sz w:val="21"/>
                <w:szCs w:val="21"/>
                <w:u w:val="none"/>
              </w:rPr>
              <w:t>热源</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、高温区。装运该物品的车辆排气管必须配备阻火装置，禁止使用易产生火花的机械设备和工具装卸。公路运输时要按规定路线行驶，勿在</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"http://baike.baidu.com/view/714016.htm" \t "_blank" </w:instrText>
            </w:r>
            <w:r>
              <w:rPr>
                <w:rFonts w:hint="eastAsia" w:ascii="宋体" w:hAnsi="宋体" w:eastAsia="宋体" w:cs="宋体"/>
                <w:color w:val="auto"/>
                <w:sz w:val="21"/>
                <w:szCs w:val="21"/>
                <w:u w:val="none"/>
              </w:rPr>
              <w:fldChar w:fldCharType="separate"/>
            </w:r>
            <w:r>
              <w:rPr>
                <w:rFonts w:hint="eastAsia" w:ascii="宋体" w:hAnsi="宋体" w:eastAsia="宋体" w:cs="宋体"/>
                <w:color w:val="auto"/>
                <w:sz w:val="21"/>
                <w:szCs w:val="21"/>
                <w:u w:val="none"/>
              </w:rPr>
              <w:t>居民区</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和人口稠密区停留。铁路运输时要禁止溜放。严禁用木船、水泥船散装运输</w:t>
            </w:r>
          </w:p>
        </w:tc>
      </w:tr>
      <w:tr w14:paraId="1D9C2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vAlign w:val="center"/>
          </w:tcPr>
          <w:p w14:paraId="64BE9A7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应急</w:t>
            </w:r>
          </w:p>
          <w:p w14:paraId="0EB1E1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处置</w:t>
            </w:r>
          </w:p>
          <w:p w14:paraId="648DF69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原则</w:t>
            </w:r>
          </w:p>
        </w:tc>
        <w:tc>
          <w:tcPr>
            <w:tcW w:w="4576" w:type="pct"/>
            <w:tcBorders>
              <w:tl2br w:val="nil"/>
              <w:tr2bl w:val="nil"/>
            </w:tcBorders>
            <w:vAlign w:val="center"/>
          </w:tcPr>
          <w:p w14:paraId="3B2D41A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【急救措施】</w:t>
            </w:r>
          </w:p>
          <w:p w14:paraId="7C58382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皮肤接触：脱去污染的衣着，用大量流动清水彻底冲洗。</w:t>
            </w:r>
          </w:p>
          <w:p w14:paraId="5E39898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眼睛接触：立即翻开上下眼睑，用流动清水或生理盐水冲洗至少15分钟，就医。</w:t>
            </w:r>
          </w:p>
          <w:p w14:paraId="040CEB0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吸入：迅速脱离现场至空气新鲜处。保持呼吸道通畅。呼吸困难时给输氧。呼吸停止时，立即进行人工呼吸。就医。</w:t>
            </w:r>
          </w:p>
          <w:p w14:paraId="2935C9D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食入：催吐，就医</w:t>
            </w:r>
          </w:p>
          <w:p w14:paraId="7AF1DB7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【灭火方法】</w:t>
            </w:r>
          </w:p>
          <w:p w14:paraId="3B16E3C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p w14:paraId="42B0B7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【泄漏应急处置】</w:t>
            </w:r>
          </w:p>
          <w:p w14:paraId="6C37572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切断火源：在确保安全情况下堵漏。禁止泄漏物进入受限制的空间(如下水道等)，以避免发生爆炸。喷水雾可减少蒸发。用砂土、蛭石或其它惰性材料吸收，然后收集运至废物处理场所。或在保证安全情况下，就地焚烧。如大量泄漏，利用围堤收容，然后收集、转移、回收或无害处理后废弃。</w:t>
            </w:r>
          </w:p>
        </w:tc>
      </w:tr>
    </w:tbl>
    <w:p w14:paraId="01D389FD">
      <w:pPr>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eastAsia" w:cs="Times New Roman"/>
          <w:color w:val="auto"/>
          <w:kern w:val="2"/>
          <w:sz w:val="24"/>
          <w:szCs w:val="24"/>
          <w:highlight w:val="none"/>
          <w:u w:val="none"/>
          <w:lang w:val="en-US" w:eastAsia="zh-CN" w:bidi="ar"/>
        </w:rPr>
        <w:t>3）</w:t>
      </w:r>
      <w:r>
        <w:rPr>
          <w:rFonts w:hint="default" w:ascii="Times New Roman" w:hAnsi="Times New Roman" w:eastAsia="宋体" w:cs="Times New Roman"/>
          <w:color w:val="auto"/>
          <w:kern w:val="0"/>
          <w:sz w:val="24"/>
          <w:szCs w:val="24"/>
          <w:highlight w:val="none"/>
          <w:u w:val="none"/>
          <w:lang w:val="en-US" w:eastAsia="zh-CN" w:bidi="ar-SA"/>
        </w:rPr>
        <w:t>天然气</w:t>
      </w:r>
    </w:p>
    <w:p w14:paraId="64C266C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黑体" w:cs="Times New Roman"/>
          <w:b/>
          <w:color w:val="auto"/>
          <w:kern w:val="2"/>
          <w:sz w:val="21"/>
          <w:szCs w:val="21"/>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天然气中甲烷、乙烷属单纯窒息性气体，对人体基本无毒。其它组分如丙烷、异丁烷、正丁烷、异戊烷、正戊烷等都为微毒或低毒物质。天然气除气态烃外，还有少量二氧化碳、氮气等非烃气体。天然气理化性质、危险危害特性及防护措施</w:t>
      </w:r>
      <w:r>
        <w:rPr>
          <w:rFonts w:hint="eastAsia" w:cs="Times New Roman"/>
          <w:color w:val="auto"/>
          <w:kern w:val="0"/>
          <w:sz w:val="24"/>
          <w:szCs w:val="24"/>
          <w:highlight w:val="none"/>
          <w:u w:val="none"/>
          <w:lang w:val="en-US" w:eastAsia="zh-CN" w:bidi="ar-SA"/>
        </w:rPr>
        <w:t>，</w:t>
      </w:r>
      <w:r>
        <w:rPr>
          <w:rFonts w:hint="default" w:ascii="Times New Roman" w:hAnsi="Times New Roman" w:eastAsia="宋体" w:cs="Times New Roman"/>
          <w:color w:val="auto"/>
          <w:kern w:val="0"/>
          <w:sz w:val="24"/>
          <w:szCs w:val="24"/>
          <w:highlight w:val="none"/>
          <w:u w:val="none"/>
          <w:lang w:val="en-US" w:eastAsia="zh-CN" w:bidi="ar-SA"/>
        </w:rPr>
        <w:t>见表</w:t>
      </w:r>
      <w:r>
        <w:rPr>
          <w:rFonts w:hint="eastAsia" w:cs="Times New Roman"/>
          <w:color w:val="auto"/>
          <w:kern w:val="0"/>
          <w:sz w:val="24"/>
          <w:szCs w:val="24"/>
          <w:highlight w:val="none"/>
          <w:u w:val="none"/>
          <w:lang w:val="en-US" w:eastAsia="zh-CN" w:bidi="ar-SA"/>
        </w:rPr>
        <w:t>5.8-4</w:t>
      </w:r>
      <w:r>
        <w:rPr>
          <w:rFonts w:hint="default" w:ascii="Times New Roman" w:hAnsi="Times New Roman" w:eastAsia="宋体" w:cs="Times New Roman"/>
          <w:color w:val="auto"/>
          <w:kern w:val="0"/>
          <w:sz w:val="24"/>
          <w:szCs w:val="24"/>
          <w:highlight w:val="none"/>
          <w:u w:val="none"/>
          <w:lang w:val="en-US" w:eastAsia="zh-CN" w:bidi="ar-SA"/>
        </w:rPr>
        <w:t>。</w:t>
      </w:r>
    </w:p>
    <w:p w14:paraId="602F89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color w:val="auto"/>
          <w:kern w:val="2"/>
          <w:sz w:val="21"/>
          <w:szCs w:val="20"/>
          <w:highlight w:val="none"/>
          <w:u w:val="none"/>
          <w:lang w:val="en-US" w:eastAsia="zh-CN" w:bidi="ar-SA"/>
        </w:rPr>
      </w:pPr>
      <w:r>
        <w:rPr>
          <w:rFonts w:hint="default" w:ascii="黑体" w:hAnsi="黑体" w:eastAsia="黑体" w:cs="黑体"/>
          <w:b w:val="0"/>
          <w:bCs/>
          <w:color w:val="auto"/>
          <w:kern w:val="2"/>
          <w:sz w:val="24"/>
          <w:szCs w:val="24"/>
          <w:u w:val="none"/>
          <w:lang w:val="en-US" w:eastAsia="zh-CN" w:bidi="ar-SA"/>
        </w:rPr>
        <w:t>表</w:t>
      </w:r>
      <w:r>
        <w:rPr>
          <w:rFonts w:hint="eastAsia" w:ascii="黑体" w:hAnsi="黑体" w:eastAsia="黑体" w:cs="黑体"/>
          <w:b w:val="0"/>
          <w:bCs/>
          <w:color w:val="auto"/>
          <w:kern w:val="2"/>
          <w:sz w:val="24"/>
          <w:szCs w:val="24"/>
          <w:u w:val="none"/>
          <w:lang w:val="en-US" w:eastAsia="zh-CN" w:bidi="ar-SA"/>
        </w:rPr>
        <w:t xml:space="preserve">5.8-4  </w:t>
      </w:r>
      <w:r>
        <w:rPr>
          <w:rFonts w:hint="default" w:ascii="黑体" w:hAnsi="黑体" w:eastAsia="黑体" w:cs="黑体"/>
          <w:b w:val="0"/>
          <w:bCs/>
          <w:color w:val="auto"/>
          <w:kern w:val="2"/>
          <w:sz w:val="24"/>
          <w:szCs w:val="24"/>
          <w:u w:val="none"/>
          <w:lang w:val="en-US" w:eastAsia="zh-CN" w:bidi="ar-SA"/>
        </w:rPr>
        <w:t>天然气理化性质、危险危害特性及防护措施表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890"/>
        <w:gridCol w:w="1329"/>
        <w:gridCol w:w="593"/>
        <w:gridCol w:w="1371"/>
        <w:gridCol w:w="1150"/>
        <w:gridCol w:w="902"/>
        <w:gridCol w:w="283"/>
        <w:gridCol w:w="2169"/>
      </w:tblGrid>
      <w:tr w14:paraId="33359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vMerge w:val="restart"/>
            <w:tcBorders>
              <w:tl2br w:val="nil"/>
              <w:tr2bl w:val="nil"/>
            </w:tcBorders>
            <w:noWrap w:val="0"/>
            <w:vAlign w:val="center"/>
          </w:tcPr>
          <w:p w14:paraId="4F116630">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化学品</w:t>
            </w:r>
          </w:p>
          <w:p w14:paraId="50436264">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名称</w:t>
            </w:r>
          </w:p>
        </w:tc>
        <w:tc>
          <w:tcPr>
            <w:tcW w:w="1106" w:type="pct"/>
            <w:gridSpan w:val="2"/>
            <w:tcBorders>
              <w:tl2br w:val="nil"/>
              <w:tr2bl w:val="nil"/>
            </w:tcBorders>
            <w:noWrap w:val="0"/>
            <w:tcMar>
              <w:top w:w="28" w:type="dxa"/>
              <w:left w:w="57" w:type="dxa"/>
              <w:bottom w:w="28" w:type="dxa"/>
              <w:right w:w="57" w:type="dxa"/>
            </w:tcMar>
            <w:vAlign w:val="center"/>
          </w:tcPr>
          <w:p w14:paraId="0796DE1C">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化学品中文名称</w:t>
            </w:r>
          </w:p>
        </w:tc>
        <w:tc>
          <w:tcPr>
            <w:tcW w:w="3380" w:type="pct"/>
            <w:gridSpan w:val="5"/>
            <w:tcBorders>
              <w:tl2br w:val="nil"/>
              <w:tr2bl w:val="nil"/>
            </w:tcBorders>
            <w:noWrap w:val="0"/>
            <w:tcMar>
              <w:top w:w="0" w:type="dxa"/>
              <w:left w:w="57" w:type="dxa"/>
              <w:bottom w:w="0" w:type="dxa"/>
              <w:right w:w="57" w:type="dxa"/>
            </w:tcMar>
            <w:vAlign w:val="center"/>
          </w:tcPr>
          <w:p w14:paraId="6608CDA8">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天然气</w:t>
            </w:r>
          </w:p>
        </w:tc>
      </w:tr>
      <w:tr w14:paraId="5ACA6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699D2681">
            <w:pPr>
              <w:keepNext w:val="0"/>
              <w:keepLines w:val="0"/>
              <w:pageBreakBefore w:val="0"/>
              <w:widowControl/>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p>
        </w:tc>
        <w:tc>
          <w:tcPr>
            <w:tcW w:w="1106" w:type="pct"/>
            <w:gridSpan w:val="2"/>
            <w:tcBorders>
              <w:tl2br w:val="nil"/>
              <w:tr2bl w:val="nil"/>
            </w:tcBorders>
            <w:noWrap w:val="0"/>
            <w:tcMar>
              <w:top w:w="28" w:type="dxa"/>
              <w:left w:w="57" w:type="dxa"/>
              <w:bottom w:w="28" w:type="dxa"/>
              <w:right w:w="57" w:type="dxa"/>
            </w:tcMar>
            <w:vAlign w:val="center"/>
          </w:tcPr>
          <w:p w14:paraId="255B5A0C">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化学品英文名称</w:t>
            </w:r>
          </w:p>
        </w:tc>
        <w:tc>
          <w:tcPr>
            <w:tcW w:w="3380" w:type="pct"/>
            <w:gridSpan w:val="5"/>
            <w:tcBorders>
              <w:tl2br w:val="nil"/>
              <w:tr2bl w:val="nil"/>
            </w:tcBorders>
            <w:noWrap w:val="0"/>
            <w:tcMar>
              <w:top w:w="0" w:type="dxa"/>
              <w:left w:w="57" w:type="dxa"/>
              <w:bottom w:w="0" w:type="dxa"/>
              <w:right w:w="57" w:type="dxa"/>
            </w:tcMar>
            <w:vAlign w:val="center"/>
          </w:tcPr>
          <w:p w14:paraId="43050595">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Naturalgasdehydration</w:t>
            </w:r>
          </w:p>
        </w:tc>
      </w:tr>
      <w:tr w14:paraId="64F85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vMerge w:val="restart"/>
            <w:tcBorders>
              <w:tl2br w:val="nil"/>
              <w:tr2bl w:val="nil"/>
            </w:tcBorders>
            <w:noWrap w:val="0"/>
            <w:vAlign w:val="center"/>
          </w:tcPr>
          <w:p w14:paraId="37CABAC3">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成分/组成信息</w:t>
            </w:r>
          </w:p>
        </w:tc>
        <w:tc>
          <w:tcPr>
            <w:tcW w:w="1895" w:type="pct"/>
            <w:gridSpan w:val="3"/>
            <w:tcBorders>
              <w:tl2br w:val="nil"/>
              <w:tr2bl w:val="nil"/>
            </w:tcBorders>
            <w:noWrap w:val="0"/>
            <w:tcMar>
              <w:top w:w="28" w:type="dxa"/>
              <w:left w:w="57" w:type="dxa"/>
              <w:bottom w:w="28" w:type="dxa"/>
              <w:right w:w="57" w:type="dxa"/>
            </w:tcMar>
            <w:vAlign w:val="center"/>
          </w:tcPr>
          <w:p w14:paraId="5E734C1B">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主要有害成分</w:t>
            </w:r>
          </w:p>
        </w:tc>
        <w:tc>
          <w:tcPr>
            <w:tcW w:w="2591" w:type="pct"/>
            <w:gridSpan w:val="4"/>
            <w:tcBorders>
              <w:tl2br w:val="nil"/>
              <w:tr2bl w:val="nil"/>
            </w:tcBorders>
            <w:noWrap w:val="0"/>
            <w:tcMar>
              <w:top w:w="0" w:type="dxa"/>
              <w:left w:w="57" w:type="dxa"/>
              <w:bottom w:w="0" w:type="dxa"/>
              <w:right w:w="57" w:type="dxa"/>
            </w:tcMar>
            <w:vAlign w:val="center"/>
          </w:tcPr>
          <w:p w14:paraId="46E54E0D">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甲烷</w:t>
            </w:r>
          </w:p>
        </w:tc>
      </w:tr>
      <w:tr w14:paraId="6A9D0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7CE2D5F2">
            <w:pPr>
              <w:keepNext w:val="0"/>
              <w:keepLines w:val="0"/>
              <w:pageBreakBefore w:val="0"/>
              <w:widowControl/>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p>
        </w:tc>
        <w:tc>
          <w:tcPr>
            <w:tcW w:w="1106" w:type="pct"/>
            <w:gridSpan w:val="2"/>
            <w:tcBorders>
              <w:tl2br w:val="nil"/>
              <w:tr2bl w:val="nil"/>
            </w:tcBorders>
            <w:noWrap w:val="0"/>
            <w:vAlign w:val="center"/>
          </w:tcPr>
          <w:p w14:paraId="2FC780AB">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分子式</w:t>
            </w:r>
          </w:p>
        </w:tc>
        <w:tc>
          <w:tcPr>
            <w:tcW w:w="789" w:type="pct"/>
            <w:tcBorders>
              <w:tl2br w:val="nil"/>
              <w:tr2bl w:val="nil"/>
            </w:tcBorders>
            <w:noWrap w:val="0"/>
            <w:vAlign w:val="center"/>
          </w:tcPr>
          <w:p w14:paraId="78FD6F2F">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CH</w:t>
            </w:r>
            <w:r>
              <w:rPr>
                <w:rFonts w:hint="default" w:ascii="Times New Roman" w:hAnsi="Times New Roman" w:cs="Times New Roman"/>
                <w:color w:val="auto"/>
                <w:kern w:val="0"/>
                <w:sz w:val="21"/>
                <w:szCs w:val="21"/>
                <w:highlight w:val="none"/>
                <w:u w:val="none"/>
                <w:vertAlign w:val="subscript"/>
              </w:rPr>
              <w:t>4</w:t>
            </w:r>
          </w:p>
        </w:tc>
        <w:tc>
          <w:tcPr>
            <w:tcW w:w="1181" w:type="pct"/>
            <w:gridSpan w:val="2"/>
            <w:tcBorders>
              <w:tl2br w:val="nil"/>
              <w:tr2bl w:val="nil"/>
            </w:tcBorders>
            <w:noWrap w:val="0"/>
            <w:tcMar>
              <w:top w:w="28" w:type="dxa"/>
              <w:left w:w="57" w:type="dxa"/>
              <w:bottom w:w="28" w:type="dxa"/>
              <w:right w:w="57" w:type="dxa"/>
            </w:tcMar>
            <w:vAlign w:val="center"/>
          </w:tcPr>
          <w:p w14:paraId="587CF21F">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分子量</w:t>
            </w:r>
          </w:p>
        </w:tc>
        <w:tc>
          <w:tcPr>
            <w:tcW w:w="1410" w:type="pct"/>
            <w:gridSpan w:val="2"/>
            <w:tcBorders>
              <w:tl2br w:val="nil"/>
              <w:tr2bl w:val="nil"/>
            </w:tcBorders>
            <w:noWrap w:val="0"/>
            <w:tcMar>
              <w:top w:w="0" w:type="dxa"/>
              <w:left w:w="57" w:type="dxa"/>
              <w:bottom w:w="0" w:type="dxa"/>
              <w:right w:w="57" w:type="dxa"/>
            </w:tcMar>
            <w:vAlign w:val="center"/>
          </w:tcPr>
          <w:p w14:paraId="565CCE48">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16.05</w:t>
            </w:r>
          </w:p>
        </w:tc>
      </w:tr>
      <w:tr w14:paraId="5EF3C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1553" w:hRule="atLeast"/>
          <w:jc w:val="center"/>
        </w:trPr>
        <w:tc>
          <w:tcPr>
            <w:tcW w:w="512" w:type="pct"/>
            <w:tcBorders>
              <w:tl2br w:val="nil"/>
              <w:tr2bl w:val="nil"/>
            </w:tcBorders>
            <w:noWrap w:val="0"/>
            <w:tcMar>
              <w:top w:w="28" w:type="dxa"/>
              <w:left w:w="57" w:type="dxa"/>
              <w:bottom w:w="28" w:type="dxa"/>
              <w:right w:w="57" w:type="dxa"/>
            </w:tcMar>
            <w:vAlign w:val="center"/>
          </w:tcPr>
          <w:p w14:paraId="6D5B5497">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危险</w:t>
            </w:r>
          </w:p>
          <w:p w14:paraId="128C8E49">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特性</w:t>
            </w:r>
          </w:p>
        </w:tc>
        <w:tc>
          <w:tcPr>
            <w:tcW w:w="4487" w:type="pct"/>
            <w:gridSpan w:val="7"/>
            <w:tcBorders>
              <w:tl2br w:val="nil"/>
              <w:tr2bl w:val="nil"/>
            </w:tcBorders>
            <w:noWrap w:val="0"/>
            <w:tcMar>
              <w:top w:w="28" w:type="dxa"/>
              <w:left w:w="11" w:type="dxa"/>
              <w:bottom w:w="28" w:type="dxa"/>
              <w:right w:w="11" w:type="dxa"/>
            </w:tcMar>
            <w:vAlign w:val="center"/>
          </w:tcPr>
          <w:p w14:paraId="5C763377">
            <w:pPr>
              <w:keepNext w:val="0"/>
              <w:keepLines w:val="0"/>
              <w:pageBreakBefore w:val="0"/>
              <w:widowControl/>
              <w:shd w:val="clear" w:color="auto" w:fill="FFFFFF"/>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危险性类别：第2.1类易燃气体。</w:t>
            </w:r>
          </w:p>
          <w:p w14:paraId="4C6A0EFD">
            <w:pPr>
              <w:keepNext w:val="0"/>
              <w:keepLines w:val="0"/>
              <w:pageBreakBefore w:val="0"/>
              <w:widowControl/>
              <w:shd w:val="clear" w:color="auto" w:fill="FFFFFF"/>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侵入途径：吸入。</w:t>
            </w:r>
          </w:p>
          <w:p w14:paraId="7338F64D">
            <w:pPr>
              <w:keepNext w:val="0"/>
              <w:keepLines w:val="0"/>
              <w:pageBreakBefore w:val="0"/>
              <w:widowControl/>
              <w:shd w:val="clear" w:color="auto" w:fill="FFFFFF"/>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健康危害：空气中甲烷浓度过高，能使人窒息。当空气中甲烷达25%</w:t>
            </w:r>
            <w:r>
              <w:rPr>
                <w:rFonts w:hint="eastAsia" w:ascii="Times New Roman" w:hAnsi="Times New Roman" w:cs="Times New Roman"/>
                <w:color w:val="auto"/>
                <w:kern w:val="0"/>
                <w:sz w:val="21"/>
                <w:szCs w:val="21"/>
                <w:highlight w:val="none"/>
                <w:u w:val="none"/>
                <w:lang w:eastAsia="zh-CN"/>
              </w:rPr>
              <w:t>～</w:t>
            </w:r>
            <w:r>
              <w:rPr>
                <w:rFonts w:hint="default" w:ascii="Times New Roman" w:hAnsi="Times New Roman" w:cs="Times New Roman"/>
                <w:color w:val="auto"/>
                <w:kern w:val="0"/>
                <w:sz w:val="21"/>
                <w:szCs w:val="21"/>
                <w:highlight w:val="none"/>
                <w:u w:val="none"/>
              </w:rPr>
              <w:t>30%时，可引起头痛、头晕、乏力、注意力不集中、呼吸和心跳加速、共济失调。若不及时脱离，可致窒息死亡。皮肤接触液化气体可致冻伤。</w:t>
            </w:r>
          </w:p>
          <w:p w14:paraId="438C1E98">
            <w:pPr>
              <w:keepNext w:val="0"/>
              <w:keepLines w:val="0"/>
              <w:pageBreakBefore w:val="0"/>
              <w:widowControl/>
              <w:shd w:val="clear" w:color="auto" w:fill="FFFFFF"/>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环境危害：对环境有害。</w:t>
            </w:r>
          </w:p>
          <w:p w14:paraId="1742B8C1">
            <w:pPr>
              <w:keepNext w:val="0"/>
              <w:keepLines w:val="0"/>
              <w:pageBreakBefore w:val="0"/>
              <w:widowControl/>
              <w:shd w:val="clear" w:color="auto" w:fill="FFFFFF"/>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燃爆危险：易燃，与空气混合能形成爆炸性混合物。</w:t>
            </w:r>
          </w:p>
        </w:tc>
      </w:tr>
      <w:tr w14:paraId="10D8C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5D26F18B">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急救</w:t>
            </w:r>
          </w:p>
          <w:p w14:paraId="3FCEF74B">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措施</w:t>
            </w:r>
          </w:p>
        </w:tc>
        <w:tc>
          <w:tcPr>
            <w:tcW w:w="4487" w:type="pct"/>
            <w:gridSpan w:val="7"/>
            <w:tcBorders>
              <w:tl2br w:val="nil"/>
              <w:tr2bl w:val="nil"/>
            </w:tcBorders>
            <w:noWrap w:val="0"/>
            <w:tcMar>
              <w:top w:w="28" w:type="dxa"/>
              <w:left w:w="11" w:type="dxa"/>
              <w:bottom w:w="28" w:type="dxa"/>
              <w:right w:w="11" w:type="dxa"/>
            </w:tcMar>
            <w:vAlign w:val="center"/>
          </w:tcPr>
          <w:p w14:paraId="27E2A744">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皮肤接触：如果发生冻伤，将患部浸泡于保持在38~42℃的温水中复温。不要涂擦。不要使用热水或辐射热。使用清洁、干燥的敷料包扎。如有不适感，就医。</w:t>
            </w:r>
          </w:p>
          <w:p w14:paraId="125C02AB">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吸入：迅速脱离现场至空气新鲜处。保持呼吸道通畅。如呼吸困难，给输氧。呼吸、心跳停止，立即进行心肺复苏术。就医。</w:t>
            </w:r>
          </w:p>
        </w:tc>
      </w:tr>
      <w:tr w14:paraId="15827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48F091DE">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消防</w:t>
            </w:r>
          </w:p>
          <w:p w14:paraId="4DCF7A64">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措施</w:t>
            </w:r>
          </w:p>
        </w:tc>
        <w:tc>
          <w:tcPr>
            <w:tcW w:w="4487" w:type="pct"/>
            <w:gridSpan w:val="7"/>
            <w:tcBorders>
              <w:tl2br w:val="nil"/>
              <w:tr2bl w:val="nil"/>
            </w:tcBorders>
            <w:noWrap w:val="0"/>
            <w:tcMar>
              <w:top w:w="28" w:type="dxa"/>
              <w:left w:w="11" w:type="dxa"/>
              <w:bottom w:w="28" w:type="dxa"/>
              <w:right w:w="11" w:type="dxa"/>
            </w:tcMar>
            <w:vAlign w:val="center"/>
          </w:tcPr>
          <w:p w14:paraId="6936A9A8">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危险特性：易燃，与空气混合能形成爆炸性混合物，遇热源和明火有燃烧爆炸的危险。与五氧化溴、氯气、次氯酸、三氟化氮、液氧、二氟化氧及其它强氧化剂接触发生剧烈反应。有害燃烧产物：一氧化碳。</w:t>
            </w:r>
          </w:p>
          <w:p w14:paraId="13B547CE">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灭火方法：用雾状水、泡沫、二氧化碳、干粉灭火。切断气源。若不能切断气源，则不允许熄灭泄漏处的火焰。消防人员必须佩戴空气呼吸器、穿全身防火防毒服，在上风向灭火。尽可能将容器从火场移至空旷处。喷水保持火场容器冷却，直至灭火结束。</w:t>
            </w:r>
          </w:p>
        </w:tc>
      </w:tr>
      <w:tr w14:paraId="70C4F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6B0EDC6B">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泄漏应急处理</w:t>
            </w:r>
          </w:p>
        </w:tc>
        <w:tc>
          <w:tcPr>
            <w:tcW w:w="4487" w:type="pct"/>
            <w:gridSpan w:val="7"/>
            <w:tcBorders>
              <w:tl2br w:val="nil"/>
              <w:tr2bl w:val="nil"/>
            </w:tcBorders>
            <w:noWrap w:val="0"/>
            <w:tcMar>
              <w:top w:w="28" w:type="dxa"/>
              <w:left w:w="11" w:type="dxa"/>
              <w:bottom w:w="28" w:type="dxa"/>
              <w:right w:w="11" w:type="dxa"/>
            </w:tcMar>
            <w:vAlign w:val="center"/>
          </w:tcPr>
          <w:p w14:paraId="21A34531">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消除所有点火源。根据气体扩散的影响区域划定警戒区，无关人员从侧风、上风向撤离至安全区。建议应急处理人员戴正压自给式呼吸器，穿防静电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限制性空间扩散。隔离</w:t>
            </w:r>
            <w:r>
              <w:rPr>
                <w:rFonts w:hint="eastAsia" w:cs="Times New Roman"/>
                <w:color w:val="auto"/>
                <w:kern w:val="0"/>
                <w:sz w:val="21"/>
                <w:szCs w:val="21"/>
                <w:highlight w:val="none"/>
                <w:u w:val="none"/>
                <w:lang w:eastAsia="zh-CN"/>
              </w:rPr>
              <w:t>泄漏</w:t>
            </w:r>
            <w:r>
              <w:rPr>
                <w:rFonts w:hint="default" w:ascii="Times New Roman" w:hAnsi="Times New Roman" w:cs="Times New Roman"/>
                <w:color w:val="auto"/>
                <w:kern w:val="0"/>
                <w:sz w:val="21"/>
                <w:szCs w:val="21"/>
                <w:highlight w:val="none"/>
                <w:u w:val="none"/>
              </w:rPr>
              <w:t>区直至气体散尽。</w:t>
            </w:r>
          </w:p>
        </w:tc>
      </w:tr>
      <w:tr w14:paraId="74AE0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460B1716">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操作处置与储存</w:t>
            </w:r>
          </w:p>
        </w:tc>
        <w:tc>
          <w:tcPr>
            <w:tcW w:w="4487" w:type="pct"/>
            <w:gridSpan w:val="7"/>
            <w:tcBorders>
              <w:tl2br w:val="nil"/>
              <w:tr2bl w:val="nil"/>
            </w:tcBorders>
            <w:noWrap w:val="0"/>
            <w:tcMar>
              <w:top w:w="28" w:type="dxa"/>
              <w:left w:w="11" w:type="dxa"/>
              <w:bottom w:w="28" w:type="dxa"/>
              <w:right w:w="11" w:type="dxa"/>
            </w:tcMar>
            <w:vAlign w:val="center"/>
          </w:tcPr>
          <w:p w14:paraId="71E3337F">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操作注意事项：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附件破损。配备相应品种和数量的消防器材及泄漏应急处理设备。</w:t>
            </w:r>
          </w:p>
          <w:p w14:paraId="716F968B">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储存注意事项：钢瓶装本品储存于阴凉、通风的易燃气体专用库房。远离火种、热源。库温不宜超过30℃。应与氧化剂等分开存放，切忌混储。采用防爆型照明、通风设施。禁止使用易产生火花的机械设备和工具。储区应备有泄漏应急处理设备。</w:t>
            </w:r>
          </w:p>
        </w:tc>
      </w:tr>
      <w:tr w14:paraId="6964E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7F75AE0E">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接触控制/个体防护</w:t>
            </w:r>
          </w:p>
        </w:tc>
        <w:tc>
          <w:tcPr>
            <w:tcW w:w="4487" w:type="pct"/>
            <w:gridSpan w:val="7"/>
            <w:tcBorders>
              <w:tl2br w:val="nil"/>
              <w:tr2bl w:val="nil"/>
            </w:tcBorders>
            <w:noWrap w:val="0"/>
            <w:tcMar>
              <w:top w:w="28" w:type="dxa"/>
              <w:left w:w="11" w:type="dxa"/>
              <w:bottom w:w="28" w:type="dxa"/>
              <w:right w:w="11" w:type="dxa"/>
            </w:tcMar>
            <w:vAlign w:val="center"/>
          </w:tcPr>
          <w:p w14:paraId="7408AB9A">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工程控制：生产过程密闭，全面通风。</w:t>
            </w:r>
          </w:p>
          <w:p w14:paraId="53868D97">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呼吸系统防护：一般不需要特殊防护，但建议特殊情况下，佩戴过滤式防毒面具（半面罩）。</w:t>
            </w:r>
          </w:p>
          <w:p w14:paraId="2BA85C69">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眼睛防护：一般不需要特殊防护，高浓度接触时可戴安全防护眼镜。</w:t>
            </w:r>
          </w:p>
          <w:p w14:paraId="0C7F5076">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身体防护：穿防静电工作服。</w:t>
            </w:r>
          </w:p>
          <w:p w14:paraId="7B1F08D0">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手防护：戴一般作业防护手套。</w:t>
            </w:r>
          </w:p>
          <w:p w14:paraId="1EA7AED0">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其他防护：工作现场严禁吸烟。避免长期反复接触。进入限制性空间或其它高浓度区作业，须有人监护。</w:t>
            </w:r>
          </w:p>
        </w:tc>
      </w:tr>
      <w:tr w14:paraId="6FA5E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31" w:hRule="atLeast"/>
          <w:jc w:val="center"/>
        </w:trPr>
        <w:tc>
          <w:tcPr>
            <w:tcW w:w="512" w:type="pct"/>
            <w:vMerge w:val="restart"/>
            <w:tcBorders>
              <w:tl2br w:val="nil"/>
              <w:tr2bl w:val="nil"/>
            </w:tcBorders>
            <w:noWrap w:val="0"/>
            <w:tcMar>
              <w:top w:w="28" w:type="dxa"/>
              <w:left w:w="57" w:type="dxa"/>
              <w:bottom w:w="28" w:type="dxa"/>
              <w:right w:w="57" w:type="dxa"/>
            </w:tcMar>
            <w:vAlign w:val="center"/>
          </w:tcPr>
          <w:p w14:paraId="04F09559">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理化</w:t>
            </w:r>
          </w:p>
          <w:p w14:paraId="39D3A3EF">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特性</w:t>
            </w:r>
          </w:p>
        </w:tc>
        <w:tc>
          <w:tcPr>
            <w:tcW w:w="765" w:type="pct"/>
            <w:tcBorders>
              <w:tl2br w:val="nil"/>
              <w:tr2bl w:val="nil"/>
            </w:tcBorders>
            <w:noWrap w:val="0"/>
            <w:tcMar>
              <w:top w:w="28" w:type="dxa"/>
              <w:left w:w="11" w:type="dxa"/>
              <w:bottom w:w="28" w:type="dxa"/>
              <w:right w:w="11" w:type="dxa"/>
            </w:tcMar>
            <w:vAlign w:val="center"/>
          </w:tcPr>
          <w:p w14:paraId="4D75BC2F">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外观与性状</w:t>
            </w:r>
          </w:p>
        </w:tc>
        <w:tc>
          <w:tcPr>
            <w:tcW w:w="1792" w:type="pct"/>
            <w:gridSpan w:val="3"/>
            <w:tcBorders>
              <w:tl2br w:val="nil"/>
              <w:tr2bl w:val="nil"/>
            </w:tcBorders>
            <w:noWrap w:val="0"/>
            <w:vAlign w:val="center"/>
          </w:tcPr>
          <w:p w14:paraId="365008F2">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无色无味气体</w:t>
            </w:r>
          </w:p>
        </w:tc>
        <w:tc>
          <w:tcPr>
            <w:tcW w:w="682" w:type="pct"/>
            <w:gridSpan w:val="2"/>
            <w:tcBorders>
              <w:tl2br w:val="nil"/>
              <w:tr2bl w:val="nil"/>
            </w:tcBorders>
            <w:noWrap w:val="0"/>
            <w:vAlign w:val="center"/>
          </w:tcPr>
          <w:p w14:paraId="43F46EF2">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lang w:eastAsia="zh-CN"/>
              </w:rPr>
              <w:t>饱和蒸汽</w:t>
            </w:r>
            <w:r>
              <w:rPr>
                <w:rFonts w:hint="default" w:ascii="Times New Roman" w:hAnsi="Times New Roman" w:cs="Times New Roman"/>
                <w:color w:val="auto"/>
                <w:kern w:val="0"/>
                <w:sz w:val="21"/>
                <w:szCs w:val="21"/>
                <w:highlight w:val="none"/>
                <w:u w:val="none"/>
              </w:rPr>
              <w:t>压</w:t>
            </w:r>
          </w:p>
        </w:tc>
        <w:tc>
          <w:tcPr>
            <w:tcW w:w="1247" w:type="pct"/>
            <w:tcBorders>
              <w:tl2br w:val="nil"/>
              <w:tr2bl w:val="nil"/>
            </w:tcBorders>
            <w:noWrap w:val="0"/>
            <w:vAlign w:val="center"/>
          </w:tcPr>
          <w:p w14:paraId="650F593C">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53.32kPa/-168.8℃</w:t>
            </w:r>
          </w:p>
        </w:tc>
      </w:tr>
      <w:tr w14:paraId="67783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512" w:type="pct"/>
            <w:vMerge w:val="continue"/>
            <w:tcBorders>
              <w:tl2br w:val="nil"/>
              <w:tr2bl w:val="nil"/>
            </w:tcBorders>
            <w:noWrap w:val="0"/>
            <w:vAlign w:val="center"/>
          </w:tcPr>
          <w:p w14:paraId="0A0B165E">
            <w:pPr>
              <w:keepNext w:val="0"/>
              <w:keepLines w:val="0"/>
              <w:pageBreakBefore w:val="0"/>
              <w:widowControl/>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p>
        </w:tc>
        <w:tc>
          <w:tcPr>
            <w:tcW w:w="765" w:type="pct"/>
            <w:tcBorders>
              <w:tl2br w:val="nil"/>
              <w:tr2bl w:val="nil"/>
            </w:tcBorders>
            <w:noWrap w:val="0"/>
            <w:tcMar>
              <w:top w:w="28" w:type="dxa"/>
              <w:left w:w="11" w:type="dxa"/>
              <w:bottom w:w="28" w:type="dxa"/>
              <w:right w:w="11" w:type="dxa"/>
            </w:tcMar>
            <w:vAlign w:val="center"/>
          </w:tcPr>
          <w:p w14:paraId="5A3212FD">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沸点</w:t>
            </w:r>
          </w:p>
        </w:tc>
        <w:tc>
          <w:tcPr>
            <w:tcW w:w="1792" w:type="pct"/>
            <w:gridSpan w:val="3"/>
            <w:tcBorders>
              <w:tl2br w:val="nil"/>
              <w:tr2bl w:val="nil"/>
            </w:tcBorders>
            <w:noWrap w:val="0"/>
            <w:vAlign w:val="center"/>
          </w:tcPr>
          <w:p w14:paraId="3E04A750">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-161.4℃</w:t>
            </w:r>
          </w:p>
        </w:tc>
        <w:tc>
          <w:tcPr>
            <w:tcW w:w="682" w:type="pct"/>
            <w:gridSpan w:val="2"/>
            <w:tcBorders>
              <w:tl2br w:val="nil"/>
              <w:tr2bl w:val="nil"/>
            </w:tcBorders>
            <w:noWrap w:val="0"/>
            <w:vAlign w:val="center"/>
          </w:tcPr>
          <w:p w14:paraId="6EDDEC7F">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闪点</w:t>
            </w:r>
          </w:p>
        </w:tc>
        <w:tc>
          <w:tcPr>
            <w:tcW w:w="1247" w:type="pct"/>
            <w:tcBorders>
              <w:tl2br w:val="nil"/>
              <w:tr2bl w:val="nil"/>
            </w:tcBorders>
            <w:noWrap w:val="0"/>
            <w:vAlign w:val="center"/>
          </w:tcPr>
          <w:p w14:paraId="4281CFBA">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-218℃</w:t>
            </w:r>
          </w:p>
        </w:tc>
      </w:tr>
      <w:tr w14:paraId="50593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18BF9E62">
            <w:pPr>
              <w:keepNext w:val="0"/>
              <w:keepLines w:val="0"/>
              <w:pageBreakBefore w:val="0"/>
              <w:widowControl/>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p>
        </w:tc>
        <w:tc>
          <w:tcPr>
            <w:tcW w:w="765" w:type="pct"/>
            <w:tcBorders>
              <w:tl2br w:val="nil"/>
              <w:tr2bl w:val="nil"/>
            </w:tcBorders>
            <w:noWrap w:val="0"/>
            <w:tcMar>
              <w:top w:w="28" w:type="dxa"/>
              <w:left w:w="11" w:type="dxa"/>
              <w:bottom w:w="28" w:type="dxa"/>
              <w:right w:w="11" w:type="dxa"/>
            </w:tcMar>
            <w:vAlign w:val="center"/>
          </w:tcPr>
          <w:p w14:paraId="55B98454">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熔点</w:t>
            </w:r>
          </w:p>
        </w:tc>
        <w:tc>
          <w:tcPr>
            <w:tcW w:w="1792" w:type="pct"/>
            <w:gridSpan w:val="3"/>
            <w:tcBorders>
              <w:tl2br w:val="nil"/>
              <w:tr2bl w:val="nil"/>
            </w:tcBorders>
            <w:noWrap w:val="0"/>
            <w:vAlign w:val="center"/>
          </w:tcPr>
          <w:p w14:paraId="7BE5383A">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-182.6℃</w:t>
            </w:r>
          </w:p>
        </w:tc>
        <w:tc>
          <w:tcPr>
            <w:tcW w:w="682" w:type="pct"/>
            <w:gridSpan w:val="2"/>
            <w:tcBorders>
              <w:tl2br w:val="nil"/>
              <w:tr2bl w:val="nil"/>
            </w:tcBorders>
            <w:noWrap w:val="0"/>
            <w:vAlign w:val="center"/>
          </w:tcPr>
          <w:p w14:paraId="2EEB11C9">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溶解性</w:t>
            </w:r>
          </w:p>
        </w:tc>
        <w:tc>
          <w:tcPr>
            <w:tcW w:w="1247" w:type="pct"/>
            <w:tcBorders>
              <w:tl2br w:val="nil"/>
              <w:tr2bl w:val="nil"/>
            </w:tcBorders>
            <w:noWrap w:val="0"/>
            <w:vAlign w:val="center"/>
          </w:tcPr>
          <w:p w14:paraId="7C3D2B21">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微溶于水，溶于乙醇、乙醚、苯、甲苯等。</w:t>
            </w:r>
          </w:p>
        </w:tc>
      </w:tr>
      <w:tr w14:paraId="71420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59EA1420">
            <w:pPr>
              <w:keepNext w:val="0"/>
              <w:keepLines w:val="0"/>
              <w:pageBreakBefore w:val="0"/>
              <w:widowControl/>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p>
        </w:tc>
        <w:tc>
          <w:tcPr>
            <w:tcW w:w="765" w:type="pct"/>
            <w:tcBorders>
              <w:tl2br w:val="nil"/>
              <w:tr2bl w:val="nil"/>
            </w:tcBorders>
            <w:noWrap w:val="0"/>
            <w:tcMar>
              <w:top w:w="28" w:type="dxa"/>
              <w:left w:w="11" w:type="dxa"/>
              <w:bottom w:w="28" w:type="dxa"/>
              <w:right w:w="11" w:type="dxa"/>
            </w:tcMar>
            <w:vAlign w:val="center"/>
          </w:tcPr>
          <w:p w14:paraId="12C4F892">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密度</w:t>
            </w:r>
          </w:p>
        </w:tc>
        <w:tc>
          <w:tcPr>
            <w:tcW w:w="1792" w:type="pct"/>
            <w:gridSpan w:val="3"/>
            <w:tcBorders>
              <w:tl2br w:val="nil"/>
              <w:tr2bl w:val="nil"/>
            </w:tcBorders>
            <w:noWrap w:val="0"/>
            <w:vAlign w:val="center"/>
          </w:tcPr>
          <w:p w14:paraId="1DF74B17">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相对密度（水=1）：0.42（-164℃）；相对蒸汽密度（空气=1）：0.6</w:t>
            </w:r>
          </w:p>
        </w:tc>
        <w:tc>
          <w:tcPr>
            <w:tcW w:w="682" w:type="pct"/>
            <w:gridSpan w:val="2"/>
            <w:tcBorders>
              <w:tl2br w:val="nil"/>
              <w:tr2bl w:val="nil"/>
            </w:tcBorders>
            <w:noWrap w:val="0"/>
            <w:vAlign w:val="center"/>
          </w:tcPr>
          <w:p w14:paraId="131A7843">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稳定性</w:t>
            </w:r>
          </w:p>
        </w:tc>
        <w:tc>
          <w:tcPr>
            <w:tcW w:w="1247" w:type="pct"/>
            <w:tcBorders>
              <w:tl2br w:val="nil"/>
              <w:tr2bl w:val="nil"/>
            </w:tcBorders>
            <w:noWrap w:val="0"/>
            <w:vAlign w:val="center"/>
          </w:tcPr>
          <w:p w14:paraId="5C207183">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稳定</w:t>
            </w:r>
          </w:p>
        </w:tc>
      </w:tr>
      <w:tr w14:paraId="1633A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56AE21A2">
            <w:pPr>
              <w:keepNext w:val="0"/>
              <w:keepLines w:val="0"/>
              <w:pageBreakBefore w:val="0"/>
              <w:widowControl/>
              <w:kinsoku/>
              <w:wordWrap/>
              <w:overflow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p>
        </w:tc>
        <w:tc>
          <w:tcPr>
            <w:tcW w:w="765" w:type="pct"/>
            <w:tcBorders>
              <w:tl2br w:val="nil"/>
              <w:tr2bl w:val="nil"/>
            </w:tcBorders>
            <w:noWrap w:val="0"/>
            <w:tcMar>
              <w:top w:w="28" w:type="dxa"/>
              <w:left w:w="11" w:type="dxa"/>
              <w:bottom w:w="28" w:type="dxa"/>
              <w:right w:w="11" w:type="dxa"/>
            </w:tcMar>
            <w:vAlign w:val="center"/>
          </w:tcPr>
          <w:p w14:paraId="6F371CC9">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爆炸极限</w:t>
            </w:r>
          </w:p>
        </w:tc>
        <w:tc>
          <w:tcPr>
            <w:tcW w:w="1792" w:type="pct"/>
            <w:gridSpan w:val="3"/>
            <w:tcBorders>
              <w:tl2br w:val="nil"/>
              <w:tr2bl w:val="nil"/>
            </w:tcBorders>
            <w:noWrap w:val="0"/>
            <w:vAlign w:val="center"/>
          </w:tcPr>
          <w:p w14:paraId="107AB486">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5~15%（V%）</w:t>
            </w:r>
          </w:p>
        </w:tc>
        <w:tc>
          <w:tcPr>
            <w:tcW w:w="682" w:type="pct"/>
            <w:gridSpan w:val="2"/>
            <w:tcBorders>
              <w:tl2br w:val="nil"/>
              <w:tr2bl w:val="nil"/>
            </w:tcBorders>
            <w:noWrap w:val="0"/>
            <w:vAlign w:val="center"/>
          </w:tcPr>
          <w:p w14:paraId="5A4A11B7">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引燃温度</w:t>
            </w:r>
          </w:p>
        </w:tc>
        <w:tc>
          <w:tcPr>
            <w:tcW w:w="1247" w:type="pct"/>
            <w:tcBorders>
              <w:tl2br w:val="nil"/>
              <w:tr2bl w:val="nil"/>
            </w:tcBorders>
            <w:noWrap w:val="0"/>
            <w:vAlign w:val="center"/>
          </w:tcPr>
          <w:p w14:paraId="6250C2E3">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537℃</w:t>
            </w:r>
          </w:p>
        </w:tc>
      </w:tr>
      <w:tr w14:paraId="1815C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6A3BD671">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稳定性和反应活性</w:t>
            </w:r>
          </w:p>
        </w:tc>
        <w:tc>
          <w:tcPr>
            <w:tcW w:w="4487" w:type="pct"/>
            <w:gridSpan w:val="7"/>
            <w:tcBorders>
              <w:tl2br w:val="nil"/>
              <w:tr2bl w:val="nil"/>
            </w:tcBorders>
            <w:noWrap w:val="0"/>
            <w:tcMar>
              <w:top w:w="28" w:type="dxa"/>
              <w:left w:w="11" w:type="dxa"/>
              <w:bottom w:w="28" w:type="dxa"/>
              <w:right w:w="11" w:type="dxa"/>
            </w:tcMar>
            <w:vAlign w:val="center"/>
          </w:tcPr>
          <w:p w14:paraId="37A9ECAC">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稳定性：稳定；禁配物：强氧化剂、强酸、强碱、卤素；避免接触的条件：高热，火源和不相容物质；聚合危害：不发生；分解产物：一氧化碳、二氧化碳。</w:t>
            </w:r>
          </w:p>
        </w:tc>
      </w:tr>
      <w:tr w14:paraId="59F6B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00936AC5">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毒理学</w:t>
            </w:r>
          </w:p>
          <w:p w14:paraId="4F63BDF0">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资料</w:t>
            </w:r>
          </w:p>
        </w:tc>
        <w:tc>
          <w:tcPr>
            <w:tcW w:w="4487" w:type="pct"/>
            <w:gridSpan w:val="7"/>
            <w:tcBorders>
              <w:tl2br w:val="nil"/>
              <w:tr2bl w:val="nil"/>
            </w:tcBorders>
            <w:noWrap w:val="0"/>
            <w:tcMar>
              <w:top w:w="28" w:type="dxa"/>
              <w:left w:w="11" w:type="dxa"/>
              <w:bottom w:w="28" w:type="dxa"/>
              <w:right w:w="11" w:type="dxa"/>
            </w:tcMar>
            <w:vAlign w:val="center"/>
          </w:tcPr>
          <w:p w14:paraId="69F19DD0">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LD50：LC</w:t>
            </w:r>
            <w:r>
              <w:rPr>
                <w:rFonts w:hint="default" w:ascii="Times New Roman" w:hAnsi="Times New Roman" w:cs="Times New Roman"/>
                <w:color w:val="auto"/>
                <w:kern w:val="0"/>
                <w:sz w:val="21"/>
                <w:szCs w:val="21"/>
                <w:highlight w:val="none"/>
                <w:u w:val="none"/>
                <w:vertAlign w:val="subscript"/>
              </w:rPr>
              <w:t>50</w:t>
            </w:r>
            <w:r>
              <w:rPr>
                <w:rFonts w:hint="default" w:ascii="Times New Roman" w:hAnsi="Times New Roman" w:cs="Times New Roman"/>
                <w:color w:val="auto"/>
                <w:kern w:val="0"/>
                <w:sz w:val="21"/>
                <w:szCs w:val="21"/>
                <w:highlight w:val="none"/>
                <w:u w:val="none"/>
              </w:rPr>
              <w:t>：50%（小鼠吸入，2h）。</w:t>
            </w:r>
          </w:p>
          <w:p w14:paraId="12B66ED9">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LC50：无资料。</w:t>
            </w:r>
          </w:p>
        </w:tc>
      </w:tr>
      <w:tr w14:paraId="5E050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1A21AB04">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生态学资料</w:t>
            </w:r>
          </w:p>
        </w:tc>
        <w:tc>
          <w:tcPr>
            <w:tcW w:w="4487" w:type="pct"/>
            <w:gridSpan w:val="7"/>
            <w:tcBorders>
              <w:tl2br w:val="nil"/>
              <w:tr2bl w:val="nil"/>
            </w:tcBorders>
            <w:noWrap w:val="0"/>
            <w:tcMar>
              <w:top w:w="28" w:type="dxa"/>
              <w:left w:w="11" w:type="dxa"/>
              <w:bottom w:w="28" w:type="dxa"/>
              <w:right w:w="11" w:type="dxa"/>
            </w:tcMar>
            <w:vAlign w:val="center"/>
          </w:tcPr>
          <w:p w14:paraId="29595A52">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其它有害作用：温室气体。应特别注意对地表水、土壤、大气和饮用水的污染。</w:t>
            </w:r>
          </w:p>
        </w:tc>
      </w:tr>
      <w:tr w14:paraId="284C7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7539A107">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废弃</w:t>
            </w:r>
          </w:p>
          <w:p w14:paraId="054E280E">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处置</w:t>
            </w:r>
          </w:p>
        </w:tc>
        <w:tc>
          <w:tcPr>
            <w:tcW w:w="4487" w:type="pct"/>
            <w:gridSpan w:val="7"/>
            <w:tcBorders>
              <w:tl2br w:val="nil"/>
              <w:tr2bl w:val="nil"/>
            </w:tcBorders>
            <w:noWrap w:val="0"/>
            <w:tcMar>
              <w:top w:w="28" w:type="dxa"/>
              <w:left w:w="11" w:type="dxa"/>
              <w:bottom w:w="28" w:type="dxa"/>
              <w:right w:w="11" w:type="dxa"/>
            </w:tcMar>
            <w:vAlign w:val="center"/>
          </w:tcPr>
          <w:p w14:paraId="4B0760F3">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废弃物性质：危险废物。</w:t>
            </w:r>
          </w:p>
          <w:p w14:paraId="12C5A8C8">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废弃处置方法：建议用焚烧法处置。</w:t>
            </w:r>
          </w:p>
          <w:p w14:paraId="11039BA2">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废弃注意事项：处置前应参阅国家和地方有关法规。把倒空的容器归还厂商或在规定场所掩埋。</w:t>
            </w:r>
          </w:p>
        </w:tc>
      </w:tr>
      <w:tr w14:paraId="103F2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2C244055">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运输</w:t>
            </w:r>
          </w:p>
          <w:p w14:paraId="3A360C8C">
            <w:pPr>
              <w:keepNext w:val="0"/>
              <w:keepLines w:val="0"/>
              <w:pageBreakBefore w:val="0"/>
              <w:widowControl/>
              <w:kinsoku/>
              <w:wordWrap/>
              <w:overflowPunct/>
              <w:topLinePunct/>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信息</w:t>
            </w:r>
          </w:p>
        </w:tc>
        <w:tc>
          <w:tcPr>
            <w:tcW w:w="4487" w:type="pct"/>
            <w:gridSpan w:val="7"/>
            <w:tcBorders>
              <w:tl2br w:val="nil"/>
              <w:tr2bl w:val="nil"/>
            </w:tcBorders>
            <w:noWrap w:val="0"/>
            <w:tcMar>
              <w:top w:w="28" w:type="dxa"/>
              <w:left w:w="11" w:type="dxa"/>
              <w:bottom w:w="28" w:type="dxa"/>
              <w:right w:w="11" w:type="dxa"/>
            </w:tcMar>
            <w:vAlign w:val="center"/>
          </w:tcPr>
          <w:p w14:paraId="1080A5D2">
            <w:pPr>
              <w:keepNext w:val="0"/>
              <w:keepLines w:val="0"/>
              <w:pageBreakBefore w:val="0"/>
              <w:widowControl/>
              <w:kinsoku/>
              <w:wordWrap/>
              <w:overflowPunct/>
              <w:topLinePunct/>
              <w:autoSpaceDE/>
              <w:autoSpaceDN/>
              <w:bidi w:val="0"/>
              <w:adjustRightInd/>
              <w:snapToGrid/>
              <w:spacing w:line="400" w:lineRule="exact"/>
              <w:jc w:val="left"/>
              <w:textAlignment w:val="auto"/>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spacing w:val="-6"/>
                <w:kern w:val="0"/>
                <w:sz w:val="21"/>
                <w:szCs w:val="21"/>
                <w:highlight w:val="none"/>
                <w:u w:val="none"/>
              </w:rPr>
              <w:t>运输注意事项：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w:t>
            </w:r>
            <w:r>
              <w:rPr>
                <w:rFonts w:hint="eastAsia" w:cs="Times New Roman"/>
                <w:color w:val="auto"/>
                <w:spacing w:val="-6"/>
                <w:kern w:val="0"/>
                <w:sz w:val="21"/>
                <w:szCs w:val="21"/>
                <w:highlight w:val="none"/>
                <w:u w:val="none"/>
                <w:lang w:eastAsia="zh-CN"/>
              </w:rPr>
              <w:t>暴晒</w:t>
            </w:r>
            <w:r>
              <w:rPr>
                <w:rFonts w:hint="default" w:ascii="Times New Roman" w:hAnsi="Times New Roman" w:cs="Times New Roman"/>
                <w:color w:val="auto"/>
                <w:spacing w:val="-6"/>
                <w:kern w:val="0"/>
                <w:sz w:val="21"/>
                <w:szCs w:val="21"/>
                <w:highlight w:val="none"/>
                <w:u w:val="none"/>
              </w:rPr>
              <w:t>。中途停留时应远离火种、热源。公路运输时要按规定路线行驶，勿在居民区和人口稠密区停留。铁路运输时要禁止溜放。</w:t>
            </w:r>
          </w:p>
        </w:tc>
      </w:tr>
    </w:tbl>
    <w:p w14:paraId="11399474">
      <w:pPr>
        <w:pStyle w:val="56"/>
        <w:keepNext w:val="0"/>
        <w:keepLines/>
        <w:pageBreakBefore w:val="0"/>
        <w:widowControl w:val="0"/>
        <w:kinsoku/>
        <w:wordWrap/>
        <w:overflowPunct/>
        <w:topLinePunct w:val="0"/>
        <w:autoSpaceDE/>
        <w:autoSpaceDN/>
        <w:bidi w:val="0"/>
        <w:adjustRightInd w:val="0"/>
        <w:snapToGrid w:val="0"/>
        <w:spacing w:before="157" w:beforeLines="50"/>
        <w:ind w:firstLine="482" w:firstLineChars="200"/>
        <w:textAlignment w:val="auto"/>
        <w:outlineLvl w:val="9"/>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（2）</w:t>
      </w:r>
      <w:r>
        <w:rPr>
          <w:rFonts w:hint="default" w:ascii="宋体" w:hAnsi="宋体" w:eastAsia="宋体" w:cs="宋体"/>
          <w:color w:val="auto"/>
          <w:u w:val="none"/>
          <w:lang w:val="en-US" w:eastAsia="zh-CN"/>
        </w:rPr>
        <w:t>工艺过程危险因素识别</w:t>
      </w:r>
    </w:p>
    <w:p w14:paraId="3AF372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1）钻井过程危险因素识别</w:t>
      </w:r>
    </w:p>
    <w:p w14:paraId="354E78B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钻井过程中危险因素及可能产生的事故见表</w:t>
      </w:r>
      <w:r>
        <w:rPr>
          <w:rFonts w:hint="eastAsia" w:cs="Times New Roman"/>
          <w:snapToGrid w:val="0"/>
          <w:color w:val="auto"/>
          <w:kern w:val="2"/>
          <w:sz w:val="24"/>
          <w:szCs w:val="24"/>
          <w:highlight w:val="none"/>
          <w:u w:val="none"/>
          <w:lang w:val="en-US" w:eastAsia="zh-CN" w:bidi="ar-SA"/>
        </w:rPr>
        <w:t>5.8-5</w:t>
      </w:r>
      <w:r>
        <w:rPr>
          <w:rFonts w:hint="eastAsia" w:ascii="Times New Roman" w:hAnsi="Times New Roman" w:eastAsia="宋体" w:cs="Times New Roman"/>
          <w:snapToGrid w:val="0"/>
          <w:color w:val="auto"/>
          <w:kern w:val="2"/>
          <w:sz w:val="24"/>
          <w:szCs w:val="20"/>
          <w:highlight w:val="none"/>
          <w:u w:val="none"/>
          <w:lang w:val="en-US" w:eastAsia="zh-CN" w:bidi="ar-SA"/>
        </w:rPr>
        <w:t>。</w:t>
      </w:r>
    </w:p>
    <w:p w14:paraId="76FD74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0C12C0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ajorEastAsia" w:hAnsiTheme="majorEastAsia" w:eastAsiaTheme="majorEastAsia" w:cstheme="majorEastAsia"/>
          <w:b/>
          <w:bCs w:val="0"/>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表5.8-5  钻井过程主要危险及有害因素分析</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5173"/>
        <w:gridCol w:w="3030"/>
      </w:tblGrid>
      <w:tr w14:paraId="04B4E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459FD01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pacing w:val="-11"/>
                <w:kern w:val="0"/>
                <w:sz w:val="21"/>
                <w:szCs w:val="21"/>
                <w:highlight w:val="none"/>
                <w:u w:val="none"/>
              </w:rPr>
              <w:t>序号</w:t>
            </w:r>
          </w:p>
        </w:tc>
        <w:tc>
          <w:tcPr>
            <w:tcW w:w="2928" w:type="pct"/>
            <w:tcBorders>
              <w:tl2br w:val="nil"/>
              <w:tr2bl w:val="nil"/>
            </w:tcBorders>
            <w:noWrap w:val="0"/>
            <w:vAlign w:val="center"/>
          </w:tcPr>
          <w:p w14:paraId="61A6851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主要危险、有害因素</w:t>
            </w:r>
          </w:p>
        </w:tc>
        <w:tc>
          <w:tcPr>
            <w:tcW w:w="1715" w:type="pct"/>
            <w:tcBorders>
              <w:tl2br w:val="nil"/>
              <w:tr2bl w:val="nil"/>
            </w:tcBorders>
            <w:noWrap w:val="0"/>
            <w:vAlign w:val="center"/>
          </w:tcPr>
          <w:p w14:paraId="602CE84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可能导致的事故</w:t>
            </w:r>
          </w:p>
        </w:tc>
      </w:tr>
      <w:tr w14:paraId="334D1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7C2BC24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1</w:t>
            </w:r>
          </w:p>
        </w:tc>
        <w:tc>
          <w:tcPr>
            <w:tcW w:w="2928" w:type="pct"/>
            <w:tcBorders>
              <w:tl2br w:val="nil"/>
              <w:tr2bl w:val="nil"/>
            </w:tcBorders>
            <w:noWrap w:val="0"/>
            <w:vAlign w:val="center"/>
          </w:tcPr>
          <w:p w14:paraId="2ACC6DC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地层压力不准；致设计不准确，钻井液密度低于地层空隙压力梯度，埋下井喷事故</w:t>
            </w:r>
          </w:p>
        </w:tc>
        <w:tc>
          <w:tcPr>
            <w:tcW w:w="1715" w:type="pct"/>
            <w:tcBorders>
              <w:tl2br w:val="nil"/>
              <w:tr2bl w:val="nil"/>
            </w:tcBorders>
            <w:noWrap w:val="0"/>
            <w:vAlign w:val="center"/>
          </w:tcPr>
          <w:p w14:paraId="7675EA0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井喷失控、天然气燃烧爆炸、大气环境及人群健康影响</w:t>
            </w:r>
          </w:p>
        </w:tc>
      </w:tr>
      <w:tr w14:paraId="11848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694983F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2</w:t>
            </w:r>
          </w:p>
        </w:tc>
        <w:tc>
          <w:tcPr>
            <w:tcW w:w="2928" w:type="pct"/>
            <w:tcBorders>
              <w:tl2br w:val="nil"/>
              <w:tr2bl w:val="nil"/>
            </w:tcBorders>
            <w:noWrap w:val="0"/>
            <w:vAlign w:val="center"/>
          </w:tcPr>
          <w:p w14:paraId="2D0C7D1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井控设备及管材在安装、使用前未按有关规定进行检验合格后使用</w:t>
            </w:r>
          </w:p>
        </w:tc>
        <w:tc>
          <w:tcPr>
            <w:tcW w:w="1715" w:type="pct"/>
            <w:tcBorders>
              <w:tl2br w:val="nil"/>
              <w:tr2bl w:val="nil"/>
            </w:tcBorders>
            <w:noWrap w:val="0"/>
            <w:vAlign w:val="center"/>
          </w:tcPr>
          <w:p w14:paraId="1C03F3C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管线、设备失效导致井喷</w:t>
            </w:r>
          </w:p>
        </w:tc>
      </w:tr>
      <w:tr w14:paraId="74B24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051409B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3</w:t>
            </w:r>
          </w:p>
        </w:tc>
        <w:tc>
          <w:tcPr>
            <w:tcW w:w="2928" w:type="pct"/>
            <w:tcBorders>
              <w:tl2br w:val="nil"/>
              <w:tr2bl w:val="nil"/>
            </w:tcBorders>
            <w:noWrap w:val="0"/>
            <w:vAlign w:val="center"/>
          </w:tcPr>
          <w:p w14:paraId="38C9E90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防喷器件、管线有刺漏，压力等级不符合要求；非金属材料不符合要求，密封失效</w:t>
            </w:r>
          </w:p>
        </w:tc>
        <w:tc>
          <w:tcPr>
            <w:tcW w:w="1715" w:type="pct"/>
            <w:tcBorders>
              <w:tl2br w:val="nil"/>
              <w:tr2bl w:val="nil"/>
            </w:tcBorders>
            <w:noWrap w:val="0"/>
            <w:vAlign w:val="center"/>
          </w:tcPr>
          <w:p w14:paraId="0DC1CB3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管线、设备失效导致井喷</w:t>
            </w:r>
          </w:p>
        </w:tc>
      </w:tr>
      <w:tr w14:paraId="65D75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47DD9BF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4</w:t>
            </w:r>
          </w:p>
        </w:tc>
        <w:tc>
          <w:tcPr>
            <w:tcW w:w="2928" w:type="pct"/>
            <w:tcBorders>
              <w:tl2br w:val="nil"/>
              <w:tr2bl w:val="nil"/>
            </w:tcBorders>
            <w:noWrap w:val="0"/>
            <w:vAlign w:val="center"/>
          </w:tcPr>
          <w:p w14:paraId="02992A2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司钻控制下放速度不当或操作不平稳</w:t>
            </w:r>
          </w:p>
        </w:tc>
        <w:tc>
          <w:tcPr>
            <w:tcW w:w="1715" w:type="pct"/>
            <w:tcBorders>
              <w:tl2br w:val="nil"/>
              <w:tr2bl w:val="nil"/>
            </w:tcBorders>
            <w:noWrap w:val="0"/>
            <w:vAlign w:val="center"/>
          </w:tcPr>
          <w:p w14:paraId="6D07571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发生井漏事故</w:t>
            </w:r>
          </w:p>
        </w:tc>
      </w:tr>
      <w:tr w14:paraId="2AE0A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5A43645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5</w:t>
            </w:r>
          </w:p>
        </w:tc>
        <w:tc>
          <w:tcPr>
            <w:tcW w:w="2928" w:type="pct"/>
            <w:tcBorders>
              <w:tl2br w:val="nil"/>
              <w:tr2bl w:val="nil"/>
            </w:tcBorders>
            <w:noWrap w:val="0"/>
            <w:vAlign w:val="center"/>
          </w:tcPr>
          <w:p w14:paraId="792E3EF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下完套管，当套管内钻井液未灌满时，若直接水龙头带开泵酸化作业</w:t>
            </w:r>
          </w:p>
        </w:tc>
        <w:tc>
          <w:tcPr>
            <w:tcW w:w="1715" w:type="pct"/>
            <w:tcBorders>
              <w:tl2br w:val="nil"/>
              <w:tr2bl w:val="nil"/>
            </w:tcBorders>
            <w:noWrap w:val="0"/>
            <w:vAlign w:val="center"/>
          </w:tcPr>
          <w:p w14:paraId="0BEED0A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井喷失控、天然气燃烧爆炸、大气环境及人群健康影响</w:t>
            </w:r>
          </w:p>
        </w:tc>
      </w:tr>
      <w:tr w14:paraId="660E7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1C804C8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6</w:t>
            </w:r>
          </w:p>
        </w:tc>
        <w:tc>
          <w:tcPr>
            <w:tcW w:w="2928" w:type="pct"/>
            <w:tcBorders>
              <w:tl2br w:val="nil"/>
              <w:tr2bl w:val="nil"/>
            </w:tcBorders>
            <w:noWrap w:val="0"/>
            <w:vAlign w:val="center"/>
          </w:tcPr>
          <w:p w14:paraId="5083F3D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节流管汇与井喷器连接不平直，容易使节流管汇作用发挥不完全；节流管汇试压未到额定工作压力或稳定时间不够，导致井控管失效</w:t>
            </w:r>
          </w:p>
        </w:tc>
        <w:tc>
          <w:tcPr>
            <w:tcW w:w="1715" w:type="pct"/>
            <w:tcBorders>
              <w:tl2br w:val="nil"/>
              <w:tr2bl w:val="nil"/>
            </w:tcBorders>
            <w:noWrap w:val="0"/>
            <w:vAlign w:val="center"/>
          </w:tcPr>
          <w:p w14:paraId="4CAE804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井喷失控</w:t>
            </w:r>
          </w:p>
        </w:tc>
      </w:tr>
      <w:tr w14:paraId="138A6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4A804ED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7</w:t>
            </w:r>
          </w:p>
        </w:tc>
        <w:tc>
          <w:tcPr>
            <w:tcW w:w="2928" w:type="pct"/>
            <w:tcBorders>
              <w:tl2br w:val="nil"/>
              <w:tr2bl w:val="nil"/>
            </w:tcBorders>
            <w:noWrap w:val="0"/>
            <w:vAlign w:val="center"/>
          </w:tcPr>
          <w:p w14:paraId="09B083A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阀板与阀座之间密封不好或是井控装置部件表面生锈腐蚀使节流压井管失效，方钻杆上下旋转开关不灵活，有可能因不能正常开关而发生井喷事故</w:t>
            </w:r>
          </w:p>
        </w:tc>
        <w:tc>
          <w:tcPr>
            <w:tcW w:w="1715" w:type="pct"/>
            <w:tcBorders>
              <w:tl2br w:val="nil"/>
              <w:tr2bl w:val="nil"/>
            </w:tcBorders>
            <w:noWrap w:val="0"/>
            <w:vAlign w:val="center"/>
          </w:tcPr>
          <w:p w14:paraId="2D77E29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天然气燃烧爆炸、大气环境及人群健康影响</w:t>
            </w:r>
          </w:p>
        </w:tc>
      </w:tr>
      <w:tr w14:paraId="62479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0255C0E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8</w:t>
            </w:r>
          </w:p>
        </w:tc>
        <w:tc>
          <w:tcPr>
            <w:tcW w:w="2928" w:type="pct"/>
            <w:tcBorders>
              <w:tl2br w:val="nil"/>
              <w:tr2bl w:val="nil"/>
            </w:tcBorders>
            <w:noWrap w:val="0"/>
            <w:vAlign w:val="center"/>
          </w:tcPr>
          <w:p w14:paraId="0B5E847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未及时发现溢流显示或发现后处理不当等</w:t>
            </w:r>
          </w:p>
        </w:tc>
        <w:tc>
          <w:tcPr>
            <w:tcW w:w="1715" w:type="pct"/>
            <w:tcBorders>
              <w:tl2br w:val="nil"/>
              <w:tr2bl w:val="nil"/>
            </w:tcBorders>
            <w:noWrap w:val="0"/>
            <w:vAlign w:val="center"/>
          </w:tcPr>
          <w:p w14:paraId="4E4E9C7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导致天然气溢出，发生天然气燃烧爆炸</w:t>
            </w:r>
          </w:p>
        </w:tc>
      </w:tr>
      <w:tr w14:paraId="53F54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7D83678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9</w:t>
            </w:r>
          </w:p>
        </w:tc>
        <w:tc>
          <w:tcPr>
            <w:tcW w:w="2928" w:type="pct"/>
            <w:tcBorders>
              <w:tl2br w:val="nil"/>
              <w:tr2bl w:val="nil"/>
            </w:tcBorders>
            <w:noWrap w:val="0"/>
            <w:vAlign w:val="center"/>
          </w:tcPr>
          <w:p w14:paraId="35F4A5B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换装井口、起下管柱作业和循环施工作业中，对作业时间估计不足，压井时间短，井内压力失衡导致井喷或井喷失控</w:t>
            </w:r>
          </w:p>
        </w:tc>
        <w:tc>
          <w:tcPr>
            <w:tcW w:w="1715" w:type="pct"/>
            <w:tcBorders>
              <w:tl2br w:val="nil"/>
              <w:tr2bl w:val="nil"/>
            </w:tcBorders>
            <w:noWrap w:val="0"/>
            <w:vAlign w:val="center"/>
          </w:tcPr>
          <w:p w14:paraId="595E34E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天然气燃烧爆炸、大气环境及人群健康影响</w:t>
            </w:r>
          </w:p>
        </w:tc>
      </w:tr>
      <w:tr w14:paraId="337D1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4151E99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10</w:t>
            </w:r>
          </w:p>
        </w:tc>
        <w:tc>
          <w:tcPr>
            <w:tcW w:w="2928" w:type="pct"/>
            <w:tcBorders>
              <w:tl2br w:val="nil"/>
              <w:tr2bl w:val="nil"/>
            </w:tcBorders>
            <w:noWrap w:val="0"/>
            <w:vAlign w:val="center"/>
          </w:tcPr>
          <w:p w14:paraId="463F217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安装井下安全阀，因作业所需时间较长，若压井时间不足，井内压力失衡导致井喷或井喷失控</w:t>
            </w:r>
          </w:p>
        </w:tc>
        <w:tc>
          <w:tcPr>
            <w:tcW w:w="1715" w:type="pct"/>
            <w:tcBorders>
              <w:tl2br w:val="nil"/>
              <w:tr2bl w:val="nil"/>
            </w:tcBorders>
            <w:noWrap w:val="0"/>
            <w:vAlign w:val="center"/>
          </w:tcPr>
          <w:p w14:paraId="64DEF53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天然气燃烧爆炸、大气环境及人群健康影响</w:t>
            </w:r>
          </w:p>
        </w:tc>
      </w:tr>
      <w:tr w14:paraId="250D8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6" w:type="pct"/>
            <w:tcBorders>
              <w:tl2br w:val="nil"/>
              <w:tr2bl w:val="nil"/>
            </w:tcBorders>
            <w:noWrap w:val="0"/>
            <w:vAlign w:val="center"/>
          </w:tcPr>
          <w:p w14:paraId="36F1C95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11</w:t>
            </w:r>
          </w:p>
        </w:tc>
        <w:tc>
          <w:tcPr>
            <w:tcW w:w="2928" w:type="pct"/>
            <w:tcBorders>
              <w:tl2br w:val="nil"/>
              <w:tr2bl w:val="nil"/>
            </w:tcBorders>
            <w:noWrap w:val="0"/>
            <w:vAlign w:val="center"/>
          </w:tcPr>
          <w:p w14:paraId="3D1E7F8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rPr>
              <w:t>钻井泥浆暂存池泄漏，柴油罐</w:t>
            </w:r>
            <w:r>
              <w:rPr>
                <w:rFonts w:hint="eastAsia" w:ascii="宋体" w:hAnsi="宋体" w:eastAsia="宋体" w:cs="宋体"/>
                <w:color w:val="auto"/>
                <w:kern w:val="0"/>
                <w:sz w:val="21"/>
                <w:szCs w:val="21"/>
                <w:highlight w:val="none"/>
                <w:u w:val="none"/>
                <w:lang w:val="en-US" w:eastAsia="zh-CN"/>
              </w:rPr>
              <w:t>泄露</w:t>
            </w:r>
          </w:p>
        </w:tc>
        <w:tc>
          <w:tcPr>
            <w:tcW w:w="1715" w:type="pct"/>
            <w:tcBorders>
              <w:tl2br w:val="nil"/>
              <w:tr2bl w:val="nil"/>
            </w:tcBorders>
            <w:noWrap w:val="0"/>
            <w:vAlign w:val="center"/>
          </w:tcPr>
          <w:p w14:paraId="72A3EBF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废水和柴油外溢，污染地下水</w:t>
            </w:r>
          </w:p>
        </w:tc>
      </w:tr>
    </w:tbl>
    <w:p w14:paraId="2F3A95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2）运营期危险因素识别</w:t>
      </w:r>
    </w:p>
    <w:p w14:paraId="6B5D206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根据工程分析，</w:t>
      </w:r>
      <w:r>
        <w:rPr>
          <w:rFonts w:hint="eastAsia" w:ascii="Times New Roman" w:hAnsi="Times New Roman" w:eastAsia="宋体" w:cs="Times New Roman"/>
          <w:snapToGrid w:val="0"/>
          <w:color w:val="auto"/>
          <w:kern w:val="2"/>
          <w:sz w:val="24"/>
          <w:szCs w:val="20"/>
          <w:highlight w:val="none"/>
          <w:u w:val="none"/>
          <w:lang w:val="en-US" w:eastAsia="zh-CN" w:bidi="ar-SA"/>
        </w:rPr>
        <w:t>本工程</w:t>
      </w:r>
      <w:r>
        <w:rPr>
          <w:rFonts w:ascii="Times New Roman" w:hAnsi="Times New Roman" w:eastAsia="宋体" w:cs="Times New Roman"/>
          <w:snapToGrid w:val="0"/>
          <w:color w:val="auto"/>
          <w:kern w:val="2"/>
          <w:sz w:val="24"/>
          <w:szCs w:val="20"/>
          <w:highlight w:val="none"/>
          <w:u w:val="none"/>
          <w:lang w:val="en-US" w:eastAsia="zh-CN" w:bidi="ar-SA"/>
        </w:rPr>
        <w:t>开发建设过程中</w:t>
      </w:r>
      <w:r>
        <w:rPr>
          <w:rFonts w:hint="eastAsia" w:ascii="Times New Roman" w:hAnsi="Times New Roman" w:eastAsia="宋体" w:cs="Times New Roman"/>
          <w:snapToGrid w:val="0"/>
          <w:color w:val="auto"/>
          <w:kern w:val="2"/>
          <w:sz w:val="24"/>
          <w:szCs w:val="20"/>
          <w:highlight w:val="none"/>
          <w:u w:val="none"/>
          <w:lang w:val="en-US" w:eastAsia="zh-CN" w:bidi="ar-SA"/>
        </w:rPr>
        <w:t>采</w:t>
      </w:r>
      <w:r>
        <w:rPr>
          <w:rFonts w:hint="eastAsia" w:cs="Times New Roman"/>
          <w:snapToGrid w:val="0"/>
          <w:color w:val="auto"/>
          <w:kern w:val="2"/>
          <w:sz w:val="24"/>
          <w:szCs w:val="20"/>
          <w:highlight w:val="none"/>
          <w:u w:val="none"/>
          <w:lang w:val="en-US" w:eastAsia="zh-CN" w:bidi="ar-SA"/>
        </w:rPr>
        <w:t>气</w:t>
      </w:r>
      <w:r>
        <w:rPr>
          <w:rFonts w:ascii="Times New Roman" w:hAnsi="Times New Roman" w:eastAsia="宋体" w:cs="Times New Roman"/>
          <w:snapToGrid w:val="0"/>
          <w:color w:val="auto"/>
          <w:kern w:val="2"/>
          <w:sz w:val="24"/>
          <w:szCs w:val="20"/>
          <w:highlight w:val="none"/>
          <w:u w:val="none"/>
          <w:lang w:val="en-US" w:eastAsia="zh-CN" w:bidi="ar-SA"/>
        </w:rPr>
        <w:t>、油气集输等环节均接触到易燃、易爆的危险性物质，而且生产工艺条件较苛刻，多为高压操作，因此事故风险较大，可能造成环境危害的风险事故主要包括火灾、爆炸、油品泄漏等，具体危害和环境影响</w:t>
      </w:r>
      <w:r>
        <w:rPr>
          <w:rFonts w:hint="eastAsia" w:cs="Times New Roman"/>
          <w:snapToGrid w:val="0"/>
          <w:color w:val="auto"/>
          <w:kern w:val="2"/>
          <w:sz w:val="24"/>
          <w:szCs w:val="20"/>
          <w:highlight w:val="none"/>
          <w:u w:val="none"/>
          <w:lang w:val="en-US" w:eastAsia="zh-CN" w:bidi="ar-SA"/>
        </w:rPr>
        <w:t>，</w:t>
      </w:r>
      <w:r>
        <w:rPr>
          <w:rFonts w:ascii="Times New Roman" w:hAnsi="Times New Roman" w:eastAsia="宋体" w:cs="Times New Roman"/>
          <w:snapToGrid w:val="0"/>
          <w:color w:val="auto"/>
          <w:kern w:val="2"/>
          <w:sz w:val="24"/>
          <w:szCs w:val="20"/>
          <w:highlight w:val="none"/>
          <w:u w:val="none"/>
          <w:lang w:val="en-US" w:eastAsia="zh-CN" w:bidi="ar-SA"/>
        </w:rPr>
        <w:t>见表</w:t>
      </w:r>
      <w:r>
        <w:rPr>
          <w:rFonts w:hint="eastAsia" w:cs="Times New Roman"/>
          <w:snapToGrid w:val="0"/>
          <w:color w:val="auto"/>
          <w:kern w:val="2"/>
          <w:sz w:val="24"/>
          <w:szCs w:val="20"/>
          <w:highlight w:val="none"/>
          <w:u w:val="none"/>
          <w:lang w:val="en-US" w:eastAsia="zh-CN" w:bidi="ar-SA"/>
        </w:rPr>
        <w:t>5.8-6</w:t>
      </w:r>
      <w:r>
        <w:rPr>
          <w:rFonts w:ascii="Times New Roman" w:hAnsi="Times New Roman" w:eastAsia="宋体" w:cs="Times New Roman"/>
          <w:snapToGrid w:val="0"/>
          <w:color w:val="auto"/>
          <w:kern w:val="2"/>
          <w:sz w:val="24"/>
          <w:szCs w:val="20"/>
          <w:highlight w:val="none"/>
          <w:u w:val="none"/>
          <w:lang w:val="en-US" w:eastAsia="zh-CN" w:bidi="ar-SA"/>
        </w:rPr>
        <w:t>。</w:t>
      </w:r>
    </w:p>
    <w:p w14:paraId="4F12F6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1243EC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134079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kern w:val="2"/>
          <w:sz w:val="21"/>
          <w:szCs w:val="20"/>
          <w:highlight w:val="none"/>
          <w:u w:val="none"/>
          <w:lang w:val="en-US" w:eastAsia="zh-CN" w:bidi="ar-SA"/>
        </w:rPr>
      </w:pPr>
      <w:r>
        <w:rPr>
          <w:rFonts w:hint="eastAsia" w:ascii="黑体" w:hAnsi="黑体" w:eastAsia="黑体" w:cs="黑体"/>
          <w:b w:val="0"/>
          <w:bCs/>
          <w:color w:val="auto"/>
          <w:kern w:val="2"/>
          <w:sz w:val="24"/>
          <w:szCs w:val="24"/>
          <w:u w:val="none"/>
          <w:lang w:val="en-US" w:eastAsia="zh-CN" w:bidi="ar-SA"/>
        </w:rPr>
        <w:t>表5.8-6  油气田生产事故风险类型、来源及危害识别一览表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43"/>
        <w:gridCol w:w="947"/>
        <w:gridCol w:w="1922"/>
        <w:gridCol w:w="4366"/>
        <w:gridCol w:w="896"/>
      </w:tblGrid>
      <w:tr w14:paraId="38A6B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313" w:type="pct"/>
            <w:tcBorders>
              <w:tl2br w:val="nil"/>
              <w:tr2bl w:val="nil"/>
            </w:tcBorders>
            <w:noWrap w:val="0"/>
            <w:vAlign w:val="center"/>
          </w:tcPr>
          <w:p w14:paraId="414F7805">
            <w:pPr>
              <w:keepNext w:val="0"/>
              <w:keepLines w:val="0"/>
              <w:pageBreakBefore w:val="0"/>
              <w:widowControl/>
              <w:kinsoku/>
              <w:wordWrap/>
              <w:overflowPunct/>
              <w:topLinePunct w:val="0"/>
              <w:bidi w:val="0"/>
              <w:adjustRightInd/>
              <w:snapToGrid/>
              <w:spacing w:line="400" w:lineRule="exact"/>
              <w:jc w:val="center"/>
              <w:textAlignment w:val="auto"/>
              <w:rPr>
                <w:rFonts w:ascii="Times New Roman" w:hAnsi="Times New Roman" w:cs="Times New Roman"/>
                <w:color w:val="auto"/>
                <w:kern w:val="24"/>
                <w:sz w:val="21"/>
                <w:szCs w:val="18"/>
                <w:highlight w:val="none"/>
                <w:u w:val="none"/>
              </w:rPr>
            </w:pPr>
            <w:r>
              <w:rPr>
                <w:rFonts w:ascii="Times New Roman" w:hAnsi="Times New Roman" w:cs="Times New Roman"/>
                <w:color w:val="auto"/>
                <w:kern w:val="24"/>
                <w:sz w:val="21"/>
                <w:szCs w:val="18"/>
                <w:highlight w:val="none"/>
                <w:u w:val="none"/>
              </w:rPr>
              <w:t>功能</w:t>
            </w:r>
          </w:p>
          <w:p w14:paraId="5271F98B">
            <w:pPr>
              <w:keepNext w:val="0"/>
              <w:keepLines w:val="0"/>
              <w:pageBreakBefore w:val="0"/>
              <w:widowControl/>
              <w:kinsoku/>
              <w:wordWrap/>
              <w:overflowPunct/>
              <w:topLinePunct w:val="0"/>
              <w:bidi w:val="0"/>
              <w:adjustRightInd/>
              <w:snapToGrid/>
              <w:spacing w:line="400" w:lineRule="exact"/>
              <w:jc w:val="center"/>
              <w:textAlignment w:val="auto"/>
              <w:rPr>
                <w:rFonts w:ascii="Times New Roman" w:hAnsi="Times New Roman" w:cs="Times New Roman"/>
                <w:color w:val="auto"/>
                <w:kern w:val="24"/>
                <w:sz w:val="21"/>
                <w:szCs w:val="18"/>
                <w:highlight w:val="none"/>
                <w:u w:val="none"/>
              </w:rPr>
            </w:pPr>
            <w:r>
              <w:rPr>
                <w:rFonts w:ascii="Times New Roman" w:hAnsi="Times New Roman" w:cs="Times New Roman"/>
                <w:color w:val="auto"/>
                <w:kern w:val="24"/>
                <w:sz w:val="21"/>
                <w:szCs w:val="18"/>
                <w:highlight w:val="none"/>
                <w:u w:val="none"/>
              </w:rPr>
              <w:t>单元</w:t>
            </w:r>
          </w:p>
        </w:tc>
        <w:tc>
          <w:tcPr>
            <w:tcW w:w="546" w:type="pct"/>
            <w:tcBorders>
              <w:tl2br w:val="nil"/>
              <w:tr2bl w:val="nil"/>
            </w:tcBorders>
            <w:noWrap w:val="0"/>
            <w:vAlign w:val="center"/>
          </w:tcPr>
          <w:p w14:paraId="396DFE5B">
            <w:pPr>
              <w:keepNext w:val="0"/>
              <w:keepLines w:val="0"/>
              <w:pageBreakBefore w:val="0"/>
              <w:widowControl/>
              <w:kinsoku/>
              <w:wordWrap/>
              <w:overflowPunct/>
              <w:topLinePunct w:val="0"/>
              <w:bidi w:val="0"/>
              <w:adjustRightInd/>
              <w:snapToGrid/>
              <w:spacing w:line="400" w:lineRule="exact"/>
              <w:jc w:val="center"/>
              <w:textAlignment w:val="auto"/>
              <w:rPr>
                <w:rFonts w:ascii="Times New Roman" w:hAnsi="Times New Roman" w:cs="Times New Roman"/>
                <w:color w:val="auto"/>
                <w:kern w:val="24"/>
                <w:sz w:val="21"/>
                <w:szCs w:val="18"/>
                <w:highlight w:val="none"/>
                <w:u w:val="none"/>
              </w:rPr>
            </w:pPr>
            <w:r>
              <w:rPr>
                <w:rFonts w:ascii="Times New Roman" w:hAnsi="Times New Roman" w:cs="Times New Roman"/>
                <w:color w:val="auto"/>
                <w:kern w:val="24"/>
                <w:sz w:val="21"/>
                <w:szCs w:val="18"/>
                <w:highlight w:val="none"/>
                <w:u w:val="none"/>
              </w:rPr>
              <w:t>事故类型</w:t>
            </w:r>
          </w:p>
        </w:tc>
        <w:tc>
          <w:tcPr>
            <w:tcW w:w="1108" w:type="pct"/>
            <w:tcBorders>
              <w:tl2br w:val="nil"/>
              <w:tr2bl w:val="nil"/>
            </w:tcBorders>
            <w:noWrap w:val="0"/>
            <w:vAlign w:val="center"/>
          </w:tcPr>
          <w:p w14:paraId="52ECA6EA">
            <w:pPr>
              <w:keepNext w:val="0"/>
              <w:keepLines w:val="0"/>
              <w:pageBreakBefore w:val="0"/>
              <w:widowControl/>
              <w:kinsoku/>
              <w:wordWrap/>
              <w:overflowPunct/>
              <w:topLinePunct w:val="0"/>
              <w:bidi w:val="0"/>
              <w:adjustRightInd/>
              <w:snapToGrid/>
              <w:spacing w:line="400" w:lineRule="exact"/>
              <w:jc w:val="center"/>
              <w:textAlignment w:val="auto"/>
              <w:rPr>
                <w:rFonts w:ascii="Times New Roman" w:hAnsi="Times New Roman" w:cs="Times New Roman"/>
                <w:color w:val="auto"/>
                <w:kern w:val="24"/>
                <w:sz w:val="21"/>
                <w:szCs w:val="18"/>
                <w:highlight w:val="none"/>
                <w:u w:val="none"/>
              </w:rPr>
            </w:pPr>
            <w:r>
              <w:rPr>
                <w:rFonts w:ascii="Times New Roman" w:hAnsi="Times New Roman" w:cs="Times New Roman"/>
                <w:color w:val="auto"/>
                <w:kern w:val="24"/>
                <w:sz w:val="21"/>
                <w:szCs w:val="18"/>
                <w:highlight w:val="none"/>
                <w:u w:val="none"/>
              </w:rPr>
              <w:t>事故原因</w:t>
            </w:r>
          </w:p>
        </w:tc>
        <w:tc>
          <w:tcPr>
            <w:tcW w:w="2517" w:type="pct"/>
            <w:tcBorders>
              <w:tl2br w:val="nil"/>
              <w:tr2bl w:val="nil"/>
            </w:tcBorders>
            <w:noWrap w:val="0"/>
            <w:vAlign w:val="center"/>
          </w:tcPr>
          <w:p w14:paraId="266675F9">
            <w:pPr>
              <w:keepNext w:val="0"/>
              <w:keepLines w:val="0"/>
              <w:pageBreakBefore w:val="0"/>
              <w:widowControl/>
              <w:kinsoku/>
              <w:wordWrap/>
              <w:overflowPunct/>
              <w:topLinePunct w:val="0"/>
              <w:bidi w:val="0"/>
              <w:adjustRightInd/>
              <w:snapToGrid/>
              <w:spacing w:line="400" w:lineRule="exact"/>
              <w:jc w:val="center"/>
              <w:textAlignment w:val="auto"/>
              <w:rPr>
                <w:rFonts w:ascii="Times New Roman" w:hAnsi="Times New Roman" w:cs="Times New Roman"/>
                <w:color w:val="auto"/>
                <w:kern w:val="24"/>
                <w:sz w:val="21"/>
                <w:szCs w:val="18"/>
                <w:highlight w:val="none"/>
                <w:u w:val="none"/>
              </w:rPr>
            </w:pPr>
            <w:r>
              <w:rPr>
                <w:rFonts w:ascii="Times New Roman" w:hAnsi="Times New Roman" w:cs="Times New Roman"/>
                <w:color w:val="auto"/>
                <w:kern w:val="24"/>
                <w:sz w:val="21"/>
                <w:szCs w:val="18"/>
                <w:highlight w:val="none"/>
                <w:u w:val="none"/>
              </w:rPr>
              <w:t>事故后果</w:t>
            </w:r>
          </w:p>
        </w:tc>
        <w:tc>
          <w:tcPr>
            <w:tcW w:w="516" w:type="pct"/>
            <w:tcBorders>
              <w:tl2br w:val="nil"/>
              <w:tr2bl w:val="nil"/>
            </w:tcBorders>
            <w:noWrap w:val="0"/>
            <w:vAlign w:val="center"/>
          </w:tcPr>
          <w:p w14:paraId="5BA1AD50">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ascii="Times New Roman" w:hAnsi="Times New Roman" w:cs="Times New Roman"/>
                <w:color w:val="auto"/>
                <w:kern w:val="0"/>
                <w:sz w:val="21"/>
                <w:szCs w:val="18"/>
                <w:highlight w:val="none"/>
                <w:u w:val="none"/>
                <w:lang w:val="zh-CN"/>
              </w:rPr>
            </w:pPr>
            <w:r>
              <w:rPr>
                <w:rFonts w:ascii="Times New Roman" w:hAnsi="Times New Roman" w:cs="Times New Roman"/>
                <w:color w:val="auto"/>
                <w:kern w:val="0"/>
                <w:sz w:val="21"/>
                <w:szCs w:val="18"/>
                <w:highlight w:val="none"/>
                <w:u w:val="none"/>
                <w:lang w:val="zh-CN"/>
              </w:rPr>
              <w:t>环境影响途径</w:t>
            </w:r>
          </w:p>
        </w:tc>
      </w:tr>
      <w:tr w14:paraId="03652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5" w:hRule="atLeast"/>
        </w:trPr>
        <w:tc>
          <w:tcPr>
            <w:tcW w:w="313" w:type="pct"/>
            <w:tcBorders>
              <w:tl2br w:val="nil"/>
              <w:tr2bl w:val="nil"/>
            </w:tcBorders>
            <w:noWrap w:val="0"/>
            <w:vAlign w:val="center"/>
          </w:tcPr>
          <w:p w14:paraId="7A82B0E7">
            <w:pPr>
              <w:keepNext w:val="0"/>
              <w:keepLines w:val="0"/>
              <w:pageBreakBefore w:val="0"/>
              <w:widowControl/>
              <w:kinsoku/>
              <w:wordWrap/>
              <w:overflowPunct/>
              <w:topLinePunct w:val="0"/>
              <w:bidi w:val="0"/>
              <w:adjustRightInd/>
              <w:snapToGrid/>
              <w:spacing w:line="400" w:lineRule="exact"/>
              <w:jc w:val="center"/>
              <w:textAlignment w:val="auto"/>
              <w:rPr>
                <w:rFonts w:ascii="Times New Roman" w:hAnsi="Times New Roman" w:cs="Times New Roman"/>
                <w:bCs/>
                <w:color w:val="auto"/>
                <w:kern w:val="24"/>
                <w:sz w:val="21"/>
                <w:szCs w:val="18"/>
                <w:highlight w:val="none"/>
                <w:u w:val="none"/>
              </w:rPr>
            </w:pPr>
            <w:r>
              <w:rPr>
                <w:rFonts w:ascii="Times New Roman" w:hAnsi="Times New Roman" w:cs="Times New Roman"/>
                <w:bCs/>
                <w:color w:val="auto"/>
                <w:kern w:val="24"/>
                <w:sz w:val="21"/>
                <w:szCs w:val="18"/>
                <w:highlight w:val="none"/>
                <w:u w:val="none"/>
              </w:rPr>
              <w:t>管线</w:t>
            </w:r>
          </w:p>
        </w:tc>
        <w:tc>
          <w:tcPr>
            <w:tcW w:w="546" w:type="pct"/>
            <w:tcBorders>
              <w:tl2br w:val="nil"/>
              <w:tr2bl w:val="nil"/>
            </w:tcBorders>
            <w:noWrap w:val="0"/>
            <w:vAlign w:val="center"/>
          </w:tcPr>
          <w:p w14:paraId="3D8401CB">
            <w:pPr>
              <w:keepNext w:val="0"/>
              <w:keepLines w:val="0"/>
              <w:pageBreakBefore w:val="0"/>
              <w:widowControl/>
              <w:kinsoku/>
              <w:wordWrap/>
              <w:overflowPunct/>
              <w:topLinePunct w:val="0"/>
              <w:bidi w:val="0"/>
              <w:adjustRightInd/>
              <w:snapToGrid/>
              <w:spacing w:line="400" w:lineRule="exact"/>
              <w:jc w:val="center"/>
              <w:textAlignment w:val="auto"/>
              <w:rPr>
                <w:rFonts w:ascii="Times New Roman" w:hAnsi="Times New Roman" w:cs="Times New Roman"/>
                <w:bCs/>
                <w:color w:val="auto"/>
                <w:kern w:val="24"/>
                <w:sz w:val="21"/>
                <w:szCs w:val="18"/>
                <w:highlight w:val="none"/>
                <w:u w:val="none"/>
              </w:rPr>
            </w:pPr>
            <w:r>
              <w:rPr>
                <w:rFonts w:ascii="Times New Roman" w:hAnsi="Times New Roman" w:cs="Times New Roman"/>
                <w:bCs/>
                <w:color w:val="auto"/>
                <w:kern w:val="24"/>
                <w:sz w:val="21"/>
                <w:szCs w:val="18"/>
                <w:highlight w:val="none"/>
                <w:u w:val="none"/>
              </w:rPr>
              <w:t>集</w:t>
            </w:r>
            <w:r>
              <w:rPr>
                <w:rFonts w:hint="eastAsia" w:ascii="Times New Roman" w:hAnsi="Times New Roman" w:cs="Times New Roman"/>
                <w:bCs/>
                <w:color w:val="auto"/>
                <w:kern w:val="24"/>
                <w:sz w:val="21"/>
                <w:szCs w:val="18"/>
                <w:highlight w:val="none"/>
                <w:u w:val="none"/>
              </w:rPr>
              <w:t>输</w:t>
            </w:r>
          </w:p>
          <w:p w14:paraId="28C80E20">
            <w:pPr>
              <w:keepNext w:val="0"/>
              <w:keepLines w:val="0"/>
              <w:pageBreakBefore w:val="0"/>
              <w:widowControl/>
              <w:kinsoku/>
              <w:wordWrap/>
              <w:overflowPunct/>
              <w:topLinePunct w:val="0"/>
              <w:bidi w:val="0"/>
              <w:adjustRightInd/>
              <w:snapToGrid/>
              <w:spacing w:line="400" w:lineRule="exact"/>
              <w:jc w:val="center"/>
              <w:textAlignment w:val="auto"/>
              <w:rPr>
                <w:rFonts w:ascii="Times New Roman" w:hAnsi="Times New Roman" w:cs="Times New Roman"/>
                <w:bCs/>
                <w:color w:val="auto"/>
                <w:kern w:val="24"/>
                <w:sz w:val="21"/>
                <w:szCs w:val="18"/>
                <w:highlight w:val="none"/>
                <w:u w:val="none"/>
              </w:rPr>
            </w:pPr>
            <w:r>
              <w:rPr>
                <w:rFonts w:ascii="Times New Roman" w:hAnsi="Times New Roman" w:cs="Times New Roman"/>
                <w:bCs/>
                <w:color w:val="auto"/>
                <w:kern w:val="24"/>
                <w:sz w:val="21"/>
                <w:szCs w:val="18"/>
                <w:highlight w:val="none"/>
                <w:u w:val="none"/>
              </w:rPr>
              <w:t>管线</w:t>
            </w:r>
          </w:p>
          <w:p w14:paraId="6E3EBEB2">
            <w:pPr>
              <w:keepNext w:val="0"/>
              <w:keepLines w:val="0"/>
              <w:pageBreakBefore w:val="0"/>
              <w:widowControl/>
              <w:kinsoku/>
              <w:wordWrap/>
              <w:overflowPunct/>
              <w:topLinePunct w:val="0"/>
              <w:bidi w:val="0"/>
              <w:adjustRightInd/>
              <w:snapToGrid/>
              <w:spacing w:line="400" w:lineRule="exact"/>
              <w:jc w:val="center"/>
              <w:textAlignment w:val="auto"/>
              <w:rPr>
                <w:rFonts w:ascii="Times New Roman" w:hAnsi="Times New Roman" w:cs="Times New Roman"/>
                <w:bCs/>
                <w:color w:val="auto"/>
                <w:kern w:val="24"/>
                <w:sz w:val="21"/>
                <w:szCs w:val="18"/>
                <w:highlight w:val="none"/>
                <w:u w:val="none"/>
              </w:rPr>
            </w:pPr>
            <w:r>
              <w:rPr>
                <w:rFonts w:ascii="Times New Roman" w:hAnsi="Times New Roman" w:cs="Times New Roman"/>
                <w:bCs/>
                <w:color w:val="auto"/>
                <w:kern w:val="24"/>
                <w:sz w:val="21"/>
                <w:szCs w:val="18"/>
                <w:highlight w:val="none"/>
                <w:u w:val="none"/>
              </w:rPr>
              <w:t>泄漏</w:t>
            </w:r>
          </w:p>
        </w:tc>
        <w:tc>
          <w:tcPr>
            <w:tcW w:w="1108" w:type="pct"/>
            <w:tcBorders>
              <w:tl2br w:val="nil"/>
              <w:tr2bl w:val="nil"/>
            </w:tcBorders>
            <w:noWrap w:val="0"/>
            <w:vAlign w:val="center"/>
          </w:tcPr>
          <w:p w14:paraId="24343389">
            <w:pPr>
              <w:keepNext w:val="0"/>
              <w:keepLines w:val="0"/>
              <w:pageBreakBefore w:val="0"/>
              <w:widowControl/>
              <w:kinsoku/>
              <w:wordWrap/>
              <w:overflowPunct/>
              <w:topLinePunct w:val="0"/>
              <w:bidi w:val="0"/>
              <w:adjustRightInd/>
              <w:snapToGrid/>
              <w:spacing w:line="400" w:lineRule="exact"/>
              <w:jc w:val="both"/>
              <w:textAlignment w:val="auto"/>
              <w:rPr>
                <w:rFonts w:ascii="Times New Roman" w:hAnsi="Times New Roman" w:cs="Times New Roman"/>
                <w:color w:val="auto"/>
                <w:kern w:val="24"/>
                <w:sz w:val="21"/>
                <w:szCs w:val="18"/>
                <w:highlight w:val="none"/>
                <w:u w:val="none"/>
              </w:rPr>
            </w:pPr>
            <w:r>
              <w:rPr>
                <w:rFonts w:ascii="Times New Roman" w:hAnsi="Times New Roman" w:cs="Times New Roman"/>
                <w:color w:val="auto"/>
                <w:kern w:val="0"/>
                <w:sz w:val="21"/>
                <w:szCs w:val="18"/>
                <w:highlight w:val="none"/>
                <w:u w:val="none"/>
              </w:rPr>
              <w:t>管道腐蚀，施工、操作不当或自然灾害等外力作用导致管线破裂，导致火灾、爆炸、油品泄漏事故</w:t>
            </w:r>
          </w:p>
        </w:tc>
        <w:tc>
          <w:tcPr>
            <w:tcW w:w="2517" w:type="pct"/>
            <w:tcBorders>
              <w:tl2br w:val="nil"/>
              <w:tr2bl w:val="nil"/>
            </w:tcBorders>
            <w:noWrap w:val="0"/>
            <w:vAlign w:val="center"/>
          </w:tcPr>
          <w:p w14:paraId="4F9F2700">
            <w:pPr>
              <w:keepNext w:val="0"/>
              <w:keepLines w:val="0"/>
              <w:pageBreakBefore w:val="0"/>
              <w:widowControl/>
              <w:kinsoku/>
              <w:wordWrap/>
              <w:overflowPunct/>
              <w:topLinePunct w:val="0"/>
              <w:bidi w:val="0"/>
              <w:adjustRightInd/>
              <w:snapToGrid/>
              <w:spacing w:line="400" w:lineRule="exact"/>
              <w:jc w:val="both"/>
              <w:textAlignment w:val="auto"/>
              <w:rPr>
                <w:rFonts w:ascii="Times New Roman" w:hAnsi="Times New Roman" w:cs="Times New Roman"/>
                <w:color w:val="auto"/>
                <w:kern w:val="24"/>
                <w:sz w:val="21"/>
                <w:szCs w:val="18"/>
                <w:highlight w:val="none"/>
                <w:u w:val="none"/>
              </w:rPr>
            </w:pPr>
            <w:r>
              <w:rPr>
                <w:rFonts w:ascii="Times New Roman" w:hAnsi="Times New Roman" w:cs="Times New Roman"/>
                <w:color w:val="auto"/>
                <w:kern w:val="0"/>
                <w:sz w:val="21"/>
                <w:szCs w:val="18"/>
                <w:highlight w:val="none"/>
                <w:u w:val="none"/>
              </w:rPr>
              <w:t>油品及天然气泄漏后，遇火源会发生火灾、爆炸事故，燃烧产生的次生CO引发周围人员CO中毒事件，油类物质渗流至地下水；天然气泄漏后，进入大气引发中毒事故。</w:t>
            </w:r>
          </w:p>
        </w:tc>
        <w:tc>
          <w:tcPr>
            <w:tcW w:w="516" w:type="pct"/>
            <w:tcBorders>
              <w:tl2br w:val="nil"/>
              <w:tr2bl w:val="nil"/>
            </w:tcBorders>
            <w:noWrap w:val="0"/>
            <w:vAlign w:val="center"/>
          </w:tcPr>
          <w:p w14:paraId="76A9714D">
            <w:pPr>
              <w:keepNext w:val="0"/>
              <w:keepLines w:val="0"/>
              <w:pageBreakBefore w:val="0"/>
              <w:widowControl/>
              <w:kinsoku/>
              <w:wordWrap/>
              <w:overflowPunct/>
              <w:topLinePunct w:val="0"/>
              <w:autoSpaceDE w:val="0"/>
              <w:autoSpaceDN w:val="0"/>
              <w:bidi w:val="0"/>
              <w:adjustRightInd/>
              <w:snapToGrid/>
              <w:spacing w:line="400" w:lineRule="exact"/>
              <w:jc w:val="both"/>
              <w:textAlignment w:val="auto"/>
              <w:rPr>
                <w:rFonts w:ascii="Times New Roman" w:hAnsi="Times New Roman" w:cs="Times New Roman"/>
                <w:color w:val="auto"/>
                <w:kern w:val="0"/>
                <w:sz w:val="21"/>
                <w:szCs w:val="18"/>
                <w:highlight w:val="none"/>
                <w:u w:val="none"/>
              </w:rPr>
            </w:pPr>
            <w:r>
              <w:rPr>
                <w:rFonts w:ascii="Times New Roman" w:hAnsi="Times New Roman" w:cs="Times New Roman"/>
                <w:color w:val="auto"/>
                <w:kern w:val="0"/>
                <w:sz w:val="21"/>
                <w:szCs w:val="18"/>
                <w:highlight w:val="none"/>
                <w:u w:val="none"/>
                <w:lang w:bidi="ar"/>
              </w:rPr>
              <w:t>大气、土壤、地下水</w:t>
            </w:r>
          </w:p>
        </w:tc>
      </w:tr>
    </w:tbl>
    <w:p w14:paraId="2B3DECBA">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3）井下作业</w:t>
      </w:r>
      <w:r>
        <w:rPr>
          <w:rFonts w:ascii="Times New Roman" w:hAnsi="Times New Roman" w:eastAsia="宋体" w:cs="Times New Roman"/>
          <w:snapToGrid w:val="0"/>
          <w:color w:val="auto"/>
          <w:kern w:val="2"/>
          <w:sz w:val="24"/>
          <w:szCs w:val="20"/>
          <w:highlight w:val="none"/>
          <w:u w:val="none"/>
          <w:lang w:val="en-US" w:eastAsia="zh-CN" w:bidi="ar-SA"/>
        </w:rPr>
        <w:t>危险性识别</w:t>
      </w:r>
    </w:p>
    <w:p w14:paraId="38B97169">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①</w:t>
      </w:r>
      <w:r>
        <w:rPr>
          <w:rFonts w:ascii="Times New Roman" w:hAnsi="Times New Roman" w:eastAsia="宋体" w:cs="Times New Roman"/>
          <w:snapToGrid w:val="0"/>
          <w:color w:val="auto"/>
          <w:kern w:val="2"/>
          <w:sz w:val="24"/>
          <w:szCs w:val="20"/>
          <w:highlight w:val="none"/>
          <w:u w:val="none"/>
          <w:lang w:val="en-US" w:eastAsia="zh-CN" w:bidi="ar-SA"/>
        </w:rPr>
        <w:t>井喷事故风险</w:t>
      </w:r>
    </w:p>
    <w:p w14:paraId="012214C1">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井喷为井场常见事故。如果井底压力小于地层压力，地层流体将进入井筒并推动钻井液外溢，即发生溢流。此时，如果对地下油、气压力平衡控制不当，不能及时控制溢流，会造成油、水或其他混合物迅速喷到地面，即发生井喷。井喷会引发油气泄漏及火灾爆炸，对空气环境、水环境及生态环境造成危害，致使人员伤亡、财产损失。</w:t>
      </w:r>
      <w:r>
        <w:rPr>
          <w:rFonts w:hint="eastAsia" w:cs="Times New Roman"/>
          <w:snapToGrid w:val="0"/>
          <w:color w:val="auto"/>
          <w:kern w:val="2"/>
          <w:sz w:val="24"/>
          <w:szCs w:val="20"/>
          <w:highlight w:val="none"/>
          <w:u w:val="none"/>
          <w:lang w:val="en-US" w:eastAsia="zh-CN" w:bidi="ar-SA"/>
        </w:rPr>
        <w:t>莫116井区</w:t>
      </w:r>
      <w:r>
        <w:rPr>
          <w:rFonts w:hint="eastAsia" w:ascii="Times New Roman" w:hAnsi="Times New Roman" w:eastAsia="宋体" w:cs="Times New Roman"/>
          <w:snapToGrid w:val="0"/>
          <w:color w:val="auto"/>
          <w:kern w:val="2"/>
          <w:sz w:val="24"/>
          <w:szCs w:val="20"/>
          <w:highlight w:val="none"/>
          <w:u w:val="none"/>
          <w:lang w:val="en-US" w:eastAsia="zh-CN" w:bidi="ar-SA"/>
        </w:rPr>
        <w:t>已开发多年，对区域的油气藏情况已基本掌握</w:t>
      </w:r>
      <w:r>
        <w:rPr>
          <w:rFonts w:ascii="Times New Roman" w:hAnsi="Times New Roman" w:eastAsia="宋体" w:cs="Times New Roman"/>
          <w:snapToGrid w:val="0"/>
          <w:color w:val="auto"/>
          <w:kern w:val="2"/>
          <w:sz w:val="24"/>
          <w:szCs w:val="20"/>
          <w:highlight w:val="none"/>
          <w:u w:val="none"/>
          <w:lang w:val="en-US" w:eastAsia="zh-CN" w:bidi="ar-SA"/>
        </w:rPr>
        <w:t>，井喷的可能性很小，但也不并非绝对不可能，从最不利的角度，本次评价依然将其作为一种风险事故考虑。</w:t>
      </w:r>
    </w:p>
    <w:p w14:paraId="1F435D66">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②</w:t>
      </w:r>
      <w:r>
        <w:rPr>
          <w:rFonts w:ascii="Times New Roman" w:hAnsi="Times New Roman" w:eastAsia="宋体" w:cs="Times New Roman"/>
          <w:snapToGrid w:val="0"/>
          <w:color w:val="auto"/>
          <w:kern w:val="2"/>
          <w:sz w:val="24"/>
          <w:szCs w:val="20"/>
          <w:highlight w:val="none"/>
          <w:u w:val="none"/>
          <w:lang w:val="en-US" w:eastAsia="zh-CN" w:bidi="ar-SA"/>
        </w:rPr>
        <w:t>井漏事故风险</w:t>
      </w:r>
    </w:p>
    <w:p w14:paraId="38809022">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固井套管下入深度不够或</w:t>
      </w:r>
      <w:r>
        <w:rPr>
          <w:rFonts w:ascii="Times New Roman" w:hAnsi="Times New Roman" w:eastAsia="宋体" w:cs="Times New Roman"/>
          <w:snapToGrid w:val="0"/>
          <w:color w:val="auto"/>
          <w:kern w:val="2"/>
          <w:sz w:val="24"/>
          <w:szCs w:val="20"/>
          <w:highlight w:val="none"/>
          <w:u w:val="none"/>
          <w:lang w:val="en-US" w:eastAsia="zh-CN" w:bidi="ar-SA"/>
        </w:rPr>
        <w:t>固井质量不好可能引发污染地下水事故，如油气上窜造成地下水污染等。</w:t>
      </w:r>
    </w:p>
    <w:p w14:paraId="5F01E716">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4）集输管道危险性识别</w:t>
      </w:r>
    </w:p>
    <w:p w14:paraId="56510048">
      <w:pPr>
        <w:keepNext w:val="0"/>
        <w:keepLines w:val="0"/>
        <w:pageBreakBefore w:val="0"/>
        <w:widowControl w:val="0"/>
        <w:kinsoku/>
        <w:wordWrap/>
        <w:overflowPunct/>
        <w:topLinePunct w:val="0"/>
        <w:autoSpaceDE/>
        <w:autoSpaceDN/>
        <w:bidi w:val="0"/>
        <w:adjustRightInd/>
        <w:snapToGrid/>
        <w:spacing w:line="480" w:lineRule="exact"/>
        <w:ind w:firstLine="540" w:firstLineChars="225"/>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管道输送是一种安全可行的输送方式，但存在于环境中的管道会受到各种环境因素的作用，同时管道本身的设计、管材制造、施工、操作运行和管理等各环节都可能存在着缺陷和失误，所有这些因素都可能导致事故的发生。发生的事故主要为管线破裂造成的</w:t>
      </w:r>
      <w:r>
        <w:rPr>
          <w:rFonts w:hint="eastAsia" w:ascii="Times New Roman" w:hAnsi="Times New Roman" w:eastAsia="宋体" w:cs="Times New Roman"/>
          <w:snapToGrid w:val="0"/>
          <w:color w:val="auto"/>
          <w:kern w:val="2"/>
          <w:sz w:val="24"/>
          <w:szCs w:val="20"/>
          <w:highlight w:val="none"/>
          <w:u w:val="none"/>
          <w:lang w:val="en-US" w:eastAsia="zh-CN" w:bidi="ar-SA"/>
        </w:rPr>
        <w:t>天然气、原油</w:t>
      </w:r>
      <w:r>
        <w:rPr>
          <w:rFonts w:ascii="Times New Roman" w:hAnsi="Times New Roman" w:eastAsia="宋体" w:cs="Times New Roman"/>
          <w:snapToGrid w:val="0"/>
          <w:color w:val="auto"/>
          <w:kern w:val="2"/>
          <w:sz w:val="24"/>
          <w:szCs w:val="20"/>
          <w:highlight w:val="none"/>
          <w:u w:val="none"/>
          <w:lang w:val="en-US" w:eastAsia="zh-CN" w:bidi="ar-SA"/>
        </w:rPr>
        <w:t>泄漏，天然气泄漏后，遇火源会发生火灾、爆炸事故。</w:t>
      </w:r>
      <w:r>
        <w:rPr>
          <w:rFonts w:hint="eastAsia" w:ascii="Times New Roman" w:hAnsi="Times New Roman" w:eastAsia="宋体" w:cs="Times New Roman"/>
          <w:snapToGrid w:val="0"/>
          <w:color w:val="auto"/>
          <w:kern w:val="2"/>
          <w:sz w:val="24"/>
          <w:szCs w:val="20"/>
          <w:highlight w:val="none"/>
          <w:u w:val="none"/>
          <w:lang w:val="en-US" w:eastAsia="zh-CN" w:bidi="ar-SA"/>
        </w:rPr>
        <w:t>而原油的泄则会</w:t>
      </w:r>
      <w:r>
        <w:rPr>
          <w:rFonts w:ascii="Times New Roman" w:hAnsi="Times New Roman" w:eastAsia="宋体" w:cs="Times New Roman"/>
          <w:snapToGrid w:val="0"/>
          <w:color w:val="auto"/>
          <w:kern w:val="2"/>
          <w:sz w:val="24"/>
          <w:szCs w:val="20"/>
          <w:highlight w:val="none"/>
          <w:u w:val="none"/>
          <w:lang w:val="en-US" w:eastAsia="zh-CN" w:bidi="ar-SA"/>
        </w:rPr>
        <w:t>直接污染周围土壤，还可能对区域地下水造成污染。</w:t>
      </w:r>
    </w:p>
    <w:p w14:paraId="11D13936">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cs="宋体"/>
          <w:color w:val="auto"/>
          <w:u w:val="none"/>
          <w:lang w:val="en-US" w:eastAsia="zh-CN"/>
        </w:rPr>
        <w:t>5.8.4</w:t>
      </w:r>
      <w:r>
        <w:rPr>
          <w:rFonts w:hint="default" w:ascii="宋体" w:hAnsi="宋体" w:eastAsia="宋体" w:cs="宋体"/>
          <w:color w:val="auto"/>
          <w:u w:val="none"/>
          <w:lang w:val="en-US" w:eastAsia="zh-CN"/>
        </w:rPr>
        <w:t>.</w:t>
      </w:r>
      <w:r>
        <w:rPr>
          <w:rFonts w:hint="eastAsia" w:ascii="宋体" w:hAnsi="宋体" w:eastAsia="宋体" w:cs="宋体"/>
          <w:color w:val="auto"/>
          <w:u w:val="none"/>
          <w:lang w:val="en-US" w:eastAsia="zh-CN"/>
        </w:rPr>
        <w:t>2 环境</w:t>
      </w:r>
      <w:r>
        <w:rPr>
          <w:rFonts w:hint="default" w:ascii="宋体" w:hAnsi="宋体" w:eastAsia="宋体" w:cs="宋体"/>
          <w:color w:val="auto"/>
          <w:u w:val="none"/>
          <w:lang w:val="en-US" w:eastAsia="zh-CN"/>
        </w:rPr>
        <w:t>风险类型识别</w:t>
      </w:r>
    </w:p>
    <w:p w14:paraId="6066F6D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通过分析中本工程可能涉及的危险物质及危险场所及危险特性，本工程可能发生的环境风险主要包括井喷、井漏、油类泄漏、火灾、爆炸等引发的伴生/次生污染物排放。</w:t>
      </w:r>
    </w:p>
    <w:p w14:paraId="6A0A42D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运营期管线发生破损造成天然气及原油泄漏，会污染土壤和大气，泄漏原油有可能通过包气带渗漏进入地下含水层，污染地下水；泄漏的油气若遇明火，发生火灾、爆炸，污染大气环境。</w:t>
      </w:r>
    </w:p>
    <w:p w14:paraId="135AFB28">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476" w:name="_Toc27444"/>
      <w:r>
        <w:rPr>
          <w:rFonts w:hint="eastAsia" w:ascii="黑体" w:hAnsi="黑体" w:eastAsia="黑体" w:cs="黑体"/>
          <w:b/>
          <w:color w:val="auto"/>
          <w:kern w:val="0"/>
          <w:sz w:val="24"/>
          <w:szCs w:val="24"/>
          <w:highlight w:val="none"/>
          <w:u w:val="none"/>
          <w:lang w:val="en-US" w:eastAsia="zh-CN"/>
        </w:rPr>
        <w:t>5.8</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5 </w:t>
      </w:r>
      <w:r>
        <w:rPr>
          <w:rFonts w:hint="default" w:ascii="黑体" w:hAnsi="黑体" w:eastAsia="黑体" w:cs="黑体"/>
          <w:b/>
          <w:color w:val="auto"/>
          <w:kern w:val="0"/>
          <w:sz w:val="24"/>
          <w:szCs w:val="24"/>
          <w:highlight w:val="none"/>
          <w:u w:val="none"/>
          <w:lang w:val="en-US" w:eastAsia="zh-CN"/>
        </w:rPr>
        <w:t>环境风险分析</w:t>
      </w:r>
      <w:bookmarkEnd w:id="476"/>
    </w:p>
    <w:p w14:paraId="04D635C8">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highlight w:val="none"/>
          <w:u w:val="none"/>
          <w:lang w:val="en-US" w:eastAsia="zh-CN"/>
        </w:rPr>
      </w:pPr>
      <w:r>
        <w:rPr>
          <w:rFonts w:hint="eastAsia" w:ascii="宋体" w:hAnsi="宋体" w:cs="宋体"/>
          <w:color w:val="auto"/>
          <w:highlight w:val="none"/>
          <w:u w:val="none"/>
          <w:lang w:val="en-US" w:eastAsia="zh-CN"/>
        </w:rPr>
        <w:t xml:space="preserve">5.8.5.1 </w:t>
      </w:r>
      <w:r>
        <w:rPr>
          <w:rFonts w:hint="default" w:ascii="宋体" w:hAnsi="宋体" w:cs="宋体"/>
          <w:color w:val="auto"/>
          <w:highlight w:val="none"/>
          <w:u w:val="none"/>
          <w:lang w:val="en-US" w:eastAsia="zh-CN"/>
        </w:rPr>
        <w:t>井喷事故影响分析</w:t>
      </w:r>
    </w:p>
    <w:p w14:paraId="288D673B">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井喷事故一旦发生，大量的油气喷出井口，散落于井场周围，据类比资料显示，井喷范围内土壤表层可见有蜡状的原油喷散物，井喷的影响范围及影响程度较大。由于项目区</w:t>
      </w:r>
      <w:r>
        <w:rPr>
          <w:rFonts w:hint="eastAsia" w:ascii="Times New Roman" w:hAnsi="Times New Roman" w:eastAsia="宋体" w:cs="Times New Roman"/>
          <w:snapToGrid w:val="0"/>
          <w:color w:val="auto"/>
          <w:kern w:val="2"/>
          <w:sz w:val="24"/>
          <w:szCs w:val="20"/>
          <w:highlight w:val="none"/>
          <w:u w:val="none"/>
          <w:lang w:val="en-US" w:eastAsia="zh-CN" w:bidi="ar-SA"/>
        </w:rPr>
        <w:t>荒无人烟</w:t>
      </w:r>
      <w:r>
        <w:rPr>
          <w:rFonts w:ascii="Times New Roman" w:hAnsi="Times New Roman" w:eastAsia="宋体" w:cs="Times New Roman"/>
          <w:snapToGrid w:val="0"/>
          <w:color w:val="auto"/>
          <w:kern w:val="2"/>
          <w:sz w:val="24"/>
          <w:szCs w:val="20"/>
          <w:highlight w:val="none"/>
          <w:u w:val="none"/>
          <w:lang w:val="en-US" w:eastAsia="zh-CN" w:bidi="ar-SA"/>
        </w:rPr>
        <w:t>，所以井喷对人员的伤害有限，对项目区及周边土壤环境、大气环境、地下水产生影响。</w:t>
      </w:r>
    </w:p>
    <w:p w14:paraId="6B3AB9B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井喷事故发生时对地下水环境的影响主要是</w:t>
      </w:r>
      <w:r>
        <w:rPr>
          <w:rFonts w:hint="eastAsia" w:ascii="Times New Roman" w:hAnsi="Times New Roman" w:eastAsia="宋体" w:cs="Times New Roman"/>
          <w:snapToGrid w:val="0"/>
          <w:color w:val="auto"/>
          <w:kern w:val="2"/>
          <w:sz w:val="24"/>
          <w:szCs w:val="20"/>
          <w:highlight w:val="none"/>
          <w:u w:val="none"/>
          <w:lang w:val="en-US" w:eastAsia="zh-CN" w:bidi="ar"/>
        </w:rPr>
        <w:t>原油</w:t>
      </w:r>
      <w:r>
        <w:rPr>
          <w:rFonts w:ascii="Times New Roman" w:hAnsi="Times New Roman" w:eastAsia="宋体" w:cs="Times New Roman"/>
          <w:snapToGrid w:val="0"/>
          <w:color w:val="auto"/>
          <w:kern w:val="2"/>
          <w:sz w:val="24"/>
          <w:szCs w:val="20"/>
          <w:highlight w:val="none"/>
          <w:u w:val="none"/>
          <w:lang w:val="en-US" w:eastAsia="zh-CN" w:bidi="ar-SA"/>
        </w:rPr>
        <w:t>以面源的形式渗漏进入包气带土壤并污染地下水。污染物迁移途径为地表以下的包气带和含水层，然后随地下水流动而污染地下水。石油类污染物主要聚积在土壤表层1m以内，一般很难渗入到2m以下。同时</w:t>
      </w:r>
      <w:r>
        <w:rPr>
          <w:rFonts w:hint="eastAsia" w:ascii="Times New Roman" w:hAnsi="Times New Roman" w:eastAsia="宋体" w:cs="Times New Roman"/>
          <w:snapToGrid w:val="0"/>
          <w:color w:val="auto"/>
          <w:kern w:val="2"/>
          <w:sz w:val="24"/>
          <w:szCs w:val="20"/>
          <w:highlight w:val="none"/>
          <w:u w:val="none"/>
          <w:lang w:val="en-US" w:eastAsia="zh-CN" w:bidi="ar-SA"/>
        </w:rPr>
        <w:t>油田</w:t>
      </w:r>
      <w:r>
        <w:rPr>
          <w:rFonts w:ascii="Times New Roman" w:hAnsi="Times New Roman" w:eastAsia="宋体" w:cs="Times New Roman"/>
          <w:snapToGrid w:val="0"/>
          <w:color w:val="auto"/>
          <w:kern w:val="2"/>
          <w:sz w:val="24"/>
          <w:szCs w:val="20"/>
          <w:highlight w:val="none"/>
          <w:u w:val="none"/>
          <w:lang w:val="en-US" w:eastAsia="zh-CN" w:bidi="ar-SA"/>
        </w:rPr>
        <w:t>区域气候干旱少雨，不存在大量降水的淋滤作用。因此，井喷事故中的泄漏</w:t>
      </w:r>
      <w:r>
        <w:rPr>
          <w:rFonts w:hint="eastAsia" w:ascii="Times New Roman" w:hAnsi="Times New Roman" w:eastAsia="宋体" w:cs="Times New Roman"/>
          <w:snapToGrid w:val="0"/>
          <w:color w:val="auto"/>
          <w:kern w:val="2"/>
          <w:sz w:val="24"/>
          <w:szCs w:val="20"/>
          <w:highlight w:val="none"/>
          <w:u w:val="none"/>
          <w:lang w:val="en-US" w:eastAsia="zh-CN" w:bidi="ar"/>
        </w:rPr>
        <w:t>原油</w:t>
      </w:r>
      <w:r>
        <w:rPr>
          <w:rFonts w:ascii="Times New Roman" w:hAnsi="Times New Roman" w:eastAsia="宋体" w:cs="Times New Roman"/>
          <w:snapToGrid w:val="0"/>
          <w:color w:val="auto"/>
          <w:kern w:val="2"/>
          <w:sz w:val="24"/>
          <w:szCs w:val="20"/>
          <w:highlight w:val="none"/>
          <w:u w:val="none"/>
          <w:lang w:val="en-US" w:eastAsia="zh-CN" w:bidi="ar-SA"/>
        </w:rPr>
        <w:t>不会进入地下含水层污染地下水。</w:t>
      </w:r>
    </w:p>
    <w:p w14:paraId="2D997DE3">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本工程区地层属正常压力系统的油气藏。该区域油气层压力分布规律已基本掌握，储层物性及基本特征已基本清楚，所以发生井喷的机率微乎其微。</w:t>
      </w:r>
    </w:p>
    <w:p w14:paraId="7B5DE837">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一旦发生井喷，绝大多数井都能通过防喷器关闭，然后采取压井措施控制井喷；最后还可用向事故井打定位斜井等方法处理井喷，并尽快采取措施回收</w:t>
      </w:r>
      <w:r>
        <w:rPr>
          <w:rFonts w:hint="eastAsia" w:cs="Times New Roman"/>
          <w:snapToGrid w:val="0"/>
          <w:color w:val="auto"/>
          <w:kern w:val="2"/>
          <w:sz w:val="24"/>
          <w:szCs w:val="20"/>
          <w:highlight w:val="none"/>
          <w:u w:val="none"/>
          <w:lang w:val="en-US" w:eastAsia="zh-CN" w:bidi="ar-SA"/>
        </w:rPr>
        <w:t>油类物质</w:t>
      </w:r>
      <w:r>
        <w:rPr>
          <w:rFonts w:hint="eastAsia" w:ascii="Times New Roman" w:hAnsi="Times New Roman" w:eastAsia="宋体" w:cs="Times New Roman"/>
          <w:snapToGrid w:val="0"/>
          <w:color w:val="auto"/>
          <w:kern w:val="2"/>
          <w:sz w:val="24"/>
          <w:szCs w:val="20"/>
          <w:highlight w:val="none"/>
          <w:u w:val="none"/>
          <w:lang w:val="en-US" w:eastAsia="zh-CN" w:bidi="ar-SA"/>
        </w:rPr>
        <w:t>。事故处理中要有专人负责，管好电源、火源，以免火灾发生。井喷时，需要对井喷的油泥等污染物进行收集处理。采用</w:t>
      </w:r>
      <w:r>
        <w:rPr>
          <w:rFonts w:hint="eastAsia" w:cs="Times New Roman"/>
          <w:snapToGrid w:val="0"/>
          <w:color w:val="auto"/>
          <w:kern w:val="2"/>
          <w:sz w:val="24"/>
          <w:szCs w:val="20"/>
          <w:highlight w:val="none"/>
          <w:u w:val="none"/>
          <w:lang w:val="en-US" w:eastAsia="zh-CN" w:bidi="ar-SA"/>
        </w:rPr>
        <w:t>油品</w:t>
      </w:r>
      <w:r>
        <w:rPr>
          <w:rFonts w:hint="eastAsia" w:ascii="Times New Roman" w:hAnsi="Times New Roman" w:eastAsia="宋体" w:cs="Times New Roman"/>
          <w:snapToGrid w:val="0"/>
          <w:color w:val="auto"/>
          <w:kern w:val="2"/>
          <w:sz w:val="24"/>
          <w:szCs w:val="20"/>
          <w:highlight w:val="none"/>
          <w:u w:val="none"/>
          <w:lang w:val="en-US" w:eastAsia="zh-CN" w:bidi="ar-SA"/>
        </w:rPr>
        <w:t>回收罐，施工车带罐作业，实现落地油100%回收。</w:t>
      </w:r>
    </w:p>
    <w:p w14:paraId="44F45821">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cs="宋体"/>
          <w:color w:val="auto"/>
          <w:u w:val="none"/>
          <w:lang w:val="en-US" w:eastAsia="zh-CN"/>
        </w:rPr>
      </w:pPr>
      <w:r>
        <w:rPr>
          <w:rFonts w:hint="eastAsia" w:ascii="宋体" w:hAnsi="宋体" w:cs="宋体"/>
          <w:color w:val="auto"/>
          <w:u w:val="none"/>
          <w:lang w:val="en-US" w:eastAsia="zh-CN"/>
        </w:rPr>
        <w:t>5.8.5.2储罐泄漏环境影响分析</w:t>
      </w:r>
    </w:p>
    <w:p w14:paraId="0136DDD8">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钻井期会在井场布置柴油储罐，一旦储罐发生泄漏，会对周围环境空气、水体、土壤和植被会造成一定的不利影响。</w:t>
      </w:r>
    </w:p>
    <w:p w14:paraId="0B0F0719">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储层改造过程中排出的压裂返排液采用专用废液收集罐收集，专用废液收集罐发生泄漏，压裂液中的化学添加剂、重金属物质会污染土壤和地下水；高盐度返排液会改变土壤和地下水的盐度，影响植物生长和地下水水质，返排液中的烃类物质可能渗入地下水，影响饮用水安全。</w:t>
      </w:r>
    </w:p>
    <w:p w14:paraId="1DB07DC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本工程储罐底部铺设防渗膜，采取钢制储罐，发生泄漏的概率极小，同时一旦发生泄漏会在较短时间内发现并采取的堵漏措施，出现长期连续性泄漏的可能性很低，发生渗漏污染地下水的风险事故概率较低。</w:t>
      </w:r>
    </w:p>
    <w:p w14:paraId="76918D54">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5</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3 </w:t>
      </w:r>
      <w:r>
        <w:rPr>
          <w:rFonts w:hint="default" w:ascii="宋体" w:hAnsi="宋体" w:cs="宋体"/>
          <w:color w:val="auto"/>
          <w:u w:val="none"/>
          <w:lang w:val="en-US" w:eastAsia="zh-CN"/>
        </w:rPr>
        <w:t>井漏事故影响分析</w:t>
      </w:r>
    </w:p>
    <w:p w14:paraId="03D0AD8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井漏事故主要为运营期油水窜层。</w:t>
      </w:r>
    </w:p>
    <w:p w14:paraId="093D035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井漏事故对地下水的污染是采出液漏失于地下水含水层中，采出液中含石油类，会造成地下含水层水质污染。</w:t>
      </w:r>
    </w:p>
    <w:p w14:paraId="47D47CE8">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本</w:t>
      </w:r>
      <w:r>
        <w:rPr>
          <w:rFonts w:hint="eastAsia" w:cs="Times New Roman"/>
          <w:snapToGrid w:val="0"/>
          <w:color w:val="auto"/>
          <w:kern w:val="2"/>
          <w:sz w:val="24"/>
          <w:szCs w:val="20"/>
          <w:highlight w:val="none"/>
          <w:u w:val="none"/>
          <w:lang w:val="en-US" w:eastAsia="zh-CN" w:bidi="ar-SA"/>
        </w:rPr>
        <w:t>项目</w:t>
      </w:r>
      <w:r>
        <w:rPr>
          <w:rFonts w:ascii="Times New Roman" w:hAnsi="Times New Roman" w:eastAsia="宋体" w:cs="Times New Roman"/>
          <w:snapToGrid w:val="0"/>
          <w:color w:val="auto"/>
          <w:kern w:val="2"/>
          <w:sz w:val="24"/>
          <w:szCs w:val="20"/>
          <w:highlight w:val="none"/>
          <w:u w:val="none"/>
          <w:lang w:val="en-US" w:eastAsia="zh-CN" w:bidi="ar-SA"/>
        </w:rPr>
        <w:t>表层套管完全封闭各含水层，固井水泥均上返地面，在各含水层与井筒间形成多层套管、水泥环的保护措施，将事故风险降低到最低。</w:t>
      </w:r>
    </w:p>
    <w:p w14:paraId="6A0C36D1">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cs="宋体"/>
          <w:color w:val="auto"/>
          <w:u w:val="none"/>
          <w:lang w:val="en-US" w:eastAsia="zh-CN"/>
        </w:rPr>
      </w:pPr>
      <w:r>
        <w:rPr>
          <w:rFonts w:hint="eastAsia" w:ascii="宋体" w:hAnsi="宋体" w:cs="宋体"/>
          <w:color w:val="auto"/>
          <w:u w:val="none"/>
          <w:lang w:val="en-US" w:eastAsia="zh-CN"/>
        </w:rPr>
        <w:t>5.8.5.4 对大气环境的影响分析</w:t>
      </w:r>
    </w:p>
    <w:p w14:paraId="0F203E07">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u w:val="none"/>
          <w:lang w:val="en-US" w:eastAsia="zh-CN" w:bidi="ar-SA"/>
        </w:rPr>
      </w:pPr>
      <w:r>
        <w:rPr>
          <w:rFonts w:hint="eastAsia" w:cs="Times New Roman"/>
          <w:snapToGrid w:val="0"/>
          <w:color w:val="auto"/>
          <w:kern w:val="2"/>
          <w:sz w:val="24"/>
          <w:szCs w:val="20"/>
          <w:highlight w:val="none"/>
          <w:u w:val="none"/>
          <w:lang w:val="en-US" w:eastAsia="zh-CN" w:bidi="ar"/>
        </w:rPr>
        <w:t>凝析</w:t>
      </w:r>
      <w:r>
        <w:rPr>
          <w:rFonts w:hint="eastAsia" w:ascii="Times New Roman" w:hAnsi="Times New Roman" w:eastAsia="宋体" w:cs="Times New Roman"/>
          <w:snapToGrid w:val="0"/>
          <w:color w:val="auto"/>
          <w:kern w:val="2"/>
          <w:sz w:val="24"/>
          <w:szCs w:val="20"/>
          <w:highlight w:val="none"/>
          <w:u w:val="none"/>
          <w:lang w:val="en-US" w:eastAsia="zh-CN" w:bidi="ar"/>
        </w:rPr>
        <w:t>油</w:t>
      </w:r>
      <w:r>
        <w:rPr>
          <w:rFonts w:hint="default" w:ascii="Times New Roman" w:hAnsi="Times New Roman" w:eastAsia="宋体" w:cs="Times New Roman"/>
          <w:snapToGrid w:val="0"/>
          <w:color w:val="auto"/>
          <w:kern w:val="2"/>
          <w:sz w:val="24"/>
          <w:szCs w:val="20"/>
          <w:highlight w:val="none"/>
          <w:u w:val="none"/>
          <w:lang w:val="en-US" w:eastAsia="zh-CN" w:bidi="ar-SA"/>
        </w:rPr>
        <w:t>、天然气发生泄漏事故后，进入环境中，释放出的</w:t>
      </w:r>
      <w:r>
        <w:rPr>
          <w:rFonts w:hint="eastAsia" w:cs="Times New Roman"/>
          <w:snapToGrid w:val="0"/>
          <w:color w:val="auto"/>
          <w:kern w:val="2"/>
          <w:sz w:val="24"/>
          <w:szCs w:val="20"/>
          <w:highlight w:val="none"/>
          <w:u w:val="none"/>
          <w:lang w:val="en-US" w:eastAsia="zh-CN" w:bidi="ar-SA"/>
        </w:rPr>
        <w:t>非甲烷总烃、硫化氢气体</w:t>
      </w:r>
      <w:r>
        <w:rPr>
          <w:rFonts w:hint="default" w:ascii="Times New Roman" w:hAnsi="Times New Roman" w:eastAsia="宋体" w:cs="Times New Roman"/>
          <w:snapToGrid w:val="0"/>
          <w:color w:val="auto"/>
          <w:kern w:val="2"/>
          <w:sz w:val="24"/>
          <w:szCs w:val="20"/>
          <w:highlight w:val="none"/>
          <w:u w:val="none"/>
          <w:lang w:val="en-US" w:eastAsia="zh-CN" w:bidi="ar-SA"/>
        </w:rPr>
        <w:t>会对周围环境空气产生影响，若遇明火，可发生火灾、爆炸，产生的伴生/次生污染物可能对环境空气产生一定的影响。由于项目区地域空旷，无敏感点分布，大气扩散条件较好，发生事故后，及时采取相应的措施，不会对周围环境空气产生明显影响。</w:t>
      </w:r>
    </w:p>
    <w:p w14:paraId="6F4244E2">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5</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5 </w:t>
      </w:r>
      <w:r>
        <w:rPr>
          <w:rFonts w:hint="default" w:ascii="宋体" w:hAnsi="宋体" w:cs="宋体"/>
          <w:color w:val="auto"/>
          <w:u w:val="none"/>
          <w:lang w:val="en-US" w:eastAsia="zh-CN"/>
        </w:rPr>
        <w:t>对地下水的环境影响分析</w:t>
      </w:r>
    </w:p>
    <w:p w14:paraId="66B3872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hint="eastAsia" w:ascii="Times New Roman" w:hAnsi="Times New Roman" w:cs="Times New Roman"/>
          <w:color w:val="auto"/>
          <w:kern w:val="0"/>
          <w:sz w:val="24"/>
          <w:szCs w:val="24"/>
          <w:highlight w:val="none"/>
          <w:u w:val="none"/>
        </w:rPr>
        <w:t>集输</w:t>
      </w:r>
      <w:r>
        <w:rPr>
          <w:rFonts w:ascii="Times New Roman" w:hAnsi="Times New Roman" w:cs="Times New Roman"/>
          <w:color w:val="auto"/>
          <w:kern w:val="0"/>
          <w:sz w:val="24"/>
          <w:szCs w:val="24"/>
          <w:highlight w:val="none"/>
          <w:u w:val="none"/>
        </w:rPr>
        <w:t>管道敷设在地表以下，运营期在正常情况下对地下水无影响，只有在发生事故时才可能影响到地下水。</w:t>
      </w:r>
      <w:r>
        <w:rPr>
          <w:rFonts w:hint="eastAsia" w:ascii="Times New Roman" w:hAnsi="Times New Roman" w:cs="Times New Roman"/>
          <w:color w:val="auto"/>
          <w:kern w:val="0"/>
          <w:sz w:val="24"/>
          <w:szCs w:val="24"/>
          <w:highlight w:val="none"/>
          <w:u w:val="none"/>
        </w:rPr>
        <w:t>集输</w:t>
      </w:r>
      <w:r>
        <w:rPr>
          <w:rFonts w:ascii="Times New Roman" w:hAnsi="Times New Roman" w:cs="Times New Roman"/>
          <w:color w:val="auto"/>
          <w:kern w:val="0"/>
          <w:sz w:val="24"/>
          <w:szCs w:val="24"/>
          <w:highlight w:val="none"/>
          <w:u w:val="none"/>
        </w:rPr>
        <w:t>管道发生事故时，漏油能否对地下水环境产生影响，取决于油在土壤中的迁移转化、地面污染程度以及泄漏点的地质构造。</w:t>
      </w:r>
    </w:p>
    <w:p w14:paraId="7FA2B7E2">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发生泄漏事故后，若及时维修处理，即使有少量的污染物泄漏，也很难通过防渗层渗入包气带。故在正常工况下，加强检修力度，发生泄漏事故及时找到泄漏点，及时维修，并将受污染的土壤全部集中收集，交由有资质的单位进行处理，污染物从源头和末端均得到控制，阻断了污染地下水的通道，污染物不会渗入地下污染地下水体。</w:t>
      </w:r>
    </w:p>
    <w:p w14:paraId="7184FBAB">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在非正常状况下，建设单位应立即采取切断措施并及时组织专门力量进行污染物的清除工作，在最短的时间内清除地面及地下的石油类物质，因而，石油类污染物进入地下潜水的可能性较小。只要建设单位和施工单位严格按照拟定的环保措施进行，非正常状况下，对地下水的影响属可接受范围。</w:t>
      </w:r>
    </w:p>
    <w:p w14:paraId="02F7BCB4">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5</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6 </w:t>
      </w:r>
      <w:r>
        <w:rPr>
          <w:rFonts w:hint="default" w:ascii="宋体" w:hAnsi="宋体" w:cs="宋体"/>
          <w:color w:val="auto"/>
          <w:u w:val="none"/>
          <w:lang w:val="en-US" w:eastAsia="zh-CN"/>
        </w:rPr>
        <w:t>对土壤环境的影响分析</w:t>
      </w:r>
    </w:p>
    <w:p w14:paraId="16D17BC8">
      <w:pPr>
        <w:keepNext w:val="0"/>
        <w:keepLines w:val="0"/>
        <w:pageBreakBefore w:val="0"/>
        <w:wordWrap/>
        <w:topLinePunct w:val="0"/>
        <w:autoSpaceDE/>
        <w:autoSpaceDN/>
        <w:bidi w:val="0"/>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cs="Times New Roman"/>
          <w:snapToGrid w:val="0"/>
          <w:color w:val="auto"/>
          <w:kern w:val="2"/>
          <w:sz w:val="24"/>
          <w:szCs w:val="20"/>
          <w:highlight w:val="none"/>
          <w:u w:val="none"/>
          <w:lang w:val="en-US" w:eastAsia="zh-CN" w:bidi="ar"/>
        </w:rPr>
        <w:t>凝析</w:t>
      </w:r>
      <w:r>
        <w:rPr>
          <w:rFonts w:hint="eastAsia" w:ascii="Times New Roman" w:hAnsi="Times New Roman" w:eastAsia="宋体" w:cs="Times New Roman"/>
          <w:snapToGrid w:val="0"/>
          <w:color w:val="auto"/>
          <w:kern w:val="2"/>
          <w:sz w:val="24"/>
          <w:szCs w:val="20"/>
          <w:highlight w:val="none"/>
          <w:u w:val="none"/>
          <w:lang w:val="en-US" w:eastAsia="zh-CN" w:bidi="ar"/>
        </w:rPr>
        <w:t>油</w:t>
      </w:r>
      <w:r>
        <w:rPr>
          <w:rFonts w:ascii="Times New Roman" w:hAnsi="Times New Roman" w:eastAsia="宋体" w:cs="Times New Roman"/>
          <w:snapToGrid w:val="0"/>
          <w:color w:val="auto"/>
          <w:spacing w:val="-6"/>
          <w:kern w:val="2"/>
          <w:sz w:val="24"/>
          <w:szCs w:val="20"/>
          <w:highlight w:val="none"/>
          <w:u w:val="none"/>
          <w:lang w:val="en-US" w:eastAsia="zh-CN" w:bidi="ar-SA"/>
        </w:rPr>
        <w:t>泄漏对土壤环境的影响是比较显著的，泄漏的</w:t>
      </w:r>
      <w:r>
        <w:rPr>
          <w:rFonts w:hint="eastAsia" w:cs="Times New Roman"/>
          <w:snapToGrid w:val="0"/>
          <w:color w:val="auto"/>
          <w:kern w:val="2"/>
          <w:sz w:val="24"/>
          <w:szCs w:val="20"/>
          <w:highlight w:val="none"/>
          <w:u w:val="none"/>
          <w:lang w:val="en-US" w:eastAsia="zh-CN" w:bidi="ar"/>
        </w:rPr>
        <w:t>凝析</w:t>
      </w:r>
      <w:r>
        <w:rPr>
          <w:rFonts w:hint="eastAsia" w:ascii="Times New Roman" w:hAnsi="Times New Roman" w:eastAsia="宋体" w:cs="Times New Roman"/>
          <w:snapToGrid w:val="0"/>
          <w:color w:val="auto"/>
          <w:kern w:val="2"/>
          <w:sz w:val="24"/>
          <w:szCs w:val="20"/>
          <w:highlight w:val="none"/>
          <w:u w:val="none"/>
          <w:lang w:val="en-US" w:eastAsia="zh-CN" w:bidi="ar"/>
        </w:rPr>
        <w:t>油</w:t>
      </w:r>
      <w:r>
        <w:rPr>
          <w:rFonts w:ascii="Times New Roman" w:hAnsi="Times New Roman" w:eastAsia="宋体" w:cs="Times New Roman"/>
          <w:snapToGrid w:val="0"/>
          <w:color w:val="auto"/>
          <w:spacing w:val="-6"/>
          <w:kern w:val="2"/>
          <w:sz w:val="24"/>
          <w:szCs w:val="20"/>
          <w:highlight w:val="none"/>
          <w:u w:val="none"/>
          <w:lang w:val="en-US" w:eastAsia="zh-CN" w:bidi="ar-SA"/>
        </w:rPr>
        <w:t>可使土壤透气性下降、土壤理化性状发生变化。泄漏的油品如果进入土壤，从而使土壤质地、结构发生改变，影响到土地功能，进而影响荒漠植被的生长，并可影响局部的生态环境。</w:t>
      </w:r>
    </w:p>
    <w:p w14:paraId="618CBBFE">
      <w:pPr>
        <w:keepNext w:val="0"/>
        <w:keepLines w:val="0"/>
        <w:pageBreakBefore w:val="0"/>
        <w:wordWrap/>
        <w:topLinePunct w:val="0"/>
        <w:autoSpaceDE/>
        <w:autoSpaceDN/>
        <w:bidi w:val="0"/>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cs="Times New Roman"/>
          <w:snapToGrid w:val="0"/>
          <w:color w:val="auto"/>
          <w:kern w:val="2"/>
          <w:sz w:val="24"/>
          <w:szCs w:val="20"/>
          <w:highlight w:val="none"/>
          <w:u w:val="none"/>
          <w:lang w:val="en-US" w:eastAsia="zh-CN" w:bidi="ar"/>
        </w:rPr>
        <w:t>凝析</w:t>
      </w:r>
      <w:r>
        <w:rPr>
          <w:rFonts w:hint="eastAsia" w:ascii="Times New Roman" w:hAnsi="Times New Roman" w:eastAsia="宋体" w:cs="Times New Roman"/>
          <w:snapToGrid w:val="0"/>
          <w:color w:val="auto"/>
          <w:kern w:val="2"/>
          <w:sz w:val="24"/>
          <w:szCs w:val="20"/>
          <w:highlight w:val="none"/>
          <w:u w:val="none"/>
          <w:lang w:val="en-US" w:eastAsia="zh-CN" w:bidi="ar"/>
        </w:rPr>
        <w:t>油</w:t>
      </w:r>
      <w:r>
        <w:rPr>
          <w:rFonts w:ascii="Times New Roman" w:hAnsi="Times New Roman" w:eastAsia="宋体" w:cs="Times New Roman"/>
          <w:snapToGrid w:val="0"/>
          <w:color w:val="auto"/>
          <w:kern w:val="2"/>
          <w:sz w:val="24"/>
          <w:szCs w:val="20"/>
          <w:highlight w:val="none"/>
          <w:u w:val="none"/>
          <w:lang w:val="en-US" w:eastAsia="zh-CN" w:bidi="ar-SA"/>
        </w:rPr>
        <w:t>发生泄漏时，相当于向土壤中直接注入</w:t>
      </w:r>
      <w:r>
        <w:rPr>
          <w:rFonts w:hint="eastAsia" w:cs="Times New Roman"/>
          <w:snapToGrid w:val="0"/>
          <w:color w:val="auto"/>
          <w:kern w:val="2"/>
          <w:sz w:val="24"/>
          <w:szCs w:val="20"/>
          <w:highlight w:val="none"/>
          <w:u w:val="none"/>
          <w:lang w:val="en-US" w:eastAsia="zh-CN" w:bidi="ar"/>
        </w:rPr>
        <w:t>凝析</w:t>
      </w:r>
      <w:r>
        <w:rPr>
          <w:rFonts w:hint="eastAsia" w:ascii="Times New Roman" w:hAnsi="Times New Roman" w:eastAsia="宋体" w:cs="Times New Roman"/>
          <w:snapToGrid w:val="0"/>
          <w:color w:val="auto"/>
          <w:kern w:val="2"/>
          <w:sz w:val="24"/>
          <w:szCs w:val="20"/>
          <w:highlight w:val="none"/>
          <w:u w:val="none"/>
          <w:lang w:val="en-US" w:eastAsia="zh-CN" w:bidi="ar"/>
        </w:rPr>
        <w:t>油</w:t>
      </w:r>
      <w:r>
        <w:rPr>
          <w:rFonts w:ascii="Times New Roman" w:hAnsi="Times New Roman" w:eastAsia="宋体" w:cs="Times New Roman"/>
          <w:snapToGrid w:val="0"/>
          <w:color w:val="auto"/>
          <w:kern w:val="2"/>
          <w:sz w:val="24"/>
          <w:szCs w:val="20"/>
          <w:highlight w:val="none"/>
          <w:u w:val="none"/>
          <w:lang w:val="en-US" w:eastAsia="zh-CN" w:bidi="ar-SA"/>
        </w:rPr>
        <w:t>，泄漏的</w:t>
      </w:r>
      <w:r>
        <w:rPr>
          <w:rFonts w:hint="eastAsia" w:ascii="Times New Roman" w:hAnsi="Times New Roman" w:eastAsia="宋体" w:cs="Times New Roman"/>
          <w:snapToGrid w:val="0"/>
          <w:color w:val="auto"/>
          <w:kern w:val="2"/>
          <w:sz w:val="24"/>
          <w:szCs w:val="20"/>
          <w:highlight w:val="none"/>
          <w:u w:val="none"/>
          <w:lang w:val="en-US" w:eastAsia="zh-CN" w:bidi="ar"/>
        </w:rPr>
        <w:t>原油</w:t>
      </w:r>
      <w:r>
        <w:rPr>
          <w:rFonts w:ascii="Times New Roman" w:hAnsi="Times New Roman" w:eastAsia="宋体" w:cs="Times New Roman"/>
          <w:snapToGrid w:val="0"/>
          <w:color w:val="auto"/>
          <w:kern w:val="2"/>
          <w:sz w:val="24"/>
          <w:szCs w:val="20"/>
          <w:highlight w:val="none"/>
          <w:u w:val="none"/>
          <w:lang w:val="en-US" w:eastAsia="zh-CN" w:bidi="ar-SA"/>
        </w:rPr>
        <w:t>进入土壤中后，渗入土壤孔隙，则使土壤透气性和呼吸作用减弱，影响土壤中的微生物生存，造成土壤盐碱化，破坏土壤结构，增加土壤中石油类污染物，造成土地肥力下降，改变土壤的理化性质，影响土壤正常的结构和功能。</w:t>
      </w:r>
    </w:p>
    <w:p w14:paraId="4D7A050B">
      <w:pPr>
        <w:keepNext w:val="0"/>
        <w:keepLines w:val="0"/>
        <w:pageBreakBefore w:val="0"/>
        <w:wordWrap/>
        <w:topLinePunct w:val="0"/>
        <w:autoSpaceDE/>
        <w:autoSpaceDN/>
        <w:bidi w:val="0"/>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运营期管线破裂，将能回收的</w:t>
      </w:r>
      <w:r>
        <w:rPr>
          <w:rFonts w:hint="eastAsia" w:cs="Times New Roman"/>
          <w:snapToGrid w:val="0"/>
          <w:color w:val="auto"/>
          <w:kern w:val="2"/>
          <w:sz w:val="24"/>
          <w:szCs w:val="20"/>
          <w:highlight w:val="none"/>
          <w:u w:val="none"/>
          <w:lang w:val="en-US" w:eastAsia="zh-CN" w:bidi="ar"/>
        </w:rPr>
        <w:t>凝析</w:t>
      </w:r>
      <w:r>
        <w:rPr>
          <w:rFonts w:hint="eastAsia" w:ascii="Times New Roman" w:hAnsi="Times New Roman" w:eastAsia="宋体" w:cs="Times New Roman"/>
          <w:snapToGrid w:val="0"/>
          <w:color w:val="auto"/>
          <w:kern w:val="2"/>
          <w:sz w:val="24"/>
          <w:szCs w:val="20"/>
          <w:highlight w:val="none"/>
          <w:u w:val="none"/>
          <w:lang w:val="en-US" w:eastAsia="zh-CN" w:bidi="ar"/>
        </w:rPr>
        <w:t>油</w:t>
      </w:r>
      <w:r>
        <w:rPr>
          <w:rFonts w:ascii="Times New Roman" w:hAnsi="Times New Roman" w:eastAsia="宋体" w:cs="Times New Roman"/>
          <w:snapToGrid w:val="0"/>
          <w:color w:val="auto"/>
          <w:kern w:val="2"/>
          <w:sz w:val="24"/>
          <w:szCs w:val="20"/>
          <w:highlight w:val="none"/>
          <w:u w:val="none"/>
          <w:lang w:val="en-US" w:eastAsia="zh-CN" w:bidi="ar-SA"/>
        </w:rPr>
        <w:t>回收，送</w:t>
      </w:r>
      <w:r>
        <w:rPr>
          <w:rFonts w:hint="eastAsia" w:ascii="Times New Roman" w:hAnsi="Times New Roman" w:eastAsia="宋体" w:cs="Times New Roman"/>
          <w:snapToGrid w:val="0"/>
          <w:color w:val="auto"/>
          <w:kern w:val="2"/>
          <w:sz w:val="24"/>
          <w:szCs w:val="20"/>
          <w:highlight w:val="none"/>
          <w:u w:val="none"/>
          <w:lang w:val="en-US" w:eastAsia="zh-CN" w:bidi="ar-SA"/>
        </w:rPr>
        <w:t>联合站</w:t>
      </w:r>
      <w:r>
        <w:rPr>
          <w:rFonts w:ascii="Times New Roman" w:hAnsi="Times New Roman" w:eastAsia="宋体" w:cs="Times New Roman"/>
          <w:snapToGrid w:val="0"/>
          <w:color w:val="auto"/>
          <w:kern w:val="2"/>
          <w:sz w:val="24"/>
          <w:szCs w:val="20"/>
          <w:highlight w:val="none"/>
          <w:u w:val="none"/>
          <w:lang w:val="en-US" w:eastAsia="zh-CN" w:bidi="ar-SA"/>
        </w:rPr>
        <w:t>原油处理系统处理，不能回收的以及受污染的土壤集中收集后交由有相应处置资质的单位进行处理。</w:t>
      </w:r>
    </w:p>
    <w:p w14:paraId="29C763AA">
      <w:pPr>
        <w:keepNext w:val="0"/>
        <w:keepLines w:val="0"/>
        <w:pageBreakBefore w:val="0"/>
        <w:wordWrap/>
        <w:topLinePunct w:val="0"/>
        <w:autoSpaceDE/>
        <w:autoSpaceDN/>
        <w:bidi w:val="0"/>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综上所述，</w:t>
      </w:r>
      <w:r>
        <w:rPr>
          <w:rFonts w:hint="eastAsia" w:ascii="Times New Roman" w:hAnsi="Times New Roman" w:eastAsia="宋体" w:cs="Times New Roman"/>
          <w:snapToGrid w:val="0"/>
          <w:color w:val="auto"/>
          <w:kern w:val="2"/>
          <w:sz w:val="24"/>
          <w:szCs w:val="20"/>
          <w:highlight w:val="none"/>
          <w:u w:val="none"/>
          <w:lang w:val="en-US" w:eastAsia="zh-CN" w:bidi="ar-SA"/>
        </w:rPr>
        <w:t>本工程</w:t>
      </w:r>
      <w:r>
        <w:rPr>
          <w:rFonts w:ascii="Times New Roman" w:hAnsi="Times New Roman" w:eastAsia="宋体" w:cs="Times New Roman"/>
          <w:snapToGrid w:val="0"/>
          <w:color w:val="auto"/>
          <w:kern w:val="2"/>
          <w:sz w:val="24"/>
          <w:szCs w:val="20"/>
          <w:highlight w:val="none"/>
          <w:u w:val="none"/>
          <w:lang w:val="en-US" w:eastAsia="zh-CN" w:bidi="ar-SA"/>
        </w:rPr>
        <w:t>施工期和运营期发生事故后，及时采取相应的措施，不会对周围土壤环境产生明显影响。</w:t>
      </w:r>
    </w:p>
    <w:p w14:paraId="4C30D76E">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cs="宋体"/>
          <w:color w:val="auto"/>
          <w:u w:val="none"/>
          <w:lang w:val="en-US" w:eastAsia="zh-CN"/>
        </w:rPr>
      </w:pPr>
      <w:r>
        <w:rPr>
          <w:rFonts w:hint="eastAsia" w:ascii="宋体" w:hAnsi="宋体" w:cs="宋体"/>
          <w:color w:val="auto"/>
          <w:u w:val="none"/>
          <w:lang w:val="en-US" w:eastAsia="zh-CN"/>
        </w:rPr>
        <w:t xml:space="preserve">5.8.5.7 </w:t>
      </w:r>
      <w:r>
        <w:rPr>
          <w:rFonts w:hint="default" w:ascii="宋体" w:hAnsi="宋体" w:cs="宋体"/>
          <w:color w:val="auto"/>
          <w:u w:val="none"/>
          <w:lang w:val="en-US" w:eastAsia="zh-CN"/>
        </w:rPr>
        <w:t>对植被的影响</w:t>
      </w:r>
    </w:p>
    <w:p w14:paraId="0EE95FEC">
      <w:pPr>
        <w:keepNext w:val="0"/>
        <w:keepLines w:val="0"/>
        <w:pageBreakBefore w:val="0"/>
        <w:widowControl/>
        <w:kinsoku w:val="0"/>
        <w:wordWrap/>
        <w:overflowPunct w:val="0"/>
        <w:topLinePunct w:val="0"/>
        <w:autoSpaceDE/>
        <w:autoSpaceDN/>
        <w:bidi w:val="0"/>
        <w:adjustRightInd w:val="0"/>
        <w:snapToGrid w:val="0"/>
        <w:spacing w:line="480" w:lineRule="exact"/>
        <w:ind w:firstLine="480" w:firstLineChars="200"/>
        <w:jc w:val="left"/>
        <w:textAlignment w:val="auto"/>
        <w:rPr>
          <w:rFonts w:hint="eastAsia" w:ascii="宋体" w:hAnsi="宋体" w:cs="宋体"/>
          <w:color w:val="auto"/>
          <w:kern w:val="0"/>
          <w:sz w:val="24"/>
          <w:szCs w:val="24"/>
          <w:highlight w:val="none"/>
          <w:u w:val="none"/>
        </w:rPr>
      </w:pPr>
      <w:r>
        <w:rPr>
          <w:rFonts w:hint="eastAsia" w:ascii="宋体" w:hAnsi="宋体" w:cs="宋体"/>
          <w:color w:val="auto"/>
          <w:kern w:val="0"/>
          <w:sz w:val="24"/>
          <w:szCs w:val="24"/>
          <w:highlight w:val="none"/>
          <w:u w:val="none"/>
          <w:lang w:val="en-US" w:eastAsia="zh-CN"/>
        </w:rPr>
        <w:t>井喷及</w:t>
      </w:r>
      <w:r>
        <w:rPr>
          <w:rFonts w:hint="eastAsia" w:ascii="宋体" w:hAnsi="宋体" w:cs="宋体"/>
          <w:color w:val="auto"/>
          <w:kern w:val="0"/>
          <w:sz w:val="24"/>
          <w:szCs w:val="24"/>
          <w:highlight w:val="none"/>
          <w:u w:val="none"/>
        </w:rPr>
        <w:t>油品泄漏对植被的影响主要分为三种途径，一是泄漏</w:t>
      </w:r>
      <w:r>
        <w:rPr>
          <w:rFonts w:hint="eastAsia" w:cs="Times New Roman"/>
          <w:snapToGrid w:val="0"/>
          <w:color w:val="auto"/>
          <w:kern w:val="2"/>
          <w:sz w:val="24"/>
          <w:szCs w:val="20"/>
          <w:highlight w:val="none"/>
          <w:u w:val="none"/>
          <w:lang w:val="en-US" w:eastAsia="zh-CN" w:bidi="ar"/>
        </w:rPr>
        <w:t>凝析</w:t>
      </w:r>
      <w:r>
        <w:rPr>
          <w:rFonts w:hint="eastAsia" w:ascii="Times New Roman" w:hAnsi="Times New Roman" w:eastAsia="宋体" w:cs="Times New Roman"/>
          <w:snapToGrid w:val="0"/>
          <w:color w:val="auto"/>
          <w:kern w:val="2"/>
          <w:sz w:val="24"/>
          <w:szCs w:val="20"/>
          <w:highlight w:val="none"/>
          <w:u w:val="none"/>
          <w:lang w:val="en-US" w:eastAsia="zh-CN" w:bidi="ar"/>
        </w:rPr>
        <w:t>油</w:t>
      </w:r>
      <w:r>
        <w:rPr>
          <w:rFonts w:hint="eastAsia" w:ascii="宋体" w:hAnsi="宋体" w:cs="宋体"/>
          <w:color w:val="auto"/>
          <w:kern w:val="0"/>
          <w:sz w:val="24"/>
          <w:szCs w:val="24"/>
          <w:highlight w:val="none"/>
          <w:u w:val="none"/>
        </w:rPr>
        <w:t>直接粘附于植物体阻断植物的光合作用，使植物枯萎、死亡；二是</w:t>
      </w:r>
      <w:r>
        <w:rPr>
          <w:rFonts w:hint="eastAsia" w:ascii="Times New Roman" w:hAnsi="Times New Roman" w:cs="Times New Roman"/>
          <w:color w:val="auto"/>
          <w:kern w:val="0"/>
          <w:sz w:val="24"/>
          <w:szCs w:val="20"/>
          <w:highlight w:val="none"/>
          <w:u w:val="none"/>
          <w:lang w:val="en-US" w:eastAsia="zh-CN" w:bidi="ar"/>
        </w:rPr>
        <w:t>原油</w:t>
      </w:r>
      <w:r>
        <w:rPr>
          <w:rFonts w:hint="eastAsia" w:ascii="宋体" w:hAnsi="宋体" w:cs="宋体"/>
          <w:color w:val="auto"/>
          <w:kern w:val="0"/>
          <w:sz w:val="24"/>
          <w:szCs w:val="24"/>
          <w:highlight w:val="none"/>
          <w:u w:val="none"/>
        </w:rPr>
        <w:t>污染土壤造成的土壤理性化性状变化间接影响植物生长，严重时会导致植物死亡；三是泄漏的</w:t>
      </w:r>
      <w:r>
        <w:rPr>
          <w:rFonts w:hint="eastAsia" w:cs="Times New Roman"/>
          <w:snapToGrid w:val="0"/>
          <w:color w:val="auto"/>
          <w:kern w:val="2"/>
          <w:sz w:val="24"/>
          <w:szCs w:val="20"/>
          <w:highlight w:val="none"/>
          <w:u w:val="none"/>
          <w:lang w:val="en-US" w:eastAsia="zh-CN" w:bidi="ar"/>
        </w:rPr>
        <w:t>凝析</w:t>
      </w:r>
      <w:r>
        <w:rPr>
          <w:rFonts w:hint="eastAsia" w:ascii="Times New Roman" w:hAnsi="Times New Roman" w:eastAsia="宋体" w:cs="Times New Roman"/>
          <w:snapToGrid w:val="0"/>
          <w:color w:val="auto"/>
          <w:kern w:val="2"/>
          <w:sz w:val="24"/>
          <w:szCs w:val="20"/>
          <w:highlight w:val="none"/>
          <w:u w:val="none"/>
          <w:lang w:val="en-US" w:eastAsia="zh-CN" w:bidi="ar"/>
        </w:rPr>
        <w:t>油</w:t>
      </w:r>
      <w:r>
        <w:rPr>
          <w:rFonts w:hint="eastAsia" w:ascii="Times New Roman" w:hAnsi="Times New Roman" w:cs="Times New Roman"/>
          <w:color w:val="auto"/>
          <w:kern w:val="0"/>
          <w:sz w:val="24"/>
          <w:szCs w:val="20"/>
          <w:highlight w:val="none"/>
          <w:u w:val="none"/>
          <w:lang w:val="en-US" w:eastAsia="zh-CN" w:bidi="ar"/>
        </w:rPr>
        <w:t>、天然气</w:t>
      </w:r>
      <w:r>
        <w:rPr>
          <w:rFonts w:hint="eastAsia" w:ascii="宋体" w:hAnsi="宋体" w:cs="宋体"/>
          <w:color w:val="auto"/>
          <w:kern w:val="0"/>
          <w:sz w:val="24"/>
          <w:szCs w:val="24"/>
          <w:highlight w:val="none"/>
          <w:u w:val="none"/>
        </w:rPr>
        <w:t>中的轻组分挥发，</w:t>
      </w:r>
      <w:r>
        <w:rPr>
          <w:rFonts w:hint="default" w:ascii="Times New Roman" w:hAnsi="Times New Roman" w:cs="Times New Roman"/>
          <w:color w:val="auto"/>
          <w:kern w:val="0"/>
          <w:sz w:val="24"/>
          <w:szCs w:val="24"/>
          <w:highlight w:val="none"/>
          <w:u w:val="none"/>
        </w:rPr>
        <w:t>可发生火灾、爆炸，火灾、爆炸产生的伴生/次生污染物</w:t>
      </w:r>
      <w:r>
        <w:rPr>
          <w:rFonts w:hint="eastAsia" w:ascii="宋体" w:hAnsi="宋体" w:cs="宋体"/>
          <w:color w:val="auto"/>
          <w:kern w:val="0"/>
          <w:sz w:val="24"/>
          <w:szCs w:val="24"/>
          <w:highlight w:val="none"/>
          <w:u w:val="none"/>
        </w:rPr>
        <w:t>在对空气环境产生影响的同时，也对周围植物产生影响。</w:t>
      </w:r>
    </w:p>
    <w:p w14:paraId="60396611">
      <w:pPr>
        <w:keepNext w:val="0"/>
        <w:keepLines w:val="0"/>
        <w:pageBreakBefore w:val="0"/>
        <w:widowControl/>
        <w:kinsoku w:val="0"/>
        <w:wordWrap/>
        <w:overflowPunct w:val="0"/>
        <w:topLinePunct w:val="0"/>
        <w:autoSpaceDE/>
        <w:autoSpaceDN/>
        <w:bidi w:val="0"/>
        <w:adjustRightInd w:val="0"/>
        <w:snapToGrid w:val="0"/>
        <w:spacing w:line="480" w:lineRule="exact"/>
        <w:ind w:firstLine="480" w:firstLineChars="200"/>
        <w:jc w:val="left"/>
        <w:textAlignment w:val="auto"/>
        <w:rPr>
          <w:rFonts w:ascii="宋体" w:hAnsi="宋体" w:cs="宋体"/>
          <w:color w:val="auto"/>
          <w:kern w:val="0"/>
          <w:sz w:val="24"/>
          <w:szCs w:val="24"/>
          <w:highlight w:val="none"/>
          <w:u w:val="none"/>
        </w:rPr>
      </w:pPr>
      <w:r>
        <w:rPr>
          <w:rFonts w:hint="eastAsia" w:ascii="宋体" w:hAnsi="宋体" w:cs="宋体"/>
          <w:color w:val="auto"/>
          <w:kern w:val="0"/>
          <w:sz w:val="24"/>
          <w:szCs w:val="24"/>
          <w:highlight w:val="none"/>
          <w:u w:val="none"/>
          <w:lang w:eastAsia="zh-CN"/>
        </w:rPr>
        <w:t>本工程</w:t>
      </w:r>
      <w:r>
        <w:rPr>
          <w:rFonts w:hint="eastAsia" w:ascii="宋体" w:hAnsi="宋体" w:cs="宋体"/>
          <w:color w:val="auto"/>
          <w:kern w:val="0"/>
          <w:sz w:val="24"/>
          <w:szCs w:val="24"/>
          <w:highlight w:val="none"/>
          <w:u w:val="none"/>
        </w:rPr>
        <w:t>区域内植被量很小，且发生事故后，及时采取相应的措施，基本不会对周围植被产生明显影响。</w:t>
      </w:r>
    </w:p>
    <w:p w14:paraId="71390192">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477" w:name="_Toc31802"/>
      <w:r>
        <w:rPr>
          <w:rFonts w:hint="eastAsia" w:ascii="黑体" w:hAnsi="黑体" w:eastAsia="黑体" w:cs="黑体"/>
          <w:b/>
          <w:color w:val="auto"/>
          <w:kern w:val="0"/>
          <w:sz w:val="24"/>
          <w:szCs w:val="24"/>
          <w:highlight w:val="none"/>
          <w:u w:val="none"/>
          <w:lang w:val="en-US" w:eastAsia="zh-CN"/>
        </w:rPr>
        <w:t>5.8</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6 </w:t>
      </w:r>
      <w:r>
        <w:rPr>
          <w:rFonts w:hint="default" w:ascii="黑体" w:hAnsi="黑体" w:eastAsia="黑体" w:cs="黑体"/>
          <w:b/>
          <w:color w:val="auto"/>
          <w:kern w:val="0"/>
          <w:sz w:val="24"/>
          <w:szCs w:val="24"/>
          <w:highlight w:val="none"/>
          <w:u w:val="none"/>
          <w:lang w:val="en-US" w:eastAsia="zh-CN"/>
        </w:rPr>
        <w:t>环境风险管理措施与对策建议</w:t>
      </w:r>
      <w:bookmarkEnd w:id="477"/>
    </w:p>
    <w:p w14:paraId="4257D7CA">
      <w:pPr>
        <w:keepNext w:val="0"/>
        <w:keepLines w:val="0"/>
        <w:pageBreakBefore w:val="0"/>
        <w:widowControl/>
        <w:wordWrap/>
        <w:topLinePunct w:val="0"/>
        <w:autoSpaceDE/>
        <w:autoSpaceDN/>
        <w:bidi w:val="0"/>
        <w:spacing w:line="480" w:lineRule="exact"/>
        <w:ind w:firstLine="480" w:firstLineChars="200"/>
        <w:jc w:val="both"/>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各种事故无论是人为因素引起的，还是自然因素所致，都可以采取必要的预防措施，以减少事故的发生或使事故造成的危害降低到最低限度。对于人为因素引起的事故可以通过提高人员技术素质、加强责任心以及采取技术手段和管理手段等方法来避免；而对于自然因素引起的事故则主要靠采取各种措施来预防。</w:t>
      </w:r>
    </w:p>
    <w:p w14:paraId="3209A88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.1</w:t>
      </w:r>
      <w:r>
        <w:rPr>
          <w:rFonts w:hint="eastAsia" w:ascii="宋体" w:hAnsi="宋体" w:cs="宋体"/>
          <w:color w:val="auto"/>
          <w:u w:val="none"/>
          <w:lang w:val="en-US" w:eastAsia="zh-CN"/>
        </w:rPr>
        <w:t>柴油储罐泄露</w:t>
      </w:r>
      <w:r>
        <w:rPr>
          <w:rFonts w:hint="default" w:ascii="宋体" w:hAnsi="宋体" w:cs="宋体"/>
          <w:color w:val="auto"/>
          <w:u w:val="none"/>
          <w:lang w:val="en-US" w:eastAsia="zh-CN"/>
        </w:rPr>
        <w:t>风险预防措施</w:t>
      </w:r>
    </w:p>
    <w:p w14:paraId="5DE5A5D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1</w:t>
      </w:r>
      <w:r>
        <w:rPr>
          <w:rFonts w:hint="eastAsia"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选用质量、防腐措施合格的储罐。安装过程中焊接要经过100%的探伤，安装时应选择刚性不燃的坚固基础作为罐体基础。储罐在投用前，必须严格按照《压力容器安全技术监察规程》进行强度和气密性试验。</w:t>
      </w:r>
    </w:p>
    <w:p w14:paraId="4DA1CF2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2</w:t>
      </w:r>
      <w:r>
        <w:rPr>
          <w:rFonts w:hint="eastAsia"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在柴油储罐区严格用火管理；采用有效的避雷装置和接地装置等防止雷电的措施。</w:t>
      </w:r>
    </w:p>
    <w:p w14:paraId="0568375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3</w:t>
      </w:r>
      <w:r>
        <w:rPr>
          <w:rFonts w:hint="eastAsia"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加强柴油储罐和管线接口的检查工作，防止腐蚀穿孔。定期进行壁厚检测，腐蚀余量低于规定的允许值时，要及时进行检修和更换。</w:t>
      </w:r>
    </w:p>
    <w:p w14:paraId="25E2B8A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4</w:t>
      </w:r>
      <w:r>
        <w:rPr>
          <w:rFonts w:hint="eastAsia"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rPr>
        <w:t>加强消防安全管理</w:t>
      </w:r>
    </w:p>
    <w:p w14:paraId="2C3580D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cs="Times New Roman"/>
          <w:color w:val="auto"/>
          <w:kern w:val="0"/>
          <w:sz w:val="24"/>
          <w:szCs w:val="24"/>
          <w:highlight w:val="none"/>
          <w:u w:val="none"/>
        </w:rPr>
      </w:pPr>
      <w:r>
        <w:rPr>
          <w:rFonts w:hint="eastAsia" w:ascii="Times New Roman" w:hAnsi="Times New Roman" w:cs="Times New Roman"/>
          <w:color w:val="auto"/>
          <w:kern w:val="0"/>
          <w:sz w:val="24"/>
          <w:szCs w:val="24"/>
          <w:highlight w:val="none"/>
          <w:u w:val="none"/>
        </w:rPr>
        <w:t>定期进行消防培训与实战演练，要求岗位工作人员具有较强的消防安全意识，加强巡检，确保无异常情况出现。</w:t>
      </w:r>
    </w:p>
    <w:p w14:paraId="7FCE8D2F">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w:t>
      </w:r>
      <w:r>
        <w:rPr>
          <w:rFonts w:hint="eastAsia" w:ascii="宋体" w:hAnsi="宋体" w:cs="宋体"/>
          <w:color w:val="auto"/>
          <w:u w:val="none"/>
          <w:lang w:val="en-US" w:eastAsia="zh-CN"/>
        </w:rPr>
        <w:t>2</w:t>
      </w:r>
      <w:r>
        <w:rPr>
          <w:rFonts w:hint="default" w:ascii="宋体" w:hAnsi="宋体" w:cs="宋体"/>
          <w:color w:val="auto"/>
          <w:u w:val="none"/>
          <w:lang w:val="en-US" w:eastAsia="zh-CN"/>
        </w:rPr>
        <w:t>井下作业事故风险预防措施</w:t>
      </w:r>
    </w:p>
    <w:p w14:paraId="4DD13BB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（1）生产中采取有效预防措施，严格遵守井下作业的安全规定，在井口安装防喷器和控制装置，杜绝井喷的发生。</w:t>
      </w:r>
    </w:p>
    <w:p w14:paraId="0543719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（2）井场设置风向标，以便发生事故时人员能迅速向上风向疏散。</w:t>
      </w:r>
    </w:p>
    <w:p w14:paraId="0750446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（3）井场严格按防火规范进行平面布置，井场内的电气设备及仪表按防爆等级不同选用不同的设备。井场内所有设备、管线均应做防雷、防静电接地。</w:t>
      </w:r>
    </w:p>
    <w:p w14:paraId="4501905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（4）在油气可能泄漏和积聚的场所设置可燃气体浓度检测报警装置。</w:t>
      </w:r>
    </w:p>
    <w:p w14:paraId="4D4277C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（5）井下作业之前，在井场周围划分高压区和低压区，高压泵、高压汇管、井口装置等高压设备均布置于高压区内，施工过程中，高压区无关人员全部撤离，并设置安全警戒岗。</w:t>
      </w:r>
    </w:p>
    <w:p w14:paraId="0EE2F33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（6）每一次井下作业施工前，必须对高压汇管进行试压，试压压力大于施工压力5MPa，施工后必须探伤，更换不符合要求的汇管。</w:t>
      </w:r>
    </w:p>
    <w:p w14:paraId="2CEC416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7</w:t>
      </w:r>
      <w:r>
        <w:rPr>
          <w:rFonts w:hint="eastAsia"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储层改造过程中使用的优先选用无毒、低毒的环境友好型压裂液，压裂液与压裂返排液采用专用罐罐储存，均为防渗漏储罐，储罐底部铺设防渗膜。压裂返排液采用专用废液收集罐收集后及时拉运</w:t>
      </w:r>
      <w:r>
        <w:rPr>
          <w:rFonts w:hint="eastAsia" w:cs="Times New Roman"/>
          <w:color w:val="auto"/>
          <w:kern w:val="0"/>
          <w:sz w:val="24"/>
          <w:szCs w:val="24"/>
          <w:highlight w:val="none"/>
          <w:u w:val="none"/>
          <w:lang w:val="en-US" w:eastAsia="zh-CN"/>
        </w:rPr>
        <w:t>处置</w:t>
      </w:r>
      <w:r>
        <w:rPr>
          <w:rFonts w:hint="default" w:ascii="Times New Roman" w:hAnsi="Times New Roman" w:eastAsia="宋体" w:cs="Times New Roman"/>
          <w:color w:val="auto"/>
          <w:kern w:val="0"/>
          <w:sz w:val="24"/>
          <w:szCs w:val="24"/>
          <w:highlight w:val="none"/>
          <w:u w:val="none"/>
        </w:rPr>
        <w:t>。</w:t>
      </w:r>
    </w:p>
    <w:p w14:paraId="4FBD3129">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3 </w:t>
      </w:r>
      <w:r>
        <w:rPr>
          <w:rFonts w:hint="default" w:ascii="宋体" w:hAnsi="宋体" w:cs="宋体"/>
          <w:color w:val="auto"/>
          <w:u w:val="none"/>
          <w:lang w:val="en-US" w:eastAsia="zh-CN"/>
        </w:rPr>
        <w:t>集输事故风险预防措施</w:t>
      </w:r>
    </w:p>
    <w:p w14:paraId="27609A0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（1）严格按照管道施工、验收等规范进行设计、施工和验收。</w:t>
      </w:r>
    </w:p>
    <w:p w14:paraId="2E012C6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集输管线敷设前，应加强对管材和焊接质量的检查．严禁使用不合格产品。对焊接质量严格检验，防止焊接缺陷造成泄漏事故的发生。</w:t>
      </w:r>
    </w:p>
    <w:p w14:paraId="03F7738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（2）在集输管线的敷设线路上应设置永久性标志，包括里程桩、转角桩、交叉标志和警示牌等。</w:t>
      </w:r>
    </w:p>
    <w:p w14:paraId="05493D3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（3）按规定进行设备维修、保养，及时更换易损及老化部件，防止油气泄漏事故的发生。</w:t>
      </w:r>
    </w:p>
    <w:p w14:paraId="7339210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（4）加强自动控制系统的管理和控制，严格控制压力平衡。</w:t>
      </w:r>
    </w:p>
    <w:p w14:paraId="2C83334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（5）完善各</w:t>
      </w:r>
      <w:r>
        <w:rPr>
          <w:rFonts w:hint="eastAsia" w:cs="Times New Roman"/>
          <w:color w:val="auto"/>
          <w:kern w:val="0"/>
          <w:sz w:val="24"/>
          <w:szCs w:val="24"/>
          <w:highlight w:val="none"/>
          <w:u w:val="none"/>
          <w:lang w:val="en-US" w:eastAsia="zh-CN"/>
        </w:rPr>
        <w:t>井场</w:t>
      </w:r>
      <w:r>
        <w:rPr>
          <w:rFonts w:ascii="Times New Roman" w:hAnsi="Times New Roman" w:cs="Times New Roman"/>
          <w:color w:val="auto"/>
          <w:kern w:val="0"/>
          <w:sz w:val="24"/>
          <w:szCs w:val="24"/>
          <w:highlight w:val="none"/>
          <w:u w:val="none"/>
        </w:rPr>
        <w:t>的环境保护工程，及时清除、处理各种污染物，保持安全设施的完好，杜绝火灾的发生。</w:t>
      </w:r>
    </w:p>
    <w:p w14:paraId="6486F4B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（6）在集输系统运营期间，严格控制输送油气的性质，定期清管，排除管内的积水和污物，以减轻管道内腐蚀；定期对管线进行</w:t>
      </w:r>
      <w:r>
        <w:rPr>
          <w:rFonts w:hint="eastAsia" w:cs="Times New Roman"/>
          <w:color w:val="auto"/>
          <w:kern w:val="0"/>
          <w:sz w:val="24"/>
          <w:szCs w:val="24"/>
          <w:highlight w:val="none"/>
          <w:u w:val="none"/>
          <w:lang w:val="en-US" w:eastAsia="zh-CN"/>
        </w:rPr>
        <w:t>检测</w:t>
      </w:r>
      <w:r>
        <w:rPr>
          <w:rFonts w:ascii="Times New Roman" w:hAnsi="Times New Roman" w:cs="Times New Roman"/>
          <w:color w:val="auto"/>
          <w:kern w:val="0"/>
          <w:sz w:val="24"/>
          <w:szCs w:val="24"/>
          <w:highlight w:val="none"/>
          <w:u w:val="none"/>
        </w:rPr>
        <w:t>，对壁厚低于规定要求的管段应及时更换，消除爆管的隐患；定期对集输管线上的安全保护设施，如截断阀、安全阀、放空系统等进行检查，使管道在超压时能够得到安全处理，在管道破裂时能够及时截断上下游管段，以减少事故时油气的释放量，使危害影响范围减小到最低程度。</w:t>
      </w:r>
    </w:p>
    <w:p w14:paraId="7EC4CF4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（7）定期对管线进行巡视，加强管线和警戒标志的管理工作。</w:t>
      </w:r>
    </w:p>
    <w:p w14:paraId="1F2CBA2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（8）严禁在管线两侧各50m范围内修筑工程，在管线上方及近旁严禁动土开挖和修建超过管道负荷的建筑物。</w:t>
      </w:r>
    </w:p>
    <w:p w14:paraId="05A5AF5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（9）加强对集输管线沿线重点敏感地段的环保管理，定期进行环境监测。</w:t>
      </w:r>
    </w:p>
    <w:p w14:paraId="11528C5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（10）建立腐蚀监测系统，随时监测介质的腐蚀状况，了解和掌握区域系统的腐蚀原因，有针对性地制定、调整和优化腐蚀控制措施。</w:t>
      </w:r>
    </w:p>
    <w:p w14:paraId="00A86461">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6.4 </w:t>
      </w:r>
      <w:r>
        <w:rPr>
          <w:rFonts w:hint="default" w:ascii="宋体" w:hAnsi="宋体" w:cs="宋体"/>
          <w:color w:val="auto"/>
          <w:u w:val="none"/>
          <w:lang w:val="en-US" w:eastAsia="zh-CN"/>
        </w:rPr>
        <w:t>硫化氢泄漏的监控与预防措施</w:t>
      </w:r>
    </w:p>
    <w:p w14:paraId="3675E63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snapToGrid w:val="0"/>
          <w:color w:val="auto"/>
          <w:kern w:val="0"/>
          <w:sz w:val="24"/>
          <w:szCs w:val="24"/>
          <w:highlight w:val="none"/>
          <w:u w:val="none"/>
        </w:rPr>
      </w:pPr>
      <w:r>
        <w:rPr>
          <w:rFonts w:hint="eastAsia" w:cs="Times New Roman"/>
          <w:bCs/>
          <w:snapToGrid w:val="0"/>
          <w:color w:val="auto"/>
          <w:kern w:val="0"/>
          <w:sz w:val="24"/>
          <w:szCs w:val="24"/>
          <w:highlight w:val="none"/>
          <w:u w:val="none"/>
          <w:lang w:eastAsia="zh-CN"/>
        </w:rPr>
        <w:t>（</w:t>
      </w:r>
      <w:r>
        <w:rPr>
          <w:rFonts w:hint="eastAsia" w:cs="Times New Roman"/>
          <w:bCs/>
          <w:snapToGrid w:val="0"/>
          <w:color w:val="auto"/>
          <w:kern w:val="0"/>
          <w:sz w:val="24"/>
          <w:szCs w:val="24"/>
          <w:highlight w:val="none"/>
          <w:u w:val="none"/>
          <w:lang w:val="en-US" w:eastAsia="zh-CN"/>
        </w:rPr>
        <w:t>1</w:t>
      </w:r>
      <w:r>
        <w:rPr>
          <w:rFonts w:hint="eastAsia" w:cs="Times New Roman"/>
          <w:bCs/>
          <w:snapToGrid w:val="0"/>
          <w:color w:val="auto"/>
          <w:kern w:val="0"/>
          <w:sz w:val="24"/>
          <w:szCs w:val="24"/>
          <w:highlight w:val="none"/>
          <w:u w:val="none"/>
          <w:lang w:eastAsia="zh-CN"/>
        </w:rPr>
        <w:t>）</w:t>
      </w:r>
      <w:r>
        <w:rPr>
          <w:rFonts w:hint="default" w:ascii="Times New Roman" w:hAnsi="Times New Roman" w:cs="Times New Roman"/>
          <w:bCs/>
          <w:snapToGrid w:val="0"/>
          <w:color w:val="auto"/>
          <w:kern w:val="0"/>
          <w:sz w:val="24"/>
          <w:szCs w:val="24"/>
          <w:highlight w:val="none"/>
          <w:u w:val="none"/>
        </w:rPr>
        <w:t>硫化氢监测与安全防护</w:t>
      </w:r>
    </w:p>
    <w:p w14:paraId="662C7652">
      <w:pPr>
        <w:keepNext w:val="0"/>
        <w:keepLines w:val="0"/>
        <w:pageBreakBefore w:val="0"/>
        <w:widowControl/>
        <w:kinsoku/>
        <w:wordWrap/>
        <w:overflowPunct/>
        <w:topLinePunct w:val="0"/>
        <w:autoSpaceDE/>
        <w:autoSpaceDN/>
        <w:bidi w:val="0"/>
        <w:adjustRightInd/>
        <w:snapToGrid/>
        <w:spacing w:line="480" w:lineRule="exact"/>
        <w:ind w:firstLine="456" w:firstLineChars="200"/>
        <w:jc w:val="left"/>
        <w:textAlignment w:val="auto"/>
        <w:rPr>
          <w:rFonts w:hint="default" w:ascii="Times New Roman" w:hAnsi="Times New Roman" w:cs="Times New Roman"/>
          <w:snapToGrid w:val="0"/>
          <w:color w:val="auto"/>
          <w:spacing w:val="-6"/>
          <w:kern w:val="0"/>
          <w:sz w:val="24"/>
          <w:szCs w:val="24"/>
          <w:highlight w:val="none"/>
          <w:u w:val="none"/>
          <w:shd w:val="clear" w:color="auto" w:fill="auto"/>
        </w:rPr>
      </w:pPr>
      <w:r>
        <w:rPr>
          <w:rFonts w:hint="default" w:ascii="Times New Roman" w:hAnsi="Times New Roman" w:cs="Times New Roman"/>
          <w:bCs/>
          <w:snapToGrid w:val="0"/>
          <w:color w:val="auto"/>
          <w:spacing w:val="-6"/>
          <w:kern w:val="0"/>
          <w:sz w:val="24"/>
          <w:szCs w:val="24"/>
          <w:highlight w:val="none"/>
          <w:u w:val="none"/>
          <w:shd w:val="clear" w:color="auto" w:fill="auto"/>
        </w:rPr>
        <w:t>硫化氢监测与安全防护应按照</w:t>
      </w:r>
      <w:r>
        <w:rPr>
          <w:rFonts w:hint="default" w:ascii="Times New Roman" w:hAnsi="Times New Roman" w:cs="Times New Roman"/>
          <w:snapToGrid w:val="0"/>
          <w:color w:val="auto"/>
          <w:spacing w:val="-6"/>
          <w:kern w:val="0"/>
          <w:sz w:val="24"/>
          <w:szCs w:val="24"/>
          <w:highlight w:val="none"/>
          <w:u w:val="none"/>
          <w:shd w:val="clear" w:color="auto" w:fill="auto"/>
        </w:rPr>
        <w:t>《硫化氢环境人身防护规范》（SY/T 6277-2017）和《硫化氢环境天然气采集与处理安全规范》（SY/T6137-2017）要求进行。</w:t>
      </w:r>
    </w:p>
    <w:p w14:paraId="734EA35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napToGrid w:val="0"/>
          <w:color w:val="auto"/>
          <w:kern w:val="0"/>
          <w:sz w:val="24"/>
          <w:szCs w:val="24"/>
          <w:highlight w:val="none"/>
          <w:u w:val="none"/>
        </w:rPr>
      </w:pPr>
      <w:r>
        <w:rPr>
          <w:rFonts w:hint="eastAsia" w:cs="Times New Roman"/>
          <w:snapToGrid w:val="0"/>
          <w:color w:val="auto"/>
          <w:kern w:val="0"/>
          <w:sz w:val="24"/>
          <w:szCs w:val="24"/>
          <w:highlight w:val="none"/>
          <w:u w:val="none"/>
          <w:lang w:val="en-US" w:eastAsia="zh-CN"/>
        </w:rPr>
        <w:t>1）</w:t>
      </w:r>
      <w:r>
        <w:rPr>
          <w:rFonts w:hint="default" w:ascii="Times New Roman" w:hAnsi="Times New Roman" w:cs="Times New Roman"/>
          <w:snapToGrid w:val="0"/>
          <w:color w:val="auto"/>
          <w:kern w:val="0"/>
          <w:sz w:val="24"/>
          <w:szCs w:val="24"/>
          <w:highlight w:val="none"/>
          <w:u w:val="none"/>
        </w:rPr>
        <w:t>作业人员巡检时应携带硫化氢监测仪（第1级预警阈值应设置为15mg/m³（或10ppm），第2级报警阈值应设置为30mg/m³（或20ppm），进入上述区域应注意是否有报警信号。</w:t>
      </w:r>
    </w:p>
    <w:p w14:paraId="2CBADE8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napToGrid w:val="0"/>
          <w:color w:val="auto"/>
          <w:kern w:val="0"/>
          <w:sz w:val="24"/>
          <w:szCs w:val="24"/>
          <w:highlight w:val="none"/>
          <w:u w:val="none"/>
        </w:rPr>
      </w:pPr>
      <w:r>
        <w:rPr>
          <w:rFonts w:hint="eastAsia" w:cs="Times New Roman"/>
          <w:snapToGrid w:val="0"/>
          <w:color w:val="auto"/>
          <w:kern w:val="0"/>
          <w:sz w:val="24"/>
          <w:szCs w:val="24"/>
          <w:highlight w:val="none"/>
          <w:u w:val="none"/>
          <w:lang w:val="en-US" w:eastAsia="zh-CN"/>
        </w:rPr>
        <w:t>2）</w:t>
      </w:r>
      <w:r>
        <w:rPr>
          <w:rFonts w:hint="default" w:ascii="Times New Roman" w:hAnsi="Times New Roman" w:cs="Times New Roman"/>
          <w:snapToGrid w:val="0"/>
          <w:color w:val="auto"/>
          <w:kern w:val="0"/>
          <w:sz w:val="24"/>
          <w:szCs w:val="24"/>
          <w:highlight w:val="none"/>
          <w:u w:val="none"/>
        </w:rPr>
        <w:t>作业人员在检修和抢险作业时应携硫化氢监测仪和正压式空气呼吸器。</w:t>
      </w:r>
    </w:p>
    <w:p w14:paraId="12A6C54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napToGrid w:val="0"/>
          <w:color w:val="auto"/>
          <w:kern w:val="0"/>
          <w:sz w:val="24"/>
          <w:szCs w:val="24"/>
          <w:highlight w:val="none"/>
          <w:u w:val="none"/>
        </w:rPr>
      </w:pPr>
      <w:r>
        <w:rPr>
          <w:rFonts w:hint="eastAsia" w:cs="Times New Roman"/>
          <w:snapToGrid w:val="0"/>
          <w:color w:val="auto"/>
          <w:kern w:val="0"/>
          <w:sz w:val="24"/>
          <w:szCs w:val="24"/>
          <w:highlight w:val="none"/>
          <w:u w:val="none"/>
          <w:lang w:val="en-US" w:eastAsia="zh-CN"/>
        </w:rPr>
        <w:t>3）</w:t>
      </w:r>
      <w:r>
        <w:rPr>
          <w:rFonts w:hint="default" w:ascii="Times New Roman" w:hAnsi="Times New Roman" w:cs="Times New Roman"/>
          <w:snapToGrid w:val="0"/>
          <w:color w:val="auto"/>
          <w:kern w:val="0"/>
          <w:sz w:val="24"/>
          <w:szCs w:val="24"/>
          <w:highlight w:val="none"/>
          <w:u w:val="none"/>
        </w:rPr>
        <w:t>当监测到空气中硫化氢的浓度达到15mg/m³（或10ppm）时，作业人员应检查泄漏点，准备防护用具，迅速打开排风扇，实施应急程序。</w:t>
      </w:r>
    </w:p>
    <w:p w14:paraId="59BCFBC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napToGrid w:val="0"/>
          <w:color w:val="auto"/>
          <w:kern w:val="0"/>
          <w:sz w:val="24"/>
          <w:szCs w:val="24"/>
          <w:highlight w:val="none"/>
          <w:u w:val="none"/>
        </w:rPr>
      </w:pPr>
      <w:r>
        <w:rPr>
          <w:rFonts w:hint="eastAsia" w:cs="Times New Roman"/>
          <w:snapToGrid w:val="0"/>
          <w:color w:val="auto"/>
          <w:kern w:val="0"/>
          <w:sz w:val="24"/>
          <w:szCs w:val="24"/>
          <w:highlight w:val="none"/>
          <w:u w:val="none"/>
          <w:lang w:val="en-US" w:eastAsia="zh-CN"/>
        </w:rPr>
        <w:t>4）</w:t>
      </w:r>
      <w:r>
        <w:rPr>
          <w:rFonts w:hint="default" w:ascii="Times New Roman" w:hAnsi="Times New Roman" w:cs="Times New Roman"/>
          <w:snapToGrid w:val="0"/>
          <w:color w:val="auto"/>
          <w:kern w:val="0"/>
          <w:sz w:val="24"/>
          <w:szCs w:val="24"/>
          <w:highlight w:val="none"/>
          <w:u w:val="none"/>
        </w:rPr>
        <w:t xml:space="preserve">当监测到空气中硫化氢的浓度达到30mg/m³（或20ppm）时，作业人员应该迅速打开排风扇，疏散人员。作业人员应戴上防护用具，进入紧急状态，立即实施应急方案。 </w:t>
      </w:r>
    </w:p>
    <w:p w14:paraId="37859FF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napToGrid w:val="0"/>
          <w:color w:val="auto"/>
          <w:kern w:val="0"/>
          <w:sz w:val="24"/>
          <w:szCs w:val="24"/>
          <w:highlight w:val="none"/>
          <w:u w:val="none"/>
        </w:rPr>
      </w:pPr>
      <w:r>
        <w:rPr>
          <w:rFonts w:hint="eastAsia" w:cs="Times New Roman"/>
          <w:snapToGrid w:val="0"/>
          <w:color w:val="auto"/>
          <w:kern w:val="0"/>
          <w:sz w:val="24"/>
          <w:szCs w:val="24"/>
          <w:highlight w:val="none"/>
          <w:u w:val="none"/>
          <w:lang w:val="en-US" w:eastAsia="zh-CN"/>
        </w:rPr>
        <w:t>5）</w:t>
      </w:r>
      <w:r>
        <w:rPr>
          <w:rFonts w:hint="default" w:ascii="Times New Roman" w:hAnsi="Times New Roman" w:cs="Times New Roman"/>
          <w:snapToGrid w:val="0"/>
          <w:color w:val="auto"/>
          <w:kern w:val="0"/>
          <w:sz w:val="24"/>
          <w:szCs w:val="24"/>
          <w:highlight w:val="none"/>
          <w:u w:val="none"/>
        </w:rPr>
        <w:t>当监测到空气中硫化氢浓度达到150mg/m³（或100ppm）时，应组织周边危险区域内的作业人员有秩序地迅速向上风向撤离到安全区域。</w:t>
      </w:r>
    </w:p>
    <w:p w14:paraId="1168D6E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napToGrid w:val="0"/>
          <w:color w:val="auto"/>
          <w:kern w:val="0"/>
          <w:sz w:val="24"/>
          <w:szCs w:val="24"/>
          <w:highlight w:val="none"/>
          <w:u w:val="none"/>
        </w:rPr>
      </w:pPr>
      <w:r>
        <w:rPr>
          <w:rFonts w:hint="eastAsia" w:cs="Times New Roman"/>
          <w:snapToGrid w:val="0"/>
          <w:color w:val="auto"/>
          <w:kern w:val="0"/>
          <w:sz w:val="24"/>
          <w:szCs w:val="24"/>
          <w:highlight w:val="none"/>
          <w:u w:val="none"/>
          <w:lang w:eastAsia="zh-CN"/>
        </w:rPr>
        <w:t>（</w:t>
      </w:r>
      <w:r>
        <w:rPr>
          <w:rFonts w:hint="eastAsia" w:cs="Times New Roman"/>
          <w:snapToGrid w:val="0"/>
          <w:color w:val="auto"/>
          <w:kern w:val="0"/>
          <w:sz w:val="24"/>
          <w:szCs w:val="24"/>
          <w:highlight w:val="none"/>
          <w:u w:val="none"/>
          <w:lang w:val="en-US" w:eastAsia="zh-CN"/>
        </w:rPr>
        <w:t>2</w:t>
      </w:r>
      <w:r>
        <w:rPr>
          <w:rFonts w:hint="eastAsia" w:cs="Times New Roman"/>
          <w:snapToGrid w:val="0"/>
          <w:color w:val="auto"/>
          <w:kern w:val="0"/>
          <w:sz w:val="24"/>
          <w:szCs w:val="24"/>
          <w:highlight w:val="none"/>
          <w:u w:val="none"/>
          <w:lang w:eastAsia="zh-CN"/>
        </w:rPr>
        <w:t>）</w:t>
      </w:r>
      <w:r>
        <w:rPr>
          <w:rFonts w:hint="default" w:ascii="Times New Roman" w:hAnsi="Times New Roman" w:cs="Times New Roman"/>
          <w:snapToGrid w:val="0"/>
          <w:color w:val="auto"/>
          <w:kern w:val="0"/>
          <w:sz w:val="24"/>
          <w:szCs w:val="24"/>
          <w:highlight w:val="none"/>
          <w:u w:val="none"/>
        </w:rPr>
        <w:t>预防措施</w:t>
      </w:r>
    </w:p>
    <w:p w14:paraId="7EFF32C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napToGrid w:val="0"/>
          <w:color w:val="auto"/>
          <w:kern w:val="0"/>
          <w:sz w:val="24"/>
          <w:szCs w:val="24"/>
          <w:highlight w:val="none"/>
          <w:u w:val="none"/>
        </w:rPr>
      </w:pPr>
      <w:r>
        <w:rPr>
          <w:rFonts w:hint="default" w:ascii="Times New Roman" w:hAnsi="Times New Roman" w:cs="Times New Roman"/>
          <w:snapToGrid w:val="0"/>
          <w:color w:val="auto"/>
          <w:kern w:val="0"/>
          <w:sz w:val="24"/>
          <w:szCs w:val="24"/>
          <w:highlight w:val="none"/>
          <w:u w:val="none"/>
        </w:rPr>
        <w:t>在含硫化氢环境中的作业人员上岗前都应接受H</w:t>
      </w:r>
      <w:r>
        <w:rPr>
          <w:rFonts w:hint="default" w:ascii="Times New Roman" w:hAnsi="Times New Roman" w:cs="Times New Roman"/>
          <w:snapToGrid w:val="0"/>
          <w:color w:val="auto"/>
          <w:kern w:val="0"/>
          <w:sz w:val="24"/>
          <w:szCs w:val="24"/>
          <w:highlight w:val="none"/>
          <w:u w:val="none"/>
          <w:vertAlign w:val="subscript"/>
        </w:rPr>
        <w:t>2</w:t>
      </w:r>
      <w:r>
        <w:rPr>
          <w:rFonts w:hint="default" w:ascii="Times New Roman" w:hAnsi="Times New Roman" w:cs="Times New Roman"/>
          <w:snapToGrid w:val="0"/>
          <w:color w:val="auto"/>
          <w:kern w:val="0"/>
          <w:sz w:val="24"/>
          <w:szCs w:val="24"/>
          <w:highlight w:val="none"/>
          <w:u w:val="none"/>
        </w:rPr>
        <w:t>S危害及人身防护措施的培训，经考核合格后方能持证上岗。</w:t>
      </w:r>
    </w:p>
    <w:p w14:paraId="7E5F1D6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snapToGrid w:val="0"/>
          <w:color w:val="auto"/>
          <w:kern w:val="0"/>
          <w:sz w:val="24"/>
          <w:szCs w:val="24"/>
          <w:highlight w:val="none"/>
          <w:u w:val="none"/>
        </w:rPr>
      </w:pPr>
      <w:r>
        <w:rPr>
          <w:rFonts w:hint="eastAsia" w:cs="Times New Roman"/>
          <w:snapToGrid w:val="0"/>
          <w:color w:val="auto"/>
          <w:kern w:val="0"/>
          <w:sz w:val="24"/>
          <w:szCs w:val="24"/>
          <w:highlight w:val="none"/>
          <w:u w:val="none"/>
          <w:lang w:val="en-US" w:eastAsia="zh-CN"/>
        </w:rPr>
        <w:t>1）</w:t>
      </w:r>
      <w:r>
        <w:rPr>
          <w:rFonts w:hint="default" w:ascii="Times New Roman" w:hAnsi="Times New Roman" w:cs="Times New Roman"/>
          <w:snapToGrid w:val="0"/>
          <w:color w:val="auto"/>
          <w:kern w:val="0"/>
          <w:sz w:val="24"/>
          <w:szCs w:val="24"/>
          <w:highlight w:val="none"/>
          <w:u w:val="none"/>
        </w:rPr>
        <w:t>为避免无风和微风情况下硫化氢的积聚，可以使用防爆通风设备将有毒气体吹往期望的方向。</w:t>
      </w:r>
    </w:p>
    <w:p w14:paraId="4BFC379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kern w:val="0"/>
          <w:sz w:val="24"/>
          <w:szCs w:val="24"/>
          <w:highlight w:val="none"/>
          <w:u w:val="none"/>
        </w:rPr>
      </w:pPr>
      <w:r>
        <w:rPr>
          <w:rFonts w:hint="eastAsia" w:cs="Times New Roman"/>
          <w:bCs/>
          <w:color w:val="auto"/>
          <w:kern w:val="0"/>
          <w:sz w:val="24"/>
          <w:szCs w:val="24"/>
          <w:highlight w:val="none"/>
          <w:u w:val="none"/>
          <w:lang w:val="en-US" w:eastAsia="zh-CN"/>
        </w:rPr>
        <w:t>2）</w:t>
      </w:r>
      <w:r>
        <w:rPr>
          <w:rFonts w:hint="default" w:ascii="Times New Roman" w:hAnsi="Times New Roman" w:eastAsia="宋体" w:cs="Times New Roman"/>
          <w:bCs/>
          <w:color w:val="auto"/>
          <w:kern w:val="0"/>
          <w:sz w:val="24"/>
          <w:szCs w:val="24"/>
          <w:highlight w:val="none"/>
          <w:u w:val="none"/>
        </w:rPr>
        <w:t>应特别注意低洼的工作区域，比如井口方井，由于较重的硫化氢或二氧化硫在这些地点的沉积，可能会达到有害的浓度。</w:t>
      </w:r>
    </w:p>
    <w:p w14:paraId="7FAA779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kern w:val="0"/>
          <w:sz w:val="24"/>
          <w:szCs w:val="24"/>
          <w:highlight w:val="none"/>
          <w:u w:val="none"/>
          <w:lang w:val="en-US" w:eastAsia="zh-CN"/>
        </w:rPr>
      </w:pPr>
      <w:r>
        <w:rPr>
          <w:rFonts w:hint="eastAsia" w:cs="Times New Roman"/>
          <w:bCs/>
          <w:color w:val="auto"/>
          <w:kern w:val="0"/>
          <w:sz w:val="24"/>
          <w:szCs w:val="24"/>
          <w:highlight w:val="none"/>
          <w:u w:val="none"/>
          <w:lang w:val="en-US" w:eastAsia="zh-CN"/>
        </w:rPr>
        <w:t>3）</w:t>
      </w:r>
      <w:r>
        <w:rPr>
          <w:rFonts w:hint="default" w:ascii="Times New Roman" w:hAnsi="Times New Roman" w:eastAsia="宋体" w:cs="Times New Roman"/>
          <w:bCs/>
          <w:color w:val="auto"/>
          <w:kern w:val="0"/>
          <w:sz w:val="24"/>
          <w:szCs w:val="24"/>
          <w:highlight w:val="none"/>
          <w:u w:val="none"/>
        </w:rPr>
        <w:t>当人员在达到硫化氢危险临界浓度〔150mg/m</w:t>
      </w:r>
      <w:r>
        <w:rPr>
          <w:rFonts w:hint="eastAsia" w:ascii="Times New Roman" w:hAnsi="Times New Roman" w:eastAsia="宋体" w:cs="Times New Roman"/>
          <w:bCs/>
          <w:color w:val="auto"/>
          <w:kern w:val="0"/>
          <w:sz w:val="24"/>
          <w:szCs w:val="24"/>
          <w:highlight w:val="none"/>
          <w:u w:val="none"/>
          <w:vertAlign w:val="superscript"/>
          <w:lang w:val="en-US" w:eastAsia="zh-CN"/>
        </w:rPr>
        <w:t>3</w:t>
      </w:r>
      <w:r>
        <w:rPr>
          <w:rFonts w:hint="default" w:ascii="Times New Roman" w:hAnsi="Times New Roman" w:eastAsia="宋体" w:cs="Times New Roman"/>
          <w:bCs/>
          <w:color w:val="auto"/>
          <w:kern w:val="0"/>
          <w:sz w:val="24"/>
          <w:szCs w:val="24"/>
          <w:highlight w:val="none"/>
          <w:u w:val="none"/>
        </w:rPr>
        <w:t>（100ppm）〕的大气环境中执行任务时，应有接受过救护技术培训的值班救护人员，同时应备有必要的救护设备，包括</w:t>
      </w:r>
      <w:r>
        <w:rPr>
          <w:rFonts w:hint="eastAsia" w:cs="Times New Roman"/>
          <w:bCs/>
          <w:color w:val="auto"/>
          <w:kern w:val="0"/>
          <w:sz w:val="24"/>
          <w:szCs w:val="24"/>
          <w:highlight w:val="none"/>
          <w:u w:val="none"/>
          <w:lang w:eastAsia="zh-CN"/>
        </w:rPr>
        <w:t>：</w:t>
      </w:r>
      <w:r>
        <w:rPr>
          <w:rFonts w:hint="default" w:ascii="Times New Roman" w:hAnsi="Times New Roman" w:eastAsia="宋体" w:cs="Times New Roman"/>
          <w:bCs/>
          <w:color w:val="auto"/>
          <w:kern w:val="0"/>
          <w:sz w:val="24"/>
          <w:szCs w:val="24"/>
          <w:highlight w:val="none"/>
          <w:u w:val="none"/>
        </w:rPr>
        <w:t>适用的呼吸器具。</w:t>
      </w:r>
    </w:p>
    <w:p w14:paraId="37B4E1C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.6.</w:t>
      </w:r>
      <w:r>
        <w:rPr>
          <w:rFonts w:hint="eastAsia" w:ascii="宋体" w:hAnsi="宋体" w:cs="宋体"/>
          <w:color w:val="auto"/>
          <w:u w:val="none"/>
          <w:lang w:val="en-US" w:eastAsia="zh-CN"/>
        </w:rPr>
        <w:t>5</w:t>
      </w:r>
      <w:r>
        <w:rPr>
          <w:rFonts w:hint="default" w:ascii="宋体" w:hAnsi="宋体" w:cs="宋体"/>
          <w:color w:val="auto"/>
          <w:u w:val="none"/>
          <w:lang w:val="en-US" w:eastAsia="zh-CN"/>
        </w:rPr>
        <w:t>窜层污染事故的防范措施</w:t>
      </w:r>
    </w:p>
    <w:p w14:paraId="3EF729D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kern w:val="0"/>
          <w:sz w:val="24"/>
          <w:szCs w:val="24"/>
          <w:highlight w:val="none"/>
          <w:u w:val="none"/>
        </w:rPr>
      </w:pPr>
      <w:r>
        <w:rPr>
          <w:rFonts w:hint="default" w:ascii="Times New Roman" w:hAnsi="Times New Roman" w:eastAsia="宋体" w:cs="Times New Roman"/>
          <w:bCs/>
          <w:color w:val="auto"/>
          <w:kern w:val="0"/>
          <w:sz w:val="24"/>
          <w:szCs w:val="24"/>
          <w:highlight w:val="none"/>
          <w:u w:val="none"/>
        </w:rPr>
        <w:t>（1）已采用双层套管，表层套管完全封闭各含水层，固井水泥均上返地面，这样，在各含水层与井筒间形成双层套管、单层水泥环的保护措施，将事故风险降低到最低。</w:t>
      </w:r>
    </w:p>
    <w:p w14:paraId="4658577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kern w:val="0"/>
          <w:sz w:val="24"/>
          <w:szCs w:val="24"/>
          <w:highlight w:val="none"/>
          <w:u w:val="none"/>
        </w:rPr>
      </w:pPr>
      <w:r>
        <w:rPr>
          <w:rFonts w:hint="default" w:ascii="Times New Roman" w:hAnsi="Times New Roman" w:eastAsia="宋体" w:cs="Times New Roman"/>
          <w:bCs/>
          <w:color w:val="auto"/>
          <w:kern w:val="0"/>
          <w:sz w:val="24"/>
          <w:szCs w:val="24"/>
          <w:highlight w:val="none"/>
          <w:u w:val="none"/>
        </w:rPr>
        <w:t>（2）利用已有的或者新开发的水井，对各层地下水分别设置监测井位，定期对</w:t>
      </w:r>
      <w:r>
        <w:rPr>
          <w:rFonts w:hint="default" w:ascii="Times New Roman" w:hAnsi="Times New Roman" w:eastAsia="宋体" w:cs="Times New Roman"/>
          <w:bCs/>
          <w:color w:val="auto"/>
          <w:kern w:val="0"/>
          <w:sz w:val="24"/>
          <w:szCs w:val="24"/>
          <w:highlight w:val="none"/>
          <w:u w:val="none"/>
          <w:lang w:eastAsia="zh-CN"/>
        </w:rPr>
        <w:t>油</w:t>
      </w:r>
      <w:r>
        <w:rPr>
          <w:rFonts w:hint="eastAsia" w:cs="Times New Roman"/>
          <w:bCs/>
          <w:color w:val="auto"/>
          <w:kern w:val="0"/>
          <w:sz w:val="24"/>
          <w:szCs w:val="24"/>
          <w:highlight w:val="none"/>
          <w:u w:val="none"/>
          <w:lang w:val="en-US" w:eastAsia="zh-CN"/>
        </w:rPr>
        <w:t>气</w:t>
      </w:r>
      <w:r>
        <w:rPr>
          <w:rFonts w:hint="default" w:ascii="Times New Roman" w:hAnsi="Times New Roman" w:eastAsia="宋体" w:cs="Times New Roman"/>
          <w:bCs/>
          <w:color w:val="auto"/>
          <w:kern w:val="0"/>
          <w:sz w:val="24"/>
          <w:szCs w:val="24"/>
          <w:highlight w:val="none"/>
          <w:u w:val="none"/>
          <w:lang w:eastAsia="zh-CN"/>
        </w:rPr>
        <w:t>田</w:t>
      </w:r>
      <w:r>
        <w:rPr>
          <w:rFonts w:hint="default" w:ascii="Times New Roman" w:hAnsi="Times New Roman" w:eastAsia="宋体" w:cs="Times New Roman"/>
          <w:bCs/>
          <w:color w:val="auto"/>
          <w:kern w:val="0"/>
          <w:sz w:val="24"/>
          <w:szCs w:val="24"/>
          <w:highlight w:val="none"/>
          <w:u w:val="none"/>
        </w:rPr>
        <w:t>开发区各地下水层监测井采样分析，分析项目为COD、石油类、挥发酚等石油特征指标，根据监测指标的变化趋势，对可能产生的隐蔽污染，做到及时发现，尽早处理。</w:t>
      </w:r>
    </w:p>
    <w:p w14:paraId="2648402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kern w:val="0"/>
          <w:sz w:val="24"/>
          <w:szCs w:val="24"/>
          <w:highlight w:val="none"/>
          <w:u w:val="none"/>
        </w:rPr>
      </w:pPr>
      <w:r>
        <w:rPr>
          <w:rFonts w:hint="default" w:ascii="Times New Roman" w:hAnsi="Times New Roman" w:eastAsia="宋体" w:cs="Times New Roman"/>
          <w:bCs/>
          <w:color w:val="auto"/>
          <w:kern w:val="0"/>
          <w:sz w:val="24"/>
          <w:szCs w:val="24"/>
          <w:highlight w:val="none"/>
          <w:u w:val="none"/>
        </w:rPr>
        <w:t>（3）及时展开隐蔽污染源调查，查明隐蔽污染源之所在，采取果断措施，截断隐蔽污染源的扩散途径。</w:t>
      </w:r>
    </w:p>
    <w:p w14:paraId="6E1DCA6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.6.</w:t>
      </w:r>
      <w:r>
        <w:rPr>
          <w:rFonts w:hint="eastAsia" w:ascii="宋体" w:hAnsi="宋体" w:cs="宋体"/>
          <w:color w:val="auto"/>
          <w:u w:val="none"/>
          <w:lang w:val="en-US" w:eastAsia="zh-CN"/>
        </w:rPr>
        <w:t xml:space="preserve">6 </w:t>
      </w:r>
      <w:r>
        <w:rPr>
          <w:rFonts w:hint="default" w:ascii="宋体" w:hAnsi="宋体" w:cs="宋体"/>
          <w:color w:val="auto"/>
          <w:u w:val="none"/>
          <w:lang w:val="en-US" w:eastAsia="zh-CN"/>
        </w:rPr>
        <w:t>管线安全运行措施</w:t>
      </w:r>
    </w:p>
    <w:p w14:paraId="0AF300E8">
      <w:pPr>
        <w:keepNext w:val="0"/>
        <w:keepLines w:val="0"/>
        <w:pageBreakBefore w:val="0"/>
        <w:widowControl/>
        <w:kinsoku/>
        <w:wordWrap/>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color w:val="auto"/>
          <w:kern w:val="0"/>
          <w:sz w:val="24"/>
          <w:szCs w:val="24"/>
          <w:highlight w:val="none"/>
          <w:u w:val="none"/>
        </w:rPr>
      </w:pPr>
      <w:r>
        <w:rPr>
          <w:rFonts w:hint="default" w:ascii="Times New Roman" w:hAnsi="Times New Roman" w:cs="Times New Roman"/>
          <w:bCs/>
          <w:color w:val="auto"/>
          <w:kern w:val="0"/>
          <w:sz w:val="24"/>
          <w:szCs w:val="24"/>
          <w:highlight w:val="none"/>
          <w:u w:val="none"/>
        </w:rPr>
        <w:t>为了尽量避免管线破裂事故的发生，减轻管线破裂、泄漏事故对环境的影响，应采取以下安全环保措施：</w:t>
      </w:r>
    </w:p>
    <w:p w14:paraId="1D93FD74">
      <w:pPr>
        <w:keepNext w:val="0"/>
        <w:keepLines w:val="0"/>
        <w:pageBreakBefore w:val="0"/>
        <w:widowControl/>
        <w:kinsoku/>
        <w:wordWrap/>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color w:val="auto"/>
          <w:kern w:val="0"/>
          <w:sz w:val="24"/>
          <w:szCs w:val="24"/>
          <w:highlight w:val="none"/>
          <w:u w:val="none"/>
        </w:rPr>
      </w:pPr>
      <w:r>
        <w:rPr>
          <w:rFonts w:hint="default" w:ascii="Times New Roman" w:hAnsi="Times New Roman" w:cs="Times New Roman"/>
          <w:bCs/>
          <w:color w:val="auto"/>
          <w:kern w:val="0"/>
          <w:sz w:val="24"/>
          <w:szCs w:val="24"/>
          <w:highlight w:val="none"/>
          <w:u w:val="none"/>
        </w:rPr>
        <w:t>（1）管线敷设过程中应严格按设计要求进行，确保埋设深度、防腐和保温质量，防止腐蚀管道。管线敷设线路上方设置永久性标志，提醒人们在管线两侧活动，保护管线的安全。</w:t>
      </w:r>
    </w:p>
    <w:p w14:paraId="72B409CF">
      <w:pPr>
        <w:keepNext w:val="0"/>
        <w:keepLines w:val="0"/>
        <w:pageBreakBefore w:val="0"/>
        <w:widowControl/>
        <w:kinsoku/>
        <w:wordWrap/>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color w:val="auto"/>
          <w:kern w:val="0"/>
          <w:sz w:val="24"/>
          <w:szCs w:val="24"/>
          <w:highlight w:val="none"/>
          <w:u w:val="none"/>
        </w:rPr>
      </w:pPr>
      <w:r>
        <w:rPr>
          <w:rFonts w:hint="default" w:ascii="Times New Roman" w:hAnsi="Times New Roman" w:cs="Times New Roman"/>
          <w:bCs/>
          <w:color w:val="auto"/>
          <w:kern w:val="0"/>
          <w:sz w:val="24"/>
          <w:szCs w:val="24"/>
          <w:highlight w:val="none"/>
          <w:u w:val="none"/>
        </w:rPr>
        <w:t>（2）为了减轻管线的内外腐蚀，每年定期检测，测量1-2次管线内外防腐情况，若管壁厚度减薄，应及时更换管段。</w:t>
      </w:r>
    </w:p>
    <w:p w14:paraId="7553BB33">
      <w:pPr>
        <w:keepNext w:val="0"/>
        <w:keepLines w:val="0"/>
        <w:pageBreakBefore w:val="0"/>
        <w:widowControl/>
        <w:kinsoku/>
        <w:wordWrap/>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color w:val="auto"/>
          <w:kern w:val="0"/>
          <w:sz w:val="24"/>
          <w:szCs w:val="24"/>
          <w:highlight w:val="none"/>
          <w:u w:val="none"/>
        </w:rPr>
      </w:pPr>
      <w:r>
        <w:rPr>
          <w:rFonts w:hint="default" w:ascii="Times New Roman" w:hAnsi="Times New Roman" w:cs="Times New Roman"/>
          <w:bCs/>
          <w:color w:val="auto"/>
          <w:kern w:val="0"/>
          <w:sz w:val="24"/>
          <w:szCs w:val="24"/>
          <w:highlight w:val="none"/>
          <w:u w:val="none"/>
        </w:rPr>
        <w:t>（3）为保护管道不受深根系植被破坏，在管道上部土壤中可复耕一般农作物及种植浅根系植被。在对集输管道的日常巡线检查过程中，应将管道上覆土壤中会对管道构成破坏的深根系植被进行及时清理，以确保管道的安全运行。</w:t>
      </w:r>
    </w:p>
    <w:p w14:paraId="67D6A2FB">
      <w:pPr>
        <w:keepNext w:val="0"/>
        <w:keepLines w:val="0"/>
        <w:pageBreakBefore w:val="0"/>
        <w:widowControl/>
        <w:kinsoku/>
        <w:wordWrap/>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color w:val="auto"/>
          <w:kern w:val="0"/>
          <w:sz w:val="24"/>
          <w:szCs w:val="24"/>
          <w:highlight w:val="none"/>
          <w:u w:val="none"/>
        </w:rPr>
      </w:pPr>
      <w:r>
        <w:rPr>
          <w:rFonts w:hint="default" w:ascii="Times New Roman" w:hAnsi="Times New Roman" w:cs="Times New Roman"/>
          <w:bCs/>
          <w:color w:val="auto"/>
          <w:kern w:val="0"/>
          <w:sz w:val="24"/>
          <w:szCs w:val="24"/>
          <w:highlight w:val="none"/>
          <w:u w:val="none"/>
        </w:rPr>
        <w:t>（4）机械失效及施工缺陷是导致事故的重要原因之一。根据我国的经验，管道焊接是最关键的工艺，焊接工应接受专门培训，持证上岗。</w:t>
      </w:r>
    </w:p>
    <w:p w14:paraId="664437BD">
      <w:pPr>
        <w:keepNext w:val="0"/>
        <w:keepLines w:val="0"/>
        <w:pageBreakBefore w:val="0"/>
        <w:widowControl/>
        <w:kinsoku/>
        <w:wordWrap/>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color w:val="auto"/>
          <w:kern w:val="0"/>
          <w:sz w:val="24"/>
          <w:szCs w:val="24"/>
          <w:highlight w:val="none"/>
          <w:u w:val="none"/>
        </w:rPr>
      </w:pPr>
      <w:r>
        <w:rPr>
          <w:rFonts w:hint="default" w:ascii="Times New Roman" w:hAnsi="Times New Roman" w:cs="Times New Roman"/>
          <w:bCs/>
          <w:color w:val="auto"/>
          <w:kern w:val="0"/>
          <w:sz w:val="24"/>
          <w:szCs w:val="24"/>
          <w:highlight w:val="none"/>
          <w:u w:val="none"/>
        </w:rPr>
        <w:t>（5）加强日常生产监督管理和安全运行检查工作，对各种设备、管线、油罐、阀门定期进行检查，防止跑、冒、滴、漏，及时巡查管线，消除事故隐患。</w:t>
      </w:r>
    </w:p>
    <w:p w14:paraId="16901DDB">
      <w:pPr>
        <w:keepNext w:val="0"/>
        <w:keepLines w:val="0"/>
        <w:pageBreakBefore w:val="0"/>
        <w:widowControl/>
        <w:kinsoku/>
        <w:wordWrap/>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color w:val="auto"/>
          <w:kern w:val="0"/>
          <w:sz w:val="24"/>
          <w:szCs w:val="24"/>
          <w:highlight w:val="none"/>
          <w:u w:val="none"/>
        </w:rPr>
      </w:pPr>
      <w:r>
        <w:rPr>
          <w:rFonts w:hint="default" w:ascii="Times New Roman" w:hAnsi="Times New Roman" w:cs="Times New Roman"/>
          <w:bCs/>
          <w:color w:val="auto"/>
          <w:kern w:val="0"/>
          <w:sz w:val="24"/>
          <w:szCs w:val="24"/>
          <w:highlight w:val="none"/>
          <w:u w:val="none"/>
        </w:rPr>
        <w:t>（6）加强职工安全意识教育和安全生产技术培训，制定安全生产操作规程。</w:t>
      </w:r>
    </w:p>
    <w:p w14:paraId="082C6571">
      <w:pPr>
        <w:keepNext w:val="0"/>
        <w:keepLines w:val="0"/>
        <w:pageBreakBefore w:val="0"/>
        <w:widowControl/>
        <w:kinsoku/>
        <w:wordWrap/>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Cs/>
          <w:color w:val="auto"/>
          <w:kern w:val="0"/>
          <w:sz w:val="24"/>
          <w:szCs w:val="24"/>
          <w:highlight w:val="none"/>
          <w:u w:val="none"/>
        </w:rPr>
      </w:pPr>
      <w:r>
        <w:rPr>
          <w:rFonts w:hint="default" w:ascii="Times New Roman" w:hAnsi="Times New Roman" w:cs="Times New Roman"/>
          <w:bCs/>
          <w:color w:val="auto"/>
          <w:kern w:val="0"/>
          <w:sz w:val="24"/>
          <w:szCs w:val="24"/>
          <w:highlight w:val="none"/>
          <w:u w:val="none"/>
        </w:rPr>
        <w:t>（7）集输管线敷设前，应加强对管材和焊接质量的检查，严禁使用不合格产品。对焊接质量严格检验，防止焊接缺陷造成泄漏事故的发生；按规定进行管道的定期检验、保养，及时更换易损及老化部件，防止</w:t>
      </w:r>
      <w:r>
        <w:rPr>
          <w:rFonts w:hint="default" w:ascii="Times New Roman" w:hAnsi="Times New Roman" w:cs="Times New Roman"/>
          <w:color w:val="auto"/>
          <w:kern w:val="0"/>
          <w:sz w:val="24"/>
          <w:szCs w:val="20"/>
          <w:highlight w:val="none"/>
          <w:u w:val="none"/>
          <w:lang w:val="en-US" w:eastAsia="zh-CN" w:bidi="ar"/>
        </w:rPr>
        <w:t>原油</w:t>
      </w:r>
      <w:r>
        <w:rPr>
          <w:rFonts w:hint="default" w:ascii="Times New Roman" w:hAnsi="Times New Roman" w:cs="Times New Roman"/>
          <w:bCs/>
          <w:color w:val="auto"/>
          <w:kern w:val="0"/>
          <w:sz w:val="24"/>
          <w:szCs w:val="24"/>
          <w:highlight w:val="none"/>
          <w:u w:val="none"/>
        </w:rPr>
        <w:t>泄漏事故的发生。①管道敷设做好安全防范及防腐措施。新建管线跨越道路、沟渠等应根据《原油和天然气输送管道穿跨越工程设计规范》要求进行；②每年定期检测，测量1～2次管线腐蚀情况，发现如管壁厚度减小，应及时更换管段，以减小管线的盐碱腐蚀造成事故的</w:t>
      </w:r>
      <w:r>
        <w:rPr>
          <w:rFonts w:hint="default" w:ascii="Times New Roman" w:hAnsi="Times New Roman" w:cs="Times New Roman"/>
          <w:bCs/>
          <w:color w:val="auto"/>
          <w:kern w:val="0"/>
          <w:sz w:val="24"/>
          <w:szCs w:val="24"/>
          <w:highlight w:val="none"/>
          <w:u w:val="none"/>
          <w:lang w:eastAsia="zh-CN"/>
        </w:rPr>
        <w:t>概率</w:t>
      </w:r>
      <w:r>
        <w:rPr>
          <w:rFonts w:hint="default" w:ascii="Times New Roman" w:hAnsi="Times New Roman" w:cs="Times New Roman"/>
          <w:bCs/>
          <w:color w:val="auto"/>
          <w:kern w:val="0"/>
          <w:sz w:val="24"/>
          <w:szCs w:val="24"/>
          <w:highlight w:val="none"/>
          <w:u w:val="none"/>
        </w:rPr>
        <w:t>。当有风险事故发生时，立即启动应急预案，使事故带来的损失降低到最小。</w:t>
      </w:r>
    </w:p>
    <w:p w14:paraId="112FE3D3">
      <w:pPr>
        <w:keepNext w:val="0"/>
        <w:keepLines w:val="0"/>
        <w:pageBreakBefore w:val="0"/>
        <w:widowControl w:val="0"/>
        <w:kinsoku/>
        <w:wordWrap/>
        <w:overflowPunct w:val="0"/>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（8）为了便于管线的安全运营，根据《管道干线标记设置技术规定》(SY/T6064-2011）的规定，沿线应设置以下标志桩：里程桩：管线每公里设置1个，每段从0+000m开始，一般与阴极保护测试桩合用。</w:t>
      </w:r>
    </w:p>
    <w:p w14:paraId="16663A05">
      <w:pPr>
        <w:keepNext w:val="0"/>
        <w:keepLines w:val="0"/>
        <w:pageBreakBefore w:val="0"/>
        <w:widowControl w:val="0"/>
        <w:kinsoku/>
        <w:wordWrap/>
        <w:overflowPunct w:val="0"/>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转角桩：在管线水平方向改变位置，应设置转角桩，转角桩上要标明管线里程、转角角度等。</w:t>
      </w:r>
    </w:p>
    <w:p w14:paraId="4198F0EA">
      <w:pPr>
        <w:keepNext w:val="0"/>
        <w:keepLines w:val="0"/>
        <w:pageBreakBefore w:val="0"/>
        <w:widowControl w:val="0"/>
        <w:kinsoku/>
        <w:wordWrap/>
        <w:overflowPunct w:val="0"/>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交叉桩：凡是与地下管道、电（光）缆交叉的位置，应设置交叉桩。交叉桩上应注明线路里程、交叉物名称、与交叉物的关系等。</w:t>
      </w:r>
    </w:p>
    <w:p w14:paraId="759AFA89">
      <w:pPr>
        <w:keepNext w:val="0"/>
        <w:keepLines w:val="0"/>
        <w:pageBreakBefore w:val="0"/>
        <w:widowControl w:val="0"/>
        <w:kinsoku/>
        <w:wordWrap/>
        <w:overflowPunct w:val="0"/>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结构桩：当管道外防腐层或管壁发生长距离变化时，在变化位置处设置结构桩，桩上要标明线路里程及变化前后的结构属性等。</w:t>
      </w:r>
    </w:p>
    <w:p w14:paraId="33FB159A">
      <w:pPr>
        <w:keepNext w:val="0"/>
        <w:keepLines w:val="0"/>
        <w:pageBreakBefore w:val="0"/>
        <w:widowControl w:val="0"/>
        <w:kinsoku/>
        <w:wordWrap/>
        <w:overflowPunct w:val="0"/>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设施桩：当管道上有特殊设施时应设置设施桩，桩上要标明管线里程、设施的名称及规格。</w:t>
      </w:r>
    </w:p>
    <w:p w14:paraId="0D5B8806">
      <w:pPr>
        <w:keepNext w:val="0"/>
        <w:keepLines w:val="0"/>
        <w:pageBreakBefore w:val="0"/>
        <w:widowControl w:val="0"/>
        <w:kinsoku/>
        <w:wordWrap/>
        <w:overflowPunct w:val="0"/>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（9）加强自动控制系统的管理和控制，严格控制压力平衡。在集输系统运营期间，严格控制输送油气的性质；定期对管线进行</w:t>
      </w:r>
      <w:r>
        <w:rPr>
          <w:rFonts w:hint="eastAsia" w:cs="Times New Roman"/>
          <w:color w:val="auto"/>
          <w:kern w:val="2"/>
          <w:sz w:val="24"/>
          <w:szCs w:val="24"/>
          <w:highlight w:val="none"/>
          <w:u w:val="none"/>
          <w:lang w:val="en-US" w:eastAsia="zh-CN" w:bidi="ar-SA"/>
        </w:rPr>
        <w:t>检测</w:t>
      </w:r>
      <w:r>
        <w:rPr>
          <w:rFonts w:hint="default" w:ascii="Times New Roman" w:hAnsi="Times New Roman" w:eastAsia="宋体" w:cs="Times New Roman"/>
          <w:color w:val="auto"/>
          <w:kern w:val="2"/>
          <w:sz w:val="24"/>
          <w:szCs w:val="24"/>
          <w:highlight w:val="none"/>
          <w:u w:val="none"/>
          <w:lang w:val="en-US" w:eastAsia="zh-CN" w:bidi="ar-SA"/>
        </w:rPr>
        <w:t>，对壁厚低于规定要求的管段应及时更换，消除爆管的隐患；定期对输送管线上的安全保护设施，如截断阀、安全阀、放空系统等进行检查，使管道在超压时能够得到安全处理，在管道破裂时能够及时截断上下游管段，以减少事故时油气的释放量，使危害影响范围减小到最低程度。</w:t>
      </w:r>
    </w:p>
    <w:p w14:paraId="3876E4B5">
      <w:pPr>
        <w:keepNext w:val="0"/>
        <w:keepLines w:val="0"/>
        <w:pageBreakBefore w:val="0"/>
        <w:widowControl w:val="0"/>
        <w:kinsoku/>
        <w:wordWrap/>
        <w:overflowPunct w:val="0"/>
        <w:topLinePunct w:val="0"/>
        <w:autoSpaceDE/>
        <w:autoSpaceDN/>
        <w:bidi w:val="0"/>
        <w:adjustRightInd/>
        <w:snapToGrid/>
        <w:spacing w:line="480" w:lineRule="exact"/>
        <w:ind w:firstLine="482"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输送管道建成投产后</w:t>
      </w:r>
      <w:r>
        <w:rPr>
          <w:rFonts w:hint="eastAsia" w:cs="Times New Roman"/>
          <w:b/>
          <w:bCs/>
          <w:color w:val="auto"/>
          <w:kern w:val="2"/>
          <w:sz w:val="24"/>
          <w:szCs w:val="24"/>
          <w:highlight w:val="none"/>
          <w:u w:val="none"/>
          <w:lang w:val="en-US" w:eastAsia="zh-CN" w:bidi="ar-SA"/>
        </w:rPr>
        <w:t>，</w:t>
      </w:r>
      <w:r>
        <w:rPr>
          <w:rFonts w:hint="default" w:ascii="Times New Roman" w:hAnsi="Times New Roman" w:eastAsia="宋体" w:cs="Times New Roman"/>
          <w:b/>
          <w:bCs/>
          <w:color w:val="auto"/>
          <w:kern w:val="2"/>
          <w:sz w:val="24"/>
          <w:szCs w:val="24"/>
          <w:highlight w:val="none"/>
          <w:u w:val="none"/>
          <w:lang w:val="en-US" w:eastAsia="zh-CN" w:bidi="ar-SA"/>
        </w:rPr>
        <w:t>重点</w:t>
      </w:r>
      <w:r>
        <w:rPr>
          <w:rFonts w:hint="eastAsia" w:cs="Times New Roman"/>
          <w:b/>
          <w:bCs/>
          <w:color w:val="auto"/>
          <w:kern w:val="2"/>
          <w:sz w:val="24"/>
          <w:szCs w:val="24"/>
          <w:highlight w:val="none"/>
          <w:u w:val="none"/>
          <w:lang w:val="en-US" w:eastAsia="zh-CN" w:bidi="ar-SA"/>
        </w:rPr>
        <w:t>应</w:t>
      </w:r>
      <w:r>
        <w:rPr>
          <w:rFonts w:hint="default" w:ascii="Times New Roman" w:hAnsi="Times New Roman" w:eastAsia="宋体" w:cs="Times New Roman"/>
          <w:b/>
          <w:bCs/>
          <w:color w:val="auto"/>
          <w:kern w:val="2"/>
          <w:sz w:val="24"/>
          <w:szCs w:val="24"/>
          <w:highlight w:val="none"/>
          <w:u w:val="none"/>
          <w:lang w:val="en-US" w:eastAsia="zh-CN" w:bidi="ar-SA"/>
        </w:rPr>
        <w:t>在以下几个方面加强管理：</w:t>
      </w:r>
    </w:p>
    <w:p w14:paraId="6142C540">
      <w:pPr>
        <w:keepNext w:val="0"/>
        <w:keepLines w:val="0"/>
        <w:pageBreakBefore w:val="0"/>
        <w:widowControl w:val="0"/>
        <w:kinsoku/>
        <w:wordWrap/>
        <w:overflowPunct w:val="0"/>
        <w:topLinePunct w:val="0"/>
        <w:autoSpaceDE/>
        <w:autoSpaceDN/>
        <w:bidi w:val="0"/>
        <w:adjustRightInd/>
        <w:snapToGrid/>
        <w:spacing w:line="480" w:lineRule="exact"/>
        <w:ind w:firstLine="456"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spacing w:val="-6"/>
          <w:kern w:val="2"/>
          <w:sz w:val="24"/>
          <w:szCs w:val="24"/>
          <w:highlight w:val="none"/>
          <w:u w:val="none"/>
          <w:lang w:val="en-US" w:eastAsia="zh-CN" w:bidi="ar-SA"/>
        </w:rPr>
        <w:t>（1）</w:t>
      </w:r>
      <w:r>
        <w:rPr>
          <w:rFonts w:hint="default" w:ascii="Times New Roman" w:hAnsi="Times New Roman" w:eastAsia="宋体" w:cs="Times New Roman"/>
          <w:color w:val="auto"/>
          <w:spacing w:val="-6"/>
          <w:kern w:val="2"/>
          <w:sz w:val="24"/>
          <w:szCs w:val="24"/>
          <w:highlight w:val="none"/>
          <w:u w:val="none"/>
          <w:lang w:val="en-US" w:eastAsia="zh-CN" w:bidi="ar-SA"/>
        </w:rPr>
        <w:t>加强通信系统、自控系统的维护管理，定期对各类仪表、设备进行监测和检验，确保正常操作和事故状态下及时动作，以防止事故的进一步扩大。确保阴极保护系统的正常运行，对管道腐蚀状况要进行监测，发现问题及时采取措施。</w:t>
      </w:r>
    </w:p>
    <w:p w14:paraId="334EEAA4">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（2）</w:t>
      </w:r>
      <w:r>
        <w:rPr>
          <w:rFonts w:hint="default" w:ascii="Times New Roman" w:hAnsi="Times New Roman" w:eastAsia="宋体" w:cs="Times New Roman"/>
          <w:color w:val="auto"/>
          <w:kern w:val="2"/>
          <w:sz w:val="24"/>
          <w:szCs w:val="24"/>
          <w:highlight w:val="none"/>
          <w:u w:val="none"/>
          <w:lang w:val="en-US" w:eastAsia="zh-CN" w:bidi="ar-SA"/>
        </w:rPr>
        <w:t>加强对管道穿跨越段保护设施的维护管理和沿线的巡查，以及强化管道安全保护的宣传教育，提高沿线人民群众公共安全意识，最大限度地减少自然灾害和人为因素对管道的破坏。确保阴极保护系统的正常运行，对管道腐蚀状况要进行监测，发现问题及时采取措施。</w:t>
      </w:r>
    </w:p>
    <w:p w14:paraId="63AB6DCB">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（3）</w:t>
      </w:r>
      <w:r>
        <w:rPr>
          <w:rFonts w:hint="default" w:ascii="Times New Roman" w:hAnsi="Times New Roman" w:eastAsia="宋体" w:cs="Times New Roman"/>
          <w:color w:val="auto"/>
          <w:kern w:val="2"/>
          <w:sz w:val="24"/>
          <w:szCs w:val="24"/>
          <w:highlight w:val="none"/>
          <w:u w:val="none"/>
          <w:lang w:val="en-US" w:eastAsia="zh-CN" w:bidi="ar-SA"/>
        </w:rPr>
        <w:t>工程建成后运营期间，随时间的推移，管道周围的地形地貌及地质环境有可能发生改变，从而出现意外情况。因此建议对地质灾害发育地段，加强巡视检测及定期检查，发现隐患及时上报有关部门，以便采取有效措施。</w:t>
      </w:r>
    </w:p>
    <w:p w14:paraId="2711CFE5">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（4）</w:t>
      </w:r>
      <w:r>
        <w:rPr>
          <w:rFonts w:hint="default" w:ascii="Times New Roman" w:hAnsi="Times New Roman" w:eastAsia="宋体" w:cs="Times New Roman"/>
          <w:color w:val="auto"/>
          <w:kern w:val="2"/>
          <w:sz w:val="24"/>
          <w:szCs w:val="24"/>
          <w:highlight w:val="none"/>
          <w:u w:val="none"/>
          <w:lang w:val="en-US" w:eastAsia="zh-CN" w:bidi="ar-SA"/>
        </w:rPr>
        <w:t>根据管道沿线地质、地理、地貌、水文、气象环境条件，因地制宜地制定自然灾害防护措施。</w:t>
      </w:r>
    </w:p>
    <w:p w14:paraId="60473140">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（5）</w:t>
      </w:r>
      <w:r>
        <w:rPr>
          <w:rFonts w:hint="default" w:ascii="Times New Roman" w:hAnsi="Times New Roman" w:eastAsia="宋体" w:cs="Times New Roman"/>
          <w:color w:val="auto"/>
          <w:kern w:val="2"/>
          <w:sz w:val="24"/>
          <w:szCs w:val="24"/>
          <w:highlight w:val="none"/>
          <w:u w:val="none"/>
          <w:lang w:val="en-US" w:eastAsia="zh-CN" w:bidi="ar-SA"/>
        </w:rPr>
        <w:t>在输送管道运行过程中，有可能出现人为的或自然灾害造成的突发性事故，必须及时对管道进行抢修；为保证输气管道安全，对管道必须进行有计划的维修。为了保障人民生命和财产的安全，必须建立完善的管道维修及抢修体系，设立专业化管理的维修及抢修队伍，配备齐全的维抢修设备、机具，确保事故状态下能及时到位，并在最短时间内完成管道的维抢修作业。</w:t>
      </w:r>
    </w:p>
    <w:p w14:paraId="0E1FDA76">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（6）</w:t>
      </w:r>
      <w:r>
        <w:rPr>
          <w:rFonts w:hint="default" w:ascii="Times New Roman" w:hAnsi="Times New Roman" w:eastAsia="宋体" w:cs="Times New Roman"/>
          <w:color w:val="auto"/>
          <w:kern w:val="2"/>
          <w:sz w:val="24"/>
          <w:szCs w:val="24"/>
          <w:highlight w:val="none"/>
          <w:u w:val="none"/>
          <w:lang w:val="en-US" w:eastAsia="zh-CN" w:bidi="ar-SA"/>
        </w:rPr>
        <w:t>从工程筹建起就要建立技术档案，包括各种技术报表、安全操作规程、安全规章制度、电气设施检测数据等，为安全生产管理提供依据。</w:t>
      </w:r>
    </w:p>
    <w:p w14:paraId="0096B6DC">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（7）</w:t>
      </w:r>
      <w:r>
        <w:rPr>
          <w:rFonts w:hint="default" w:ascii="Times New Roman" w:hAnsi="Times New Roman" w:eastAsia="宋体" w:cs="Times New Roman"/>
          <w:color w:val="auto"/>
          <w:kern w:val="2"/>
          <w:sz w:val="24"/>
          <w:szCs w:val="24"/>
          <w:highlight w:val="none"/>
          <w:u w:val="none"/>
          <w:lang w:val="en-US" w:eastAsia="zh-CN" w:bidi="ar-SA"/>
        </w:rPr>
        <w:t>重要危险点的仪表（流量、压力等）应有备用件，当工艺流程或仪表设备有变动时，应及时换发新操作规程或修改仪表设备档案。</w:t>
      </w:r>
    </w:p>
    <w:p w14:paraId="3894AB22">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（8）</w:t>
      </w:r>
      <w:r>
        <w:rPr>
          <w:rFonts w:hint="default" w:ascii="Times New Roman" w:hAnsi="Times New Roman" w:eastAsia="宋体" w:cs="Times New Roman"/>
          <w:color w:val="auto"/>
          <w:kern w:val="2"/>
          <w:sz w:val="24"/>
          <w:szCs w:val="24"/>
          <w:highlight w:val="none"/>
          <w:u w:val="none"/>
          <w:lang w:val="en-US" w:eastAsia="zh-CN" w:bidi="ar-SA"/>
        </w:rPr>
        <w:t>通过清管排除管内污物，达到防止内腐蚀的目的。根据管道运行状况合理制定清管周期并及时组织管道的清管，特别是投产初期更应引起注意。</w:t>
      </w:r>
    </w:p>
    <w:p w14:paraId="5B9A5DF3">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（9）</w:t>
      </w:r>
      <w:r>
        <w:rPr>
          <w:rFonts w:hint="default" w:ascii="Times New Roman" w:hAnsi="Times New Roman" w:eastAsia="宋体" w:cs="Times New Roman"/>
          <w:color w:val="auto"/>
          <w:kern w:val="2"/>
          <w:sz w:val="24"/>
          <w:szCs w:val="24"/>
          <w:highlight w:val="none"/>
          <w:u w:val="none"/>
          <w:lang w:val="en-US" w:eastAsia="zh-CN" w:bidi="ar-SA"/>
        </w:rPr>
        <w:t>定期对管道进行内、外检测和评估，掌握管道强度和完整性等数据，建立检测档案，从而可有计划地进行管道维修，减少穿孔泄漏事故；加强管道腐蚀控制，尽快推行并实施管道完整性管理。</w:t>
      </w:r>
    </w:p>
    <w:p w14:paraId="056F49FA">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（10）</w:t>
      </w:r>
      <w:r>
        <w:rPr>
          <w:rFonts w:hint="default" w:ascii="Times New Roman" w:hAnsi="Times New Roman" w:eastAsia="宋体" w:cs="Times New Roman"/>
          <w:color w:val="auto"/>
          <w:kern w:val="2"/>
          <w:sz w:val="24"/>
          <w:szCs w:val="24"/>
          <w:highlight w:val="none"/>
          <w:u w:val="none"/>
          <w:lang w:val="en-US" w:eastAsia="zh-CN" w:bidi="ar-SA"/>
        </w:rPr>
        <w:t>加大管道周围安全隐患的治理力度，遏制违章建筑及占压；对于管道上方及附近的开荒行为加强监督，防止破坏管道；严禁挖沙取土。</w:t>
      </w:r>
    </w:p>
    <w:p w14:paraId="25D2281A">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（11）</w:t>
      </w:r>
      <w:r>
        <w:rPr>
          <w:rFonts w:hint="default" w:ascii="Times New Roman" w:hAnsi="Times New Roman" w:eastAsia="宋体" w:cs="Times New Roman"/>
          <w:color w:val="auto"/>
          <w:kern w:val="2"/>
          <w:sz w:val="24"/>
          <w:szCs w:val="24"/>
          <w:highlight w:val="none"/>
          <w:u w:val="none"/>
          <w:lang w:val="en-US" w:eastAsia="zh-CN" w:bidi="ar-SA"/>
        </w:rPr>
        <w:t>治理输送管道的安全隐患，必须依靠管道沿线各级地方政府及有关单位，建议管理单位与地方政府及有关部门及时进行沟通联系和密切协作，建立不同形式的联防网络，进行联合治理，加大管道周围安全隐患的治理力度，有效遏制违章建筑及占压。按《中华人民共和国石油天然气管道保护法》的要求，禁止管道两侧5m范围新建居民住宅；50m范围内禁止爆破、开山和修筑大型建筑物、构筑物工程；在管道中心线两侧各50m至500m范围内进行爆破的，应当事先征得管道企业同意，在采取安全保护措施后方可进行；加强天然气管道安全宣传工作，减少第三方破坏活动的发生。</w:t>
      </w:r>
    </w:p>
    <w:p w14:paraId="5A5A80FC">
      <w:pPr>
        <w:keepNext w:val="0"/>
        <w:keepLines w:val="0"/>
        <w:pageBreakBefore w:val="0"/>
        <w:widowControl w:val="0"/>
        <w:kinsoku/>
        <w:wordWrap/>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eastAsia" w:cs="Times New Roman"/>
          <w:color w:val="auto"/>
          <w:kern w:val="2"/>
          <w:sz w:val="24"/>
          <w:szCs w:val="24"/>
          <w:highlight w:val="none"/>
          <w:u w:val="none"/>
          <w:lang w:val="en-US" w:eastAsia="zh-CN" w:bidi="ar-SA"/>
        </w:rPr>
        <w:t>（12）</w:t>
      </w:r>
      <w:r>
        <w:rPr>
          <w:rFonts w:hint="default" w:ascii="Times New Roman" w:hAnsi="Times New Roman" w:eastAsia="宋体" w:cs="Times New Roman"/>
          <w:color w:val="auto"/>
          <w:kern w:val="2"/>
          <w:sz w:val="24"/>
          <w:szCs w:val="24"/>
          <w:highlight w:val="none"/>
          <w:u w:val="none"/>
          <w:lang w:val="en-US" w:eastAsia="zh-CN" w:bidi="ar-SA"/>
        </w:rPr>
        <w:t>管理单位应加强重点地段管道的维护管理力度，建立完善的巡线制度，固定专门的巡线人员，配备专用的巡线车辆及器材，提高重点地段管线的巡线频率，坚持徒步巡线，保证不间断地对管道进行巡查，及时发现并处理现场所存在的隐患和问题，减小事故发生的机率；缩短重点地段管线的内、外检测周期，根据管道的内外腐蚀、埋深、损伤变形等的检测结果，及时采取相应的整改措施；增大沿线标志桩或警示牌的设置密度，以标示管道的准确走向，减少违章建筑和危及管道安全事故的发生；针对重点地段管线的特点，编制可能发生事故的专项应急救援预案，加强事故应急救援预案的演习和实施，减少事故造成的损失。</w:t>
      </w:r>
    </w:p>
    <w:p w14:paraId="338ED68E">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7 </w:t>
      </w:r>
      <w:r>
        <w:rPr>
          <w:rFonts w:hint="default" w:ascii="宋体" w:hAnsi="宋体" w:cs="宋体"/>
          <w:color w:val="auto"/>
          <w:u w:val="none"/>
          <w:lang w:val="en-US" w:eastAsia="zh-CN"/>
        </w:rPr>
        <w:t>井喷事故的风险防范措施</w:t>
      </w:r>
    </w:p>
    <w:p w14:paraId="4F2FE56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（1）由于硫化氢气体的特殊性质，作好空气中硫化氢含量的监测，及时得到井喷的预警信息，采取必要手段预防井喷。</w:t>
      </w:r>
    </w:p>
    <w:p w14:paraId="1C8369B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（2）在井场醒目处悬挂一份井场周边环境的地图和表格，列示离开井场不同距离范围内的公路等其他公共设施。</w:t>
      </w:r>
    </w:p>
    <w:p w14:paraId="3BB7521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（3）建立一份紧急电话联系表，其中应包括</w:t>
      </w:r>
      <w:r>
        <w:rPr>
          <w:rFonts w:hint="eastAsia" w:ascii="Times New Roman" w:hAnsi="Times New Roman" w:eastAsia="宋体" w:cs="Times New Roman"/>
          <w:snapToGrid w:val="0"/>
          <w:color w:val="auto"/>
          <w:kern w:val="2"/>
          <w:sz w:val="24"/>
          <w:szCs w:val="20"/>
          <w:highlight w:val="none"/>
          <w:u w:val="none"/>
          <w:lang w:val="en-US" w:eastAsia="zh-CN" w:bidi="ar-SA"/>
        </w:rPr>
        <w:t>井场</w:t>
      </w:r>
      <w:r>
        <w:rPr>
          <w:rFonts w:ascii="Times New Roman" w:hAnsi="Times New Roman" w:eastAsia="宋体" w:cs="Times New Roman"/>
          <w:snapToGrid w:val="0"/>
          <w:color w:val="auto"/>
          <w:kern w:val="2"/>
          <w:sz w:val="24"/>
          <w:szCs w:val="20"/>
          <w:highlight w:val="none"/>
          <w:u w:val="none"/>
          <w:lang w:val="en-US" w:eastAsia="zh-CN" w:bidi="ar-SA"/>
        </w:rPr>
        <w:t>负责人、技术人员或安全管理人员以及上级主管部分应急指挥人和当地管理部门协调人、医院、消防、环境部门的联系电话。</w:t>
      </w:r>
    </w:p>
    <w:p w14:paraId="4982919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4）制定一份详实的可操作的应急预案，包括医疗保健措施、个人保护设备、人员培训要求、监测、警报与人员撤离等一系列工作详细地列出具体要求，以此保证井场作业人员的生命安全，特别应明确井口喷出的H</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S浓度计距井口下风向不同距离监测的H</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S浓度，来确定井场工作人员的撤离范围。</w:t>
      </w:r>
    </w:p>
    <w:p w14:paraId="1D172CF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（5）应对工作人员普及预防H</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S中毒，避免伤亡的个人防护知识，以防止事故发生后的人员伤亡。</w:t>
      </w:r>
    </w:p>
    <w:p w14:paraId="56BC0C7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（6）在发生井喷后，</w:t>
      </w:r>
      <w:r>
        <w:rPr>
          <w:rFonts w:hint="eastAsia" w:ascii="Times New Roman" w:hAnsi="Times New Roman" w:eastAsia="宋体" w:cs="Times New Roman"/>
          <w:snapToGrid w:val="0"/>
          <w:color w:val="auto"/>
          <w:kern w:val="2"/>
          <w:sz w:val="24"/>
          <w:szCs w:val="20"/>
          <w:highlight w:val="none"/>
          <w:u w:val="none"/>
          <w:lang w:val="en-US" w:eastAsia="zh-CN" w:bidi="ar-SA"/>
        </w:rPr>
        <w:t>可通过火炬对天然气进行燃烧。</w:t>
      </w:r>
    </w:p>
    <w:p w14:paraId="0E270CB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（7）发生事故时，要求井场排放清水及处理水全部进入现场事故池，不得随意外排，</w:t>
      </w:r>
      <w:r>
        <w:rPr>
          <w:rFonts w:hint="eastAsia" w:ascii="Times New Roman" w:hAnsi="Times New Roman" w:eastAsia="宋体" w:cs="Times New Roman"/>
          <w:snapToGrid w:val="0"/>
          <w:color w:val="auto"/>
          <w:kern w:val="2"/>
          <w:sz w:val="24"/>
          <w:szCs w:val="20"/>
          <w:highlight w:val="none"/>
          <w:u w:val="none"/>
          <w:lang w:val="en-US" w:eastAsia="zh-CN" w:bidi="ar-SA"/>
        </w:rPr>
        <w:t>并</w:t>
      </w:r>
      <w:r>
        <w:rPr>
          <w:rFonts w:ascii="Times New Roman" w:hAnsi="Times New Roman" w:eastAsia="宋体" w:cs="Times New Roman"/>
          <w:snapToGrid w:val="0"/>
          <w:color w:val="auto"/>
          <w:kern w:val="2"/>
          <w:sz w:val="24"/>
          <w:szCs w:val="20"/>
          <w:highlight w:val="none"/>
          <w:u w:val="none"/>
          <w:lang w:val="en-US" w:eastAsia="zh-CN" w:bidi="ar-SA"/>
        </w:rPr>
        <w:t>立即启动重大环境事件环境应急监测预案，在应急监测人员不受H</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S危害影响的前提下，对井场周边大气中的H</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S及甲烷浓度进行监控，随时掌握扩散分布情况，以指导对井场周边人员的撤离工作已经安全线的划定工作。</w:t>
      </w:r>
    </w:p>
    <w:p w14:paraId="0477B0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（8）在人员不受H</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S危害影响的前提下，组织人员对井喷喷出的</w:t>
      </w:r>
      <w:r>
        <w:rPr>
          <w:rFonts w:hint="eastAsia" w:ascii="Times New Roman" w:hAnsi="Times New Roman" w:eastAsia="宋体" w:cs="Times New Roman"/>
          <w:snapToGrid w:val="0"/>
          <w:color w:val="auto"/>
          <w:kern w:val="2"/>
          <w:sz w:val="24"/>
          <w:szCs w:val="20"/>
          <w:highlight w:val="none"/>
          <w:u w:val="none"/>
          <w:lang w:val="en-US" w:eastAsia="zh-CN" w:bidi="ar-SA"/>
        </w:rPr>
        <w:t>采出</w:t>
      </w:r>
      <w:r>
        <w:rPr>
          <w:rFonts w:ascii="Times New Roman" w:hAnsi="Times New Roman" w:eastAsia="宋体" w:cs="Times New Roman"/>
          <w:snapToGrid w:val="0"/>
          <w:color w:val="auto"/>
          <w:kern w:val="2"/>
          <w:sz w:val="24"/>
          <w:szCs w:val="20"/>
          <w:highlight w:val="none"/>
          <w:u w:val="none"/>
          <w:lang w:val="en-US" w:eastAsia="zh-CN" w:bidi="ar-SA"/>
        </w:rPr>
        <w:t>液进行封堵，可截留至现场事故池内，防止其流入井场周边环境敏感区，尽可能减少其危害和影响，在事件处理过程中，应及时将</w:t>
      </w:r>
      <w:r>
        <w:rPr>
          <w:rFonts w:hint="eastAsia" w:ascii="Times New Roman" w:hAnsi="Times New Roman" w:eastAsia="宋体" w:cs="Times New Roman"/>
          <w:snapToGrid w:val="0"/>
          <w:color w:val="auto"/>
          <w:kern w:val="2"/>
          <w:sz w:val="24"/>
          <w:szCs w:val="20"/>
          <w:highlight w:val="none"/>
          <w:u w:val="none"/>
          <w:lang w:val="en-US" w:eastAsia="zh-CN" w:bidi="ar-SA"/>
        </w:rPr>
        <w:t>采出液</w:t>
      </w:r>
      <w:r>
        <w:rPr>
          <w:rFonts w:ascii="Times New Roman" w:hAnsi="Times New Roman" w:eastAsia="宋体" w:cs="Times New Roman"/>
          <w:snapToGrid w:val="0"/>
          <w:color w:val="auto"/>
          <w:kern w:val="2"/>
          <w:sz w:val="24"/>
          <w:szCs w:val="20"/>
          <w:highlight w:val="none"/>
          <w:u w:val="none"/>
          <w:lang w:val="en-US" w:eastAsia="zh-CN" w:bidi="ar-SA"/>
        </w:rPr>
        <w:t>全部清运至</w:t>
      </w:r>
      <w:r>
        <w:rPr>
          <w:rFonts w:ascii="Times New Roman" w:hAnsi="Times New Roman" w:eastAsia="宋体" w:cs="Times New Roman"/>
          <w:snapToGrid w:val="0"/>
          <w:color w:val="auto"/>
          <w:kern w:val="2"/>
          <w:sz w:val="24"/>
          <w:szCs w:val="24"/>
          <w:highlight w:val="none"/>
          <w:u w:val="none"/>
          <w:lang w:val="en-US" w:eastAsia="zh-CN" w:bidi="ar-SA"/>
        </w:rPr>
        <w:t>哈一联</w:t>
      </w:r>
      <w:r>
        <w:rPr>
          <w:rFonts w:hint="eastAsia" w:ascii="Times New Roman" w:hAnsi="Times New Roman" w:eastAsia="宋体" w:cs="Times New Roman"/>
          <w:snapToGrid w:val="0"/>
          <w:color w:val="auto"/>
          <w:kern w:val="2"/>
          <w:sz w:val="24"/>
          <w:szCs w:val="20"/>
          <w:highlight w:val="none"/>
          <w:u w:val="none"/>
          <w:lang w:val="en-US" w:eastAsia="zh-CN" w:bidi="ar-SA"/>
        </w:rPr>
        <w:t>进行处理</w:t>
      </w:r>
      <w:r>
        <w:rPr>
          <w:rFonts w:ascii="Times New Roman" w:hAnsi="Times New Roman" w:eastAsia="宋体" w:cs="Times New Roman"/>
          <w:snapToGrid w:val="0"/>
          <w:color w:val="auto"/>
          <w:kern w:val="2"/>
          <w:sz w:val="24"/>
          <w:szCs w:val="20"/>
          <w:highlight w:val="none"/>
          <w:u w:val="none"/>
          <w:lang w:val="en-US" w:eastAsia="zh-CN" w:bidi="ar-SA"/>
        </w:rPr>
        <w:t>。</w:t>
      </w:r>
    </w:p>
    <w:p w14:paraId="28058F2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9）由于井喷和处理井喷的过程中（井喷、压井及恢复正常钻井）产生的污水量较多，为确保事故池能储存所产生的污水，应及时对事故池储存的污水进行处理。若废水产生量较大，又无法对污水进行及时处理，可能造成污水池装满而外溢污染环境时，应及时启动备用事故池，防止污染物的扩散。</w:t>
      </w:r>
    </w:p>
    <w:p w14:paraId="06CF62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（10）事件处理过程中必须持续执行重大环境事件环境应急监测预案，重点对井场周边办公区内的空气中的H</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S、SO</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、CO</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及甲烷浓度进行监控，如果已达到空气质量标准，则可上报相关决策部门下达返回指令，对周边地下水水质进行监测。</w:t>
      </w:r>
    </w:p>
    <w:p w14:paraId="20DD8D0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（1</w:t>
      </w:r>
      <w:r>
        <w:rPr>
          <w:rFonts w:hint="eastAsia" w:cs="Times New Roman"/>
          <w:snapToGrid w:val="0"/>
          <w:color w:val="auto"/>
          <w:kern w:val="2"/>
          <w:sz w:val="24"/>
          <w:szCs w:val="20"/>
          <w:highlight w:val="none"/>
          <w:u w:val="none"/>
          <w:lang w:val="en-US" w:eastAsia="zh-CN" w:bidi="ar-SA"/>
        </w:rPr>
        <w:t>1</w:t>
      </w:r>
      <w:r>
        <w:rPr>
          <w:rFonts w:ascii="Times New Roman" w:hAnsi="Times New Roman" w:eastAsia="宋体" w:cs="Times New Roman"/>
          <w:snapToGrid w:val="0"/>
          <w:color w:val="auto"/>
          <w:kern w:val="2"/>
          <w:sz w:val="24"/>
          <w:szCs w:val="20"/>
          <w:highlight w:val="none"/>
          <w:u w:val="none"/>
          <w:lang w:val="en-US" w:eastAsia="zh-CN" w:bidi="ar-SA"/>
        </w:rPr>
        <w:t>）清理井场的各种环境污染物，按分级堆放处理原则进行处置、恢复正常的废水处理工作。</w:t>
      </w:r>
    </w:p>
    <w:p w14:paraId="4C9AF6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（1</w:t>
      </w:r>
      <w:r>
        <w:rPr>
          <w:rFonts w:hint="eastAsia" w:cs="Times New Roman"/>
          <w:snapToGrid w:val="0"/>
          <w:color w:val="auto"/>
          <w:kern w:val="2"/>
          <w:sz w:val="24"/>
          <w:szCs w:val="20"/>
          <w:highlight w:val="none"/>
          <w:u w:val="none"/>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）完成环境应急监测工作报告，对相关环境污染情况尽心评估。</w:t>
      </w:r>
    </w:p>
    <w:p w14:paraId="395D847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（1</w:t>
      </w:r>
      <w:r>
        <w:rPr>
          <w:rFonts w:hint="eastAsia" w:cs="Times New Roman"/>
          <w:snapToGrid w:val="0"/>
          <w:color w:val="auto"/>
          <w:kern w:val="2"/>
          <w:sz w:val="24"/>
          <w:szCs w:val="20"/>
          <w:highlight w:val="none"/>
          <w:u w:val="none"/>
          <w:lang w:val="en-US" w:eastAsia="zh-CN" w:bidi="ar-SA"/>
        </w:rPr>
        <w:t>3</w:t>
      </w:r>
      <w:r>
        <w:rPr>
          <w:rFonts w:ascii="Times New Roman" w:hAnsi="Times New Roman" w:eastAsia="宋体" w:cs="Times New Roman"/>
          <w:snapToGrid w:val="0"/>
          <w:color w:val="auto"/>
          <w:kern w:val="2"/>
          <w:sz w:val="24"/>
          <w:szCs w:val="20"/>
          <w:highlight w:val="none"/>
          <w:u w:val="none"/>
          <w:lang w:val="en-US" w:eastAsia="zh-CN" w:bidi="ar-SA"/>
        </w:rPr>
        <w:t>）在相关部分的指导下，对相关环境污染损失情况进行赔偿。</w:t>
      </w:r>
    </w:p>
    <w:p w14:paraId="5CF651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（1</w:t>
      </w:r>
      <w:r>
        <w:rPr>
          <w:rFonts w:hint="eastAsia" w:cs="Times New Roman"/>
          <w:snapToGrid w:val="0"/>
          <w:color w:val="auto"/>
          <w:kern w:val="2"/>
          <w:sz w:val="24"/>
          <w:szCs w:val="20"/>
          <w:highlight w:val="none"/>
          <w:u w:val="none"/>
          <w:lang w:val="en-US" w:eastAsia="zh-CN" w:bidi="ar-SA"/>
        </w:rPr>
        <w:t>4</w:t>
      </w:r>
      <w:r>
        <w:rPr>
          <w:rFonts w:ascii="Times New Roman" w:hAnsi="Times New Roman" w:eastAsia="宋体" w:cs="Times New Roman"/>
          <w:snapToGrid w:val="0"/>
          <w:color w:val="auto"/>
          <w:kern w:val="2"/>
          <w:sz w:val="24"/>
          <w:szCs w:val="20"/>
          <w:highlight w:val="none"/>
          <w:u w:val="none"/>
          <w:lang w:val="en-US" w:eastAsia="zh-CN" w:bidi="ar-SA"/>
        </w:rPr>
        <w:t>）对井喷的环境污染防治工作进行总结。</w:t>
      </w:r>
    </w:p>
    <w:p w14:paraId="4CBF066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（1</w:t>
      </w:r>
      <w:r>
        <w:rPr>
          <w:rFonts w:hint="eastAsia" w:cs="Times New Roman"/>
          <w:snapToGrid w:val="0"/>
          <w:color w:val="auto"/>
          <w:kern w:val="2"/>
          <w:sz w:val="24"/>
          <w:szCs w:val="20"/>
          <w:highlight w:val="none"/>
          <w:u w:val="none"/>
          <w:lang w:val="en-US" w:eastAsia="zh-CN" w:bidi="ar-SA"/>
        </w:rPr>
        <w:t>5</w:t>
      </w:r>
      <w:r>
        <w:rPr>
          <w:rFonts w:ascii="Times New Roman" w:hAnsi="Times New Roman" w:eastAsia="宋体" w:cs="Times New Roman"/>
          <w:snapToGrid w:val="0"/>
          <w:color w:val="auto"/>
          <w:kern w:val="2"/>
          <w:sz w:val="24"/>
          <w:szCs w:val="20"/>
          <w:highlight w:val="none"/>
          <w:u w:val="none"/>
          <w:lang w:val="en-US" w:eastAsia="zh-CN" w:bidi="ar-SA"/>
        </w:rPr>
        <w:t>）日常工作中严格遵守钻井的安全规定，在井口安装有效的井控装置，杜绝井喷的发生；随时观察、定期记录，及时发现溢流、</w:t>
      </w:r>
      <w:r>
        <w:rPr>
          <w:rFonts w:hint="eastAsia" w:cs="Times New Roman"/>
          <w:snapToGrid w:val="0"/>
          <w:color w:val="auto"/>
          <w:kern w:val="2"/>
          <w:sz w:val="24"/>
          <w:szCs w:val="20"/>
          <w:highlight w:val="none"/>
          <w:u w:val="none"/>
          <w:lang w:val="en-US" w:eastAsia="zh-CN" w:bidi="ar-SA"/>
        </w:rPr>
        <w:t>泄漏</w:t>
      </w:r>
      <w:r>
        <w:rPr>
          <w:rFonts w:ascii="Times New Roman" w:hAnsi="Times New Roman" w:eastAsia="宋体" w:cs="Times New Roman"/>
          <w:snapToGrid w:val="0"/>
          <w:color w:val="auto"/>
          <w:kern w:val="2"/>
          <w:sz w:val="24"/>
          <w:szCs w:val="20"/>
          <w:highlight w:val="none"/>
          <w:u w:val="none"/>
          <w:lang w:val="en-US" w:eastAsia="zh-CN" w:bidi="ar-SA"/>
        </w:rPr>
        <w:t>，并根据多年井喷事故井控装置失灵经验总结，并控作业中的一些错误做法，应尽量避免，杜绝井喷的发生；井场设置明显的禁止烟火标志；井场设备及电器设备、照明灯具符合防火防爆的安全要求，安装探照灯，以备井喷时钻台照明；按消防规定配备泡沫灭火器、干粉灭火器、消防铁锹和其它消防器材；制订应急操作规程，在规程中说明发生井喷事故时应采取的操作步骤；井场设置事故池，按照最大可能性设计，降低环境风险。</w:t>
      </w:r>
    </w:p>
    <w:p w14:paraId="208E6C9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井喷及井喷失控事故一旦发生，特别是含H</w:t>
      </w:r>
      <w:r>
        <w:rPr>
          <w:rFonts w:ascii="Times New Roman" w:hAnsi="Times New Roman" w:eastAsia="宋体" w:cs="Times New Roman"/>
          <w:snapToGrid w:val="0"/>
          <w:color w:val="auto"/>
          <w:kern w:val="2"/>
          <w:sz w:val="24"/>
          <w:szCs w:val="20"/>
          <w:highlight w:val="none"/>
          <w:u w:val="none"/>
          <w:vertAlign w:val="subscript"/>
          <w:lang w:val="en-US" w:eastAsia="zh-CN" w:bidi="ar-SA"/>
        </w:rPr>
        <w:t>2</w:t>
      </w:r>
      <w:r>
        <w:rPr>
          <w:rFonts w:ascii="Times New Roman" w:hAnsi="Times New Roman" w:eastAsia="宋体" w:cs="Times New Roman"/>
          <w:snapToGrid w:val="0"/>
          <w:color w:val="auto"/>
          <w:kern w:val="2"/>
          <w:sz w:val="24"/>
          <w:szCs w:val="20"/>
          <w:highlight w:val="none"/>
          <w:u w:val="none"/>
          <w:lang w:val="en-US" w:eastAsia="zh-CN" w:bidi="ar-SA"/>
        </w:rPr>
        <w:t>S</w:t>
      </w:r>
      <w:r>
        <w:rPr>
          <w:rFonts w:hint="eastAsia" w:ascii="Times New Roman" w:hAnsi="Times New Roman" w:eastAsia="宋体" w:cs="Times New Roman"/>
          <w:snapToGrid w:val="0"/>
          <w:color w:val="auto"/>
          <w:kern w:val="2"/>
          <w:sz w:val="24"/>
          <w:szCs w:val="20"/>
          <w:highlight w:val="none"/>
          <w:u w:val="none"/>
          <w:lang w:val="en-US" w:eastAsia="zh-CN" w:bidi="ar-SA"/>
        </w:rPr>
        <w:t>油</w:t>
      </w:r>
      <w:r>
        <w:rPr>
          <w:rFonts w:ascii="Times New Roman" w:hAnsi="Times New Roman" w:eastAsia="宋体" w:cs="Times New Roman"/>
          <w:snapToGrid w:val="0"/>
          <w:color w:val="auto"/>
          <w:kern w:val="2"/>
          <w:sz w:val="24"/>
          <w:szCs w:val="20"/>
          <w:highlight w:val="none"/>
          <w:u w:val="none"/>
          <w:lang w:val="en-US" w:eastAsia="zh-CN" w:bidi="ar-SA"/>
        </w:rPr>
        <w:t>气井的井喷及失控，不仅将会造成巨大的经济损失，而且将会造成较严重的环境污染和危害及一定的社会负面影响。如何尽可能减轻井喷及井喷失控事故所带来的环境污染和危害，认真贯彻集团公司《石油与天然气钻井井控规定》是十分重要的，特别应按要求执行在发生井喷事故后的抢险方案制订及实施，要把环境保护同时考虑，同时实施，防止出现次生环境事故</w:t>
      </w:r>
      <w:r>
        <w:rPr>
          <w:rFonts w:hint="default" w:ascii="Times New Roman" w:hAnsi="Times New Roman" w:eastAsia="宋体" w:cs="Times New Roman"/>
          <w:snapToGrid w:val="0"/>
          <w:color w:val="auto"/>
          <w:kern w:val="2"/>
          <w:sz w:val="24"/>
          <w:szCs w:val="20"/>
          <w:highlight w:val="none"/>
          <w:u w:val="none"/>
          <w:lang w:val="en-US" w:eastAsia="zh-CN" w:bidi="ar-SA"/>
        </w:rPr>
        <w:t>。</w:t>
      </w:r>
    </w:p>
    <w:p w14:paraId="370BF4D4">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8 </w:t>
      </w:r>
      <w:r>
        <w:rPr>
          <w:rFonts w:hint="default" w:ascii="宋体" w:hAnsi="宋体" w:cs="宋体"/>
          <w:color w:val="auto"/>
          <w:u w:val="none"/>
          <w:lang w:val="en-US" w:eastAsia="zh-CN"/>
        </w:rPr>
        <w:t>土壤风险风险防范措施</w:t>
      </w:r>
    </w:p>
    <w:p w14:paraId="4DB61D4F">
      <w:pPr>
        <w:keepNext w:val="0"/>
        <w:keepLines w:val="0"/>
        <w:pageBreakBefore w:val="0"/>
        <w:widowControl/>
        <w:kinsoku/>
        <w:wordWrap/>
        <w:overflowPunct/>
        <w:topLinePunct w:val="0"/>
        <w:autoSpaceDE/>
        <w:autoSpaceDN/>
        <w:bidi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如果发生集输管道的采出液渗漏，建设单位应立即采取切断措施并及时组织专门力量进行污染物的清除工作，在最短的时间内清除地面及地下的石油类物质，委托具有相应HW08危废处理资质单位对污染土壤进行转运处置，因而，石油类污染物进入土壤和地下潜水的可能性较小。</w:t>
      </w:r>
    </w:p>
    <w:p w14:paraId="5F39A4DD">
      <w:pPr>
        <w:keepNext w:val="0"/>
        <w:keepLines w:val="0"/>
        <w:pageBreakBefore w:val="0"/>
        <w:widowControl/>
        <w:kinsoku/>
        <w:wordWrap/>
        <w:overflowPunct/>
        <w:topLinePunct w:val="0"/>
        <w:autoSpaceDE/>
        <w:autoSpaceDN/>
        <w:bidi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具体步骤为：</w:t>
      </w:r>
    </w:p>
    <w:p w14:paraId="1DC6A608">
      <w:pPr>
        <w:keepNext w:val="0"/>
        <w:keepLines w:val="0"/>
        <w:pageBreakBefore w:val="0"/>
        <w:widowControl/>
        <w:kinsoku/>
        <w:wordWrap/>
        <w:overflowPunct/>
        <w:topLinePunct w:val="0"/>
        <w:autoSpaceDE/>
        <w:autoSpaceDN/>
        <w:bidi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lang w:val="en-US" w:eastAsia="zh-CN"/>
        </w:rPr>
        <w:t>1</w:t>
      </w:r>
      <w:r>
        <w:rPr>
          <w:rFonts w:hint="default"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按顺序停泵或关井</w:t>
      </w:r>
    </w:p>
    <w:p w14:paraId="31637737">
      <w:pPr>
        <w:keepNext w:val="0"/>
        <w:keepLines w:val="0"/>
        <w:pageBreakBefore w:val="0"/>
        <w:widowControl/>
        <w:kinsoku/>
        <w:wordWrap/>
        <w:overflowPunct/>
        <w:topLinePunct w:val="0"/>
        <w:autoSpaceDE/>
        <w:autoSpaceDN/>
        <w:bidi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在管道发生断裂、漏油事故时，按顺序停泵或关井。抢修队根据现场情况及时抢修，做好安全防范工作，把损失控制在最小范围内。</w:t>
      </w:r>
    </w:p>
    <w:p w14:paraId="6732AB57">
      <w:pPr>
        <w:keepNext w:val="0"/>
        <w:keepLines w:val="0"/>
        <w:pageBreakBefore w:val="0"/>
        <w:widowControl/>
        <w:kinsoku/>
        <w:wordWrap/>
        <w:overflowPunct/>
        <w:topLinePunct w:val="0"/>
        <w:autoSpaceDE/>
        <w:autoSpaceDN/>
        <w:bidi w:val="0"/>
        <w:adjustRightInd w:val="0"/>
        <w:snapToGrid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lang w:val="en-US" w:eastAsia="zh-CN"/>
        </w:rPr>
        <w:t>2</w:t>
      </w:r>
      <w:r>
        <w:rPr>
          <w:rFonts w:hint="default"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回收泄漏原油</w:t>
      </w:r>
    </w:p>
    <w:p w14:paraId="3473B270">
      <w:pPr>
        <w:keepNext w:val="0"/>
        <w:keepLines w:val="0"/>
        <w:pageBreakBefore w:val="0"/>
        <w:widowControl/>
        <w:kinsoku/>
        <w:wordWrap/>
        <w:overflowPunct/>
        <w:topLinePunct w:val="0"/>
        <w:autoSpaceDE/>
        <w:autoSpaceDN/>
        <w:bidi w:val="0"/>
        <w:adjustRightInd w:val="0"/>
        <w:snapToGrid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首先限制地表污染的扩大。油受重力和地形的控制，会流向低洼地带，应尽量防止泄漏石油移动。在可能的情况下应进行筑堤，汇集在低洼坑中的地表油，用车及时进行收集，将严重污染的土壤集中处理，交由有资质单位进行处置。</w:t>
      </w:r>
    </w:p>
    <w:p w14:paraId="2297886F">
      <w:pPr>
        <w:keepNext w:val="0"/>
        <w:keepLines w:val="0"/>
        <w:pageBreakBefore w:val="0"/>
        <w:widowControl/>
        <w:kinsoku/>
        <w:wordWrap/>
        <w:overflowPunct/>
        <w:topLinePunct w:val="0"/>
        <w:autoSpaceDE/>
        <w:autoSpaceDN/>
        <w:bidi w:val="0"/>
        <w:adjustRightInd w:val="0"/>
        <w:snapToGrid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lang w:val="en-US" w:eastAsia="zh-CN"/>
        </w:rPr>
        <w:t>3</w:t>
      </w:r>
      <w:r>
        <w:rPr>
          <w:rFonts w:hint="default"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挖坑应急</w:t>
      </w:r>
    </w:p>
    <w:p w14:paraId="4BB90B97">
      <w:pPr>
        <w:keepNext w:val="0"/>
        <w:keepLines w:val="0"/>
        <w:pageBreakBefore w:val="0"/>
        <w:widowControl/>
        <w:kinsoku/>
        <w:wordWrap/>
        <w:overflowPunct/>
        <w:topLinePunct w:val="0"/>
        <w:autoSpaceDE/>
        <w:autoSpaceDN/>
        <w:bidi w:val="0"/>
        <w:adjustRightInd w:val="0"/>
        <w:snapToGrid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因地制宜地采取有效措施清除土壤油浸润体中的残油，减轻土壤污染。</w:t>
      </w:r>
    </w:p>
    <w:p w14:paraId="015933C7">
      <w:pPr>
        <w:keepNext w:val="0"/>
        <w:keepLines w:val="0"/>
        <w:pageBreakBefore w:val="0"/>
        <w:widowControl/>
        <w:kinsoku/>
        <w:wordWrap/>
        <w:overflowPunct/>
        <w:topLinePunct w:val="0"/>
        <w:autoSpaceDE/>
        <w:autoSpaceDN/>
        <w:bidi w:val="0"/>
        <w:adjustRightInd w:val="0"/>
        <w:snapToGrid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val="en-US" w:eastAsia="zh-CN"/>
        </w:rPr>
        <w:t>1）</w:t>
      </w:r>
      <w:r>
        <w:rPr>
          <w:rFonts w:hint="default" w:ascii="Times New Roman" w:hAnsi="Times New Roman" w:cs="Times New Roman"/>
          <w:color w:val="auto"/>
          <w:kern w:val="0"/>
          <w:sz w:val="24"/>
          <w:szCs w:val="24"/>
          <w:highlight w:val="none"/>
          <w:u w:val="none"/>
        </w:rPr>
        <w:t>坑撇油：在漏油点附近挖坑进行撇油。</w:t>
      </w:r>
    </w:p>
    <w:p w14:paraId="1E73AA4F">
      <w:pPr>
        <w:keepNext w:val="0"/>
        <w:keepLines w:val="0"/>
        <w:pageBreakBefore w:val="0"/>
        <w:widowControl/>
        <w:kinsoku/>
        <w:wordWrap/>
        <w:overflowPunct/>
        <w:topLinePunct w:val="0"/>
        <w:autoSpaceDE/>
        <w:autoSpaceDN/>
        <w:bidi w:val="0"/>
        <w:adjustRightInd w:val="0"/>
        <w:snapToGrid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val="en-US" w:eastAsia="zh-CN"/>
        </w:rPr>
        <w:t>2）</w:t>
      </w:r>
      <w:r>
        <w:rPr>
          <w:rFonts w:hint="default" w:ascii="Times New Roman" w:hAnsi="Times New Roman" w:cs="Times New Roman"/>
          <w:color w:val="auto"/>
          <w:kern w:val="0"/>
          <w:sz w:val="24"/>
          <w:szCs w:val="24"/>
          <w:highlight w:val="none"/>
          <w:u w:val="none"/>
        </w:rPr>
        <w:t>挖沟截油：根据原油以漏油点为点源向下游迁移扩散为主的特点，在漏油点下游的10m～30m处，根据漏油量的大小挖2～</w:t>
      </w:r>
      <w:r>
        <w:rPr>
          <w:rFonts w:hint="eastAsia" w:ascii="Times New Roman" w:hAnsi="Times New Roman" w:cs="Times New Roman"/>
          <w:color w:val="auto"/>
          <w:kern w:val="0"/>
          <w:sz w:val="24"/>
          <w:szCs w:val="24"/>
          <w:highlight w:val="none"/>
          <w:u w:val="none"/>
          <w:lang w:val="en-US" w:eastAsia="zh-CN"/>
        </w:rPr>
        <w:t>3</w:t>
      </w:r>
      <w:r>
        <w:rPr>
          <w:rFonts w:hint="default" w:ascii="Times New Roman" w:hAnsi="Times New Roman" w:cs="Times New Roman"/>
          <w:color w:val="auto"/>
          <w:kern w:val="0"/>
          <w:sz w:val="24"/>
          <w:szCs w:val="24"/>
          <w:highlight w:val="none"/>
          <w:u w:val="none"/>
        </w:rPr>
        <w:t>m深的两条水平截油沟，一撇二排，以加速土壤油浸润体中残油的外泄，减小事故影响范围。</w:t>
      </w:r>
    </w:p>
    <w:p w14:paraId="356DF4E5">
      <w:pPr>
        <w:keepNext w:val="0"/>
        <w:keepLines w:val="0"/>
        <w:pageBreakBefore w:val="0"/>
        <w:widowControl/>
        <w:kinsoku/>
        <w:wordWrap/>
        <w:overflowPunct/>
        <w:topLinePunct w:val="0"/>
        <w:autoSpaceDE/>
        <w:autoSpaceDN/>
        <w:bidi w:val="0"/>
        <w:adjustRightInd w:val="0"/>
        <w:snapToGrid w:val="0"/>
        <w:spacing w:line="480" w:lineRule="exact"/>
        <w:ind w:left="0"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按照《突发环境事件应急监测技术规范》（HJ589-2021）及突发环境事件应急预案开展应急监测。</w:t>
      </w:r>
    </w:p>
    <w:p w14:paraId="271EBF3D">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9 </w:t>
      </w:r>
      <w:r>
        <w:rPr>
          <w:rFonts w:hint="default" w:ascii="宋体" w:hAnsi="宋体" w:cs="宋体"/>
          <w:color w:val="auto"/>
          <w:u w:val="none"/>
          <w:lang w:val="en-US" w:eastAsia="zh-CN"/>
        </w:rPr>
        <w:t>植被风险防范措施</w:t>
      </w:r>
    </w:p>
    <w:p w14:paraId="616C129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cs="Times New Roman"/>
          <w:color w:val="auto"/>
          <w:kern w:val="0"/>
          <w:sz w:val="24"/>
          <w:szCs w:val="24"/>
          <w:highlight w:val="none"/>
          <w:u w:val="none"/>
        </w:rPr>
        <w:t>本项目区位于准噶尔盆地古尔班通古特沙漠腹地</w:t>
      </w:r>
      <w:r>
        <w:rPr>
          <w:rFonts w:hint="default"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如果发生集输管道的采出液渗漏，建设单位应立即采取切断措施并及时组织专门力量进行污染物的清除工作，在最短的时间内清除地面</w:t>
      </w:r>
      <w:r>
        <w:rPr>
          <w:rFonts w:hint="default" w:ascii="Times New Roman" w:hAnsi="Times New Roman" w:cs="Times New Roman"/>
          <w:color w:val="auto"/>
          <w:kern w:val="0"/>
          <w:sz w:val="24"/>
          <w:szCs w:val="24"/>
          <w:highlight w:val="none"/>
          <w:u w:val="none"/>
          <w:lang w:eastAsia="zh-CN"/>
        </w:rPr>
        <w:t>、</w:t>
      </w:r>
      <w:r>
        <w:rPr>
          <w:rFonts w:hint="default" w:ascii="Times New Roman" w:hAnsi="Times New Roman" w:cs="Times New Roman"/>
          <w:color w:val="auto"/>
          <w:kern w:val="0"/>
          <w:sz w:val="24"/>
          <w:szCs w:val="24"/>
          <w:highlight w:val="none"/>
          <w:u w:val="none"/>
        </w:rPr>
        <w:t>地下</w:t>
      </w:r>
      <w:r>
        <w:rPr>
          <w:rFonts w:hint="default" w:ascii="Times New Roman" w:hAnsi="Times New Roman" w:cs="Times New Roman"/>
          <w:color w:val="auto"/>
          <w:kern w:val="0"/>
          <w:sz w:val="24"/>
          <w:szCs w:val="24"/>
          <w:highlight w:val="none"/>
          <w:u w:val="none"/>
          <w:lang w:val="en-US" w:eastAsia="zh-CN"/>
        </w:rPr>
        <w:t>以及</w:t>
      </w:r>
      <w:r>
        <w:rPr>
          <w:rFonts w:hint="default" w:ascii="Times New Roman" w:hAnsi="Times New Roman" w:eastAsia="宋体" w:cs="Times New Roman"/>
          <w:color w:val="auto"/>
          <w:kern w:val="2"/>
          <w:sz w:val="24"/>
          <w:szCs w:val="20"/>
          <w:highlight w:val="none"/>
          <w:u w:val="none"/>
          <w:lang w:val="en-US" w:eastAsia="zh-CN"/>
        </w:rPr>
        <w:t>粘附于植物体</w:t>
      </w:r>
      <w:r>
        <w:rPr>
          <w:rFonts w:hint="eastAsia" w:cs="Times New Roman"/>
          <w:color w:val="auto"/>
          <w:kern w:val="2"/>
          <w:sz w:val="24"/>
          <w:szCs w:val="20"/>
          <w:highlight w:val="none"/>
          <w:u w:val="none"/>
          <w:lang w:val="en-US" w:eastAsia="zh-CN"/>
        </w:rPr>
        <w:t>的</w:t>
      </w:r>
      <w:r>
        <w:rPr>
          <w:rFonts w:hint="default" w:ascii="Times New Roman" w:hAnsi="Times New Roman" w:cs="Times New Roman"/>
          <w:color w:val="auto"/>
          <w:kern w:val="0"/>
          <w:sz w:val="24"/>
          <w:szCs w:val="24"/>
          <w:highlight w:val="none"/>
          <w:u w:val="none"/>
        </w:rPr>
        <w:t>油类物质，委托具有相应HW08危废处理资质单位对污染土壤</w:t>
      </w:r>
      <w:r>
        <w:rPr>
          <w:rFonts w:hint="default" w:ascii="Times New Roman" w:hAnsi="Times New Roman" w:cs="Times New Roman"/>
          <w:color w:val="auto"/>
          <w:kern w:val="0"/>
          <w:sz w:val="24"/>
          <w:szCs w:val="24"/>
          <w:highlight w:val="none"/>
          <w:u w:val="none"/>
          <w:lang w:val="en-US" w:eastAsia="zh-CN"/>
        </w:rPr>
        <w:t>和植被</w:t>
      </w:r>
      <w:r>
        <w:rPr>
          <w:rFonts w:hint="default" w:ascii="Times New Roman" w:hAnsi="Times New Roman" w:cs="Times New Roman"/>
          <w:color w:val="auto"/>
          <w:kern w:val="0"/>
          <w:sz w:val="24"/>
          <w:szCs w:val="24"/>
          <w:highlight w:val="none"/>
          <w:u w:val="none"/>
        </w:rPr>
        <w:t>进行转运处置</w:t>
      </w:r>
      <w:r>
        <w:rPr>
          <w:rFonts w:hint="default" w:ascii="Times New Roman" w:hAnsi="Times New Roman" w:cs="Times New Roman"/>
          <w:color w:val="auto"/>
          <w:kern w:val="0"/>
          <w:sz w:val="24"/>
          <w:szCs w:val="24"/>
          <w:highlight w:val="none"/>
          <w:u w:val="none"/>
          <w:lang w:eastAsia="zh-CN"/>
        </w:rPr>
        <w:t>。</w:t>
      </w:r>
    </w:p>
    <w:p w14:paraId="23A3F54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cs="Times New Roman"/>
          <w:color w:val="auto"/>
          <w:kern w:val="0"/>
          <w:sz w:val="24"/>
          <w:szCs w:val="24"/>
          <w:highlight w:val="none"/>
          <w:u w:val="none"/>
          <w:lang w:val="en-US" w:eastAsia="zh-CN"/>
        </w:rPr>
        <w:t>施工期对</w:t>
      </w:r>
      <w:r>
        <w:rPr>
          <w:rFonts w:hint="eastAsia" w:cs="Times New Roman"/>
          <w:color w:val="auto"/>
          <w:kern w:val="0"/>
          <w:sz w:val="24"/>
          <w:szCs w:val="24"/>
          <w:highlight w:val="none"/>
          <w:u w:val="none"/>
          <w:lang w:val="en-US" w:eastAsia="zh-CN"/>
        </w:rPr>
        <w:t>井场</w:t>
      </w:r>
      <w:r>
        <w:rPr>
          <w:rFonts w:hint="default" w:ascii="Times New Roman" w:hAnsi="Times New Roman" w:cs="Times New Roman"/>
          <w:color w:val="auto"/>
          <w:kern w:val="0"/>
          <w:sz w:val="24"/>
          <w:szCs w:val="24"/>
          <w:highlight w:val="none"/>
          <w:u w:val="none"/>
          <w:lang w:val="en-US" w:eastAsia="zh-CN"/>
        </w:rPr>
        <w:t>及管线周围的</w:t>
      </w:r>
      <w:r>
        <w:rPr>
          <w:rFonts w:hint="default" w:ascii="Times New Roman" w:hAnsi="Times New Roman" w:eastAsia="宋体" w:cs="Times New Roman"/>
          <w:color w:val="auto"/>
          <w:kern w:val="0"/>
          <w:sz w:val="24"/>
          <w:szCs w:val="24"/>
          <w:highlight w:val="none"/>
          <w:u w:val="none"/>
          <w:lang w:val="en-US" w:eastAsia="zh-CN"/>
        </w:rPr>
        <w:t>植被进行迁地保护；且</w:t>
      </w:r>
      <w:r>
        <w:rPr>
          <w:rFonts w:hint="default" w:ascii="Times New Roman" w:hAnsi="Times New Roman" w:eastAsia="宋体" w:cs="Times New Roman"/>
          <w:color w:val="auto"/>
          <w:kern w:val="0"/>
          <w:sz w:val="24"/>
          <w:szCs w:val="24"/>
          <w:highlight w:val="none"/>
          <w:u w:val="none"/>
        </w:rPr>
        <w:t>严格控制施工范围。教育施工人员保护植被，注意施工及生活用火安全，防止林草火灾的</w:t>
      </w:r>
      <w:r>
        <w:rPr>
          <w:rFonts w:hint="default" w:ascii="Times New Roman" w:hAnsi="Times New Roman" w:eastAsia="宋体" w:cs="Times New Roman"/>
          <w:color w:val="auto"/>
          <w:kern w:val="0"/>
          <w:sz w:val="24"/>
          <w:szCs w:val="24"/>
          <w:highlight w:val="none"/>
          <w:u w:val="none"/>
          <w:lang w:val="en-US" w:eastAsia="zh-CN"/>
        </w:rPr>
        <w:t>发生。最大程度地保护沿线的林业生态环境。</w:t>
      </w:r>
    </w:p>
    <w:p w14:paraId="1291E3C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集输管线敷设前，应加强对管材和焊接质量的检查，严禁使用不合格产品。对焊接质量严格检验，防止焊接缺陷造成泄漏事故的发生；按规定进行管道的定期检验、保养，及时更换易损及老化部件，防止原油泄漏事故的发生。</w:t>
      </w:r>
    </w:p>
    <w:p w14:paraId="372C4446">
      <w:pPr>
        <w:keepNext w:val="0"/>
        <w:keepLines w:val="0"/>
        <w:pageBreakBefore w:val="0"/>
        <w:widowControl w:val="0"/>
        <w:kinsoku/>
        <w:wordWrap/>
        <w:overflowPunct/>
        <w:topLinePunct w:val="0"/>
        <w:autoSpaceDE/>
        <w:autoSpaceDN/>
        <w:bidi w:val="0"/>
        <w:adjustRightInd/>
        <w:snapToGrid/>
        <w:spacing w:afterAutospacing="0" w:line="480" w:lineRule="exact"/>
        <w:ind w:firstLine="480" w:firstLineChars="200"/>
        <w:textAlignment w:val="auto"/>
        <w:rPr>
          <w:rFonts w:hint="default" w:ascii="Times New Roman" w:hAnsi="Times New Roman" w:eastAsia="宋体" w:cs="Times New Roman"/>
          <w:bCs/>
          <w:color w:val="auto"/>
          <w:spacing w:val="0"/>
          <w:kern w:val="0"/>
          <w:sz w:val="21"/>
          <w:szCs w:val="21"/>
          <w:highlight w:val="none"/>
          <w:u w:val="none"/>
          <w:lang w:val="zh-CN" w:eastAsia="zh-CN" w:bidi="ar-SA"/>
        </w:rPr>
      </w:pPr>
      <w:r>
        <w:rPr>
          <w:rFonts w:hint="default" w:ascii="Times New Roman" w:hAnsi="Times New Roman" w:eastAsia="宋体" w:cs="Times New Roman"/>
          <w:bCs/>
          <w:color w:val="auto"/>
          <w:spacing w:val="0"/>
          <w:kern w:val="0"/>
          <w:sz w:val="24"/>
          <w:szCs w:val="21"/>
          <w:highlight w:val="none"/>
          <w:u w:val="none"/>
          <w:lang w:val="en-US" w:eastAsia="zh-CN" w:bidi="ar-SA"/>
        </w:rPr>
        <w:t>运营期</w:t>
      </w:r>
      <w:r>
        <w:rPr>
          <w:rFonts w:hint="default" w:ascii="Times New Roman" w:hAnsi="Times New Roman" w:eastAsia="宋体" w:cs="Times New Roman"/>
          <w:bCs/>
          <w:color w:val="auto"/>
          <w:spacing w:val="0"/>
          <w:kern w:val="0"/>
          <w:sz w:val="24"/>
          <w:szCs w:val="24"/>
          <w:highlight w:val="none"/>
          <w:u w:val="none"/>
          <w:lang w:val="zh-CN" w:eastAsia="zh-CN" w:bidi="ar-SA"/>
        </w:rPr>
        <w:t>加强日常生产监督管理和安全运行检查工作，对各种设备、管线、油罐、阀门定期进行检查，防止跑、冒、滴、漏，及时巡查管线，消除事故隐患。</w:t>
      </w:r>
      <w:r>
        <w:rPr>
          <w:rFonts w:hint="default" w:ascii="Times New Roman" w:hAnsi="Times New Roman" w:eastAsia="宋体" w:cs="Times New Roman"/>
          <w:bCs/>
          <w:color w:val="auto"/>
          <w:spacing w:val="0"/>
          <w:kern w:val="0"/>
          <w:sz w:val="24"/>
          <w:szCs w:val="24"/>
          <w:highlight w:val="none"/>
          <w:u w:val="none"/>
          <w:lang w:val="en-US" w:eastAsia="zh-CN" w:bidi="ar-SA"/>
        </w:rPr>
        <w:t>管道及</w:t>
      </w:r>
      <w:r>
        <w:rPr>
          <w:rFonts w:hint="default" w:ascii="Times New Roman" w:hAnsi="Times New Roman" w:eastAsia="宋体" w:cs="Times New Roman"/>
          <w:bCs/>
          <w:color w:val="auto"/>
          <w:spacing w:val="0"/>
          <w:kern w:val="0"/>
          <w:sz w:val="24"/>
          <w:szCs w:val="21"/>
          <w:highlight w:val="none"/>
          <w:u w:val="none"/>
          <w:lang w:val="en-US" w:eastAsia="zh-CN" w:bidi="ar-SA"/>
        </w:rPr>
        <w:t>公路沿线可设置一些警示牌，提高公众保护</w:t>
      </w:r>
      <w:r>
        <w:rPr>
          <w:rFonts w:hint="eastAsia" w:ascii="Times New Roman" w:hAnsi="Times New Roman" w:eastAsia="宋体" w:cs="Times New Roman"/>
          <w:bCs/>
          <w:color w:val="auto"/>
          <w:spacing w:val="0"/>
          <w:kern w:val="0"/>
          <w:sz w:val="24"/>
          <w:szCs w:val="21"/>
          <w:highlight w:val="none"/>
          <w:u w:val="none"/>
          <w:lang w:val="en-US" w:eastAsia="zh-CN" w:bidi="ar-SA"/>
        </w:rPr>
        <w:t>植被</w:t>
      </w:r>
      <w:r>
        <w:rPr>
          <w:rFonts w:hint="default" w:ascii="Times New Roman" w:hAnsi="Times New Roman" w:eastAsia="宋体" w:cs="Times New Roman"/>
          <w:bCs/>
          <w:color w:val="auto"/>
          <w:spacing w:val="0"/>
          <w:kern w:val="0"/>
          <w:sz w:val="24"/>
          <w:szCs w:val="21"/>
          <w:highlight w:val="none"/>
          <w:u w:val="none"/>
          <w:lang w:val="en-US" w:eastAsia="zh-CN" w:bidi="ar-SA"/>
        </w:rPr>
        <w:t>的意识。</w:t>
      </w:r>
    </w:p>
    <w:p w14:paraId="66A5B9B2">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10 </w:t>
      </w:r>
      <w:r>
        <w:rPr>
          <w:rFonts w:hint="default" w:ascii="宋体" w:hAnsi="宋体" w:cs="宋体"/>
          <w:color w:val="auto"/>
          <w:u w:val="none"/>
          <w:lang w:val="en-US" w:eastAsia="zh-CN"/>
        </w:rPr>
        <w:t>危险废物运输风险防范措施</w:t>
      </w:r>
    </w:p>
    <w:p w14:paraId="758AF0AB">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default" w:ascii="Times New Roman" w:hAnsi="Times New Roman" w:eastAsia="宋体" w:cs="Times New Roman"/>
          <w:color w:val="auto"/>
          <w:kern w:val="2"/>
          <w:sz w:val="24"/>
          <w:szCs w:val="24"/>
          <w:highlight w:val="none"/>
          <w:u w:val="none"/>
          <w:lang w:val="en-US" w:eastAsia="zh-CN" w:bidi="en-US"/>
        </w:rPr>
        <w:t>危险废物运输的事故隐患主要是从泄漏开始的。因此，行车途中要勤于检查。当</w:t>
      </w:r>
      <w:r>
        <w:rPr>
          <w:rFonts w:hint="eastAsia" w:ascii="宋体" w:hAnsi="宋体" w:eastAsia="宋体" w:cs="宋体"/>
          <w:color w:val="auto"/>
          <w:kern w:val="2"/>
          <w:sz w:val="24"/>
          <w:szCs w:val="24"/>
          <w:highlight w:val="none"/>
          <w:u w:val="none"/>
          <w:lang w:val="en-US" w:eastAsia="zh-CN" w:bidi="en-US"/>
        </w:rPr>
        <w:t>行驶一定时间后要查看一下车箱底部四周有无泄漏液体，若有液体泄漏，应查找泄漏点，采取相应的应急措施，防止液体继续泄漏，将受到污染的土壤要全部回收，送至具备相应危废处理资质的单位进行无害化处理。</w:t>
      </w:r>
    </w:p>
    <w:p w14:paraId="061AE1AB">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危险废物运输过程中主要风险防范措施如下：</w:t>
      </w:r>
    </w:p>
    <w:p w14:paraId="611C7AAE">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（1）运输时应当采取密闭、遮盖措施防止渗漏。</w:t>
      </w:r>
    </w:p>
    <w:p w14:paraId="7E74F018">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（2）对运输危险废物的设施和设备应当加强管理和维护，保证其正常运行和使用。</w:t>
      </w:r>
    </w:p>
    <w:p w14:paraId="5E99DBFE">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（3）不能混合运输性质不相容而又未经安全性处置的危险废物。</w:t>
      </w:r>
    </w:p>
    <w:p w14:paraId="2731B395">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（4）转移危险废物时，必须按照规定填危险废物转移电子联单，并向危险废物移出地和接受地的县级以上地方人民政府环境保护行政主管部门报告。</w:t>
      </w:r>
    </w:p>
    <w:p w14:paraId="3E8FADC6">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（5）禁止将危险废物与旅客在同一运输工具上载运；</w:t>
      </w:r>
    </w:p>
    <w:p w14:paraId="5EAB4232">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（6）运输危险废物的设施和设备在转作他用时，必须经过消除污染的处理，方可使用。</w:t>
      </w:r>
    </w:p>
    <w:p w14:paraId="21C36CB9">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（7）运输危险废物的人员，应当接受专业培训；经考核合格后，方可从事运输危险废物的工作。</w:t>
      </w:r>
    </w:p>
    <w:p w14:paraId="53F2D903">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（8）运输危险废物的单位应当制定在发生意外事故时采取的应急措施和防范措施。</w:t>
      </w:r>
    </w:p>
    <w:p w14:paraId="2DD767A1">
      <w:pPr>
        <w:keepNext w:val="0"/>
        <w:keepLines w:val="0"/>
        <w:pageBreakBefore w:val="0"/>
        <w:widowControl w:val="0"/>
        <w:numPr>
          <w:ilvl w:val="0"/>
          <w:numId w:val="0"/>
        </w:numPr>
        <w:kinsoku/>
        <w:wordWrap/>
        <w:overflowPunct/>
        <w:topLinePunct w:val="0"/>
        <w:autoSpaceDE/>
        <w:autoSpaceDN/>
        <w:bidi w:val="0"/>
        <w:snapToGrid/>
        <w:spacing w:after="0" w:afterAutospacing="0" w:line="480" w:lineRule="exact"/>
        <w:ind w:left="0" w:firstLine="480" w:firstLineChars="200"/>
        <w:rPr>
          <w:rFonts w:hint="default" w:ascii="Times New Roman" w:hAnsi="Times New Roman" w:eastAsia="宋体" w:cs="Times New Roman"/>
          <w:b/>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（9）运输时，发生突发性事故必须立即采取措施消除或者减轻对环境的污染危害，及时通报给附近的单位和居民，并向事故发生地县级以上人民政府环境保护行政主管部门和有关部门报告，接受调查处理。</w:t>
      </w:r>
    </w:p>
    <w:p w14:paraId="32E0E51F">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eastAsia" w:ascii="宋体" w:hAnsi="宋体" w:eastAsia="宋体" w:cs="宋体"/>
          <w:color w:val="auto"/>
          <w:u w:val="none"/>
          <w:lang w:val="en-US" w:eastAsia="zh-CN"/>
        </w:rPr>
        <w:t>5.8.6.11 装车及运输</w:t>
      </w:r>
      <w:r>
        <w:rPr>
          <w:rFonts w:hint="default" w:ascii="宋体" w:hAnsi="宋体" w:eastAsia="宋体" w:cs="宋体"/>
          <w:color w:val="auto"/>
          <w:u w:val="none"/>
          <w:lang w:val="en-US" w:eastAsia="zh-CN"/>
        </w:rPr>
        <w:t>风险防范措施</w:t>
      </w:r>
    </w:p>
    <w:p w14:paraId="0F81FFEA">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default" w:ascii="宋体" w:hAnsi="宋体" w:eastAsia="宋体" w:cs="宋体"/>
          <w:color w:val="auto"/>
          <w:kern w:val="2"/>
          <w:sz w:val="24"/>
          <w:szCs w:val="24"/>
          <w:highlight w:val="none"/>
          <w:u w:val="none"/>
          <w:lang w:val="en-US" w:eastAsia="zh-CN" w:bidi="en-US"/>
        </w:rPr>
      </w:pPr>
      <w:r>
        <w:rPr>
          <w:rFonts w:hint="default" w:ascii="宋体" w:hAnsi="宋体" w:eastAsia="宋体" w:cs="宋体"/>
          <w:color w:val="auto"/>
          <w:kern w:val="2"/>
          <w:sz w:val="24"/>
          <w:szCs w:val="24"/>
          <w:highlight w:val="none"/>
          <w:u w:val="none"/>
          <w:lang w:val="en-US" w:eastAsia="zh-CN" w:bidi="en-US"/>
        </w:rPr>
        <w:t>（1）液化天然气汽车装卸车鹤位应单独设置；</w:t>
      </w:r>
    </w:p>
    <w:p w14:paraId="3FC1BC03">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default" w:ascii="宋体" w:hAnsi="宋体" w:eastAsia="宋体" w:cs="宋体"/>
          <w:color w:val="auto"/>
          <w:kern w:val="2"/>
          <w:sz w:val="24"/>
          <w:szCs w:val="24"/>
          <w:highlight w:val="none"/>
          <w:u w:val="none"/>
          <w:lang w:val="en-US" w:eastAsia="zh-CN" w:bidi="en-US"/>
        </w:rPr>
      </w:pPr>
      <w:r>
        <w:rPr>
          <w:rFonts w:hint="default" w:ascii="宋体" w:hAnsi="宋体" w:eastAsia="宋体" w:cs="宋体"/>
          <w:color w:val="auto"/>
          <w:kern w:val="2"/>
          <w:sz w:val="24"/>
          <w:szCs w:val="24"/>
          <w:highlight w:val="none"/>
          <w:u w:val="none"/>
          <w:lang w:val="en-US" w:eastAsia="zh-CN" w:bidi="en-US"/>
        </w:rPr>
        <w:t>（2）液化天然气汽车装卸车鹤位之间的距离不应小于4m，双侧装卸车栈台相邻鹤位或同一鹤位相邻鹤管之间的距离应满足鹤位正常操作和检修的要求；</w:t>
      </w:r>
    </w:p>
    <w:p w14:paraId="2D79F767">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default" w:ascii="宋体" w:hAnsi="宋体" w:eastAsia="宋体" w:cs="宋体"/>
          <w:color w:val="auto"/>
          <w:kern w:val="2"/>
          <w:sz w:val="24"/>
          <w:szCs w:val="24"/>
          <w:highlight w:val="none"/>
          <w:u w:val="none"/>
          <w:lang w:val="en-US" w:eastAsia="zh-CN" w:bidi="en-US"/>
        </w:rPr>
      </w:pPr>
      <w:r>
        <w:rPr>
          <w:rFonts w:hint="default" w:ascii="宋体" w:hAnsi="宋体" w:eastAsia="宋体" w:cs="宋体"/>
          <w:color w:val="auto"/>
          <w:kern w:val="2"/>
          <w:sz w:val="24"/>
          <w:szCs w:val="24"/>
          <w:highlight w:val="none"/>
          <w:u w:val="none"/>
          <w:lang w:val="en-US" w:eastAsia="zh-CN" w:bidi="en-US"/>
        </w:rPr>
        <w:t>（3）液化天然气汽车装卸车栈台装卸车鹤位与其他液化烃及可燃液体汽车装卸栈台相邻鹤位之间的距离不应小于8m；</w:t>
      </w:r>
    </w:p>
    <w:p w14:paraId="4C763C22">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default" w:ascii="宋体" w:hAnsi="宋体" w:eastAsia="宋体" w:cs="宋体"/>
          <w:color w:val="auto"/>
          <w:kern w:val="2"/>
          <w:sz w:val="24"/>
          <w:szCs w:val="24"/>
          <w:highlight w:val="none"/>
          <w:u w:val="none"/>
          <w:lang w:val="en-US" w:eastAsia="zh-CN" w:bidi="en-US"/>
        </w:rPr>
      </w:pPr>
      <w:r>
        <w:rPr>
          <w:rFonts w:hint="default" w:ascii="宋体" w:hAnsi="宋体" w:eastAsia="宋体" w:cs="宋体"/>
          <w:color w:val="auto"/>
          <w:kern w:val="2"/>
          <w:sz w:val="24"/>
          <w:szCs w:val="24"/>
          <w:highlight w:val="none"/>
          <w:u w:val="none"/>
          <w:lang w:val="en-US" w:eastAsia="zh-CN" w:bidi="en-US"/>
        </w:rPr>
        <w:t>（4）汽车装卸车场地应采用现浇混凝土地面；</w:t>
      </w:r>
    </w:p>
    <w:p w14:paraId="07E15967">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default" w:ascii="宋体" w:hAnsi="宋体" w:eastAsia="宋体" w:cs="宋体"/>
          <w:color w:val="auto"/>
          <w:kern w:val="2"/>
          <w:sz w:val="24"/>
          <w:szCs w:val="24"/>
          <w:highlight w:val="none"/>
          <w:u w:val="none"/>
          <w:lang w:val="en-US" w:eastAsia="zh-CN" w:bidi="en-US"/>
        </w:rPr>
      </w:pPr>
      <w:r>
        <w:rPr>
          <w:rFonts w:hint="default" w:ascii="宋体" w:hAnsi="宋体" w:eastAsia="宋体" w:cs="宋体"/>
          <w:color w:val="auto"/>
          <w:kern w:val="2"/>
          <w:sz w:val="24"/>
          <w:szCs w:val="24"/>
          <w:highlight w:val="none"/>
          <w:u w:val="none"/>
          <w:lang w:val="en-US" w:eastAsia="zh-CN" w:bidi="en-US"/>
        </w:rPr>
        <w:t>（5）装卸车区的进、出口宜分开设置；当进、出口合用时，装卸车区内应设置回车场；</w:t>
      </w:r>
    </w:p>
    <w:p w14:paraId="5BCD8237">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default" w:ascii="宋体" w:hAnsi="宋体" w:eastAsia="宋体" w:cs="宋体"/>
          <w:color w:val="auto"/>
          <w:kern w:val="2"/>
          <w:sz w:val="24"/>
          <w:szCs w:val="24"/>
          <w:highlight w:val="none"/>
          <w:u w:val="none"/>
          <w:lang w:val="en-US" w:eastAsia="zh-CN" w:bidi="en-US"/>
        </w:rPr>
      </w:pPr>
      <w:r>
        <w:rPr>
          <w:rFonts w:hint="default" w:ascii="宋体" w:hAnsi="宋体" w:eastAsia="宋体" w:cs="宋体"/>
          <w:color w:val="auto"/>
          <w:kern w:val="2"/>
          <w:sz w:val="24"/>
          <w:szCs w:val="24"/>
          <w:highlight w:val="none"/>
          <w:u w:val="none"/>
          <w:lang w:val="en-US" w:eastAsia="zh-CN" w:bidi="en-US"/>
        </w:rPr>
        <w:t>（</w:t>
      </w:r>
      <w:r>
        <w:rPr>
          <w:rFonts w:hint="eastAsia" w:ascii="宋体" w:hAnsi="宋体" w:eastAsia="宋体" w:cs="宋体"/>
          <w:color w:val="auto"/>
          <w:kern w:val="2"/>
          <w:sz w:val="24"/>
          <w:szCs w:val="24"/>
          <w:highlight w:val="none"/>
          <w:u w:val="none"/>
          <w:lang w:val="en-US" w:eastAsia="zh-CN" w:bidi="en-US"/>
        </w:rPr>
        <w:t>6</w:t>
      </w:r>
      <w:r>
        <w:rPr>
          <w:rFonts w:hint="default" w:ascii="宋体" w:hAnsi="宋体" w:eastAsia="宋体" w:cs="宋体"/>
          <w:color w:val="auto"/>
          <w:kern w:val="2"/>
          <w:sz w:val="24"/>
          <w:szCs w:val="24"/>
          <w:highlight w:val="none"/>
          <w:u w:val="none"/>
          <w:lang w:val="en-US" w:eastAsia="zh-CN" w:bidi="en-US"/>
        </w:rPr>
        <w:t>）液化天然气装卸区域内的地面应坡向导液沟，集液池与装车鹤位的距离不应小于15m。</w:t>
      </w:r>
    </w:p>
    <w:p w14:paraId="01503BF0">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default"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（7）</w:t>
      </w:r>
      <w:r>
        <w:rPr>
          <w:rFonts w:hint="default" w:ascii="宋体" w:hAnsi="宋体" w:eastAsia="宋体" w:cs="宋体"/>
          <w:color w:val="auto"/>
          <w:kern w:val="2"/>
          <w:sz w:val="24"/>
          <w:szCs w:val="24"/>
          <w:highlight w:val="none"/>
          <w:u w:val="none"/>
          <w:lang w:val="en-US" w:eastAsia="zh-CN" w:bidi="en-US"/>
        </w:rPr>
        <w:t>运输全程通过GPS定位和传感器实时监控罐体压力、温度及液位，发现异常自动触发预警</w:t>
      </w:r>
      <w:r>
        <w:rPr>
          <w:rFonts w:hint="eastAsia" w:ascii="宋体" w:hAnsi="宋体" w:eastAsia="宋体" w:cs="宋体"/>
          <w:color w:val="auto"/>
          <w:kern w:val="2"/>
          <w:sz w:val="24"/>
          <w:szCs w:val="24"/>
          <w:highlight w:val="none"/>
          <w:u w:val="none"/>
          <w:lang w:val="en-US" w:eastAsia="zh-CN" w:bidi="en-US"/>
        </w:rPr>
        <w:t>。</w:t>
      </w:r>
    </w:p>
    <w:p w14:paraId="6E11C3A5">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（8）</w:t>
      </w:r>
      <w:r>
        <w:rPr>
          <w:rFonts w:hint="default" w:ascii="宋体" w:hAnsi="宋体" w:eastAsia="宋体" w:cs="宋体"/>
          <w:color w:val="auto"/>
          <w:kern w:val="2"/>
          <w:sz w:val="24"/>
          <w:szCs w:val="24"/>
          <w:highlight w:val="none"/>
          <w:u w:val="none"/>
          <w:lang w:val="en-US" w:eastAsia="zh-CN" w:bidi="en-US"/>
        </w:rPr>
        <w:t>严格执行防静电措施，包括车辆接地、限制行驶速度（≤80km/h）及避免急刹</w:t>
      </w:r>
      <w:r>
        <w:rPr>
          <w:rFonts w:hint="eastAsia" w:ascii="宋体" w:hAnsi="宋体" w:eastAsia="宋体" w:cs="宋体"/>
          <w:color w:val="auto"/>
          <w:kern w:val="2"/>
          <w:sz w:val="24"/>
          <w:szCs w:val="24"/>
          <w:highlight w:val="none"/>
          <w:u w:val="none"/>
          <w:lang w:val="en-US" w:eastAsia="zh-CN" w:bidi="en-US"/>
        </w:rPr>
        <w:t>。</w:t>
      </w:r>
    </w:p>
    <w:p w14:paraId="2642B8BE">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（9）避开人口密集区、易燃易爆场所，保持与其他车辆50m的安全距离‌。</w:t>
      </w:r>
    </w:p>
    <w:p w14:paraId="7D8ACB57">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（10）低温环境下加强罐体保温层检查，防止LNG冻伤事故。</w:t>
      </w:r>
    </w:p>
    <w:p w14:paraId="1C23804D">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eastAsia" w:ascii="宋体" w:hAnsi="宋体" w:eastAsia="宋体" w:cs="宋体"/>
          <w:color w:val="auto"/>
          <w:kern w:val="2"/>
          <w:sz w:val="24"/>
          <w:szCs w:val="24"/>
          <w:highlight w:val="none"/>
          <w:u w:val="none"/>
          <w:lang w:val="en-US" w:eastAsia="zh-CN" w:bidi="en-US"/>
        </w:rPr>
      </w:pPr>
      <w:r>
        <w:rPr>
          <w:rFonts w:hint="eastAsia" w:ascii="宋体" w:hAnsi="宋体" w:eastAsia="宋体" w:cs="宋体"/>
          <w:color w:val="auto"/>
          <w:kern w:val="2"/>
          <w:sz w:val="24"/>
          <w:szCs w:val="24"/>
          <w:highlight w:val="none"/>
          <w:u w:val="none"/>
          <w:lang w:val="en-US" w:eastAsia="zh-CN" w:bidi="en-US"/>
        </w:rPr>
        <w:t>（11）罐体配备安全阀、紧急切断阀及泄压装置，确保超压时自动释放压力。</w:t>
      </w:r>
    </w:p>
    <w:p w14:paraId="52AAE7BB">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12 </w:t>
      </w:r>
      <w:r>
        <w:rPr>
          <w:rFonts w:hint="default" w:ascii="宋体" w:hAnsi="宋体" w:cs="宋体"/>
          <w:color w:val="auto"/>
          <w:u w:val="none"/>
          <w:lang w:val="en-US" w:eastAsia="zh-CN"/>
        </w:rPr>
        <w:t>重视和加强管理</w:t>
      </w:r>
    </w:p>
    <w:p w14:paraId="11AB7FF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除采取上述安全预防措施外，还应通过提高人员素质，加强责任心教育，完善有关操作条例等方法来防止人为因素引发的事故。</w:t>
      </w:r>
    </w:p>
    <w:p w14:paraId="3C3C3DB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（1）对生产操作的工人必须培训经考核后上岗，使其了解工艺过程，熟悉操作规程，对各种情况能进行正确判断。</w:t>
      </w:r>
    </w:p>
    <w:p w14:paraId="65D528A7">
      <w:pPr>
        <w:keepNext w:val="0"/>
        <w:keepLines w:val="0"/>
        <w:pageBreakBefore w:val="0"/>
        <w:widowControl/>
        <w:kinsoku/>
        <w:wordWrap/>
        <w:overflowPunct/>
        <w:topLinePunct w:val="0"/>
        <w:autoSpaceDE/>
        <w:autoSpaceDN/>
        <w:bidi w:val="0"/>
        <w:adjustRightInd/>
        <w:snapToGrid/>
        <w:spacing w:line="480" w:lineRule="exact"/>
        <w:ind w:firstLine="464" w:firstLineChars="200"/>
        <w:jc w:val="left"/>
        <w:textAlignment w:val="auto"/>
        <w:rPr>
          <w:rFonts w:hint="default" w:ascii="Times New Roman" w:hAnsi="Times New Roman" w:cs="Times New Roman"/>
          <w:color w:val="auto"/>
          <w:spacing w:val="-4"/>
          <w:kern w:val="0"/>
          <w:sz w:val="24"/>
          <w:szCs w:val="24"/>
          <w:highlight w:val="none"/>
          <w:u w:val="none"/>
        </w:rPr>
      </w:pPr>
      <w:r>
        <w:rPr>
          <w:rFonts w:hint="default" w:ascii="Times New Roman" w:hAnsi="Times New Roman" w:cs="Times New Roman"/>
          <w:color w:val="auto"/>
          <w:spacing w:val="-4"/>
          <w:kern w:val="0"/>
          <w:sz w:val="24"/>
          <w:szCs w:val="24"/>
          <w:highlight w:val="none"/>
          <w:u w:val="none"/>
        </w:rPr>
        <w:t>（2）加强各级干部、职工的风险意识和环境意识教育，增强安全、环保意识。建立健全各种规章制度、规程，使制度落实到实处，严格遵守，杜绝违章作业。</w:t>
      </w:r>
    </w:p>
    <w:p w14:paraId="76BC12A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（3）经常对职工进行爱岗教育，使职工安心本职工作，遵守劳动纪律，避免因责任心不强、操作中疏忽大意、擅离职守等原因造成的事故。</w:t>
      </w:r>
    </w:p>
    <w:p w14:paraId="52CADF6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rPr>
        <w:t>（4）</w:t>
      </w:r>
      <w:r>
        <w:rPr>
          <w:rFonts w:hint="default" w:ascii="Times New Roman" w:hAnsi="Times New Roman" w:cs="Times New Roman"/>
          <w:color w:val="auto"/>
          <w:kern w:val="0"/>
          <w:sz w:val="24"/>
          <w:szCs w:val="24"/>
          <w:highlight w:val="none"/>
          <w:u w:val="none"/>
          <w:lang w:eastAsia="zh-CN"/>
        </w:rPr>
        <w:t>本工程</w:t>
      </w:r>
      <w:r>
        <w:rPr>
          <w:rFonts w:hint="default" w:ascii="Times New Roman" w:hAnsi="Times New Roman" w:cs="Times New Roman"/>
          <w:color w:val="auto"/>
          <w:kern w:val="0"/>
          <w:sz w:val="24"/>
          <w:szCs w:val="24"/>
          <w:highlight w:val="none"/>
          <w:u w:val="none"/>
        </w:rPr>
        <w:t>实施后，将</w:t>
      </w:r>
      <w:r>
        <w:rPr>
          <w:rFonts w:hint="default" w:ascii="Times New Roman" w:hAnsi="Times New Roman" w:cs="Times New Roman"/>
          <w:color w:val="auto"/>
          <w:kern w:val="0"/>
          <w:sz w:val="24"/>
          <w:szCs w:val="24"/>
          <w:highlight w:val="none"/>
          <w:u w:val="none"/>
          <w:lang w:eastAsia="zh-CN"/>
        </w:rPr>
        <w:t>本工程</w:t>
      </w:r>
      <w:r>
        <w:rPr>
          <w:rFonts w:hint="default" w:ascii="Times New Roman" w:hAnsi="Times New Roman" w:cs="Times New Roman"/>
          <w:color w:val="auto"/>
          <w:kern w:val="0"/>
          <w:sz w:val="24"/>
          <w:szCs w:val="24"/>
          <w:highlight w:val="none"/>
          <w:u w:val="none"/>
        </w:rPr>
        <w:t>相关工程纳入</w:t>
      </w:r>
      <w:r>
        <w:rPr>
          <w:rFonts w:hint="eastAsia" w:cs="Times New Roman"/>
          <w:color w:val="auto"/>
          <w:kern w:val="0"/>
          <w:sz w:val="24"/>
          <w:szCs w:val="24"/>
          <w:highlight w:val="none"/>
          <w:u w:val="none"/>
          <w:lang w:val="en-US" w:eastAsia="zh-CN"/>
        </w:rPr>
        <w:t>石西油田作业区</w:t>
      </w:r>
      <w:r>
        <w:rPr>
          <w:rFonts w:hint="default" w:ascii="Times New Roman" w:hAnsi="Times New Roman" w:cs="Times New Roman"/>
          <w:color w:val="auto"/>
          <w:kern w:val="0"/>
          <w:sz w:val="24"/>
          <w:szCs w:val="24"/>
          <w:highlight w:val="none"/>
          <w:u w:val="none"/>
        </w:rPr>
        <w:t>环境风险应急预案中。</w:t>
      </w:r>
    </w:p>
    <w:p w14:paraId="0FC10E6B">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13 </w:t>
      </w:r>
      <w:r>
        <w:rPr>
          <w:rFonts w:hint="default" w:ascii="宋体" w:hAnsi="宋体" w:cs="宋体"/>
          <w:color w:val="auto"/>
          <w:u w:val="none"/>
          <w:lang w:val="en-US" w:eastAsia="zh-CN"/>
        </w:rPr>
        <w:t>环境风险应急预案</w:t>
      </w:r>
    </w:p>
    <w:p w14:paraId="4315303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0"/>
          <w:sz w:val="24"/>
          <w:szCs w:val="24"/>
          <w:highlight w:val="none"/>
          <w:u w:val="none"/>
          <w:lang w:eastAsia="zh-CN"/>
        </w:rPr>
      </w:pPr>
      <w:r>
        <w:rPr>
          <w:rFonts w:hint="eastAsia" w:cs="Times New Roman"/>
          <w:color w:val="auto"/>
          <w:kern w:val="0"/>
          <w:sz w:val="24"/>
          <w:szCs w:val="24"/>
          <w:highlight w:val="none"/>
          <w:u w:val="none"/>
          <w:lang w:val="en-US" w:eastAsia="zh-CN"/>
        </w:rPr>
        <w:t>石西油田作业区已编制《中国石油新疆油田分公司石西油田作业区突发环境事件应急预案》，并于2023年3月9日在昌吉回族自治州生态环境局呼图壁县分局进行了备案(备案编号：652323-2023-08-MT)，定期按照应急预案内容进行应急演练，应急物资配备齐全，出现风险事故时能够及时应对。本评价建议将本次建设内容突发环境事件应急预案纳入现有突发环境事件应急预案中，对现有突发环境事件应急预案进行必要的完善和补充。待本工程实施后，需将本工程相关内容更新至突发环境事件应急预案中。</w:t>
      </w:r>
    </w:p>
    <w:p w14:paraId="3DEDAB30">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eastAsia" w:ascii="宋体" w:hAnsi="宋体" w:cs="宋体"/>
          <w:color w:val="auto"/>
          <w:u w:val="none"/>
          <w:lang w:val="en-US" w:eastAsia="zh-CN"/>
        </w:rPr>
        <w:t>5.8</w:t>
      </w:r>
      <w:r>
        <w:rPr>
          <w:rFonts w:hint="default" w:ascii="宋体" w:hAnsi="宋体" w:cs="宋体"/>
          <w:color w:val="auto"/>
          <w:u w:val="none"/>
          <w:lang w:val="en-US" w:eastAsia="zh-CN"/>
        </w:rPr>
        <w:t>.</w:t>
      </w:r>
      <w:r>
        <w:rPr>
          <w:rFonts w:hint="eastAsia" w:ascii="宋体" w:hAnsi="宋体" w:cs="宋体"/>
          <w:color w:val="auto"/>
          <w:u w:val="none"/>
          <w:lang w:val="en-US" w:eastAsia="zh-CN"/>
        </w:rPr>
        <w:t>6</w:t>
      </w:r>
      <w:r>
        <w:rPr>
          <w:rFonts w:hint="default" w:ascii="宋体" w:hAnsi="宋体" w:cs="宋体"/>
          <w:color w:val="auto"/>
          <w:u w:val="none"/>
          <w:lang w:val="en-US" w:eastAsia="zh-CN"/>
        </w:rPr>
        <w:t>.</w:t>
      </w:r>
      <w:r>
        <w:rPr>
          <w:rFonts w:hint="eastAsia" w:ascii="宋体" w:hAnsi="宋体" w:cs="宋体"/>
          <w:color w:val="auto"/>
          <w:u w:val="none"/>
          <w:lang w:val="en-US" w:eastAsia="zh-CN"/>
        </w:rPr>
        <w:t xml:space="preserve">14 </w:t>
      </w:r>
      <w:r>
        <w:rPr>
          <w:rFonts w:hint="default" w:ascii="宋体" w:hAnsi="宋体" w:cs="宋体"/>
          <w:color w:val="auto"/>
          <w:u w:val="none"/>
          <w:lang w:val="en-US" w:eastAsia="zh-CN"/>
        </w:rPr>
        <w:t>现有环境风险防范措施的有效性分析</w:t>
      </w:r>
    </w:p>
    <w:p w14:paraId="5DA5443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rPr>
      </w:pPr>
      <w:r>
        <w:rPr>
          <w:rFonts w:hint="eastAsia" w:cs="Times New Roman"/>
          <w:color w:val="auto"/>
          <w:kern w:val="0"/>
          <w:sz w:val="24"/>
          <w:szCs w:val="24"/>
          <w:highlight w:val="none"/>
          <w:u w:val="none"/>
          <w:lang w:val="en-US" w:eastAsia="zh-CN"/>
        </w:rPr>
        <w:t>石西油田作业区</w:t>
      </w:r>
      <w:r>
        <w:rPr>
          <w:rFonts w:hint="default" w:ascii="Times New Roman" w:hAnsi="Times New Roman" w:cs="Times New Roman"/>
          <w:color w:val="auto"/>
          <w:kern w:val="0"/>
          <w:sz w:val="24"/>
          <w:szCs w:val="24"/>
          <w:highlight w:val="none"/>
          <w:u w:val="none"/>
        </w:rPr>
        <w:t>采用的环境风险防范措施较为齐全，制定有突发环境事件应急预案及其配套文件并在主管部门进行了备案，配备有应急物资，定期开展应急演练，与当地政府建立了应急联动机制，因此，在严格执行应急预案和应急处置的基础上，现有环境风险防范措施是有效的</w:t>
      </w:r>
      <w:r>
        <w:rPr>
          <w:rFonts w:hint="default" w:ascii="Times New Roman" w:hAnsi="Times New Roman" w:cs="Times New Roman"/>
          <w:color w:val="auto"/>
          <w:kern w:val="0"/>
          <w:sz w:val="24"/>
          <w:szCs w:val="24"/>
          <w:highlight w:val="none"/>
          <w:u w:val="none"/>
          <w:lang w:eastAsia="zh-CN"/>
        </w:rPr>
        <w:t>。</w:t>
      </w:r>
    </w:p>
    <w:p w14:paraId="10584BC1">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478" w:name="_Toc30571"/>
      <w:r>
        <w:rPr>
          <w:rFonts w:hint="eastAsia" w:ascii="黑体" w:hAnsi="黑体" w:eastAsia="黑体" w:cs="黑体"/>
          <w:b/>
          <w:color w:val="auto"/>
          <w:kern w:val="0"/>
          <w:sz w:val="24"/>
          <w:szCs w:val="24"/>
          <w:highlight w:val="none"/>
          <w:u w:val="none"/>
          <w:lang w:val="en-US" w:eastAsia="zh-CN"/>
        </w:rPr>
        <w:t>5.8</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 xml:space="preserve">7 </w:t>
      </w:r>
      <w:r>
        <w:rPr>
          <w:rFonts w:hint="default" w:ascii="黑体" w:hAnsi="黑体" w:eastAsia="黑体" w:cs="黑体"/>
          <w:b/>
          <w:color w:val="auto"/>
          <w:kern w:val="0"/>
          <w:sz w:val="24"/>
          <w:szCs w:val="24"/>
          <w:highlight w:val="none"/>
          <w:u w:val="none"/>
          <w:lang w:val="en-US" w:eastAsia="zh-CN"/>
        </w:rPr>
        <w:t>风险评价结论</w:t>
      </w:r>
      <w:bookmarkEnd w:id="478"/>
    </w:p>
    <w:p w14:paraId="22589544">
      <w:pPr>
        <w:keepNext w:val="0"/>
        <w:keepLines w:val="0"/>
        <w:pageBreakBefore w:val="0"/>
        <w:widowControl/>
        <w:kinsoku/>
        <w:wordWrap/>
        <w:overflowPunct/>
        <w:topLinePunct w:val="0"/>
        <w:autoSpaceDE/>
        <w:autoSpaceDN/>
        <w:bidi w:val="0"/>
        <w:adjustRightInd/>
        <w:snapToGrid/>
        <w:spacing w:line="480" w:lineRule="exact"/>
        <w:ind w:firstLine="456" w:firstLineChars="200"/>
        <w:jc w:val="left"/>
        <w:textAlignment w:val="auto"/>
        <w:rPr>
          <w:rFonts w:hint="eastAsia" w:ascii="Times New Roman" w:hAnsi="Times New Roman" w:cs="Times New Roman"/>
          <w:color w:val="auto"/>
          <w:spacing w:val="-6"/>
          <w:kern w:val="0"/>
          <w:sz w:val="24"/>
          <w:szCs w:val="24"/>
          <w:highlight w:val="none"/>
          <w:u w:val="none"/>
        </w:rPr>
      </w:pPr>
      <w:r>
        <w:rPr>
          <w:rFonts w:hint="eastAsia" w:ascii="Times New Roman" w:hAnsi="Times New Roman" w:cs="Times New Roman"/>
          <w:color w:val="auto"/>
          <w:spacing w:val="-6"/>
          <w:kern w:val="0"/>
          <w:sz w:val="24"/>
          <w:szCs w:val="24"/>
          <w:highlight w:val="none"/>
          <w:u w:val="none"/>
          <w:lang w:eastAsia="zh-CN"/>
        </w:rPr>
        <w:t>本工程</w:t>
      </w:r>
      <w:r>
        <w:rPr>
          <w:rFonts w:ascii="Times New Roman" w:hAnsi="Times New Roman" w:cs="Times New Roman"/>
          <w:color w:val="auto"/>
          <w:spacing w:val="-6"/>
          <w:kern w:val="0"/>
          <w:sz w:val="24"/>
          <w:szCs w:val="24"/>
          <w:highlight w:val="none"/>
          <w:u w:val="none"/>
        </w:rPr>
        <w:t>所涉及的危险物质包括</w:t>
      </w:r>
      <w:r>
        <w:rPr>
          <w:rFonts w:hint="eastAsia" w:cs="Times New Roman"/>
          <w:color w:val="auto"/>
          <w:spacing w:val="-6"/>
          <w:kern w:val="0"/>
          <w:sz w:val="24"/>
          <w:szCs w:val="24"/>
          <w:highlight w:val="none"/>
          <w:u w:val="none"/>
          <w:lang w:eastAsia="zh-CN"/>
        </w:rPr>
        <w:t>：</w:t>
      </w:r>
      <w:r>
        <w:rPr>
          <w:rFonts w:hint="eastAsia" w:cs="Times New Roman"/>
          <w:color w:val="auto"/>
          <w:spacing w:val="-6"/>
          <w:kern w:val="0"/>
          <w:sz w:val="24"/>
          <w:szCs w:val="24"/>
          <w:highlight w:val="none"/>
          <w:u w:val="none"/>
          <w:lang w:val="en-US" w:eastAsia="zh-CN"/>
        </w:rPr>
        <w:t>柴油、</w:t>
      </w:r>
      <w:r>
        <w:rPr>
          <w:rFonts w:hint="eastAsia" w:ascii="Times New Roman" w:hAnsi="Times New Roman" w:cs="Times New Roman"/>
          <w:color w:val="auto"/>
          <w:spacing w:val="-6"/>
          <w:kern w:val="0"/>
          <w:sz w:val="24"/>
          <w:szCs w:val="24"/>
          <w:highlight w:val="none"/>
          <w:u w:val="none"/>
        </w:rPr>
        <w:t>凝析油、天然气</w:t>
      </w:r>
      <w:r>
        <w:rPr>
          <w:rFonts w:ascii="Times New Roman" w:hAnsi="Times New Roman" w:cs="Times New Roman"/>
          <w:color w:val="auto"/>
          <w:spacing w:val="-6"/>
          <w:kern w:val="0"/>
          <w:sz w:val="24"/>
          <w:szCs w:val="24"/>
          <w:highlight w:val="none"/>
          <w:u w:val="none"/>
        </w:rPr>
        <w:t>，</w:t>
      </w:r>
      <w:r>
        <w:rPr>
          <w:rFonts w:hint="eastAsia" w:ascii="Times New Roman" w:hAnsi="Times New Roman" w:cs="Times New Roman"/>
          <w:color w:val="auto"/>
          <w:spacing w:val="-6"/>
          <w:kern w:val="0"/>
          <w:sz w:val="24"/>
          <w:szCs w:val="24"/>
          <w:highlight w:val="none"/>
          <w:u w:val="none"/>
        </w:rPr>
        <w:t>可能发生的风险事故包括井场事故、管线泄漏事故。油气发生泄漏时，对土壤、植被、地下水会产生一定的影响，在严格落实本工程提出的风险防范措施的前提下，不会对周围环境产生明显影响；当泄漏事故发生时，及时、彻底清除泄漏油品、被污染的土壤，污染物不会进入地下水中，对地下水水质没有不良影响。做好事故风险防范措施，将事故发生概率减少到最低。综上所述，本工程环境风险程度属于可以防控的。</w:t>
      </w:r>
    </w:p>
    <w:p w14:paraId="2EBCC81B">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eastAsia" w:ascii="黑体" w:hAnsi="黑体" w:eastAsia="黑体" w:cs="黑体"/>
          <w:b/>
          <w:color w:val="auto"/>
          <w:kern w:val="0"/>
          <w:sz w:val="24"/>
          <w:szCs w:val="24"/>
          <w:highlight w:val="none"/>
          <w:u w:val="none"/>
          <w:lang w:val="en-US" w:eastAsia="zh-CN"/>
        </w:rPr>
        <w:t>5.8.8 风险自查表</w:t>
      </w:r>
    </w:p>
    <w:p w14:paraId="647939E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color w:val="auto"/>
          <w:sz w:val="24"/>
          <w:highlight w:val="none"/>
          <w:u w:val="none"/>
        </w:rPr>
      </w:pPr>
      <w:r>
        <w:rPr>
          <w:rFonts w:hint="eastAsia"/>
          <w:color w:val="auto"/>
          <w:sz w:val="24"/>
          <w:highlight w:val="none"/>
          <w:u w:val="none"/>
          <w:lang w:eastAsia="zh-CN"/>
        </w:rPr>
        <w:t>本工程</w:t>
      </w:r>
      <w:r>
        <w:rPr>
          <w:rFonts w:hint="eastAsia"/>
          <w:color w:val="auto"/>
          <w:sz w:val="24"/>
          <w:highlight w:val="none"/>
          <w:u w:val="none"/>
        </w:rPr>
        <w:t>环境风险简单分析内容表</w:t>
      </w:r>
      <w:r>
        <w:rPr>
          <w:rFonts w:hint="eastAsia"/>
          <w:color w:val="auto"/>
          <w:sz w:val="24"/>
          <w:highlight w:val="none"/>
          <w:u w:val="none"/>
          <w:lang w:eastAsia="zh-CN"/>
        </w:rPr>
        <w:t>，</w:t>
      </w:r>
      <w:r>
        <w:rPr>
          <w:rFonts w:hint="eastAsia"/>
          <w:color w:val="auto"/>
          <w:sz w:val="24"/>
          <w:highlight w:val="none"/>
          <w:u w:val="none"/>
        </w:rPr>
        <w:t>见表</w:t>
      </w:r>
      <w:r>
        <w:rPr>
          <w:rFonts w:hint="eastAsia"/>
          <w:color w:val="auto"/>
          <w:sz w:val="24"/>
          <w:highlight w:val="none"/>
          <w:u w:val="none"/>
          <w:lang w:val="en-US" w:eastAsia="zh-CN"/>
        </w:rPr>
        <w:t>5.8-7</w:t>
      </w:r>
      <w:r>
        <w:rPr>
          <w:rFonts w:hint="eastAsia"/>
          <w:color w:val="auto"/>
          <w:sz w:val="24"/>
          <w:highlight w:val="none"/>
          <w:u w:val="none"/>
        </w:rPr>
        <w:t>。</w:t>
      </w:r>
    </w:p>
    <w:p w14:paraId="1ECB6A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黑体" w:hAnsi="黑体" w:eastAsia="黑体" w:cs="黑体"/>
          <w:b/>
          <w:color w:val="auto"/>
          <w:szCs w:val="21"/>
          <w:highlight w:val="none"/>
          <w:u w:val="none"/>
        </w:rPr>
      </w:pPr>
      <w:r>
        <w:rPr>
          <w:rFonts w:hint="eastAsia" w:ascii="黑体" w:hAnsi="黑体" w:eastAsia="黑体" w:cs="黑体"/>
          <w:b w:val="0"/>
          <w:bCs/>
          <w:color w:val="auto"/>
          <w:kern w:val="2"/>
          <w:sz w:val="24"/>
          <w:szCs w:val="24"/>
          <w:u w:val="none"/>
          <w:lang w:val="en-US" w:eastAsia="zh-CN" w:bidi="ar-SA"/>
        </w:rPr>
        <w:t>表5.8-7   环境风险简单分析内容表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1318"/>
        <w:gridCol w:w="2197"/>
        <w:gridCol w:w="1156"/>
        <w:gridCol w:w="2361"/>
      </w:tblGrid>
      <w:tr w14:paraId="70542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tcBorders>
              <w:tl2br w:val="nil"/>
              <w:tr2bl w:val="nil"/>
            </w:tcBorders>
            <w:noWrap w:val="0"/>
            <w:vAlign w:val="center"/>
          </w:tcPr>
          <w:p w14:paraId="7DD8CE26">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建设项目名称</w:t>
            </w:r>
          </w:p>
        </w:tc>
        <w:tc>
          <w:tcPr>
            <w:tcW w:w="3979" w:type="pct"/>
            <w:gridSpan w:val="4"/>
            <w:tcBorders>
              <w:tl2br w:val="nil"/>
              <w:tr2bl w:val="nil"/>
            </w:tcBorders>
            <w:noWrap w:val="0"/>
            <w:vAlign w:val="center"/>
          </w:tcPr>
          <w:p w14:paraId="73FB63BC">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莫北油田莫116井区侏罗系三工河组气藏产能建设项目</w:t>
            </w:r>
          </w:p>
        </w:tc>
      </w:tr>
      <w:tr w14:paraId="48508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tcBorders>
              <w:tl2br w:val="nil"/>
              <w:tr2bl w:val="nil"/>
            </w:tcBorders>
            <w:noWrap w:val="0"/>
            <w:vAlign w:val="center"/>
          </w:tcPr>
          <w:p w14:paraId="7DA06FE5">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建设地点</w:t>
            </w:r>
          </w:p>
        </w:tc>
        <w:tc>
          <w:tcPr>
            <w:tcW w:w="3979" w:type="pct"/>
            <w:gridSpan w:val="4"/>
            <w:tcBorders>
              <w:tl2br w:val="nil"/>
              <w:tr2bl w:val="nil"/>
            </w:tcBorders>
            <w:noWrap w:val="0"/>
            <w:vAlign w:val="center"/>
          </w:tcPr>
          <w:p w14:paraId="2D111D7E">
            <w:pPr>
              <w:keepNext w:val="0"/>
              <w:keepLines w:val="0"/>
              <w:pageBreakBefore w:val="0"/>
              <w:widowControl w:val="0"/>
              <w:kinsoku/>
              <w:wordWrap/>
              <w:overflowPunct/>
              <w:topLinePunct w:val="0"/>
              <w:autoSpaceDE/>
              <w:autoSpaceDN/>
              <w:bidi w:val="0"/>
              <w:snapToGrid/>
              <w:spacing w:line="400" w:lineRule="exact"/>
              <w:jc w:val="left"/>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新疆维吾尔自治区昌吉回族自治州呼图壁县境内，南侧距离呼图壁县城中心约104km，东北侧距离莫北转油站约16km</w:t>
            </w:r>
          </w:p>
        </w:tc>
      </w:tr>
      <w:tr w14:paraId="57245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tcBorders>
              <w:tl2br w:val="nil"/>
              <w:tr2bl w:val="nil"/>
            </w:tcBorders>
            <w:noWrap w:val="0"/>
            <w:vAlign w:val="center"/>
          </w:tcPr>
          <w:p w14:paraId="5EA9EBF8">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地理坐标</w:t>
            </w:r>
          </w:p>
        </w:tc>
        <w:tc>
          <w:tcPr>
            <w:tcW w:w="746" w:type="pct"/>
            <w:tcBorders>
              <w:tl2br w:val="nil"/>
              <w:tr2bl w:val="nil"/>
            </w:tcBorders>
            <w:noWrap w:val="0"/>
            <w:vAlign w:val="center"/>
          </w:tcPr>
          <w:p w14:paraId="7A80601C">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经度</w:t>
            </w:r>
          </w:p>
        </w:tc>
        <w:tc>
          <w:tcPr>
            <w:tcW w:w="1243" w:type="pct"/>
            <w:tcBorders>
              <w:tl2br w:val="nil"/>
              <w:tr2bl w:val="nil"/>
            </w:tcBorders>
            <w:noWrap w:val="0"/>
            <w:vAlign w:val="center"/>
          </w:tcPr>
          <w:p w14:paraId="6C2EA179">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86°37'22.756"</w:t>
            </w:r>
          </w:p>
        </w:tc>
        <w:tc>
          <w:tcPr>
            <w:tcW w:w="654" w:type="pct"/>
            <w:tcBorders>
              <w:tl2br w:val="nil"/>
              <w:tr2bl w:val="nil"/>
            </w:tcBorders>
            <w:noWrap w:val="0"/>
            <w:vAlign w:val="center"/>
          </w:tcPr>
          <w:p w14:paraId="42975C32">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纬度</w:t>
            </w:r>
          </w:p>
        </w:tc>
        <w:tc>
          <w:tcPr>
            <w:tcW w:w="1335" w:type="pct"/>
            <w:tcBorders>
              <w:tl2br w:val="nil"/>
              <w:tr2bl w:val="nil"/>
            </w:tcBorders>
            <w:noWrap w:val="0"/>
            <w:vAlign w:val="center"/>
          </w:tcPr>
          <w:p w14:paraId="476E727D">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45°6'53.918"</w:t>
            </w:r>
          </w:p>
        </w:tc>
      </w:tr>
      <w:tr w14:paraId="6F8CA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tcBorders>
              <w:tl2br w:val="nil"/>
              <w:tr2bl w:val="nil"/>
            </w:tcBorders>
            <w:noWrap w:val="0"/>
            <w:vAlign w:val="center"/>
          </w:tcPr>
          <w:p w14:paraId="41FF62CC">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主要危险物质及分布</w:t>
            </w:r>
          </w:p>
        </w:tc>
        <w:tc>
          <w:tcPr>
            <w:tcW w:w="3979" w:type="pct"/>
            <w:gridSpan w:val="4"/>
            <w:tcBorders>
              <w:tl2br w:val="nil"/>
              <w:tr2bl w:val="nil"/>
            </w:tcBorders>
            <w:noWrap w:val="0"/>
            <w:vAlign w:val="center"/>
          </w:tcPr>
          <w:p w14:paraId="3E4C0819">
            <w:pPr>
              <w:keepNext w:val="0"/>
              <w:keepLines w:val="0"/>
              <w:pageBreakBefore w:val="0"/>
              <w:widowControl w:val="0"/>
              <w:kinsoku/>
              <w:wordWrap/>
              <w:overflowPunct/>
              <w:topLinePunct w:val="0"/>
              <w:autoSpaceDE/>
              <w:autoSpaceDN/>
              <w:bidi w:val="0"/>
              <w:adjustRightInd w:val="0"/>
              <w:snapToGrid/>
              <w:spacing w:line="400" w:lineRule="exact"/>
              <w:jc w:val="center"/>
              <w:textAlignment w:val="baseline"/>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主要危险物质：凝析油、天然气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柴油；分布：井场、集输管线</w:t>
            </w:r>
          </w:p>
        </w:tc>
      </w:tr>
      <w:tr w14:paraId="71CD5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tcBorders>
              <w:tl2br w:val="nil"/>
              <w:tr2bl w:val="nil"/>
            </w:tcBorders>
            <w:noWrap w:val="0"/>
            <w:vAlign w:val="center"/>
          </w:tcPr>
          <w:p w14:paraId="7496EDCA">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环境影响途径及危害后果（大气、地表水、地下水等）</w:t>
            </w:r>
          </w:p>
        </w:tc>
        <w:tc>
          <w:tcPr>
            <w:tcW w:w="3979" w:type="pct"/>
            <w:gridSpan w:val="4"/>
            <w:tcBorders>
              <w:tl2br w:val="nil"/>
              <w:tr2bl w:val="nil"/>
            </w:tcBorders>
            <w:noWrap w:val="0"/>
            <w:vAlign w:val="center"/>
          </w:tcPr>
          <w:p w14:paraId="01F8039E">
            <w:pPr>
              <w:keepNext w:val="0"/>
              <w:keepLines w:val="0"/>
              <w:pageBreakBefore w:val="0"/>
              <w:widowControl w:val="0"/>
              <w:kinsoku/>
              <w:wordWrap/>
              <w:overflowPunct/>
              <w:topLinePunct w:val="0"/>
              <w:autoSpaceDE/>
              <w:autoSpaceDN/>
              <w:bidi w:val="0"/>
              <w:snapToGrid/>
              <w:spacing w:line="400" w:lineRule="exac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本工程</w:t>
            </w:r>
            <w:r>
              <w:rPr>
                <w:rFonts w:hint="eastAsia" w:ascii="宋体" w:hAnsi="宋体" w:eastAsia="宋体" w:cs="宋体"/>
                <w:color w:val="auto"/>
                <w:sz w:val="21"/>
                <w:szCs w:val="21"/>
                <w:highlight w:val="none"/>
                <w:u w:val="none"/>
              </w:rPr>
              <w:t>可能发生的环境风险主要包括井喷、井漏、油类物质泄漏、火灾、爆炸等引发的伴生/次生污染物排放。</w:t>
            </w:r>
          </w:p>
          <w:p w14:paraId="33251705">
            <w:pPr>
              <w:keepNext w:val="0"/>
              <w:keepLines w:val="0"/>
              <w:pageBreakBefore w:val="0"/>
              <w:widowControl w:val="0"/>
              <w:kinsoku/>
              <w:wordWrap/>
              <w:overflowPunct/>
              <w:topLinePunct w:val="0"/>
              <w:autoSpaceDE/>
              <w:autoSpaceDN/>
              <w:bidi w:val="0"/>
              <w:snapToGrid/>
              <w:spacing w:line="400" w:lineRule="exac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运营期管线发生破损造成</w:t>
            </w:r>
            <w:r>
              <w:rPr>
                <w:rFonts w:hint="eastAsia" w:ascii="宋体" w:hAnsi="宋体" w:eastAsia="宋体" w:cs="宋体"/>
                <w:color w:val="auto"/>
                <w:sz w:val="21"/>
                <w:szCs w:val="21"/>
                <w:highlight w:val="none"/>
                <w:u w:val="none"/>
                <w:lang w:val="en-US" w:eastAsia="zh-CN"/>
              </w:rPr>
              <w:t>油气</w:t>
            </w:r>
            <w:r>
              <w:rPr>
                <w:rFonts w:hint="eastAsia" w:ascii="宋体" w:hAnsi="宋体" w:eastAsia="宋体" w:cs="宋体"/>
                <w:color w:val="auto"/>
                <w:sz w:val="21"/>
                <w:szCs w:val="21"/>
                <w:highlight w:val="none"/>
                <w:u w:val="none"/>
              </w:rPr>
              <w:t>泄漏，以及井喷均会污染土壤和大气，泄漏的油品有可能通过包气带渗漏进入地下含水层，污染地下水；泄漏的油气若遇明火，发生火灾、爆炸，污染大气环境。</w:t>
            </w:r>
          </w:p>
        </w:tc>
      </w:tr>
      <w:tr w14:paraId="222C2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tcBorders>
              <w:tl2br w:val="nil"/>
              <w:tr2bl w:val="nil"/>
            </w:tcBorders>
            <w:noWrap w:val="0"/>
            <w:vAlign w:val="center"/>
          </w:tcPr>
          <w:p w14:paraId="61117E84">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风险防范措施要求</w:t>
            </w:r>
          </w:p>
        </w:tc>
        <w:tc>
          <w:tcPr>
            <w:tcW w:w="3979" w:type="pct"/>
            <w:gridSpan w:val="4"/>
            <w:tcBorders>
              <w:tl2br w:val="nil"/>
              <w:tr2bl w:val="nil"/>
            </w:tcBorders>
            <w:noWrap w:val="0"/>
            <w:vAlign w:val="center"/>
          </w:tcPr>
          <w:p w14:paraId="5A5FE03C">
            <w:pPr>
              <w:keepNext w:val="0"/>
              <w:keepLines w:val="0"/>
              <w:pageBreakBefore w:val="0"/>
              <w:widowControl w:val="0"/>
              <w:kinsoku/>
              <w:wordWrap/>
              <w:overflowPunct/>
              <w:topLinePunct w:val="0"/>
              <w:autoSpaceDE/>
              <w:autoSpaceDN/>
              <w:bidi w:val="0"/>
              <w:snapToGrid/>
              <w:spacing w:line="400" w:lineRule="exac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①生产中采取有效预防措施，严格遵守井下作业的安全规定，在井口安装防喷器和控制装置，杜绝井喷的发生；②制定安全生产方针、政策、计划和各种规范，完善安全管理制度和安全操作规程，建立健全环境管理体系和监测体系，完善各种规章制度标准；③定期对管线进行巡视，定期进行管道壁厚和防腐情况检测；④制定环境风险应急预案，定期演练。⑤施工期柴油储罐底部铺设防渗膜，采取钢制储罐。</w:t>
            </w:r>
          </w:p>
        </w:tc>
      </w:tr>
    </w:tbl>
    <w:p w14:paraId="7CC9C3D6">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ascii="黑体" w:hAnsi="黑体" w:eastAsia="黑体" w:cs="黑体"/>
          <w:b/>
          <w:color w:val="auto"/>
          <w:szCs w:val="21"/>
          <w:highlight w:val="none"/>
          <w:u w:val="none"/>
        </w:rPr>
      </w:pPr>
    </w:p>
    <w:p w14:paraId="6FFA5C6B">
      <w:pPr>
        <w:pStyle w:val="50"/>
        <w:outlineLvl w:val="9"/>
        <w:rPr>
          <w:rFonts w:hint="default" w:ascii="Times New Roman" w:hAnsi="Times New Roman" w:cs="Times New Roman"/>
          <w:color w:val="auto"/>
          <w:u w:val="none"/>
        </w:rPr>
        <w:sectPr>
          <w:footerReference r:id="rId14" w:type="default"/>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479" w:name="_Toc17871"/>
      <w:bookmarkStart w:id="480" w:name="_Toc109382948"/>
    </w:p>
    <w:bookmarkEnd w:id="479"/>
    <w:bookmarkEnd w:id="480"/>
    <w:p w14:paraId="2C9E9712">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rPr>
          <w:rFonts w:hint="default" w:ascii="Times New Roman" w:hAnsi="Times New Roman" w:cs="Times New Roman"/>
          <w:color w:val="auto"/>
          <w:u w:val="none"/>
        </w:rPr>
      </w:pPr>
      <w:bookmarkStart w:id="481" w:name="_Toc27592"/>
      <w:r>
        <w:rPr>
          <w:rFonts w:hint="default" w:ascii="黑体" w:hAnsi="黑体" w:eastAsia="黑体" w:cs="黑体"/>
          <w:color w:val="auto"/>
          <w:sz w:val="32"/>
          <w:szCs w:val="32"/>
          <w:u w:val="none"/>
        </w:rPr>
        <w:t>6</w:t>
      </w:r>
      <w:r>
        <w:rPr>
          <w:rFonts w:hint="eastAsia" w:ascii="黑体" w:hAnsi="黑体" w:eastAsia="黑体" w:cs="黑体"/>
          <w:color w:val="auto"/>
          <w:sz w:val="32"/>
          <w:szCs w:val="32"/>
          <w:u w:val="none"/>
          <w:lang w:val="en-US" w:eastAsia="zh-CN"/>
        </w:rPr>
        <w:t xml:space="preserve"> </w:t>
      </w:r>
      <w:r>
        <w:rPr>
          <w:rFonts w:hint="default" w:ascii="黑体" w:hAnsi="黑体" w:eastAsia="黑体" w:cs="黑体"/>
          <w:color w:val="auto"/>
          <w:sz w:val="32"/>
          <w:szCs w:val="32"/>
          <w:u w:val="none"/>
        </w:rPr>
        <w:t>环境保护措施可行性论证</w:t>
      </w:r>
      <w:bookmarkEnd w:id="465"/>
      <w:bookmarkEnd w:id="466"/>
      <w:bookmarkEnd w:id="467"/>
      <w:bookmarkEnd w:id="468"/>
      <w:bookmarkEnd w:id="469"/>
      <w:bookmarkEnd w:id="481"/>
    </w:p>
    <w:p w14:paraId="1D41D1F4">
      <w:pPr>
        <w:keepNext w:val="0"/>
        <w:keepLines w:val="0"/>
        <w:pageBreakBefore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color w:val="auto"/>
          <w:sz w:val="24"/>
          <w:szCs w:val="24"/>
          <w:highlight w:val="none"/>
          <w:u w:val="none"/>
          <w:lang w:val="zh-CN"/>
        </w:rPr>
      </w:pPr>
      <w:bookmarkStart w:id="482" w:name="_Toc24608"/>
      <w:r>
        <w:rPr>
          <w:rFonts w:hint="default" w:ascii="Times New Roman" w:hAnsi="Times New Roman" w:cs="Times New Roman"/>
          <w:color w:val="auto"/>
          <w:sz w:val="24"/>
          <w:highlight w:val="none"/>
          <w:u w:val="none"/>
        </w:rPr>
        <w:t>本工程实施过程中，会对评价区内的水环境、环境空气、土壤环境等造成不同程度的影响。本章分别对项目在施工期、运营期和退役期拟采取的措施及各专题评价提出的措施进行分析和论证。</w:t>
      </w:r>
    </w:p>
    <w:p w14:paraId="1D27BA36">
      <w:pPr>
        <w:pStyle w:val="50"/>
        <w:keepNext/>
        <w:keepLines/>
        <w:pageBreakBefore w:val="0"/>
        <w:widowControl w:val="0"/>
        <w:kinsoku/>
        <w:wordWrap/>
        <w:overflowPunct/>
        <w:topLinePunct w:val="0"/>
        <w:autoSpaceDE/>
        <w:autoSpaceDN/>
        <w:bidi w:val="0"/>
        <w:adjustRightInd/>
        <w:snapToGrid/>
        <w:spacing w:before="164" w:beforeLines="50" w:after="0" w:line="360" w:lineRule="auto"/>
        <w:textAlignment w:val="auto"/>
        <w:outlineLvl w:val="1"/>
        <w:rPr>
          <w:rFonts w:hint="default" w:ascii="黑体" w:hAnsi="黑体" w:eastAsia="黑体" w:cs="黑体"/>
          <w:color w:val="auto"/>
          <w:sz w:val="28"/>
          <w:szCs w:val="28"/>
          <w:u w:val="none"/>
          <w:lang w:val="en-US" w:eastAsia="zh-CN"/>
        </w:rPr>
      </w:pPr>
      <w:bookmarkStart w:id="483" w:name="_Toc14772"/>
      <w:bookmarkStart w:id="484" w:name="_Toc11649"/>
      <w:bookmarkStart w:id="485" w:name="_Toc17449"/>
      <w:bookmarkStart w:id="486" w:name="_Toc18046"/>
      <w:bookmarkStart w:id="487" w:name="_Toc119915028"/>
      <w:bookmarkStart w:id="488" w:name="_Toc12366"/>
      <w:bookmarkStart w:id="489" w:name="_Toc6668"/>
      <w:bookmarkStart w:id="490" w:name="_Toc31943"/>
      <w:bookmarkStart w:id="491" w:name="_Hlk71996307"/>
      <w:bookmarkStart w:id="492" w:name="_Toc24413"/>
      <w:bookmarkStart w:id="493" w:name="_Toc13573"/>
      <w:r>
        <w:rPr>
          <w:rFonts w:hint="default" w:ascii="黑体" w:hAnsi="黑体" w:eastAsia="黑体" w:cs="黑体"/>
          <w:color w:val="auto"/>
          <w:sz w:val="28"/>
          <w:szCs w:val="28"/>
          <w:u w:val="none"/>
          <w:lang w:val="en-US" w:eastAsia="zh-CN"/>
        </w:rPr>
        <w:t>6.</w:t>
      </w:r>
      <w:r>
        <w:rPr>
          <w:rFonts w:hint="eastAsia" w:ascii="黑体" w:hAnsi="黑体" w:eastAsia="黑体" w:cs="黑体"/>
          <w:color w:val="auto"/>
          <w:sz w:val="28"/>
          <w:szCs w:val="28"/>
          <w:u w:val="none"/>
          <w:lang w:val="en-US" w:eastAsia="zh-CN"/>
        </w:rPr>
        <w:t>1 生态保护措施</w:t>
      </w:r>
      <w:bookmarkEnd w:id="483"/>
      <w:bookmarkEnd w:id="484"/>
      <w:bookmarkEnd w:id="485"/>
      <w:bookmarkEnd w:id="486"/>
      <w:bookmarkEnd w:id="487"/>
      <w:bookmarkEnd w:id="488"/>
      <w:r>
        <w:rPr>
          <w:rFonts w:hint="default" w:ascii="黑体" w:hAnsi="黑体" w:eastAsia="黑体" w:cs="黑体"/>
          <w:color w:val="auto"/>
          <w:sz w:val="28"/>
          <w:szCs w:val="28"/>
          <w:u w:val="none"/>
          <w:lang w:val="en-US" w:eastAsia="zh-CN"/>
        </w:rPr>
        <w:t>可行性论证</w:t>
      </w:r>
      <w:bookmarkEnd w:id="489"/>
    </w:p>
    <w:p w14:paraId="2759C7BE">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left"/>
        <w:textAlignment w:val="auto"/>
        <w:rPr>
          <w:rFonts w:hint="eastAsia" w:ascii="Times New Roman" w:hAnsi="Times New Roman" w:cs="Times New Roman"/>
          <w:color w:val="auto"/>
          <w:kern w:val="0"/>
          <w:sz w:val="24"/>
          <w:szCs w:val="24"/>
          <w:highlight w:val="none"/>
          <w:u w:val="none"/>
          <w:lang w:eastAsia="zh-CN"/>
        </w:rPr>
      </w:pPr>
      <w:r>
        <w:rPr>
          <w:rFonts w:hint="eastAsia" w:ascii="Times New Roman" w:hAnsi="Times New Roman" w:cs="Times New Roman"/>
          <w:color w:val="auto"/>
          <w:kern w:val="0"/>
          <w:sz w:val="24"/>
          <w:szCs w:val="24"/>
          <w:highlight w:val="none"/>
          <w:u w:val="none"/>
          <w:lang w:eastAsia="zh-CN"/>
        </w:rPr>
        <w:t>本工程施工期对环境的影响主要来自井场</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站场</w:t>
      </w:r>
      <w:r>
        <w:rPr>
          <w:rFonts w:hint="eastAsia" w:ascii="Times New Roman" w:hAnsi="Times New Roman" w:cs="Times New Roman"/>
          <w:color w:val="auto"/>
          <w:kern w:val="0"/>
          <w:sz w:val="24"/>
          <w:szCs w:val="24"/>
          <w:highlight w:val="none"/>
          <w:u w:val="none"/>
          <w:lang w:eastAsia="zh-CN"/>
        </w:rPr>
        <w:t>施工和管线敷设、道路建设等方面。开发建设期环境影响的特点是持续时间短，对地表的破坏性强，在地面建设结束后，可在一定时期消失；但如果污染防治和生态保护措施不当，可能持续很长时间，并且不可逆转，例如对生态环境的破坏。</w:t>
      </w:r>
    </w:p>
    <w:p w14:paraId="4F512B8E">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cs="宋体"/>
          <w:color w:val="auto"/>
          <w:kern w:val="0"/>
          <w:sz w:val="24"/>
          <w:szCs w:val="24"/>
          <w:highlight w:val="none"/>
          <w:u w:val="none"/>
        </w:rPr>
      </w:pPr>
      <w:r>
        <w:rPr>
          <w:rFonts w:hint="eastAsia" w:ascii="Times New Roman" w:hAnsi="Times New Roman" w:cs="Times New Roman"/>
          <w:color w:val="auto"/>
          <w:kern w:val="0"/>
          <w:sz w:val="24"/>
          <w:szCs w:val="24"/>
          <w:highlight w:val="none"/>
          <w:u w:val="none"/>
          <w:lang w:eastAsia="zh-CN"/>
        </w:rPr>
        <w:t>在项目可研及已建工程采取的生态环境影响减缓措施的基础上，根据本工程对生态环境可能产生的不利影响，评价提出防范措施。</w:t>
      </w:r>
    </w:p>
    <w:p w14:paraId="0CA750EA">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1</w:t>
      </w:r>
      <w:r>
        <w:rPr>
          <w:rFonts w:hint="default" w:ascii="黑体" w:hAnsi="黑体" w:eastAsia="黑体" w:cs="黑体"/>
          <w:b/>
          <w:color w:val="auto"/>
          <w:kern w:val="0"/>
          <w:sz w:val="24"/>
          <w:szCs w:val="24"/>
          <w:highlight w:val="none"/>
          <w:u w:val="none"/>
          <w:lang w:val="en-US" w:eastAsia="zh-CN"/>
        </w:rPr>
        <w:t>.1</w:t>
      </w:r>
      <w:r>
        <w:rPr>
          <w:rFonts w:hint="eastAsia" w:ascii="黑体" w:hAnsi="黑体" w:eastAsia="黑体" w:cs="黑体"/>
          <w:b/>
          <w:color w:val="auto"/>
          <w:kern w:val="0"/>
          <w:sz w:val="24"/>
          <w:szCs w:val="24"/>
          <w:highlight w:val="none"/>
          <w:u w:val="none"/>
          <w:lang w:val="en-US" w:eastAsia="zh-CN"/>
        </w:rPr>
        <w:t xml:space="preserve"> 施工期</w:t>
      </w:r>
      <w:r>
        <w:rPr>
          <w:rFonts w:hint="default" w:ascii="黑体" w:hAnsi="黑体" w:eastAsia="黑体" w:cs="黑体"/>
          <w:b/>
          <w:color w:val="auto"/>
          <w:kern w:val="0"/>
          <w:sz w:val="24"/>
          <w:szCs w:val="24"/>
          <w:highlight w:val="none"/>
          <w:u w:val="none"/>
          <w:lang w:val="en-US" w:eastAsia="zh-CN"/>
        </w:rPr>
        <w:t>生态保护措施可行性论证</w:t>
      </w:r>
    </w:p>
    <w:p w14:paraId="3883FC92">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6.</w:t>
      </w:r>
      <w:r>
        <w:rPr>
          <w:rFonts w:hint="eastAsia" w:ascii="宋体" w:hAnsi="宋体" w:eastAsia="宋体" w:cs="宋体"/>
          <w:color w:val="auto"/>
          <w:u w:val="none"/>
          <w:lang w:val="en-US" w:eastAsia="zh-CN"/>
        </w:rPr>
        <w:t>1</w:t>
      </w:r>
      <w:r>
        <w:rPr>
          <w:rFonts w:hint="default" w:ascii="宋体" w:hAnsi="宋体" w:eastAsia="宋体" w:cs="宋体"/>
          <w:color w:val="auto"/>
          <w:u w:val="none"/>
          <w:lang w:val="en-US" w:eastAsia="zh-CN"/>
        </w:rPr>
        <w:t>.</w:t>
      </w:r>
      <w:r>
        <w:rPr>
          <w:rFonts w:hint="eastAsia" w:ascii="宋体" w:hAnsi="宋体" w:cs="宋体"/>
          <w:color w:val="auto"/>
          <w:u w:val="none"/>
          <w:lang w:val="en-US" w:eastAsia="zh-CN"/>
        </w:rPr>
        <w:t>1</w:t>
      </w:r>
      <w:r>
        <w:rPr>
          <w:rFonts w:hint="default" w:ascii="宋体" w:hAnsi="宋体" w:eastAsia="宋体" w:cs="宋体"/>
          <w:color w:val="auto"/>
          <w:u w:val="none"/>
          <w:lang w:val="en-US" w:eastAsia="zh-CN"/>
        </w:rPr>
        <w:t>.1</w:t>
      </w:r>
      <w:r>
        <w:rPr>
          <w:rFonts w:hint="eastAsia" w:ascii="宋体" w:hAnsi="宋体" w:eastAsia="宋体" w:cs="宋体"/>
          <w:color w:val="auto"/>
          <w:u w:val="none"/>
          <w:lang w:val="en-US" w:eastAsia="zh-CN"/>
        </w:rPr>
        <w:t xml:space="preserve"> 井场工程生态环境保护措施</w:t>
      </w:r>
    </w:p>
    <w:p w14:paraId="635F0566">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imes New Roman" w:hAnsi="Times New Roman" w:cs="Times New Roman"/>
          <w:color w:val="auto"/>
          <w:kern w:val="0"/>
          <w:sz w:val="24"/>
          <w:szCs w:val="24"/>
          <w:highlight w:val="none"/>
          <w:u w:val="none"/>
          <w:lang w:eastAsia="zh-CN"/>
        </w:rPr>
      </w:pPr>
      <w:r>
        <w:rPr>
          <w:rFonts w:hint="default" w:ascii="Times New Roman" w:hAnsi="Times New Roman" w:cs="Times New Roman"/>
          <w:color w:val="auto"/>
          <w:kern w:val="0"/>
          <w:sz w:val="24"/>
          <w:szCs w:val="24"/>
          <w:highlight w:val="none"/>
          <w:u w:val="none"/>
        </w:rPr>
        <w:t>（1）对井场永久性占地和临时性占地合理规划，严格控制临时占地面积，尽量避让植被较多的区域，严格按照有关规定办理建设用地审批手续；对井场永久性占地进行地面硬化，以减少风蚀量，对井场地表进行砾石压盖，防止由于地表扰动造成的水土流失</w:t>
      </w:r>
      <w:r>
        <w:rPr>
          <w:rFonts w:hint="eastAsia" w:ascii="Times New Roman" w:hAnsi="Times New Roman" w:cs="Times New Roman"/>
          <w:color w:val="auto"/>
          <w:kern w:val="0"/>
          <w:sz w:val="24"/>
          <w:szCs w:val="24"/>
          <w:highlight w:val="none"/>
          <w:u w:val="none"/>
          <w:lang w:eastAsia="zh-CN"/>
        </w:rPr>
        <w:t>。</w:t>
      </w:r>
    </w:p>
    <w:p w14:paraId="226FEF36">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imes New Roman" w:hAnsi="Times New Roman" w:cs="Times New Roman"/>
          <w:color w:val="auto"/>
          <w:kern w:val="0"/>
          <w:sz w:val="24"/>
          <w:szCs w:val="24"/>
          <w:highlight w:val="none"/>
          <w:u w:val="none"/>
          <w:lang w:eastAsia="zh-CN"/>
        </w:rPr>
      </w:pPr>
      <w:r>
        <w:rPr>
          <w:rFonts w:hint="eastAsia" w:ascii="Times New Roman" w:hAnsi="Times New Roman" w:cs="Times New Roman"/>
          <w:color w:val="auto"/>
          <w:kern w:val="0"/>
          <w:sz w:val="24"/>
          <w:szCs w:val="24"/>
          <w:highlight w:val="none"/>
          <w:u w:val="none"/>
          <w:lang w:eastAsia="zh-CN"/>
        </w:rPr>
        <w:t>（2）对工程占地范围外的区域严禁机械及车辆进入、占用，禁止乱轧乱碾，避免破坏自然植被，造成土地松动。井场施工在开挖地表、平整土地时，临时堆土必须进行拦挡，施工完毕，应尽快整理施工现场。</w:t>
      </w:r>
    </w:p>
    <w:p w14:paraId="34B79AA1">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imes New Roman" w:hAnsi="Times New Roman" w:cs="Times New Roman"/>
          <w:color w:val="auto"/>
          <w:kern w:val="0"/>
          <w:sz w:val="24"/>
          <w:szCs w:val="24"/>
          <w:highlight w:val="none"/>
          <w:u w:val="none"/>
          <w:lang w:eastAsia="zh-CN"/>
        </w:rPr>
      </w:pPr>
      <w:r>
        <w:rPr>
          <w:rFonts w:hint="eastAsia" w:ascii="Times New Roman" w:hAnsi="Times New Roman" w:cs="Times New Roman"/>
          <w:color w:val="auto"/>
          <w:kern w:val="0"/>
          <w:sz w:val="24"/>
          <w:szCs w:val="24"/>
          <w:highlight w:val="none"/>
          <w:u w:val="none"/>
          <w:lang w:eastAsia="zh-CN"/>
        </w:rPr>
        <w:t>（3）加强工程区的野生动物保护，对施工人员进行野生动物保护法的宣传教育，严禁施工人员猎杀野生动物。</w:t>
      </w:r>
    </w:p>
    <w:p w14:paraId="5F3EC47A">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imes New Roman" w:hAnsi="Times New Roman" w:cs="Times New Roman"/>
          <w:color w:val="auto"/>
          <w:kern w:val="0"/>
          <w:sz w:val="24"/>
          <w:szCs w:val="24"/>
          <w:highlight w:val="none"/>
          <w:u w:val="none"/>
          <w:lang w:eastAsia="zh-CN"/>
        </w:rPr>
      </w:pPr>
      <w:r>
        <w:rPr>
          <w:rFonts w:hint="eastAsia" w:ascii="Times New Roman" w:hAnsi="Times New Roman" w:cs="Times New Roman"/>
          <w:color w:val="auto"/>
          <w:kern w:val="0"/>
          <w:sz w:val="24"/>
          <w:szCs w:val="24"/>
          <w:highlight w:val="none"/>
          <w:u w:val="none"/>
          <w:lang w:eastAsia="zh-CN"/>
        </w:rPr>
        <w:t>（4）严格落实环评所提环保措施，加强施工管理，杜绝废水固废乱堆乱排的现象，避免施工期废水、固废等对自然植被及土壤造成不良影响。</w:t>
      </w:r>
    </w:p>
    <w:p w14:paraId="1CEC5424">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cs="Times New Roman"/>
          <w:color w:val="auto"/>
          <w:kern w:val="0"/>
          <w:sz w:val="24"/>
          <w:szCs w:val="24"/>
          <w:highlight w:val="none"/>
          <w:u w:val="none"/>
          <w:lang w:eastAsia="zh-CN"/>
        </w:rPr>
        <w:t>（5）及时清理施工现场，做到“工完、料净、场地清”。工程结束后，建设单位应承担恢复生态的责任，及时对临时占地区域进行平整、恢复原貌，使占地造成的影响逐步得以恢复。</w:t>
      </w:r>
    </w:p>
    <w:p w14:paraId="4C4E420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eastAsia="宋体" w:cs="宋体"/>
          <w:color w:val="auto"/>
          <w:u w:val="none"/>
          <w:lang w:val="en-US" w:eastAsia="zh-CN"/>
        </w:rPr>
      </w:pPr>
      <w:r>
        <w:rPr>
          <w:rFonts w:hint="default" w:ascii="宋体" w:hAnsi="宋体" w:eastAsia="宋体" w:cs="宋体"/>
          <w:color w:val="auto"/>
          <w:u w:val="none"/>
          <w:lang w:val="en-US" w:eastAsia="zh-CN"/>
        </w:rPr>
        <w:t>6.</w:t>
      </w:r>
      <w:r>
        <w:rPr>
          <w:rFonts w:hint="eastAsia" w:ascii="宋体" w:hAnsi="宋体" w:eastAsia="宋体" w:cs="宋体"/>
          <w:color w:val="auto"/>
          <w:u w:val="none"/>
          <w:lang w:val="en-US" w:eastAsia="zh-CN"/>
        </w:rPr>
        <w:t>1</w:t>
      </w:r>
      <w:r>
        <w:rPr>
          <w:rFonts w:hint="default" w:ascii="宋体" w:hAnsi="宋体" w:eastAsia="宋体" w:cs="宋体"/>
          <w:color w:val="auto"/>
          <w:u w:val="none"/>
          <w:lang w:val="en-US" w:eastAsia="zh-CN"/>
        </w:rPr>
        <w:t>.</w:t>
      </w:r>
      <w:r>
        <w:rPr>
          <w:rFonts w:hint="eastAsia" w:ascii="宋体" w:hAnsi="宋体" w:cs="宋体"/>
          <w:color w:val="auto"/>
          <w:u w:val="none"/>
          <w:lang w:val="en-US" w:eastAsia="zh-CN"/>
        </w:rPr>
        <w:t>1</w:t>
      </w:r>
      <w:r>
        <w:rPr>
          <w:rFonts w:hint="default" w:ascii="宋体" w:hAnsi="宋体" w:eastAsia="宋体" w:cs="宋体"/>
          <w:color w:val="auto"/>
          <w:u w:val="none"/>
          <w:lang w:val="en-US" w:eastAsia="zh-CN"/>
        </w:rPr>
        <w:t>.</w:t>
      </w:r>
      <w:r>
        <w:rPr>
          <w:rFonts w:hint="eastAsia" w:ascii="宋体" w:hAnsi="宋体" w:eastAsia="宋体" w:cs="宋体"/>
          <w:color w:val="auto"/>
          <w:u w:val="none"/>
          <w:lang w:val="en-US" w:eastAsia="zh-CN"/>
        </w:rPr>
        <w:t xml:space="preserve">2 </w:t>
      </w:r>
      <w:r>
        <w:rPr>
          <w:rFonts w:hint="default" w:ascii="宋体" w:hAnsi="宋体" w:eastAsia="宋体" w:cs="宋体"/>
          <w:color w:val="auto"/>
          <w:u w:val="none"/>
          <w:lang w:val="en-US" w:eastAsia="zh-CN"/>
        </w:rPr>
        <w:t>管线工程生态保护措施</w:t>
      </w:r>
    </w:p>
    <w:p w14:paraId="4A4E30D2">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（1）本</w:t>
      </w:r>
      <w:r>
        <w:rPr>
          <w:rFonts w:hint="eastAsia" w:ascii="Times New Roman" w:hAnsi="Times New Roman" w:eastAsia="宋体" w:cs="Times New Roman"/>
          <w:color w:val="auto"/>
          <w:kern w:val="2"/>
          <w:sz w:val="24"/>
          <w:szCs w:val="24"/>
          <w:highlight w:val="none"/>
          <w:u w:val="none"/>
          <w:lang w:val="en-US" w:eastAsia="zh-CN" w:bidi="ar-SA"/>
        </w:rPr>
        <w:t>工程</w:t>
      </w:r>
      <w:r>
        <w:rPr>
          <w:rFonts w:ascii="Times New Roman" w:hAnsi="Times New Roman" w:eastAsia="宋体" w:cs="Times New Roman"/>
          <w:color w:val="auto"/>
          <w:kern w:val="2"/>
          <w:sz w:val="24"/>
          <w:szCs w:val="24"/>
          <w:highlight w:val="none"/>
          <w:u w:val="none"/>
          <w:lang w:val="en-US" w:eastAsia="zh-CN" w:bidi="ar-SA"/>
        </w:rPr>
        <w:t>占地及补偿应按照地方有关工程征地及补偿要求进行，由相关部门许可后方可开工建设。</w:t>
      </w:r>
    </w:p>
    <w:p w14:paraId="7BC61D3F">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（2）</w:t>
      </w:r>
      <w:r>
        <w:rPr>
          <w:rFonts w:hint="eastAsia" w:ascii="Times New Roman" w:hAnsi="Times New Roman" w:eastAsia="宋体" w:cs="Times New Roman"/>
          <w:color w:val="auto"/>
          <w:kern w:val="2"/>
          <w:sz w:val="24"/>
          <w:szCs w:val="24"/>
          <w:highlight w:val="none"/>
          <w:u w:val="none"/>
          <w:lang w:val="en-US" w:eastAsia="zh-CN" w:bidi="ar-SA"/>
        </w:rPr>
        <w:t>合理调整管线走向，管线施工作业宽度应控制在</w:t>
      </w:r>
      <w:r>
        <w:rPr>
          <w:rFonts w:hint="eastAsia" w:cs="Times New Roman"/>
          <w:color w:val="auto"/>
          <w:kern w:val="2"/>
          <w:sz w:val="24"/>
          <w:szCs w:val="24"/>
          <w:highlight w:val="none"/>
          <w:u w:val="none"/>
          <w:lang w:val="en-US" w:eastAsia="zh-CN" w:bidi="ar-SA"/>
        </w:rPr>
        <w:t>12</w:t>
      </w:r>
      <w:r>
        <w:rPr>
          <w:rFonts w:hint="eastAsia" w:ascii="Times New Roman" w:hAnsi="Times New Roman" w:eastAsia="宋体" w:cs="Times New Roman"/>
          <w:color w:val="auto"/>
          <w:kern w:val="2"/>
          <w:sz w:val="24"/>
          <w:szCs w:val="24"/>
          <w:highlight w:val="none"/>
          <w:u w:val="none"/>
          <w:lang w:val="en-US" w:eastAsia="zh-CN" w:bidi="ar-SA"/>
        </w:rPr>
        <w:t>m以内</w:t>
      </w:r>
      <w:r>
        <w:rPr>
          <w:rFonts w:ascii="Times New Roman" w:hAnsi="Times New Roman" w:eastAsia="宋体" w:cs="Times New Roman"/>
          <w:color w:val="auto"/>
          <w:kern w:val="2"/>
          <w:sz w:val="24"/>
          <w:szCs w:val="24"/>
          <w:highlight w:val="none"/>
          <w:u w:val="none"/>
          <w:lang w:val="en-US" w:eastAsia="zh-CN" w:bidi="ar-SA"/>
        </w:rPr>
        <w:t>，注意避让地表植被。</w:t>
      </w:r>
    </w:p>
    <w:p w14:paraId="16203FD9">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（3）合理规划工程占地，严格控制工程占地面积，对规划占地范围外的区域严禁机械及车辆进入，禁止乱轧乱碾，避免破坏自然植被，造成土地松动。</w:t>
      </w:r>
    </w:p>
    <w:p w14:paraId="47BE115F">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（4）管线施工时应根据地形条件，尽量按地形走向、起伏施工，减少挖填作业量。</w:t>
      </w:r>
    </w:p>
    <w:p w14:paraId="28E7ACDC">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（5）管沟回填后多余的土方禁止大量集中弃置，应均匀分散在管线中心两侧，并使管沟与周围自然地表形成平滑过渡，避免形成汇水环境，防止水土流失。</w:t>
      </w:r>
    </w:p>
    <w:p w14:paraId="49A0E1E0">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（6）严格落实环评所提环保措施，加强施工管理，杜绝废水固废乱堆乱排的现象，避免施工期废水、固废等对自然植被及土壤造成不良影响。</w:t>
      </w:r>
    </w:p>
    <w:p w14:paraId="2611908A">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（7）施工期充分利用现有道路，尽可能减少临时占地，降低对地表和植被的破坏，施工机械在不得在道路以外行驶和作业，保持地表不被扰动，不得随意取弃土。</w:t>
      </w:r>
    </w:p>
    <w:p w14:paraId="15BB80A5">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（8）加强野生动物保护，对施工人员进行宣传教育，禁止捕杀野生动物。</w:t>
      </w:r>
    </w:p>
    <w:p w14:paraId="41D3CB1B">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（9）结合实际完善水土保持方案并严格落实。施工期严格按规范作业，减少对土壤和植被的扰动和破坏，避免水土流失。</w:t>
      </w:r>
    </w:p>
    <w:p w14:paraId="6C301BEC">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（10）及时清理施工现场，做到“工完、料净、场地清”。</w:t>
      </w:r>
    </w:p>
    <w:p w14:paraId="49394F43">
      <w:pPr>
        <w:keepNext w:val="0"/>
        <w:keepLines w:val="0"/>
        <w:pageBreakBefore w:val="0"/>
        <w:kinsoku/>
        <w:wordWrap/>
        <w:overflowPunct/>
        <w:topLinePunct w:val="0"/>
        <w:autoSpaceDE/>
        <w:autoSpaceDN/>
        <w:bidi w:val="0"/>
        <w:snapToGrid/>
        <w:spacing w:line="480" w:lineRule="exact"/>
        <w:ind w:firstLine="480" w:firstLineChars="200"/>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（11）工程结束后，建设单位应承担恢复生态的责任，及时对临时占地区域进行平整、恢复原貌，使占地造成的影响逐步得以恢复。</w:t>
      </w:r>
    </w:p>
    <w:p w14:paraId="49B6C6A5">
      <w:pPr>
        <w:keepNext w:val="0"/>
        <w:keepLines w:val="0"/>
        <w:pageBreakBefore w:val="0"/>
        <w:kinsoku/>
        <w:wordWrap/>
        <w:overflowPunct/>
        <w:topLinePunct w:val="0"/>
        <w:autoSpaceDE/>
        <w:autoSpaceDN/>
        <w:bidi w:val="0"/>
        <w:snapToGrid/>
        <w:spacing w:line="480" w:lineRule="exact"/>
        <w:ind w:firstLine="480" w:firstLineChars="200"/>
        <w:textAlignment w:val="auto"/>
        <w:rPr>
          <w:rFonts w:hint="eastAsia" w:ascii="Times New Roman" w:hAnsi="Times New Roman" w:cs="Times New Roman"/>
          <w:b/>
          <w:color w:val="auto"/>
          <w:kern w:val="0"/>
          <w:sz w:val="24"/>
          <w:szCs w:val="22"/>
          <w:highlight w:val="none"/>
          <w:u w:val="none"/>
          <w:lang w:val="en-US" w:eastAsia="zh-CN"/>
        </w:rPr>
      </w:pPr>
      <w:r>
        <w:rPr>
          <w:rFonts w:ascii="Times New Roman" w:hAnsi="Times New Roman" w:eastAsia="宋体" w:cs="Times New Roman"/>
          <w:color w:val="auto"/>
          <w:kern w:val="2"/>
          <w:sz w:val="24"/>
          <w:szCs w:val="24"/>
          <w:highlight w:val="none"/>
          <w:u w:val="none"/>
          <w:lang w:val="en-US" w:eastAsia="zh-CN" w:bidi="ar-SA"/>
        </w:rPr>
        <w:t>（12）在沙地区域，管线施工结束后，在施工扰动区域采取草方格进行防沙治沙</w:t>
      </w:r>
      <w:r>
        <w:rPr>
          <w:rFonts w:hint="eastAsia" w:ascii="Times New Roman" w:hAnsi="Times New Roman" w:eastAsia="宋体" w:cs="Times New Roman"/>
          <w:color w:val="auto"/>
          <w:kern w:val="2"/>
          <w:sz w:val="24"/>
          <w:szCs w:val="24"/>
          <w:highlight w:val="none"/>
          <w:u w:val="none"/>
          <w:lang w:val="en-US" w:eastAsia="zh-CN" w:bidi="ar-SA"/>
        </w:rPr>
        <w:t>。</w:t>
      </w:r>
    </w:p>
    <w:p w14:paraId="501E4B76">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ascii="宋体" w:hAnsi="宋体" w:eastAsia="宋体" w:cs="宋体"/>
          <w:color w:val="auto"/>
          <w:u w:val="none"/>
          <w:lang w:val="en-US" w:eastAsia="zh-CN"/>
        </w:rPr>
      </w:pPr>
    </w:p>
    <w:p w14:paraId="7780F01B">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6.1.</w:t>
      </w:r>
      <w:r>
        <w:rPr>
          <w:rFonts w:hint="eastAsia" w:ascii="宋体" w:hAnsi="宋体" w:cs="宋体"/>
          <w:color w:val="auto"/>
          <w:u w:val="none"/>
          <w:lang w:val="en-US" w:eastAsia="zh-CN"/>
        </w:rPr>
        <w:t>1</w:t>
      </w:r>
      <w:r>
        <w:rPr>
          <w:rFonts w:hint="eastAsia" w:ascii="宋体" w:hAnsi="宋体" w:eastAsia="宋体" w:cs="宋体"/>
          <w:color w:val="auto"/>
          <w:u w:val="none"/>
          <w:lang w:val="en-US" w:eastAsia="zh-CN"/>
        </w:rPr>
        <w:t>.3 对评价区植被的生态保护措施</w:t>
      </w:r>
    </w:p>
    <w:p w14:paraId="2E82D8FA">
      <w:pPr>
        <w:keepNext w:val="0"/>
        <w:keepLines w:val="0"/>
        <w:pageBreakBefore w:val="0"/>
        <w:widowControl/>
        <w:numPr>
          <w:ilvl w:val="0"/>
          <w:numId w:val="0"/>
        </w:numPr>
        <w:kinsoku/>
        <w:wordWrap/>
        <w:overflowPunct/>
        <w:topLinePunct w:val="0"/>
        <w:autoSpaceDE/>
        <w:autoSpaceDN/>
        <w:bidi w:val="0"/>
        <w:adjustRightInd w:val="0"/>
        <w:snapToGrid/>
        <w:spacing w:line="480" w:lineRule="exact"/>
        <w:ind w:firstLine="480" w:firstLineChars="200"/>
        <w:jc w:val="both"/>
        <w:textAlignment w:val="auto"/>
        <w:rPr>
          <w:rFonts w:hint="eastAsia" w:ascii="Times New Roman" w:hAnsi="Times New Roman" w:cs="Times New Roman"/>
          <w:color w:val="auto"/>
          <w:kern w:val="0"/>
          <w:sz w:val="24"/>
          <w:szCs w:val="24"/>
          <w:highlight w:val="none"/>
          <w:u w:val="none"/>
          <w:lang w:val="en-US" w:eastAsia="zh-CN" w:bidi="ar"/>
        </w:rPr>
      </w:pPr>
      <w:r>
        <w:rPr>
          <w:rFonts w:hint="eastAsia" w:ascii="Times New Roman" w:hAnsi="Times New Roman" w:cs="Times New Roman"/>
          <w:color w:val="auto"/>
          <w:kern w:val="0"/>
          <w:sz w:val="24"/>
          <w:szCs w:val="24"/>
          <w:highlight w:val="none"/>
          <w:u w:val="none"/>
          <w:lang w:val="en-US" w:eastAsia="zh-CN" w:bidi="ar"/>
        </w:rPr>
        <w:t>（1）生态避让</w:t>
      </w:r>
    </w:p>
    <w:p w14:paraId="2F840832">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both"/>
        <w:textAlignment w:val="auto"/>
        <w:rPr>
          <w:rFonts w:ascii="Times New Roman" w:hAnsi="Times New Roman" w:cs="Times New Roman"/>
          <w:color w:val="auto"/>
          <w:kern w:val="0"/>
          <w:sz w:val="24"/>
          <w:szCs w:val="24"/>
          <w:highlight w:val="none"/>
          <w:u w:val="none"/>
          <w:lang w:bidi="ar"/>
        </w:rPr>
      </w:pPr>
      <w:r>
        <w:rPr>
          <w:rFonts w:hint="eastAsia" w:cs="Times New Roman"/>
          <w:color w:val="auto"/>
          <w:kern w:val="0"/>
          <w:sz w:val="24"/>
          <w:szCs w:val="24"/>
          <w:highlight w:val="none"/>
          <w:u w:val="none"/>
          <w:lang w:val="en-US" w:eastAsia="zh-CN" w:bidi="ar"/>
        </w:rPr>
        <w:t>1）</w:t>
      </w:r>
      <w:r>
        <w:rPr>
          <w:rFonts w:ascii="Times New Roman" w:hAnsi="Times New Roman" w:cs="Times New Roman"/>
          <w:color w:val="auto"/>
          <w:kern w:val="0"/>
          <w:sz w:val="24"/>
          <w:szCs w:val="24"/>
          <w:highlight w:val="none"/>
          <w:u w:val="none"/>
          <w:lang w:bidi="ar"/>
        </w:rPr>
        <w:t>合理选择管线走向，应避开植被茂盛的区段，尽量避免砍伐野生植物；管线敷设尽量取直，考虑管线距离最短。</w:t>
      </w:r>
    </w:p>
    <w:p w14:paraId="679F2C0D">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both"/>
        <w:textAlignment w:val="auto"/>
        <w:rPr>
          <w:rFonts w:ascii="Times New Roman" w:hAnsi="Times New Roman" w:cs="Times New Roman"/>
          <w:color w:val="auto"/>
          <w:kern w:val="0"/>
          <w:sz w:val="24"/>
          <w:szCs w:val="24"/>
          <w:highlight w:val="none"/>
          <w:u w:val="none"/>
          <w:lang w:bidi="ar"/>
        </w:rPr>
      </w:pPr>
      <w:r>
        <w:rPr>
          <w:rFonts w:hint="eastAsia" w:cs="Times New Roman"/>
          <w:color w:val="auto"/>
          <w:kern w:val="0"/>
          <w:sz w:val="24"/>
          <w:szCs w:val="24"/>
          <w:u w:val="none"/>
          <w:lang w:val="en-US" w:eastAsia="zh-CN" w:bidi="ar"/>
        </w:rPr>
        <w:t>2）井场</w:t>
      </w:r>
      <w:r>
        <w:rPr>
          <w:rFonts w:ascii="Times New Roman" w:hAnsi="Times New Roman" w:cs="Times New Roman"/>
          <w:color w:val="auto"/>
          <w:kern w:val="0"/>
          <w:sz w:val="24"/>
          <w:szCs w:val="24"/>
          <w:u w:val="none"/>
          <w:lang w:bidi="ar"/>
        </w:rPr>
        <w:t>建设选址尽量少占植被茂密的地块，尤其不得铲除保护植物。若无法进行避让，需对保护植物进行移植保护。同时，严格控制占地面积，以减少占地和保护野生植物</w:t>
      </w:r>
      <w:r>
        <w:rPr>
          <w:rFonts w:ascii="Times New Roman" w:hAnsi="Times New Roman" w:cs="Times New Roman"/>
          <w:color w:val="auto"/>
          <w:kern w:val="0"/>
          <w:sz w:val="24"/>
          <w:szCs w:val="24"/>
          <w:highlight w:val="none"/>
          <w:u w:val="none"/>
          <w:lang w:bidi="ar"/>
        </w:rPr>
        <w:t>。</w:t>
      </w:r>
    </w:p>
    <w:p w14:paraId="12BD24D4">
      <w:pPr>
        <w:keepNext w:val="0"/>
        <w:keepLines w:val="0"/>
        <w:pageBreakBefore w:val="0"/>
        <w:widowControl/>
        <w:kinsoku/>
        <w:wordWrap/>
        <w:overflowPunct/>
        <w:topLinePunct w:val="0"/>
        <w:autoSpaceDE/>
        <w:autoSpaceDN/>
        <w:bidi w:val="0"/>
        <w:adjustRightInd w:val="0"/>
        <w:snapToGrid/>
        <w:spacing w:line="480" w:lineRule="exact"/>
        <w:ind w:firstLine="456" w:firstLineChars="200"/>
        <w:jc w:val="both"/>
        <w:textAlignment w:val="auto"/>
        <w:rPr>
          <w:rFonts w:ascii="Times New Roman" w:hAnsi="Times New Roman" w:cs="Times New Roman"/>
          <w:color w:val="auto"/>
          <w:kern w:val="0"/>
          <w:sz w:val="24"/>
          <w:szCs w:val="24"/>
          <w:highlight w:val="none"/>
          <w:u w:val="none"/>
          <w:lang w:bidi="ar"/>
        </w:rPr>
      </w:pPr>
      <w:r>
        <w:rPr>
          <w:rFonts w:hint="eastAsia" w:cs="Times New Roman"/>
          <w:color w:val="auto"/>
          <w:spacing w:val="-6"/>
          <w:kern w:val="0"/>
          <w:sz w:val="24"/>
          <w:szCs w:val="24"/>
          <w:highlight w:val="none"/>
          <w:u w:val="none"/>
          <w:lang w:val="en-US" w:eastAsia="zh-CN" w:bidi="ar"/>
        </w:rPr>
        <w:t>3）</w:t>
      </w:r>
      <w:r>
        <w:rPr>
          <w:rFonts w:ascii="Times New Roman" w:hAnsi="Times New Roman" w:cs="Times New Roman"/>
          <w:color w:val="auto"/>
          <w:spacing w:val="-6"/>
          <w:kern w:val="0"/>
          <w:sz w:val="24"/>
          <w:szCs w:val="24"/>
          <w:u w:val="none"/>
          <w:lang w:bidi="ar"/>
        </w:rPr>
        <w:t>管线施工应严格限定施工范围，确定作业路线，不得随意改线。管线施工若遇到保护植物应当采取避让的措施，若无法进行避让，需对保护植物进行移植保护</w:t>
      </w:r>
      <w:r>
        <w:rPr>
          <w:rFonts w:ascii="Times New Roman" w:hAnsi="Times New Roman" w:cs="Times New Roman"/>
          <w:color w:val="auto"/>
          <w:spacing w:val="-6"/>
          <w:kern w:val="0"/>
          <w:sz w:val="24"/>
          <w:szCs w:val="24"/>
          <w:highlight w:val="none"/>
          <w:u w:val="none"/>
          <w:lang w:bidi="ar"/>
        </w:rPr>
        <w:t>。</w:t>
      </w:r>
    </w:p>
    <w:p w14:paraId="6AB213F1">
      <w:pPr>
        <w:keepNext w:val="0"/>
        <w:keepLines w:val="0"/>
        <w:pageBreakBefore w:val="0"/>
        <w:widowControl/>
        <w:numPr>
          <w:ilvl w:val="0"/>
          <w:numId w:val="0"/>
        </w:numPr>
        <w:kinsoku/>
        <w:wordWrap/>
        <w:overflowPunct/>
        <w:topLinePunct w:val="0"/>
        <w:autoSpaceDE/>
        <w:autoSpaceDN/>
        <w:bidi w:val="0"/>
        <w:adjustRightInd w:val="0"/>
        <w:snapToGrid/>
        <w:spacing w:line="480" w:lineRule="exact"/>
        <w:ind w:leftChars="200" w:firstLine="480" w:firstLineChars="200"/>
        <w:jc w:val="both"/>
        <w:textAlignment w:val="auto"/>
        <w:rPr>
          <w:rFonts w:hint="eastAsia" w:ascii="Times New Roman" w:hAnsi="Times New Roman" w:eastAsia="宋体" w:cs="Times New Roman"/>
          <w:color w:val="auto"/>
          <w:kern w:val="0"/>
          <w:sz w:val="24"/>
          <w:szCs w:val="24"/>
          <w:u w:val="none"/>
          <w:lang w:val="en-US" w:eastAsia="zh-CN" w:bidi="ar"/>
        </w:rPr>
      </w:pPr>
      <w:r>
        <w:rPr>
          <w:rFonts w:hint="eastAsia" w:ascii="Times New Roman" w:hAnsi="Times New Roman" w:cs="Times New Roman"/>
          <w:color w:val="auto"/>
          <w:kern w:val="0"/>
          <w:sz w:val="24"/>
          <w:szCs w:val="24"/>
          <w:u w:val="none"/>
          <w:lang w:val="en-US" w:eastAsia="zh-CN" w:bidi="ar"/>
        </w:rPr>
        <w:t>（2）</w:t>
      </w:r>
      <w:r>
        <w:rPr>
          <w:rFonts w:hint="eastAsia" w:ascii="Times New Roman" w:hAnsi="Times New Roman" w:eastAsia="宋体" w:cs="Times New Roman"/>
          <w:color w:val="auto"/>
          <w:kern w:val="0"/>
          <w:sz w:val="24"/>
          <w:szCs w:val="24"/>
          <w:u w:val="none"/>
          <w:lang w:val="en-US" w:eastAsia="zh-CN" w:bidi="ar"/>
        </w:rPr>
        <w:t>生态防护</w:t>
      </w:r>
    </w:p>
    <w:p w14:paraId="3F51BDE4">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u w:val="none"/>
          <w:lang w:val="en-US" w:eastAsia="zh-CN" w:bidi="ar"/>
        </w:rPr>
      </w:pPr>
      <w:r>
        <w:rPr>
          <w:rFonts w:hint="eastAsia" w:cs="Times New Roman"/>
          <w:color w:val="auto"/>
          <w:kern w:val="0"/>
          <w:sz w:val="24"/>
          <w:szCs w:val="24"/>
          <w:u w:val="none"/>
          <w:lang w:val="en-US" w:eastAsia="zh-CN" w:bidi="ar"/>
        </w:rPr>
        <w:t>1）</w:t>
      </w:r>
      <w:r>
        <w:rPr>
          <w:rFonts w:hint="eastAsia" w:ascii="Times New Roman" w:hAnsi="Times New Roman" w:eastAsia="宋体" w:cs="Times New Roman"/>
          <w:color w:val="auto"/>
          <w:kern w:val="0"/>
          <w:sz w:val="24"/>
          <w:szCs w:val="24"/>
          <w:u w:val="none"/>
          <w:lang w:val="en-US" w:eastAsia="zh-CN" w:bidi="ar"/>
        </w:rPr>
        <w:t>管线施工范围应严格限制在</w:t>
      </w:r>
      <w:r>
        <w:rPr>
          <w:rFonts w:hint="eastAsia" w:cs="Times New Roman"/>
          <w:color w:val="auto"/>
          <w:kern w:val="2"/>
          <w:sz w:val="24"/>
          <w:szCs w:val="24"/>
          <w:highlight w:val="none"/>
          <w:u w:val="none"/>
          <w:lang w:val="en-US" w:eastAsia="zh-CN" w:bidi="ar-SA"/>
        </w:rPr>
        <w:t>12</w:t>
      </w:r>
      <w:r>
        <w:rPr>
          <w:rFonts w:hint="eastAsia" w:ascii="Times New Roman" w:hAnsi="Times New Roman" w:eastAsia="宋体" w:cs="Times New Roman"/>
          <w:color w:val="auto"/>
          <w:kern w:val="2"/>
          <w:sz w:val="24"/>
          <w:szCs w:val="24"/>
          <w:highlight w:val="none"/>
          <w:u w:val="none"/>
          <w:lang w:val="en-US" w:eastAsia="zh-CN" w:bidi="ar-SA"/>
        </w:rPr>
        <w:t>m</w:t>
      </w:r>
      <w:r>
        <w:rPr>
          <w:rFonts w:hint="eastAsia" w:ascii="Times New Roman" w:hAnsi="Times New Roman" w:eastAsia="宋体" w:cs="Times New Roman"/>
          <w:color w:val="auto"/>
          <w:kern w:val="0"/>
          <w:sz w:val="24"/>
          <w:szCs w:val="24"/>
          <w:u w:val="none"/>
          <w:lang w:val="en-US" w:eastAsia="zh-CN" w:bidi="ar"/>
        </w:rPr>
        <w:t>范围内。施工机械和车辆应严格按规定在设计场地及便道上作业和行驶，防止扩大对土壤和植被的破坏范围。在保证顺利施工的前提下，应尽可能缩小施工作业宽度，以减少临时占地影响，将施工期对环境不利影响降到最低限度。</w:t>
      </w:r>
    </w:p>
    <w:p w14:paraId="71C16E9F">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both"/>
        <w:textAlignment w:val="auto"/>
        <w:rPr>
          <w:rFonts w:hint="eastAsia" w:ascii="Times New Roman" w:hAnsi="Times New Roman" w:eastAsia="宋体" w:cs="Times New Roman"/>
          <w:b w:val="0"/>
          <w:color w:val="auto"/>
          <w:kern w:val="0"/>
          <w:sz w:val="24"/>
          <w:szCs w:val="24"/>
          <w:u w:val="none"/>
          <w:lang w:val="en-US" w:eastAsia="zh-CN" w:bidi="ar"/>
        </w:rPr>
      </w:pPr>
      <w:r>
        <w:rPr>
          <w:rFonts w:hint="eastAsia" w:cs="Times New Roman"/>
          <w:b w:val="0"/>
          <w:color w:val="auto"/>
          <w:kern w:val="0"/>
          <w:sz w:val="24"/>
          <w:szCs w:val="24"/>
          <w:u w:val="none"/>
          <w:lang w:val="en-US" w:eastAsia="zh-CN" w:bidi="ar"/>
        </w:rPr>
        <w:t>2）</w:t>
      </w:r>
      <w:r>
        <w:rPr>
          <w:rFonts w:hint="eastAsia" w:ascii="Times New Roman" w:hAnsi="Times New Roman" w:eastAsia="宋体" w:cs="Times New Roman"/>
          <w:b w:val="0"/>
          <w:color w:val="auto"/>
          <w:kern w:val="0"/>
          <w:sz w:val="24"/>
          <w:szCs w:val="24"/>
          <w:u w:val="none"/>
          <w:lang w:val="en-US" w:eastAsia="zh-CN" w:bidi="ar"/>
        </w:rPr>
        <w:t>在施工便道设置“保护生态环境、保护野生动植物”等警示牌，并从管理上对施工作业人员加强宣传教育，切实提高保护生态环境的意识。</w:t>
      </w:r>
    </w:p>
    <w:p w14:paraId="7A044F74">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both"/>
        <w:textAlignment w:val="auto"/>
        <w:rPr>
          <w:rFonts w:ascii="Times New Roman" w:hAnsi="Times New Roman" w:cs="Times New Roman"/>
          <w:color w:val="auto"/>
          <w:kern w:val="0"/>
          <w:sz w:val="24"/>
          <w:szCs w:val="24"/>
          <w:u w:val="none"/>
          <w:lang w:bidi="ar"/>
        </w:rPr>
      </w:pPr>
      <w:r>
        <w:rPr>
          <w:rFonts w:hint="eastAsia" w:cs="Times New Roman"/>
          <w:color w:val="auto"/>
          <w:kern w:val="0"/>
          <w:sz w:val="24"/>
          <w:szCs w:val="24"/>
          <w:u w:val="none"/>
          <w:lang w:val="en-US" w:eastAsia="zh-CN" w:bidi="ar"/>
        </w:rPr>
        <w:t>3）</w:t>
      </w:r>
      <w:r>
        <w:rPr>
          <w:rFonts w:ascii="Times New Roman" w:hAnsi="Times New Roman" w:cs="Times New Roman"/>
          <w:color w:val="auto"/>
          <w:kern w:val="0"/>
          <w:sz w:val="24"/>
          <w:szCs w:val="24"/>
          <w:u w:val="none"/>
          <w:lang w:bidi="ar"/>
        </w:rPr>
        <w:t>注意施工后的地表修复，管道回填时，应注意尽量恢复原有紧实度，或留足适宜的堆积层，防止因降水造成地表下陷形成积水洼地。管道回填后应注意恢复原有地表的平整度。</w:t>
      </w:r>
    </w:p>
    <w:p w14:paraId="6F000062">
      <w:pPr>
        <w:keepNext w:val="0"/>
        <w:keepLines w:val="0"/>
        <w:pageBreakBefore w:val="0"/>
        <w:widowControl/>
        <w:kinsoku/>
        <w:wordWrap/>
        <w:overflowPunct/>
        <w:topLinePunct w:val="0"/>
        <w:autoSpaceDE/>
        <w:autoSpaceDN/>
        <w:bidi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lang w:val="en-US" w:eastAsia="zh-CN" w:bidi="ar"/>
        </w:rPr>
      </w:pPr>
      <w:r>
        <w:rPr>
          <w:rFonts w:hint="eastAsia" w:cs="Times New Roman"/>
          <w:color w:val="auto"/>
          <w:kern w:val="0"/>
          <w:sz w:val="24"/>
          <w:szCs w:val="24"/>
          <w:u w:val="none"/>
          <w:lang w:val="en-US" w:eastAsia="zh-CN" w:bidi="ar"/>
        </w:rPr>
        <w:t>4）</w:t>
      </w:r>
      <w:r>
        <w:rPr>
          <w:rFonts w:hint="eastAsia" w:ascii="宋体" w:hAnsi="宋体" w:cs="宋体"/>
          <w:color w:val="auto"/>
          <w:kern w:val="0"/>
          <w:sz w:val="24"/>
          <w:szCs w:val="24"/>
          <w:highlight w:val="none"/>
          <w:u w:val="none"/>
        </w:rPr>
        <w:t>充分利用区域现有道路，施工机械和车辆应严格按照规定路线行驶，禁止随意开辟道路，防止扩大土壤和植被的破坏范围。</w:t>
      </w:r>
    </w:p>
    <w:p w14:paraId="7760E821">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both"/>
        <w:textAlignment w:val="auto"/>
        <w:rPr>
          <w:rFonts w:hint="eastAsia" w:ascii="宋体" w:hAnsi="宋体" w:cs="宋体"/>
          <w:color w:val="auto"/>
          <w:kern w:val="0"/>
          <w:sz w:val="24"/>
          <w:szCs w:val="24"/>
          <w:highlight w:val="none"/>
          <w:u w:val="none"/>
        </w:rPr>
      </w:pPr>
      <w:r>
        <w:rPr>
          <w:rFonts w:hint="eastAsia" w:cs="Times New Roman"/>
          <w:color w:val="auto"/>
          <w:kern w:val="0"/>
          <w:sz w:val="24"/>
          <w:szCs w:val="24"/>
          <w:u w:val="none"/>
          <w:lang w:val="en-US" w:eastAsia="zh-CN" w:bidi="ar"/>
        </w:rPr>
        <w:t>5）</w:t>
      </w:r>
      <w:r>
        <w:rPr>
          <w:rFonts w:hint="eastAsia" w:ascii="宋体" w:hAnsi="宋体" w:cs="宋体"/>
          <w:color w:val="auto"/>
          <w:kern w:val="0"/>
          <w:sz w:val="24"/>
          <w:szCs w:val="24"/>
          <w:highlight w:val="none"/>
          <w:u w:val="none"/>
        </w:rPr>
        <w:t>施工中应严格按照环境管理要求，土方作业应避开大风天气；施工后期，及时做好施工迹地的清理工作。做好施工后期的迹地恢复工作，包括土地平整，创造局部小环境以利于植被的恢复等。</w:t>
      </w:r>
    </w:p>
    <w:p w14:paraId="7D542443">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u w:val="none"/>
          <w:lang w:val="en-US" w:eastAsia="zh-CN" w:bidi="ar"/>
        </w:rPr>
      </w:pPr>
      <w:r>
        <w:rPr>
          <w:rFonts w:hint="eastAsia" w:cs="Times New Roman"/>
          <w:color w:val="auto"/>
          <w:kern w:val="0"/>
          <w:sz w:val="24"/>
          <w:szCs w:val="24"/>
          <w:u w:val="none"/>
          <w:lang w:val="en-US" w:eastAsia="zh-CN" w:bidi="ar"/>
        </w:rPr>
        <w:t>6）</w:t>
      </w:r>
      <w:r>
        <w:rPr>
          <w:rFonts w:hint="default" w:ascii="Times New Roman" w:hAnsi="Times New Roman" w:cs="Times New Roman"/>
          <w:color w:val="auto"/>
          <w:kern w:val="0"/>
          <w:sz w:val="24"/>
          <w:szCs w:val="24"/>
          <w:highlight w:val="none"/>
          <w:u w:val="none"/>
          <w:lang w:val="en-US" w:eastAsia="zh-CN" w:bidi="ar"/>
        </w:rPr>
        <w:t>尽量减少对动植物的伤害和生境占用。工程建设区域如发现重点保护野生植物、特有植物等，需进行就地或迁地保护，并加强观测，具备移栽条件、长势较好的尽量全部移栽。</w:t>
      </w:r>
    </w:p>
    <w:p w14:paraId="1BC6DF08">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ascii="Times New Roman" w:hAnsi="Times New Roman" w:cs="Times New Roman"/>
          <w:color w:val="auto"/>
          <w:kern w:val="0"/>
          <w:sz w:val="24"/>
          <w:szCs w:val="24"/>
          <w:highlight w:val="none"/>
          <w:u w:val="none"/>
          <w:lang w:bidi="ar"/>
        </w:rPr>
        <w:t>（</w:t>
      </w:r>
      <w:r>
        <w:rPr>
          <w:rFonts w:hint="eastAsia" w:ascii="Times New Roman" w:hAnsi="Times New Roman" w:cs="Times New Roman"/>
          <w:color w:val="auto"/>
          <w:kern w:val="0"/>
          <w:sz w:val="24"/>
          <w:szCs w:val="24"/>
          <w:highlight w:val="none"/>
          <w:u w:val="none"/>
          <w:lang w:val="en-US" w:eastAsia="zh-CN" w:bidi="ar"/>
        </w:rPr>
        <w:t>3</w:t>
      </w:r>
      <w:r>
        <w:rPr>
          <w:rFonts w:ascii="Times New Roman" w:hAnsi="Times New Roman" w:cs="Times New Roman"/>
          <w:color w:val="auto"/>
          <w:kern w:val="0"/>
          <w:sz w:val="24"/>
          <w:szCs w:val="24"/>
          <w:highlight w:val="none"/>
          <w:u w:val="none"/>
          <w:lang w:bidi="ar"/>
        </w:rPr>
        <w:t>）</w:t>
      </w:r>
      <w:r>
        <w:rPr>
          <w:rFonts w:hint="eastAsia" w:ascii="Times New Roman" w:hAnsi="Times New Roman" w:cs="Times New Roman"/>
          <w:color w:val="auto"/>
          <w:kern w:val="0"/>
          <w:sz w:val="24"/>
          <w:szCs w:val="24"/>
          <w:highlight w:val="none"/>
          <w:u w:val="none"/>
          <w:lang w:val="en-US" w:eastAsia="zh-CN" w:bidi="ar"/>
        </w:rPr>
        <w:t>生态恢复</w:t>
      </w:r>
    </w:p>
    <w:p w14:paraId="7B964EC8">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
        </w:rPr>
      </w:pPr>
      <w:r>
        <w:rPr>
          <w:rFonts w:hint="eastAsia" w:ascii="宋体" w:hAnsi="宋体" w:cs="宋体"/>
          <w:color w:val="auto"/>
          <w:kern w:val="0"/>
          <w:sz w:val="24"/>
          <w:szCs w:val="24"/>
          <w:highlight w:val="none"/>
          <w:u w:val="none"/>
          <w:lang w:val="en-US" w:eastAsia="zh-CN" w:bidi="ar-SA"/>
        </w:rPr>
        <w:t>1）</w:t>
      </w:r>
      <w:r>
        <w:rPr>
          <w:rFonts w:hint="eastAsia" w:ascii="宋体" w:hAnsi="宋体" w:eastAsia="宋体" w:cs="宋体"/>
          <w:color w:val="auto"/>
          <w:kern w:val="0"/>
          <w:sz w:val="24"/>
          <w:szCs w:val="24"/>
          <w:highlight w:val="none"/>
          <w:u w:val="none"/>
          <w:lang w:val="en-US" w:eastAsia="zh-CN" w:bidi="ar-SA"/>
        </w:rPr>
        <w:t>工程结束后，建设单位应承担恢复生态的责任；</w:t>
      </w:r>
    </w:p>
    <w:p w14:paraId="1BB72367">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eastAsia" w:cs="Times New Roman"/>
          <w:color w:val="auto"/>
          <w:kern w:val="0"/>
          <w:sz w:val="24"/>
          <w:szCs w:val="24"/>
          <w:highlight w:val="none"/>
          <w:u w:val="none"/>
          <w:lang w:val="en-US" w:eastAsia="zh-CN" w:bidi="ar"/>
        </w:rPr>
        <w:t>2）</w:t>
      </w:r>
      <w:r>
        <w:rPr>
          <w:rFonts w:hint="eastAsia" w:ascii="Times New Roman" w:hAnsi="Times New Roman" w:eastAsia="宋体" w:cs="Times New Roman"/>
          <w:color w:val="auto"/>
          <w:kern w:val="0"/>
          <w:sz w:val="24"/>
          <w:szCs w:val="24"/>
          <w:highlight w:val="none"/>
          <w:u w:val="none"/>
          <w:lang w:val="en-US" w:eastAsia="zh-CN" w:bidi="ar"/>
        </w:rPr>
        <w:t>在施工区域局部有植被分布，须先将原表层土集中分层堆放，待施工完毕后，在临时占地区域对地表土层进行恢复，达到植被生长所需生境；</w:t>
      </w:r>
    </w:p>
    <w:p w14:paraId="3601C1BA">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56"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eastAsia" w:cs="Times New Roman"/>
          <w:color w:val="auto"/>
          <w:spacing w:val="-6"/>
          <w:kern w:val="0"/>
          <w:sz w:val="24"/>
          <w:szCs w:val="24"/>
          <w:highlight w:val="none"/>
          <w:u w:val="none"/>
          <w:lang w:val="en-US" w:eastAsia="zh-CN" w:bidi="ar"/>
        </w:rPr>
        <w:t>3）</w:t>
      </w:r>
      <w:r>
        <w:rPr>
          <w:rFonts w:hint="eastAsia" w:ascii="Times New Roman" w:hAnsi="Times New Roman" w:eastAsia="宋体" w:cs="Times New Roman"/>
          <w:color w:val="auto"/>
          <w:spacing w:val="-6"/>
          <w:kern w:val="0"/>
          <w:sz w:val="24"/>
          <w:szCs w:val="24"/>
          <w:highlight w:val="none"/>
          <w:u w:val="none"/>
          <w:lang w:val="en-US" w:eastAsia="zh-CN" w:bidi="ar-SA"/>
        </w:rPr>
        <w:t>施工占地区域土层上部的保护层稳态发生变化，加之区域风力、水力作用较大，土质极易流失，应在临时占地区域进行平整压实，以避免区域生态环境恶化；</w:t>
      </w:r>
    </w:p>
    <w:p w14:paraId="7D7BBE94">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eastAsia" w:cs="Times New Roman"/>
          <w:color w:val="auto"/>
          <w:kern w:val="0"/>
          <w:sz w:val="24"/>
          <w:szCs w:val="24"/>
          <w:highlight w:val="none"/>
          <w:u w:val="none"/>
          <w:lang w:val="en-US" w:eastAsia="zh-CN" w:bidi="ar-SA"/>
        </w:rPr>
        <w:t>4）</w:t>
      </w:r>
      <w:r>
        <w:rPr>
          <w:rFonts w:hint="eastAsia" w:ascii="Times New Roman" w:hAnsi="Times New Roman" w:eastAsia="宋体" w:cs="Times New Roman"/>
          <w:color w:val="auto"/>
          <w:kern w:val="0"/>
          <w:sz w:val="24"/>
          <w:szCs w:val="24"/>
          <w:highlight w:val="none"/>
          <w:u w:val="none"/>
          <w:lang w:val="en-US" w:eastAsia="zh-CN" w:bidi="ar-SA"/>
        </w:rPr>
        <w:t>项目用地扰动区域须保护区域生态系统，并根据扰动区域土质情况因地制宜进行修复，减小项目实施对区域生态环境功能的不利影响。</w:t>
      </w:r>
    </w:p>
    <w:p w14:paraId="5405296E">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eastAsia" w:ascii="Times New Roman" w:hAnsi="Times New Roman" w:eastAsia="宋体" w:cs="Times New Roman"/>
          <w:color w:val="auto"/>
          <w:kern w:val="0"/>
          <w:sz w:val="24"/>
          <w:szCs w:val="24"/>
          <w:highlight w:val="none"/>
          <w:u w:val="none"/>
          <w:lang w:val="en-US" w:eastAsia="zh-CN" w:bidi="ar"/>
        </w:rPr>
        <w:t>（4）生态补偿</w:t>
      </w:r>
    </w:p>
    <w:p w14:paraId="08E84E37">
      <w:pPr>
        <w:keepNext w:val="0"/>
        <w:keepLines w:val="0"/>
        <w:pageBreakBefore w:val="0"/>
        <w:widowControl/>
        <w:kinsoku/>
        <w:wordWrap/>
        <w:overflowPunct/>
        <w:topLinePunct w:val="0"/>
        <w:autoSpaceDE/>
        <w:autoSpaceDN/>
        <w:bidi w:val="0"/>
        <w:snapToGrid/>
        <w:spacing w:line="480" w:lineRule="exact"/>
        <w:ind w:firstLine="480" w:firstLineChars="200"/>
        <w:jc w:val="left"/>
        <w:textAlignment w:val="auto"/>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本工程占用沙地，占地征用及补偿应按照地方有关工程征地及补偿要求进行，由土地管理部门许可后方可开工建设。工程结束后，建设单位还应承担恢复生态的责任。</w:t>
      </w:r>
    </w:p>
    <w:p w14:paraId="1D63F458">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6.1.</w:t>
      </w:r>
      <w:r>
        <w:rPr>
          <w:rFonts w:hint="eastAsia" w:ascii="宋体" w:hAnsi="宋体" w:cs="宋体"/>
          <w:color w:val="auto"/>
          <w:u w:val="none"/>
          <w:lang w:val="en-US" w:eastAsia="zh-CN"/>
        </w:rPr>
        <w:t>1</w:t>
      </w:r>
      <w:r>
        <w:rPr>
          <w:rFonts w:hint="eastAsia" w:ascii="宋体" w:hAnsi="宋体" w:eastAsia="宋体" w:cs="宋体"/>
          <w:color w:val="auto"/>
          <w:u w:val="none"/>
          <w:lang w:val="en-US" w:eastAsia="zh-CN"/>
        </w:rPr>
        <w:t>.4 对野生动物的生态保护措施</w:t>
      </w:r>
    </w:p>
    <w:p w14:paraId="405AA0E4">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
        </w:rPr>
      </w:pPr>
      <w:r>
        <w:rPr>
          <w:rFonts w:hint="eastAsia" w:ascii="Times New Roman" w:hAnsi="Times New Roman" w:eastAsia="宋体" w:cs="Times New Roman"/>
          <w:color w:val="auto"/>
          <w:kern w:val="0"/>
          <w:sz w:val="24"/>
          <w:szCs w:val="24"/>
          <w:highlight w:val="none"/>
          <w:u w:val="none"/>
          <w:lang w:val="en-US" w:eastAsia="zh-CN" w:bidi="ar"/>
        </w:rPr>
        <w:t>（1）在施工便道设置“保护生态环境、保护野生动植物”等警示牌，并从管理上对施工作业人员加强宣传教育，切实提高保护生态环境的意识。车辆行驶过程中不得鸣笛惊吓野生动物。</w:t>
      </w:r>
    </w:p>
    <w:p w14:paraId="283E81B8">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
        </w:rPr>
      </w:pPr>
      <w:r>
        <w:rPr>
          <w:rFonts w:hint="eastAsia" w:ascii="Times New Roman" w:hAnsi="Times New Roman" w:eastAsia="宋体" w:cs="Times New Roman"/>
          <w:color w:val="auto"/>
          <w:kern w:val="0"/>
          <w:sz w:val="24"/>
          <w:szCs w:val="24"/>
          <w:highlight w:val="none"/>
          <w:u w:val="none"/>
          <w:lang w:val="en-US" w:eastAsia="zh-CN" w:bidi="ar"/>
        </w:rPr>
        <w:t>（2）工程建设区域如发现重点保护野生动物的，须及时保护其生境不被破坏，并重新提出相应优化工程施工方案及运行方式，实施物种救护，划定生境保护区域，开展生境保护和修复，构建活动廊道或建设食源地等。</w:t>
      </w:r>
    </w:p>
    <w:p w14:paraId="359414E5">
      <w:pPr>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
        </w:rPr>
      </w:pPr>
      <w:r>
        <w:rPr>
          <w:rFonts w:hint="eastAsia" w:ascii="Times New Roman" w:hAnsi="Times New Roman" w:eastAsia="宋体" w:cs="Times New Roman"/>
          <w:color w:val="auto"/>
          <w:kern w:val="0"/>
          <w:sz w:val="24"/>
          <w:szCs w:val="24"/>
          <w:highlight w:val="none"/>
          <w:u w:val="none"/>
          <w:lang w:val="en-US" w:eastAsia="zh-CN" w:bidi="ar"/>
        </w:rPr>
        <w:t>（3）工程建设过程中应防止施工噪声、灯光等对动物造成不利影响，高噪声及强光区域应做降噪遮光等防护措施</w:t>
      </w:r>
      <w:r>
        <w:rPr>
          <w:rFonts w:hint="default" w:ascii="Times New Roman" w:hAnsi="Times New Roman" w:eastAsia="宋体" w:cs="Times New Roman"/>
          <w:color w:val="auto"/>
          <w:kern w:val="0"/>
          <w:sz w:val="24"/>
          <w:szCs w:val="24"/>
          <w:highlight w:val="none"/>
          <w:u w:val="none"/>
          <w:lang w:val="en-US" w:eastAsia="zh-CN" w:bidi="ar"/>
        </w:rPr>
        <w:t>。</w:t>
      </w:r>
    </w:p>
    <w:p w14:paraId="624F7D4B">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6.1.</w:t>
      </w:r>
      <w:r>
        <w:rPr>
          <w:rFonts w:hint="eastAsia" w:ascii="宋体" w:hAnsi="宋体" w:cs="宋体"/>
          <w:color w:val="auto"/>
          <w:u w:val="none"/>
          <w:lang w:val="en-US" w:eastAsia="zh-CN"/>
        </w:rPr>
        <w:t>1</w:t>
      </w:r>
      <w:r>
        <w:rPr>
          <w:rFonts w:hint="eastAsia" w:ascii="宋体" w:hAnsi="宋体" w:eastAsia="宋体" w:cs="宋体"/>
          <w:color w:val="auto"/>
          <w:u w:val="none"/>
          <w:lang w:val="en-US" w:eastAsia="zh-CN"/>
        </w:rPr>
        <w:t>.5 自然景观保护措施</w:t>
      </w:r>
    </w:p>
    <w:p w14:paraId="0C82A2F2">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eastAsia" w:ascii="Times New Roman" w:hAnsi="Times New Roman" w:eastAsia="宋体" w:cs="Times New Roman"/>
          <w:color w:val="auto"/>
          <w:kern w:val="0"/>
          <w:sz w:val="24"/>
          <w:szCs w:val="24"/>
          <w:highlight w:val="none"/>
          <w:u w:val="none"/>
          <w:lang w:val="en-US" w:eastAsia="zh-CN" w:bidi="ar"/>
        </w:rPr>
        <w:t>本工程位于油</w:t>
      </w:r>
      <w:r>
        <w:rPr>
          <w:rFonts w:hint="eastAsia" w:cs="Times New Roman"/>
          <w:color w:val="auto"/>
          <w:kern w:val="0"/>
          <w:sz w:val="24"/>
          <w:szCs w:val="24"/>
          <w:highlight w:val="none"/>
          <w:u w:val="none"/>
          <w:lang w:val="en-US" w:eastAsia="zh-CN" w:bidi="ar"/>
        </w:rPr>
        <w:t>气</w:t>
      </w:r>
      <w:r>
        <w:rPr>
          <w:rFonts w:hint="eastAsia" w:ascii="Times New Roman" w:hAnsi="Times New Roman" w:eastAsia="宋体" w:cs="Times New Roman"/>
          <w:color w:val="auto"/>
          <w:kern w:val="0"/>
          <w:sz w:val="24"/>
          <w:szCs w:val="24"/>
          <w:highlight w:val="none"/>
          <w:u w:val="none"/>
          <w:lang w:val="en-US" w:eastAsia="zh-CN" w:bidi="ar"/>
        </w:rPr>
        <w:t>田</w:t>
      </w:r>
      <w:r>
        <w:rPr>
          <w:rFonts w:hint="default" w:ascii="Times New Roman" w:hAnsi="Times New Roman" w:eastAsia="宋体" w:cs="Times New Roman"/>
          <w:color w:val="auto"/>
          <w:kern w:val="0"/>
          <w:sz w:val="24"/>
          <w:szCs w:val="24"/>
          <w:highlight w:val="none"/>
          <w:u w:val="none"/>
          <w:lang w:val="en-US" w:eastAsia="zh-CN" w:bidi="ar"/>
        </w:rPr>
        <w:t>开发区</w:t>
      </w:r>
      <w:r>
        <w:rPr>
          <w:rFonts w:hint="eastAsia" w:ascii="Times New Roman" w:hAnsi="Times New Roman" w:eastAsia="宋体" w:cs="Times New Roman"/>
          <w:color w:val="auto"/>
          <w:kern w:val="0"/>
          <w:sz w:val="24"/>
          <w:szCs w:val="24"/>
          <w:highlight w:val="none"/>
          <w:u w:val="none"/>
          <w:lang w:val="en-US" w:eastAsia="zh-CN" w:bidi="ar"/>
        </w:rPr>
        <w:t>，</w:t>
      </w:r>
      <w:r>
        <w:rPr>
          <w:rFonts w:hint="default" w:ascii="Times New Roman" w:hAnsi="Times New Roman" w:eastAsia="宋体" w:cs="Times New Roman"/>
          <w:color w:val="auto"/>
          <w:kern w:val="0"/>
          <w:sz w:val="24"/>
          <w:szCs w:val="24"/>
          <w:highlight w:val="none"/>
          <w:u w:val="none"/>
          <w:lang w:val="en-US" w:eastAsia="zh-CN" w:bidi="ar"/>
        </w:rPr>
        <w:t>以荒漠生态景观为主。荒漠生态景观稳定性较差，异质化程度低，生态体系的稳定性和必要的抵御干扰的柔韧性差。</w:t>
      </w:r>
      <w:r>
        <w:rPr>
          <w:rFonts w:hint="eastAsia" w:ascii="Times New Roman" w:hAnsi="Times New Roman" w:eastAsia="宋体" w:cs="Times New Roman"/>
          <w:color w:val="auto"/>
          <w:kern w:val="0"/>
          <w:sz w:val="24"/>
          <w:szCs w:val="24"/>
          <w:highlight w:val="none"/>
          <w:u w:val="none"/>
          <w:lang w:val="en-US" w:eastAsia="zh-CN" w:bidi="ar"/>
        </w:rPr>
        <w:t>油</w:t>
      </w:r>
      <w:r>
        <w:rPr>
          <w:rFonts w:hint="eastAsia" w:cs="Times New Roman"/>
          <w:color w:val="auto"/>
          <w:kern w:val="0"/>
          <w:sz w:val="24"/>
          <w:szCs w:val="24"/>
          <w:highlight w:val="none"/>
          <w:u w:val="none"/>
          <w:lang w:val="en-US" w:eastAsia="zh-CN" w:bidi="ar"/>
        </w:rPr>
        <w:t>气</w:t>
      </w:r>
      <w:r>
        <w:rPr>
          <w:rFonts w:hint="eastAsia" w:ascii="Times New Roman" w:hAnsi="Times New Roman" w:eastAsia="宋体" w:cs="Times New Roman"/>
          <w:color w:val="auto"/>
          <w:kern w:val="0"/>
          <w:sz w:val="24"/>
          <w:szCs w:val="24"/>
          <w:highlight w:val="none"/>
          <w:u w:val="none"/>
          <w:lang w:val="en-US" w:eastAsia="zh-CN" w:bidi="ar"/>
        </w:rPr>
        <w:t>田</w:t>
      </w:r>
      <w:r>
        <w:rPr>
          <w:rFonts w:hint="default" w:ascii="Times New Roman" w:hAnsi="Times New Roman" w:eastAsia="宋体" w:cs="Times New Roman"/>
          <w:color w:val="auto"/>
          <w:kern w:val="0"/>
          <w:sz w:val="24"/>
          <w:szCs w:val="24"/>
          <w:highlight w:val="none"/>
          <w:u w:val="none"/>
          <w:lang w:val="en-US" w:eastAsia="zh-CN" w:bidi="ar"/>
        </w:rPr>
        <w:t>开发建设后，其原始的荒漠背景变成了以荒漠、</w:t>
      </w:r>
      <w:r>
        <w:rPr>
          <w:rFonts w:hint="eastAsia" w:ascii="Times New Roman" w:hAnsi="Times New Roman" w:eastAsia="宋体" w:cs="Times New Roman"/>
          <w:color w:val="auto"/>
          <w:kern w:val="0"/>
          <w:sz w:val="24"/>
          <w:szCs w:val="24"/>
          <w:highlight w:val="none"/>
          <w:u w:val="none"/>
          <w:lang w:val="en-US" w:eastAsia="zh-CN" w:bidi="ar"/>
        </w:rPr>
        <w:t>油</w:t>
      </w:r>
      <w:r>
        <w:rPr>
          <w:rFonts w:hint="eastAsia" w:cs="Times New Roman"/>
          <w:color w:val="auto"/>
          <w:kern w:val="0"/>
          <w:sz w:val="24"/>
          <w:szCs w:val="24"/>
          <w:highlight w:val="none"/>
          <w:u w:val="none"/>
          <w:lang w:val="en-US" w:eastAsia="zh-CN" w:bidi="ar"/>
        </w:rPr>
        <w:t>气</w:t>
      </w:r>
      <w:r>
        <w:rPr>
          <w:rFonts w:hint="eastAsia" w:ascii="Times New Roman" w:hAnsi="Times New Roman" w:eastAsia="宋体" w:cs="Times New Roman"/>
          <w:color w:val="auto"/>
          <w:kern w:val="0"/>
          <w:sz w:val="24"/>
          <w:szCs w:val="24"/>
          <w:highlight w:val="none"/>
          <w:u w:val="none"/>
          <w:lang w:val="en-US" w:eastAsia="zh-CN" w:bidi="ar"/>
        </w:rPr>
        <w:t>田</w:t>
      </w:r>
      <w:r>
        <w:rPr>
          <w:rFonts w:hint="default" w:ascii="Times New Roman" w:hAnsi="Times New Roman" w:eastAsia="宋体" w:cs="Times New Roman"/>
          <w:color w:val="auto"/>
          <w:kern w:val="0"/>
          <w:sz w:val="24"/>
          <w:szCs w:val="24"/>
          <w:highlight w:val="none"/>
          <w:u w:val="none"/>
          <w:lang w:val="en-US" w:eastAsia="zh-CN" w:bidi="ar"/>
        </w:rPr>
        <w:t>道路、</w:t>
      </w:r>
      <w:r>
        <w:rPr>
          <w:rFonts w:hint="eastAsia" w:ascii="Times New Roman" w:hAnsi="Times New Roman" w:eastAsia="宋体" w:cs="Times New Roman"/>
          <w:color w:val="auto"/>
          <w:kern w:val="0"/>
          <w:sz w:val="24"/>
          <w:szCs w:val="24"/>
          <w:highlight w:val="none"/>
          <w:u w:val="none"/>
          <w:lang w:val="en-US" w:eastAsia="zh-CN" w:bidi="ar"/>
        </w:rPr>
        <w:t>采</w:t>
      </w:r>
      <w:r>
        <w:rPr>
          <w:rFonts w:hint="eastAsia" w:cs="Times New Roman"/>
          <w:color w:val="auto"/>
          <w:kern w:val="0"/>
          <w:sz w:val="24"/>
          <w:szCs w:val="24"/>
          <w:highlight w:val="none"/>
          <w:u w:val="none"/>
          <w:lang w:val="en-US" w:eastAsia="zh-CN" w:bidi="ar"/>
        </w:rPr>
        <w:t>气</w:t>
      </w:r>
      <w:r>
        <w:rPr>
          <w:rFonts w:hint="eastAsia" w:ascii="Times New Roman" w:hAnsi="Times New Roman" w:eastAsia="宋体" w:cs="Times New Roman"/>
          <w:color w:val="auto"/>
          <w:kern w:val="0"/>
          <w:sz w:val="24"/>
          <w:szCs w:val="24"/>
          <w:highlight w:val="none"/>
          <w:u w:val="none"/>
          <w:lang w:val="en-US" w:eastAsia="zh-CN" w:bidi="ar"/>
        </w:rPr>
        <w:t>树</w:t>
      </w:r>
      <w:r>
        <w:rPr>
          <w:rFonts w:hint="default" w:ascii="Times New Roman" w:hAnsi="Times New Roman" w:eastAsia="宋体" w:cs="Times New Roman"/>
          <w:color w:val="auto"/>
          <w:kern w:val="0"/>
          <w:sz w:val="24"/>
          <w:szCs w:val="24"/>
          <w:highlight w:val="none"/>
          <w:u w:val="none"/>
          <w:lang w:val="en-US" w:eastAsia="zh-CN" w:bidi="ar"/>
        </w:rPr>
        <w:t>共同存在的自然与人工相互共存的景观格局。</w:t>
      </w:r>
    </w:p>
    <w:p w14:paraId="16323AFA">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从整体上看，荒漠拼块虽然出现破碎化的倾向，但总体上连通程度仍然维持了较好的状态，仍是区域的景观模地。但如果任凭油田建筑和道路的景观发展，不进行生态治理和保护，也将会使生态环境的演变发生逆转，破坏原有生态环境的稳定性。因此，在项目建设的过程中，必须采取相应的景观保护措施，以保证减缓和避免生态环境恶化的趋势。</w:t>
      </w:r>
    </w:p>
    <w:p w14:paraId="36E06698">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（1）对现有的自然资源，包括植被，直至现有的地形、地貌等都要尽可能的加以保护。</w:t>
      </w:r>
    </w:p>
    <w:p w14:paraId="60D2C1FC">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（2）在管线的选线、敷设过程中，合理的规划布局，根据地形条件，尽量按地形走向、起伏施工。对敷设在较平坦地段的管道，应在地貌恢复后使管沟与附近地表自然过渡，减缓对原始自然景观的破坏。</w:t>
      </w:r>
    </w:p>
    <w:p w14:paraId="7E9C221A">
      <w:pPr>
        <w:keepNext w:val="0"/>
        <w:keepLines w:val="0"/>
        <w:pageBreakBefore w:val="0"/>
        <w:widowControl/>
        <w:kinsoku/>
        <w:wordWrap/>
        <w:overflowPunct/>
        <w:topLinePunct w:val="0"/>
        <w:autoSpaceDE/>
        <w:autoSpaceDN/>
        <w:bidi w:val="0"/>
        <w:adjustRightInd w:val="0"/>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（3）严格遵守各项规程、规范、施工时限和范围，施工结束后立即对地表等环境景观进行恢复，并实施防风固沙工程和绿化措施，使油田开发与周围景观环境协调发展。</w:t>
      </w:r>
    </w:p>
    <w:p w14:paraId="38B39F8C">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6.1.</w:t>
      </w:r>
      <w:r>
        <w:rPr>
          <w:rFonts w:hint="eastAsia" w:ascii="宋体" w:hAnsi="宋体" w:cs="宋体"/>
          <w:color w:val="auto"/>
          <w:u w:val="none"/>
          <w:lang w:val="en-US" w:eastAsia="zh-CN"/>
        </w:rPr>
        <w:t>1.</w:t>
      </w:r>
      <w:r>
        <w:rPr>
          <w:rFonts w:hint="eastAsia" w:ascii="宋体" w:hAnsi="宋体" w:eastAsia="宋体" w:cs="宋体"/>
          <w:color w:val="auto"/>
          <w:u w:val="none"/>
          <w:lang w:val="en-US" w:eastAsia="zh-CN"/>
        </w:rPr>
        <w:t>6 严格实施防沙治沙措施</w:t>
      </w:r>
    </w:p>
    <w:p w14:paraId="3001AAE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
          <w:sz w:val="24"/>
          <w:szCs w:val="24"/>
          <w:highlight w:val="none"/>
          <w:u w:val="none"/>
          <w:lang w:bidi="ar"/>
        </w:rPr>
      </w:pPr>
      <w:r>
        <w:rPr>
          <w:rFonts w:hint="default" w:ascii="Times New Roman" w:hAnsi="Times New Roman" w:cs="Times New Roman"/>
          <w:color w:val="auto"/>
          <w:kern w:val="0"/>
          <w:sz w:val="24"/>
          <w:szCs w:val="24"/>
          <w:highlight w:val="none"/>
          <w:u w:val="none"/>
          <w:lang w:bidi="ar"/>
        </w:rPr>
        <w:t>由于本工程位于沙漠内，根据《中华人民共和国防沙治沙法》和《加强沙区建设项目环境影响评价工作的通知》（新环环评发</w:t>
      </w:r>
      <w:r>
        <w:rPr>
          <w:rFonts w:hint="default" w:ascii="Times New Roman" w:hAnsi="Times New Roman" w:cs="Times New Roman"/>
          <w:color w:val="auto"/>
          <w:kern w:val="0"/>
          <w:sz w:val="24"/>
          <w:szCs w:val="24"/>
          <w:highlight w:val="none"/>
          <w:u w:val="none"/>
          <w:lang w:eastAsia="zh-CN" w:bidi="ar"/>
        </w:rPr>
        <w:t>（</w:t>
      </w:r>
      <w:r>
        <w:rPr>
          <w:rFonts w:hint="default" w:ascii="Times New Roman" w:hAnsi="Times New Roman" w:cs="Times New Roman"/>
          <w:color w:val="auto"/>
          <w:kern w:val="0"/>
          <w:sz w:val="24"/>
          <w:szCs w:val="24"/>
          <w:highlight w:val="none"/>
          <w:u w:val="none"/>
          <w:lang w:bidi="ar"/>
        </w:rPr>
        <w:t>2020</w:t>
      </w:r>
      <w:r>
        <w:rPr>
          <w:rFonts w:hint="default" w:ascii="Times New Roman" w:hAnsi="Times New Roman" w:cs="Times New Roman"/>
          <w:color w:val="auto"/>
          <w:kern w:val="0"/>
          <w:sz w:val="24"/>
          <w:szCs w:val="24"/>
          <w:highlight w:val="none"/>
          <w:u w:val="none"/>
          <w:lang w:eastAsia="zh-CN" w:bidi="ar"/>
        </w:rPr>
        <w:t>）</w:t>
      </w:r>
      <w:r>
        <w:rPr>
          <w:rFonts w:hint="default" w:ascii="Times New Roman" w:hAnsi="Times New Roman" w:cs="Times New Roman"/>
          <w:color w:val="auto"/>
          <w:kern w:val="0"/>
          <w:sz w:val="24"/>
          <w:szCs w:val="24"/>
          <w:highlight w:val="none"/>
          <w:u w:val="none"/>
          <w:lang w:bidi="ar"/>
        </w:rPr>
        <w:t>138号）的要求，加强涉及沙区的建设项目环评文件受理审查，对于没有防沙治沙内容的建设项目环评文件不予受理。</w:t>
      </w:r>
      <w:r>
        <w:rPr>
          <w:rFonts w:hint="default" w:ascii="Times New Roman" w:hAnsi="Times New Roman" w:cs="Times New Roman"/>
          <w:color w:val="auto"/>
          <w:kern w:val="0"/>
          <w:sz w:val="24"/>
          <w:szCs w:val="24"/>
          <w:highlight w:val="none"/>
          <w:u w:val="none"/>
          <w:lang w:eastAsia="zh-CN" w:bidi="ar"/>
        </w:rPr>
        <w:t>本工程</w:t>
      </w:r>
      <w:r>
        <w:rPr>
          <w:rFonts w:hint="default" w:ascii="Times New Roman" w:hAnsi="Times New Roman" w:cs="Times New Roman"/>
          <w:color w:val="auto"/>
          <w:kern w:val="0"/>
          <w:sz w:val="24"/>
          <w:szCs w:val="24"/>
          <w:highlight w:val="none"/>
          <w:u w:val="none"/>
          <w:lang w:bidi="ar"/>
        </w:rPr>
        <w:t>环评对针对土地沙化现状、分析了项目实施对周边沙化土地的影响，</w:t>
      </w:r>
      <w:r>
        <w:rPr>
          <w:rFonts w:hint="default" w:ascii="Times New Roman" w:hAnsi="Times New Roman" w:cs="Times New Roman"/>
          <w:color w:val="auto"/>
          <w:kern w:val="0"/>
          <w:sz w:val="24"/>
          <w:szCs w:val="24"/>
          <w:highlight w:val="none"/>
          <w:u w:val="none"/>
          <w:lang w:eastAsia="zh-CN" w:bidi="ar"/>
        </w:rPr>
        <w:t>本工程</w:t>
      </w:r>
      <w:r>
        <w:rPr>
          <w:rFonts w:hint="default" w:ascii="Times New Roman" w:hAnsi="Times New Roman" w:cs="Times New Roman"/>
          <w:color w:val="auto"/>
          <w:kern w:val="0"/>
          <w:sz w:val="24"/>
          <w:szCs w:val="24"/>
          <w:highlight w:val="none"/>
          <w:u w:val="none"/>
          <w:lang w:bidi="ar"/>
        </w:rPr>
        <w:t>在建设过程中执行以下防沙治沙措施</w:t>
      </w:r>
      <w:r>
        <w:rPr>
          <w:rFonts w:hint="default" w:ascii="Times New Roman" w:hAnsi="Times New Roman" w:cs="Times New Roman"/>
          <w:color w:val="auto"/>
          <w:kern w:val="2"/>
          <w:sz w:val="24"/>
          <w:szCs w:val="24"/>
          <w:highlight w:val="none"/>
          <w:u w:val="none"/>
          <w:lang w:bidi="ar"/>
        </w:rPr>
        <w:t>：</w:t>
      </w:r>
    </w:p>
    <w:p w14:paraId="5F7C852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lang w:bidi="ar"/>
        </w:rPr>
      </w:pPr>
      <w:r>
        <w:rPr>
          <w:rFonts w:hint="default" w:ascii="Times New Roman" w:hAnsi="Times New Roman" w:cs="Times New Roman"/>
          <w:color w:val="auto"/>
          <w:kern w:val="0"/>
          <w:sz w:val="24"/>
          <w:szCs w:val="24"/>
          <w:highlight w:val="none"/>
          <w:u w:val="none"/>
          <w:lang w:eastAsia="zh-CN" w:bidi="ar"/>
        </w:rPr>
        <w:t>（</w:t>
      </w:r>
      <w:r>
        <w:rPr>
          <w:rFonts w:hint="default" w:ascii="Times New Roman" w:hAnsi="Times New Roman" w:cs="Times New Roman"/>
          <w:color w:val="auto"/>
          <w:kern w:val="0"/>
          <w:sz w:val="24"/>
          <w:szCs w:val="24"/>
          <w:highlight w:val="none"/>
          <w:u w:val="none"/>
          <w:lang w:val="en-US" w:eastAsia="zh-CN" w:bidi="ar"/>
        </w:rPr>
        <w:t>1</w:t>
      </w:r>
      <w:r>
        <w:rPr>
          <w:rFonts w:hint="default" w:ascii="Times New Roman" w:hAnsi="Times New Roman" w:cs="Times New Roman"/>
          <w:color w:val="auto"/>
          <w:kern w:val="0"/>
          <w:sz w:val="24"/>
          <w:szCs w:val="24"/>
          <w:highlight w:val="none"/>
          <w:u w:val="none"/>
          <w:lang w:eastAsia="zh-CN" w:bidi="ar"/>
        </w:rPr>
        <w:t>）</w:t>
      </w:r>
      <w:r>
        <w:rPr>
          <w:rFonts w:hint="default" w:ascii="Times New Roman" w:hAnsi="Times New Roman" w:cs="Times New Roman"/>
          <w:color w:val="auto"/>
          <w:kern w:val="0"/>
          <w:sz w:val="24"/>
          <w:szCs w:val="24"/>
          <w:highlight w:val="none"/>
          <w:u w:val="none"/>
          <w:lang w:bidi="ar"/>
        </w:rPr>
        <w:t>严格控制施工活动范围，严禁乱碾乱轧，避免对项目占地范围外的区域造成扰动。严格遵守</w:t>
      </w:r>
      <w:r>
        <w:rPr>
          <w:rFonts w:hint="default" w:ascii="Times New Roman" w:hAnsi="Times New Roman" w:cs="Times New Roman"/>
          <w:color w:val="auto"/>
          <w:kern w:val="0"/>
          <w:sz w:val="24"/>
          <w:szCs w:val="24"/>
          <w:highlight w:val="none"/>
          <w:u w:val="none"/>
          <w:lang w:eastAsia="zh-CN" w:bidi="ar"/>
        </w:rPr>
        <w:t>油田</w:t>
      </w:r>
      <w:r>
        <w:rPr>
          <w:rFonts w:hint="default" w:ascii="Times New Roman" w:hAnsi="Times New Roman" w:cs="Times New Roman"/>
          <w:color w:val="auto"/>
          <w:kern w:val="0"/>
          <w:sz w:val="24"/>
          <w:szCs w:val="24"/>
          <w:highlight w:val="none"/>
          <w:u w:val="none"/>
          <w:lang w:bidi="ar"/>
        </w:rPr>
        <w:t>环境保护规章制度，严格划定车辆行驶路线及临时道路开拓路线，运输车辆及勘探车辆在规定路线范围内</w:t>
      </w:r>
      <w:r>
        <w:rPr>
          <w:rFonts w:hint="default" w:ascii="Times New Roman" w:hAnsi="Times New Roman" w:cs="Times New Roman"/>
          <w:color w:val="auto"/>
          <w:kern w:val="0"/>
          <w:sz w:val="24"/>
          <w:szCs w:val="24"/>
          <w:highlight w:val="none"/>
          <w:u w:val="none"/>
          <w:lang w:eastAsia="zh-CN" w:bidi="ar"/>
        </w:rPr>
        <w:t>行驶</w:t>
      </w:r>
      <w:r>
        <w:rPr>
          <w:rFonts w:hint="default" w:ascii="Times New Roman" w:hAnsi="Times New Roman" w:cs="Times New Roman"/>
          <w:color w:val="auto"/>
          <w:kern w:val="0"/>
          <w:sz w:val="24"/>
          <w:szCs w:val="24"/>
          <w:highlight w:val="none"/>
          <w:u w:val="none"/>
          <w:lang w:bidi="ar"/>
        </w:rPr>
        <w:t>，禁止乱碾乱轧；严格规定各类工作人员的活动范围，使之限于在各工区范围内活动。</w:t>
      </w:r>
    </w:p>
    <w:p w14:paraId="1BCE7F5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0"/>
          <w:sz w:val="24"/>
          <w:szCs w:val="24"/>
          <w:highlight w:val="none"/>
          <w:u w:val="none"/>
        </w:rPr>
      </w:pPr>
      <w:r>
        <w:rPr>
          <w:rFonts w:hint="default" w:ascii="Times New Roman" w:hAnsi="Times New Roman" w:cs="Times New Roman"/>
          <w:color w:val="auto"/>
          <w:kern w:val="0"/>
          <w:sz w:val="24"/>
          <w:szCs w:val="24"/>
          <w:highlight w:val="none"/>
          <w:u w:val="none"/>
          <w:lang w:eastAsia="zh-CN" w:bidi="ar"/>
        </w:rPr>
        <w:t>（</w:t>
      </w:r>
      <w:r>
        <w:rPr>
          <w:rFonts w:hint="default" w:ascii="Times New Roman" w:hAnsi="Times New Roman" w:cs="Times New Roman"/>
          <w:color w:val="auto"/>
          <w:kern w:val="0"/>
          <w:sz w:val="24"/>
          <w:szCs w:val="24"/>
          <w:highlight w:val="none"/>
          <w:u w:val="none"/>
          <w:lang w:val="en-US" w:eastAsia="zh-CN" w:bidi="ar"/>
        </w:rPr>
        <w:t>2</w:t>
      </w:r>
      <w:r>
        <w:rPr>
          <w:rFonts w:hint="default" w:ascii="Times New Roman" w:hAnsi="Times New Roman" w:cs="Times New Roman"/>
          <w:color w:val="auto"/>
          <w:kern w:val="0"/>
          <w:sz w:val="24"/>
          <w:szCs w:val="24"/>
          <w:highlight w:val="none"/>
          <w:u w:val="none"/>
          <w:lang w:eastAsia="zh-CN" w:bidi="ar"/>
        </w:rPr>
        <w:t>）</w:t>
      </w:r>
      <w:r>
        <w:rPr>
          <w:rFonts w:hint="eastAsia" w:cs="Times New Roman"/>
          <w:color w:val="auto"/>
          <w:kern w:val="0"/>
          <w:sz w:val="24"/>
          <w:szCs w:val="24"/>
          <w:highlight w:val="none"/>
          <w:u w:val="none"/>
          <w:lang w:val="en-US" w:eastAsia="zh-CN" w:bidi="ar"/>
        </w:rPr>
        <w:t>井场</w:t>
      </w:r>
      <w:r>
        <w:rPr>
          <w:rFonts w:hint="default" w:ascii="Times New Roman" w:hAnsi="Times New Roman" w:cs="Times New Roman"/>
          <w:color w:val="auto"/>
          <w:kern w:val="0"/>
          <w:sz w:val="24"/>
          <w:szCs w:val="24"/>
          <w:highlight w:val="none"/>
          <w:u w:val="none"/>
          <w:lang w:bidi="ar"/>
        </w:rPr>
        <w:t>永久占地范围采用戈壁土+砾石压实铺垫；管线临时占地应在满足施工要求的前提下进行适当的调整，以减少占地。</w:t>
      </w:r>
    </w:p>
    <w:p w14:paraId="414B7EA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lang w:bidi="ar"/>
        </w:rPr>
      </w:pPr>
      <w:r>
        <w:rPr>
          <w:rFonts w:hint="default" w:ascii="Times New Roman" w:hAnsi="Times New Roman" w:cs="Times New Roman"/>
          <w:color w:val="auto"/>
          <w:kern w:val="0"/>
          <w:sz w:val="24"/>
          <w:szCs w:val="24"/>
          <w:highlight w:val="none"/>
          <w:u w:val="none"/>
          <w:lang w:eastAsia="zh-CN" w:bidi="ar"/>
        </w:rPr>
        <w:t>（</w:t>
      </w:r>
      <w:r>
        <w:rPr>
          <w:rFonts w:hint="default" w:ascii="Times New Roman" w:hAnsi="Times New Roman" w:cs="Times New Roman"/>
          <w:color w:val="auto"/>
          <w:kern w:val="0"/>
          <w:sz w:val="24"/>
          <w:szCs w:val="24"/>
          <w:highlight w:val="none"/>
          <w:u w:val="none"/>
          <w:lang w:val="en-US" w:eastAsia="zh-CN" w:bidi="ar"/>
        </w:rPr>
        <w:t>3</w:t>
      </w:r>
      <w:r>
        <w:rPr>
          <w:rFonts w:hint="default" w:ascii="Times New Roman" w:hAnsi="Times New Roman" w:cs="Times New Roman"/>
          <w:color w:val="auto"/>
          <w:kern w:val="0"/>
          <w:sz w:val="24"/>
          <w:szCs w:val="24"/>
          <w:highlight w:val="none"/>
          <w:u w:val="none"/>
          <w:lang w:eastAsia="zh-CN" w:bidi="ar"/>
        </w:rPr>
        <w:t>）</w:t>
      </w:r>
      <w:r>
        <w:rPr>
          <w:rFonts w:hint="default" w:ascii="Times New Roman" w:hAnsi="Times New Roman" w:cs="Times New Roman"/>
          <w:color w:val="auto"/>
          <w:kern w:val="0"/>
          <w:sz w:val="24"/>
          <w:szCs w:val="24"/>
          <w:highlight w:val="none"/>
          <w:u w:val="none"/>
          <w:lang w:bidi="ar"/>
        </w:rPr>
        <w:t>优化施工组织，缩短施工时间，管线施工作业时应分段作业，避免在大风天气作业，以免造成土壤风蚀影响。</w:t>
      </w:r>
    </w:p>
    <w:p w14:paraId="6A85B03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bidi="ar"/>
        </w:rPr>
        <w:t>（</w:t>
      </w:r>
      <w:r>
        <w:rPr>
          <w:rFonts w:hint="eastAsia" w:ascii="Times New Roman" w:hAnsi="Times New Roman" w:eastAsia="宋体" w:cs="Times New Roman"/>
          <w:color w:val="auto"/>
          <w:kern w:val="0"/>
          <w:sz w:val="24"/>
          <w:szCs w:val="24"/>
          <w:highlight w:val="none"/>
          <w:u w:val="none"/>
          <w:lang w:val="en-US" w:eastAsia="zh-CN" w:bidi="ar"/>
        </w:rPr>
        <w:t>4</w:t>
      </w:r>
      <w:r>
        <w:rPr>
          <w:rFonts w:hint="default" w:ascii="Times New Roman" w:hAnsi="Times New Roman" w:eastAsia="宋体" w:cs="Times New Roman"/>
          <w:color w:val="auto"/>
          <w:kern w:val="0"/>
          <w:sz w:val="24"/>
          <w:szCs w:val="24"/>
          <w:highlight w:val="none"/>
          <w:u w:val="none"/>
          <w:lang w:val="en-US" w:eastAsia="zh-CN" w:bidi="ar"/>
        </w:rPr>
        <w:t>）</w:t>
      </w:r>
      <w:r>
        <w:rPr>
          <w:rFonts w:hint="default" w:ascii="Times New Roman" w:hAnsi="Times New Roman" w:eastAsia="宋体" w:cs="Times New Roman"/>
          <w:color w:val="auto"/>
          <w:kern w:val="0"/>
          <w:sz w:val="24"/>
          <w:szCs w:val="24"/>
          <w:highlight w:val="none"/>
          <w:u w:val="none"/>
          <w:lang w:bidi="ar"/>
        </w:rPr>
        <w:t>管线施工时应根据地形条件，尽量按地形走向、起伏施工，减少挖填作</w:t>
      </w:r>
      <w:r>
        <w:rPr>
          <w:rFonts w:hint="default" w:ascii="Times New Roman" w:hAnsi="Times New Roman" w:eastAsia="宋体" w:cs="Times New Roman"/>
          <w:color w:val="auto"/>
          <w:kern w:val="0"/>
          <w:sz w:val="24"/>
          <w:szCs w:val="24"/>
          <w:highlight w:val="none"/>
          <w:u w:val="none"/>
          <w:lang w:val="en-US" w:eastAsia="zh-CN" w:bidi="ar"/>
        </w:rPr>
        <w:t>业</w:t>
      </w:r>
      <w:r>
        <w:rPr>
          <w:rFonts w:hint="default" w:ascii="Times New Roman" w:hAnsi="Times New Roman" w:eastAsia="宋体" w:cs="Times New Roman"/>
          <w:color w:val="auto"/>
          <w:kern w:val="0"/>
          <w:sz w:val="24"/>
          <w:szCs w:val="24"/>
          <w:highlight w:val="none"/>
          <w:u w:val="none"/>
          <w:lang w:bidi="ar"/>
        </w:rPr>
        <w:t>量。</w:t>
      </w:r>
    </w:p>
    <w:p w14:paraId="18762C5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lang w:bidi="ar"/>
        </w:rPr>
      </w:pPr>
      <w:r>
        <w:rPr>
          <w:rFonts w:hint="default" w:ascii="Times New Roman" w:hAnsi="Times New Roman" w:cs="Times New Roman"/>
          <w:color w:val="auto"/>
          <w:kern w:val="0"/>
          <w:sz w:val="24"/>
          <w:szCs w:val="24"/>
          <w:highlight w:val="none"/>
          <w:u w:val="none"/>
          <w:lang w:val="en-US" w:eastAsia="zh-CN" w:bidi="ar"/>
        </w:rPr>
        <w:t>（</w:t>
      </w:r>
      <w:r>
        <w:rPr>
          <w:rFonts w:hint="eastAsia" w:ascii="Times New Roman" w:hAnsi="Times New Roman" w:cs="Times New Roman"/>
          <w:color w:val="auto"/>
          <w:kern w:val="0"/>
          <w:sz w:val="24"/>
          <w:szCs w:val="24"/>
          <w:highlight w:val="none"/>
          <w:u w:val="none"/>
          <w:lang w:val="en-US" w:eastAsia="zh-CN" w:bidi="ar"/>
        </w:rPr>
        <w:t>5</w:t>
      </w:r>
      <w:r>
        <w:rPr>
          <w:rFonts w:hint="default" w:ascii="Times New Roman" w:hAnsi="Times New Roman" w:cs="Times New Roman"/>
          <w:color w:val="auto"/>
          <w:kern w:val="0"/>
          <w:sz w:val="24"/>
          <w:szCs w:val="24"/>
          <w:highlight w:val="none"/>
          <w:u w:val="none"/>
          <w:lang w:val="en-US" w:eastAsia="zh-CN" w:bidi="ar"/>
        </w:rPr>
        <w:t>）</w:t>
      </w:r>
      <w:r>
        <w:rPr>
          <w:rFonts w:hint="default" w:ascii="Times New Roman" w:hAnsi="Times New Roman" w:cs="Times New Roman"/>
          <w:color w:val="auto"/>
          <w:kern w:val="0"/>
          <w:sz w:val="24"/>
          <w:szCs w:val="24"/>
          <w:highlight w:val="none"/>
          <w:u w:val="none"/>
          <w:lang w:bidi="ar"/>
        </w:rPr>
        <w:t>粉状材料及临时土方等在井场堆放应采取覆盖防尘布，逸散性材料运输采用苫布遮盖，减少施工扬尘产生量和起沙量。</w:t>
      </w:r>
    </w:p>
    <w:p w14:paraId="160A281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lang w:bidi="ar"/>
        </w:rPr>
      </w:pPr>
      <w:r>
        <w:rPr>
          <w:rFonts w:hint="default" w:ascii="Times New Roman" w:hAnsi="Times New Roman" w:cs="Times New Roman"/>
          <w:color w:val="auto"/>
          <w:kern w:val="0"/>
          <w:sz w:val="24"/>
          <w:szCs w:val="24"/>
          <w:highlight w:val="none"/>
          <w:u w:val="none"/>
          <w:lang w:val="en-US" w:eastAsia="zh-CN" w:bidi="ar"/>
        </w:rPr>
        <w:t>（</w:t>
      </w:r>
      <w:r>
        <w:rPr>
          <w:rFonts w:hint="eastAsia" w:ascii="Times New Roman" w:hAnsi="Times New Roman" w:cs="Times New Roman"/>
          <w:color w:val="auto"/>
          <w:kern w:val="0"/>
          <w:sz w:val="24"/>
          <w:szCs w:val="24"/>
          <w:highlight w:val="none"/>
          <w:u w:val="none"/>
          <w:lang w:val="en-US" w:eastAsia="zh-CN" w:bidi="ar"/>
        </w:rPr>
        <w:t>6</w:t>
      </w:r>
      <w:r>
        <w:rPr>
          <w:rFonts w:hint="default" w:ascii="Times New Roman" w:hAnsi="Times New Roman" w:cs="Times New Roman"/>
          <w:color w:val="auto"/>
          <w:kern w:val="0"/>
          <w:sz w:val="24"/>
          <w:szCs w:val="24"/>
          <w:highlight w:val="none"/>
          <w:u w:val="none"/>
          <w:lang w:val="en-US" w:eastAsia="zh-CN" w:bidi="ar"/>
        </w:rPr>
        <w:t>）</w:t>
      </w:r>
      <w:r>
        <w:rPr>
          <w:rFonts w:hint="default" w:ascii="Times New Roman" w:hAnsi="Times New Roman" w:cs="Times New Roman"/>
          <w:color w:val="auto"/>
          <w:kern w:val="0"/>
          <w:sz w:val="24"/>
          <w:szCs w:val="24"/>
          <w:highlight w:val="none"/>
          <w:u w:val="none"/>
          <w:lang w:bidi="ar"/>
        </w:rPr>
        <w:t>施工结束后对场地进行清理、平整并压实，场站实施场地硬化，避免水土流失影响。</w:t>
      </w:r>
    </w:p>
    <w:p w14:paraId="7719BDC3">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lang w:val="en-US" w:eastAsia="zh-CN" w:bidi="ar-SA"/>
        </w:rPr>
      </w:pPr>
      <w:r>
        <w:rPr>
          <w:rFonts w:hint="default" w:ascii="Times New Roman" w:hAnsi="Times New Roman" w:eastAsia="宋体" w:cs="Times New Roman"/>
          <w:color w:val="auto"/>
          <w:sz w:val="24"/>
          <w:szCs w:val="24"/>
          <w:highlight w:val="none"/>
          <w:u w:val="none"/>
          <w:lang w:val="en-US" w:eastAsia="zh-CN" w:bidi="ar-SA"/>
        </w:rPr>
        <w:t>（</w:t>
      </w:r>
      <w:r>
        <w:rPr>
          <w:rFonts w:hint="eastAsia" w:ascii="Times New Roman" w:hAnsi="Times New Roman" w:eastAsia="宋体" w:cs="Times New Roman"/>
          <w:color w:val="auto"/>
          <w:sz w:val="24"/>
          <w:szCs w:val="24"/>
          <w:highlight w:val="none"/>
          <w:u w:val="none"/>
          <w:lang w:val="en-US" w:eastAsia="zh-CN" w:bidi="ar-SA"/>
        </w:rPr>
        <w:t>7</w:t>
      </w:r>
      <w:r>
        <w:rPr>
          <w:rFonts w:hint="default" w:ascii="Times New Roman" w:hAnsi="Times New Roman" w:eastAsia="宋体" w:cs="Times New Roman"/>
          <w:color w:val="auto"/>
          <w:sz w:val="24"/>
          <w:szCs w:val="24"/>
          <w:highlight w:val="none"/>
          <w:u w:val="none"/>
          <w:lang w:val="en-US" w:eastAsia="zh-CN" w:bidi="ar-SA"/>
        </w:rPr>
        <w:t>）本工程针对位于沙漠中的部分工程，采取防沙治沙措施。</w:t>
      </w:r>
    </w:p>
    <w:p w14:paraId="4B1F03D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lang w:val="en-US" w:eastAsia="zh-CN" w:bidi="ar-SA"/>
        </w:rPr>
      </w:pPr>
      <w:r>
        <w:rPr>
          <w:rFonts w:hint="eastAsia" w:cs="Times New Roman"/>
          <w:color w:val="auto"/>
          <w:sz w:val="24"/>
          <w:szCs w:val="24"/>
          <w:highlight w:val="none"/>
          <w:u w:val="none"/>
          <w:lang w:val="en-US" w:eastAsia="zh-CN" w:bidi="ar-SA"/>
        </w:rPr>
        <w:t>1）道路：</w:t>
      </w:r>
      <w:r>
        <w:rPr>
          <w:rFonts w:hint="default" w:ascii="Times New Roman" w:hAnsi="Times New Roman" w:eastAsia="宋体" w:cs="Times New Roman"/>
          <w:color w:val="auto"/>
          <w:sz w:val="24"/>
          <w:szCs w:val="24"/>
          <w:highlight w:val="none"/>
          <w:u w:val="none"/>
          <w:lang w:val="en-US" w:eastAsia="zh-CN" w:bidi="ar-SA"/>
        </w:rPr>
        <w:t>项目地处古尔班通古特沙漠，沿线地表植被生长稀少，防沙、固沙设计针对沙漠地表破伤后有沙害出现的地方进行防护，对挖方边坡进行防护，采用1m×1m草方格防护，上风口防沙宽度30m，下风口防沙宽度20m。采用1m×1m草方格防护，平均每平米不少于1.2kg。</w:t>
      </w:r>
    </w:p>
    <w:p w14:paraId="5E4605FC">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lang w:val="en-US" w:eastAsia="zh-CN" w:bidi="ar-SA"/>
        </w:rPr>
      </w:pPr>
      <w:r>
        <w:rPr>
          <w:rFonts w:hint="eastAsia" w:cs="Times New Roman"/>
          <w:color w:val="auto"/>
          <w:sz w:val="24"/>
          <w:szCs w:val="24"/>
          <w:highlight w:val="none"/>
          <w:u w:val="none"/>
          <w:lang w:val="en-US" w:eastAsia="zh-CN" w:bidi="ar-SA"/>
        </w:rPr>
        <w:t>2）管线：</w:t>
      </w:r>
      <w:r>
        <w:rPr>
          <w:rFonts w:hint="default" w:ascii="Times New Roman" w:hAnsi="Times New Roman" w:eastAsia="宋体" w:cs="Times New Roman"/>
          <w:color w:val="auto"/>
          <w:sz w:val="24"/>
          <w:szCs w:val="24"/>
          <w:highlight w:val="none"/>
          <w:u w:val="none"/>
          <w:lang w:val="en-US" w:eastAsia="zh-CN" w:bidi="ar-SA"/>
        </w:rPr>
        <w:t>沙漠地区管道线路扫线固沙做法：将柔性较好的麦草、稻草或芦苇扎制1.0m×1.0m草方格，下料长度为40cm，埋设地面20cm，露出地面20cm，考虑石西地区为重沙区，麦草、稻草或芦苇用量为2.5kg/m</w:t>
      </w:r>
      <w:r>
        <w:rPr>
          <w:rFonts w:hint="default" w:ascii="Times New Roman" w:hAnsi="Times New Roman" w:eastAsia="宋体" w:cs="Times New Roman"/>
          <w:color w:val="auto"/>
          <w:sz w:val="24"/>
          <w:szCs w:val="24"/>
          <w:highlight w:val="none"/>
          <w:u w:val="none"/>
          <w:vertAlign w:val="superscript"/>
          <w:lang w:val="en-US" w:eastAsia="zh-CN" w:bidi="ar-SA"/>
        </w:rPr>
        <w:t>2</w:t>
      </w:r>
      <w:r>
        <w:rPr>
          <w:rFonts w:hint="default" w:ascii="Times New Roman" w:hAnsi="Times New Roman" w:eastAsia="宋体" w:cs="Times New Roman"/>
          <w:color w:val="auto"/>
          <w:sz w:val="24"/>
          <w:szCs w:val="24"/>
          <w:highlight w:val="none"/>
          <w:u w:val="none"/>
          <w:lang w:val="en-US" w:eastAsia="zh-CN" w:bidi="ar-SA"/>
        </w:rPr>
        <w:t>，差值不大于0.1kg，单井管线扫线宽度12m，固沙长度与采气管线长度相同。</w:t>
      </w:r>
    </w:p>
    <w:p w14:paraId="0229E55F">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lang w:val="en-US" w:eastAsia="zh-CN" w:bidi="ar-SA"/>
        </w:rPr>
      </w:pPr>
      <w:r>
        <w:rPr>
          <w:rFonts w:hint="default" w:ascii="Times New Roman" w:hAnsi="Times New Roman" w:eastAsia="宋体" w:cs="Times New Roman"/>
          <w:color w:val="auto"/>
          <w:sz w:val="24"/>
          <w:szCs w:val="24"/>
          <w:highlight w:val="none"/>
          <w:u w:val="none"/>
          <w:lang w:val="en-US" w:eastAsia="zh-CN" w:bidi="ar-SA"/>
        </w:rPr>
        <w:t>草</w:t>
      </w:r>
      <w:r>
        <w:rPr>
          <w:rFonts w:hint="eastAsia" w:cs="Times New Roman"/>
          <w:color w:val="auto"/>
          <w:sz w:val="24"/>
          <w:szCs w:val="24"/>
          <w:highlight w:val="none"/>
          <w:u w:val="none"/>
          <w:lang w:val="en-US" w:eastAsia="zh-CN" w:bidi="ar-SA"/>
        </w:rPr>
        <w:t>栅格做法</w:t>
      </w:r>
      <w:r>
        <w:rPr>
          <w:rFonts w:hint="default" w:ascii="Times New Roman" w:hAnsi="Times New Roman" w:eastAsia="宋体" w:cs="Times New Roman"/>
          <w:color w:val="auto"/>
          <w:sz w:val="24"/>
          <w:szCs w:val="24"/>
          <w:highlight w:val="none"/>
          <w:u w:val="none"/>
          <w:lang w:val="en-US" w:eastAsia="zh-CN" w:bidi="ar-SA"/>
        </w:rPr>
        <w:t>，见图6.1-1</w:t>
      </w:r>
    </w:p>
    <w:p w14:paraId="6F58FAA1">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hint="eastAsia" w:ascii="黑体" w:hAnsi="黑体" w:eastAsia="黑体" w:cs="黑体"/>
          <w:b w:val="0"/>
          <w:bCs/>
          <w:color w:val="auto"/>
          <w:kern w:val="2"/>
          <w:sz w:val="24"/>
          <w:szCs w:val="24"/>
          <w:u w:val="none"/>
          <w:lang w:val="zh-CN" w:eastAsia="zh-CN" w:bidi="ar-SA"/>
        </w:rPr>
      </w:pPr>
      <w:r>
        <w:rPr>
          <w:color w:val="auto"/>
          <w:u w:val="none"/>
        </w:rPr>
        <w:drawing>
          <wp:anchor distT="0" distB="0" distL="114300" distR="114300" simplePos="0" relativeHeight="251701248" behindDoc="0" locked="0" layoutInCell="1" allowOverlap="1">
            <wp:simplePos x="0" y="0"/>
            <wp:positionH relativeFrom="column">
              <wp:posOffset>-59690</wp:posOffset>
            </wp:positionH>
            <wp:positionV relativeFrom="paragraph">
              <wp:posOffset>14605</wp:posOffset>
            </wp:positionV>
            <wp:extent cx="5469890" cy="1932305"/>
            <wp:effectExtent l="0" t="0" r="16510" b="10795"/>
            <wp:wrapTopAndBottom/>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69"/>
                    <a:stretch>
                      <a:fillRect/>
                    </a:stretch>
                  </pic:blipFill>
                  <pic:spPr>
                    <a:xfrm>
                      <a:off x="0" y="0"/>
                      <a:ext cx="5469890" cy="1932305"/>
                    </a:xfrm>
                    <a:prstGeom prst="rect">
                      <a:avLst/>
                    </a:prstGeom>
                    <a:noFill/>
                    <a:ln>
                      <a:noFill/>
                    </a:ln>
                  </pic:spPr>
                </pic:pic>
              </a:graphicData>
            </a:graphic>
          </wp:anchor>
        </w:drawing>
      </w:r>
      <w:r>
        <w:rPr>
          <w:rFonts w:hint="eastAsia" w:ascii="黑体" w:hAnsi="黑体" w:eastAsia="黑体" w:cs="黑体"/>
          <w:b w:val="0"/>
          <w:bCs/>
          <w:color w:val="auto"/>
          <w:kern w:val="2"/>
          <w:sz w:val="24"/>
          <w:szCs w:val="24"/>
          <w:u w:val="none"/>
          <w:lang w:val="zh-CN" w:eastAsia="zh-CN" w:bidi="ar-SA"/>
        </w:rPr>
        <w:t>图6.</w:t>
      </w:r>
      <w:r>
        <w:rPr>
          <w:rFonts w:hint="eastAsia" w:ascii="黑体" w:hAnsi="黑体" w:eastAsia="黑体" w:cs="黑体"/>
          <w:b w:val="0"/>
          <w:bCs/>
          <w:color w:val="auto"/>
          <w:kern w:val="2"/>
          <w:sz w:val="24"/>
          <w:szCs w:val="24"/>
          <w:u w:val="none"/>
          <w:lang w:val="en-US" w:eastAsia="zh-CN" w:bidi="ar-SA"/>
        </w:rPr>
        <w:t>1</w:t>
      </w:r>
      <w:r>
        <w:rPr>
          <w:rFonts w:hint="eastAsia" w:ascii="黑体" w:hAnsi="黑体" w:eastAsia="黑体" w:cs="黑体"/>
          <w:b w:val="0"/>
          <w:bCs/>
          <w:color w:val="auto"/>
          <w:kern w:val="2"/>
          <w:sz w:val="24"/>
          <w:szCs w:val="24"/>
          <w:u w:val="none"/>
          <w:lang w:val="zh-CN" w:eastAsia="zh-CN" w:bidi="ar-SA"/>
        </w:rPr>
        <w:t>-</w:t>
      </w:r>
      <w:r>
        <w:rPr>
          <w:rFonts w:hint="eastAsia" w:ascii="黑体" w:hAnsi="黑体" w:eastAsia="黑体" w:cs="黑体"/>
          <w:b w:val="0"/>
          <w:bCs/>
          <w:color w:val="auto"/>
          <w:kern w:val="2"/>
          <w:sz w:val="24"/>
          <w:szCs w:val="24"/>
          <w:u w:val="none"/>
          <w:lang w:val="en-US" w:eastAsia="zh-CN" w:bidi="ar-SA"/>
        </w:rPr>
        <w:t>1</w:t>
      </w:r>
      <w:r>
        <w:rPr>
          <w:rFonts w:hint="eastAsia" w:ascii="黑体" w:hAnsi="黑体" w:eastAsia="黑体" w:cs="黑体"/>
          <w:b w:val="0"/>
          <w:bCs/>
          <w:color w:val="auto"/>
          <w:kern w:val="2"/>
          <w:sz w:val="24"/>
          <w:szCs w:val="24"/>
          <w:u w:val="none"/>
          <w:lang w:val="zh-CN" w:eastAsia="zh-CN" w:bidi="ar-SA"/>
        </w:rPr>
        <w:t xml:space="preserve">   固沙草方格设置通用图</w:t>
      </w:r>
    </w:p>
    <w:p w14:paraId="6BAEA37A">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6.1.</w:t>
      </w:r>
      <w:r>
        <w:rPr>
          <w:rFonts w:hint="eastAsia" w:ascii="宋体" w:hAnsi="宋体" w:cs="宋体"/>
          <w:color w:val="auto"/>
          <w:u w:val="none"/>
          <w:lang w:val="en-US" w:eastAsia="zh-CN"/>
        </w:rPr>
        <w:t>1</w:t>
      </w:r>
      <w:r>
        <w:rPr>
          <w:rFonts w:hint="eastAsia" w:ascii="宋体" w:hAnsi="宋体" w:eastAsia="宋体" w:cs="宋体"/>
          <w:color w:val="auto"/>
          <w:u w:val="none"/>
          <w:lang w:val="en-US" w:eastAsia="zh-CN"/>
        </w:rPr>
        <w:t>.7 水土流失防治措施</w:t>
      </w:r>
    </w:p>
    <w:p w14:paraId="01440DC2">
      <w:pPr>
        <w:keepNext w:val="0"/>
        <w:keepLines w:val="0"/>
        <w:pageBreakBefore w:val="0"/>
        <w:widowControl/>
        <w:kinsoku/>
        <w:wordWrap/>
        <w:overflowPunct/>
        <w:topLinePunct w:val="0"/>
        <w:autoSpaceDE/>
        <w:autoSpaceDN/>
        <w:bidi w:val="0"/>
        <w:snapToGrid/>
        <w:spacing w:line="480" w:lineRule="exact"/>
        <w:ind w:left="0" w:firstLine="456" w:firstLineChars="200"/>
        <w:jc w:val="left"/>
        <w:textAlignment w:val="auto"/>
        <w:rPr>
          <w:rFonts w:ascii="Times New Roman" w:hAnsi="Times New Roman" w:eastAsia="宋体" w:cs="Times New Roman"/>
          <w:color w:val="auto"/>
          <w:kern w:val="2"/>
          <w:sz w:val="24"/>
          <w:szCs w:val="20"/>
          <w:highlight w:val="none"/>
          <w:u w:val="none"/>
        </w:rPr>
      </w:pPr>
      <w:r>
        <w:rPr>
          <w:rFonts w:ascii="Times New Roman" w:hAnsi="Times New Roman" w:eastAsia="宋体" w:cs="Times New Roman"/>
          <w:color w:val="auto"/>
          <w:spacing w:val="-6"/>
          <w:kern w:val="2"/>
          <w:sz w:val="24"/>
          <w:szCs w:val="20"/>
          <w:highlight w:val="none"/>
          <w:u w:val="none"/>
        </w:rPr>
        <w:t>本工程</w:t>
      </w:r>
      <w:r>
        <w:rPr>
          <w:rFonts w:hint="eastAsia" w:cs="Times New Roman"/>
          <w:color w:val="auto"/>
          <w:spacing w:val="-6"/>
          <w:kern w:val="2"/>
          <w:sz w:val="24"/>
          <w:szCs w:val="20"/>
          <w:highlight w:val="none"/>
          <w:u w:val="none"/>
          <w:lang w:val="en-US" w:eastAsia="zh-CN"/>
        </w:rPr>
        <w:t>区域</w:t>
      </w:r>
      <w:r>
        <w:rPr>
          <w:rFonts w:ascii="Times New Roman" w:hAnsi="Times New Roman" w:eastAsia="宋体" w:cs="Times New Roman"/>
          <w:color w:val="auto"/>
          <w:spacing w:val="-6"/>
          <w:kern w:val="2"/>
          <w:sz w:val="24"/>
          <w:szCs w:val="20"/>
          <w:highlight w:val="none"/>
          <w:u w:val="none"/>
        </w:rPr>
        <w:t>气候干燥，风力强大，地表土质疏松干燥，区域大部分土壤表层为风沙土所覆盖，属于典型沙质荒漠生态系统。由于</w:t>
      </w:r>
      <w:r>
        <w:rPr>
          <w:rFonts w:hint="eastAsia" w:cs="Times New Roman"/>
          <w:color w:val="auto"/>
          <w:spacing w:val="-6"/>
          <w:kern w:val="2"/>
          <w:sz w:val="24"/>
          <w:szCs w:val="20"/>
          <w:highlight w:val="none"/>
          <w:u w:val="none"/>
          <w:lang w:val="en-US" w:eastAsia="zh-CN"/>
        </w:rPr>
        <w:t>区域</w:t>
      </w:r>
      <w:r>
        <w:rPr>
          <w:rFonts w:ascii="Times New Roman" w:hAnsi="Times New Roman" w:eastAsia="宋体" w:cs="Times New Roman"/>
          <w:color w:val="auto"/>
          <w:spacing w:val="-6"/>
          <w:kern w:val="2"/>
          <w:sz w:val="24"/>
          <w:szCs w:val="20"/>
          <w:highlight w:val="none"/>
          <w:u w:val="none"/>
        </w:rPr>
        <w:t>干旱少雨，水资源极度匮乏，植被生长主要靠地下水维持，根据现场调查，在植被遭到破坏的区域，在自然条件下很难得到恢复。由于受到区域土壤、水分等条件的限制，在</w:t>
      </w:r>
      <w:r>
        <w:rPr>
          <w:rFonts w:hint="eastAsia" w:cs="Times New Roman"/>
          <w:color w:val="auto"/>
          <w:spacing w:val="-6"/>
          <w:kern w:val="2"/>
          <w:sz w:val="24"/>
          <w:szCs w:val="20"/>
          <w:highlight w:val="none"/>
          <w:u w:val="none"/>
          <w:lang w:val="en-US" w:eastAsia="zh-CN"/>
        </w:rPr>
        <w:t>区域</w:t>
      </w:r>
      <w:r>
        <w:rPr>
          <w:rFonts w:ascii="Times New Roman" w:hAnsi="Times New Roman" w:eastAsia="宋体" w:cs="Times New Roman"/>
          <w:color w:val="auto"/>
          <w:spacing w:val="-6"/>
          <w:kern w:val="2"/>
          <w:sz w:val="24"/>
          <w:szCs w:val="20"/>
          <w:highlight w:val="none"/>
          <w:u w:val="none"/>
        </w:rPr>
        <w:t>进行植被恢复在经济技术条件下将很难实现，因此，本次水土流失防治主要以工程措施为主。</w:t>
      </w:r>
    </w:p>
    <w:p w14:paraId="2E822F9F">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ascii="Times New Roman" w:hAnsi="Times New Roman" w:cs="Times New Roman"/>
          <w:color w:val="auto"/>
          <w:kern w:val="2"/>
          <w:sz w:val="24"/>
          <w:szCs w:val="20"/>
          <w:highlight w:val="none"/>
          <w:u w:val="none"/>
        </w:rPr>
      </w:pPr>
      <w:r>
        <w:rPr>
          <w:rFonts w:ascii="Times New Roman" w:hAnsi="Times New Roman" w:cs="Times New Roman"/>
          <w:color w:val="auto"/>
          <w:kern w:val="2"/>
          <w:sz w:val="24"/>
          <w:szCs w:val="20"/>
          <w:highlight w:val="none"/>
          <w:u w:val="none"/>
        </w:rPr>
        <w:t>根据水土保持防治分区，在现场调查基础上，针对</w:t>
      </w:r>
      <w:r>
        <w:rPr>
          <w:rFonts w:hint="eastAsia" w:ascii="Times New Roman" w:hAnsi="Times New Roman" w:cs="Times New Roman"/>
          <w:color w:val="auto"/>
          <w:kern w:val="2"/>
          <w:sz w:val="24"/>
          <w:szCs w:val="20"/>
          <w:highlight w:val="none"/>
          <w:u w:val="none"/>
          <w:lang w:eastAsia="zh-CN"/>
        </w:rPr>
        <w:t>本工程</w:t>
      </w:r>
      <w:r>
        <w:rPr>
          <w:rFonts w:ascii="Times New Roman" w:hAnsi="Times New Roman" w:cs="Times New Roman"/>
          <w:color w:val="auto"/>
          <w:kern w:val="2"/>
          <w:sz w:val="24"/>
          <w:szCs w:val="20"/>
          <w:highlight w:val="none"/>
          <w:u w:val="none"/>
        </w:rPr>
        <w:t>施工建设活动引发水土流失的特点和造成危害程度，采取有效的防治措施，合理安排施工进度，按照与主体工程相衔接的原则，对不同区域新增水土流失部位进行对位治理，通过分析评价主体工程已经实施的措施、存在问题等，优化并补充完善工程防治措施、临时防护措施，形成一个综合防治措施体系。</w:t>
      </w:r>
    </w:p>
    <w:p w14:paraId="51F085CF">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ascii="Times New Roman" w:hAnsi="Times New Roman" w:eastAsia="宋体" w:cs="Times New Roman"/>
          <w:color w:val="auto"/>
          <w:kern w:val="2"/>
          <w:sz w:val="24"/>
          <w:szCs w:val="20"/>
          <w:highlight w:val="none"/>
          <w:u w:val="none"/>
        </w:rPr>
      </w:pPr>
      <w:r>
        <w:rPr>
          <w:rFonts w:hint="default" w:ascii="Times New Roman" w:hAnsi="Times New Roman" w:eastAsia="宋体" w:cs="Times New Roman"/>
          <w:color w:val="auto"/>
          <w:kern w:val="2"/>
          <w:sz w:val="24"/>
          <w:szCs w:val="20"/>
          <w:highlight w:val="none"/>
          <w:u w:val="none"/>
        </w:rPr>
        <w:t>（1）工程</w:t>
      </w:r>
      <w:r>
        <w:rPr>
          <w:rFonts w:hint="default" w:ascii="Times New Roman" w:hAnsi="Times New Roman" w:eastAsia="宋体" w:cs="Times New Roman"/>
          <w:color w:val="auto"/>
          <w:kern w:val="2"/>
          <w:sz w:val="24"/>
          <w:szCs w:val="20"/>
          <w:highlight w:val="none"/>
          <w:u w:val="none"/>
          <w:lang w:val="en-US" w:eastAsia="zh-CN"/>
        </w:rPr>
        <w:t>防治</w:t>
      </w:r>
      <w:r>
        <w:rPr>
          <w:rFonts w:hint="default" w:ascii="Times New Roman" w:hAnsi="Times New Roman" w:eastAsia="宋体" w:cs="Times New Roman"/>
          <w:color w:val="auto"/>
          <w:kern w:val="2"/>
          <w:sz w:val="24"/>
          <w:szCs w:val="20"/>
          <w:highlight w:val="none"/>
          <w:u w:val="none"/>
        </w:rPr>
        <w:t>措施</w:t>
      </w:r>
    </w:p>
    <w:p w14:paraId="271371C8">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ascii="Times New Roman" w:hAnsi="Times New Roman" w:cs="Times New Roman"/>
          <w:color w:val="auto"/>
          <w:kern w:val="2"/>
          <w:sz w:val="24"/>
          <w:szCs w:val="20"/>
          <w:highlight w:val="none"/>
          <w:u w:val="none"/>
        </w:rPr>
      </w:pPr>
      <w:r>
        <w:rPr>
          <w:rFonts w:hint="eastAsia" w:cs="Times New Roman"/>
          <w:color w:val="auto"/>
          <w:kern w:val="2"/>
          <w:sz w:val="24"/>
          <w:szCs w:val="20"/>
          <w:highlight w:val="none"/>
          <w:u w:val="none"/>
          <w:lang w:val="en-US" w:eastAsia="zh-CN"/>
        </w:rPr>
        <w:t>1）井场</w:t>
      </w:r>
      <w:r>
        <w:rPr>
          <w:rFonts w:ascii="Times New Roman" w:hAnsi="Times New Roman" w:cs="Times New Roman"/>
          <w:color w:val="auto"/>
          <w:kern w:val="2"/>
          <w:sz w:val="24"/>
          <w:szCs w:val="20"/>
          <w:highlight w:val="none"/>
          <w:u w:val="none"/>
        </w:rPr>
        <w:t>工程区</w:t>
      </w:r>
    </w:p>
    <w:p w14:paraId="3E0A2249">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hint="eastAsia" w:ascii="Times New Roman" w:hAnsi="Times New Roman" w:cs="Times New Roman"/>
          <w:color w:val="auto"/>
          <w:kern w:val="2"/>
          <w:sz w:val="24"/>
          <w:szCs w:val="20"/>
          <w:highlight w:val="none"/>
          <w:u w:val="none"/>
          <w:lang w:val="en-US" w:eastAsia="zh-CN"/>
        </w:rPr>
      </w:pPr>
      <w:r>
        <w:rPr>
          <w:rFonts w:ascii="Times New Roman" w:hAnsi="Times New Roman" w:cs="Times New Roman"/>
          <w:color w:val="auto"/>
          <w:kern w:val="2"/>
          <w:sz w:val="24"/>
          <w:szCs w:val="20"/>
          <w:highlight w:val="none"/>
          <w:u w:val="none"/>
        </w:rPr>
        <w:t>工程区施工活动主要表现在由于场地平整及堆垫，扰动原地貌，增加了施工区的水土流失强度。主体设计已有砾石压盖措施；方案补充场地平整、彩条旗拦挡和洒水降尘等措施。</w:t>
      </w:r>
    </w:p>
    <w:p w14:paraId="053F66A4">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ascii="Times New Roman" w:hAnsi="Times New Roman" w:cs="Times New Roman"/>
          <w:color w:val="auto"/>
          <w:kern w:val="2"/>
          <w:sz w:val="24"/>
          <w:szCs w:val="20"/>
          <w:highlight w:val="none"/>
          <w:u w:val="none"/>
        </w:rPr>
      </w:pPr>
      <w:r>
        <w:rPr>
          <w:rFonts w:hint="eastAsia" w:cs="Times New Roman"/>
          <w:color w:val="auto"/>
          <w:kern w:val="2"/>
          <w:sz w:val="24"/>
          <w:szCs w:val="20"/>
          <w:highlight w:val="none"/>
          <w:u w:val="none"/>
          <w:lang w:val="en-US" w:eastAsia="zh-CN"/>
        </w:rPr>
        <w:t>2）</w:t>
      </w:r>
      <w:r>
        <w:rPr>
          <w:rFonts w:ascii="Times New Roman" w:hAnsi="Times New Roman" w:cs="Times New Roman"/>
          <w:color w:val="auto"/>
          <w:kern w:val="2"/>
          <w:sz w:val="24"/>
          <w:szCs w:val="20"/>
          <w:highlight w:val="none"/>
          <w:u w:val="none"/>
        </w:rPr>
        <w:t>管道工程区</w:t>
      </w:r>
    </w:p>
    <w:p w14:paraId="323E738F">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ascii="Times New Roman" w:hAnsi="Times New Roman" w:cs="Times New Roman"/>
          <w:color w:val="auto"/>
          <w:kern w:val="2"/>
          <w:sz w:val="24"/>
          <w:szCs w:val="20"/>
          <w:highlight w:val="none"/>
          <w:u w:val="none"/>
        </w:rPr>
      </w:pPr>
      <w:r>
        <w:rPr>
          <w:rFonts w:ascii="Times New Roman" w:hAnsi="Times New Roman" w:cs="Times New Roman"/>
          <w:color w:val="auto"/>
          <w:kern w:val="2"/>
          <w:sz w:val="24"/>
          <w:szCs w:val="20"/>
          <w:highlight w:val="none"/>
          <w:u w:val="none"/>
        </w:rPr>
        <w:t>管道工程区主要是管沟开挖及管道施工对地面的破坏，主体设计未采取防护措施，方案补充场地平整、彩条旗拦挡、防尘网苫盖和洒水降尘措施。</w:t>
      </w:r>
    </w:p>
    <w:p w14:paraId="0D6395EB">
      <w:pPr>
        <w:keepNext w:val="0"/>
        <w:keepLines w:val="0"/>
        <w:pageBreakBefore w:val="0"/>
        <w:widowControl/>
        <w:kinsoku/>
        <w:wordWrap/>
        <w:overflowPunct/>
        <w:topLinePunct w:val="0"/>
        <w:autoSpaceDE/>
        <w:autoSpaceDN/>
        <w:bidi w:val="0"/>
        <w:adjustRightInd w:val="0"/>
        <w:snapToGrid/>
        <w:spacing w:line="480" w:lineRule="exact"/>
        <w:ind w:left="0" w:firstLine="476" w:firstLineChars="200"/>
        <w:jc w:val="left"/>
        <w:textAlignment w:val="auto"/>
        <w:rPr>
          <w:rFonts w:hint="default" w:ascii="Times New Roman" w:hAnsi="Times New Roman" w:eastAsia="宋体" w:cs="Times New Roman"/>
          <w:b/>
          <w:bCs/>
          <w:color w:val="auto"/>
          <w:kern w:val="2"/>
          <w:sz w:val="24"/>
          <w:szCs w:val="24"/>
          <w:highlight w:val="none"/>
          <w:u w:val="none"/>
          <w:lang w:val="en-US" w:eastAsia="zh-CN" w:bidi="en-US"/>
        </w:rPr>
      </w:pPr>
      <w:r>
        <w:rPr>
          <w:rFonts w:hint="default" w:ascii="Times New Roman" w:hAnsi="Times New Roman" w:eastAsia="宋体" w:cs="Times New Roman"/>
          <w:color w:val="auto"/>
          <w:spacing w:val="-1"/>
          <w:kern w:val="2"/>
          <w:sz w:val="24"/>
          <w:szCs w:val="24"/>
          <w:highlight w:val="none"/>
          <w:u w:val="none"/>
          <w:lang w:val="en-US" w:eastAsia="zh-CN" w:bidi="ar-SA"/>
        </w:rPr>
        <w:t>（2）水土保持管理措施</w:t>
      </w:r>
    </w:p>
    <w:p w14:paraId="493F5032">
      <w:pPr>
        <w:keepNext w:val="0"/>
        <w:keepLines w:val="0"/>
        <w:pageBreakBefore w:val="0"/>
        <w:widowControl/>
        <w:kinsoku/>
        <w:wordWrap/>
        <w:overflowPunct/>
        <w:topLinePunct w:val="0"/>
        <w:autoSpaceDE/>
        <w:autoSpaceDN/>
        <w:bidi w:val="0"/>
        <w:snapToGrid/>
        <w:spacing w:line="480" w:lineRule="exact"/>
        <w:ind w:left="0" w:firstLine="476" w:firstLineChars="200"/>
        <w:jc w:val="left"/>
        <w:textAlignment w:val="auto"/>
        <w:rPr>
          <w:rFonts w:hint="eastAsia" w:ascii="Times New Roman" w:hAnsi="Times New Roman" w:eastAsia="宋体" w:cs="Times New Roman"/>
          <w:color w:val="auto"/>
          <w:spacing w:val="-1"/>
          <w:kern w:val="2"/>
          <w:sz w:val="24"/>
          <w:szCs w:val="24"/>
          <w:highlight w:val="none"/>
          <w:u w:val="none"/>
          <w:lang w:val="en-US" w:eastAsia="zh-CN" w:bidi="ar-SA"/>
        </w:rPr>
      </w:pPr>
      <w:r>
        <w:rPr>
          <w:rFonts w:hint="default" w:ascii="Times New Roman" w:hAnsi="Times New Roman" w:eastAsia="宋体" w:cs="Times New Roman"/>
          <w:color w:val="auto"/>
          <w:spacing w:val="-1"/>
          <w:kern w:val="2"/>
          <w:sz w:val="24"/>
          <w:szCs w:val="24"/>
          <w:highlight w:val="none"/>
          <w:u w:val="none"/>
          <w:lang w:val="en-US" w:eastAsia="zh-CN" w:bidi="ar-SA"/>
        </w:rPr>
        <w:t>对工程措施的管理要纳入生产管理计划之中，专业人员负责施工设计和技术指导，在责任范围内建立相应的管理措施。根据《中华人民共和国水土保持法》，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p w14:paraId="0F2F2ADE">
      <w:pPr>
        <w:keepNext w:val="0"/>
        <w:keepLines w:val="0"/>
        <w:pageBreakBefore w:val="0"/>
        <w:widowControl/>
        <w:kinsoku/>
        <w:wordWrap/>
        <w:overflowPunct/>
        <w:topLinePunct w:val="0"/>
        <w:autoSpaceDE/>
        <w:autoSpaceDN/>
        <w:bidi w:val="0"/>
        <w:snapToGrid/>
        <w:spacing w:line="480" w:lineRule="exact"/>
        <w:ind w:left="0" w:firstLine="476" w:firstLineChars="200"/>
        <w:jc w:val="left"/>
        <w:textAlignment w:val="auto"/>
        <w:rPr>
          <w:rFonts w:hint="default" w:ascii="Times New Roman" w:hAnsi="Times New Roman" w:eastAsia="宋体" w:cs="Times New Roman"/>
          <w:color w:val="auto"/>
          <w:spacing w:val="-1"/>
          <w:kern w:val="2"/>
          <w:sz w:val="24"/>
          <w:szCs w:val="24"/>
          <w:highlight w:val="none"/>
          <w:u w:val="none"/>
          <w:lang w:val="en-US" w:eastAsia="zh-CN" w:bidi="ar-SA"/>
        </w:rPr>
      </w:pPr>
      <w:r>
        <w:rPr>
          <w:rFonts w:hint="eastAsia" w:cs="Times New Roman"/>
          <w:color w:val="auto"/>
          <w:spacing w:val="-1"/>
          <w:kern w:val="2"/>
          <w:sz w:val="24"/>
          <w:szCs w:val="24"/>
          <w:highlight w:val="none"/>
          <w:u w:val="none"/>
          <w:lang w:val="en-US" w:eastAsia="zh-CN" w:bidi="ar-SA"/>
        </w:rPr>
        <w:t>1）</w:t>
      </w:r>
      <w:r>
        <w:rPr>
          <w:rFonts w:hint="default" w:ascii="Times New Roman" w:hAnsi="Times New Roman" w:eastAsia="宋体" w:cs="Times New Roman"/>
          <w:color w:val="auto"/>
          <w:spacing w:val="-1"/>
          <w:kern w:val="2"/>
          <w:sz w:val="24"/>
          <w:szCs w:val="24"/>
          <w:highlight w:val="none"/>
          <w:u w:val="none"/>
          <w:lang w:val="en-US" w:eastAsia="zh-CN" w:bidi="ar-SA"/>
        </w:rPr>
        <w:t>项目选线和拟采用的技术标准，应该充分考虑水土流失因素，尽量避开植被茂盛地段，施工期间严格划定施工活动范围，严格控制和管理运输车辆及重型机械的运行范围，不另辟施工便道，不得离开运输道路及随意驾驶。由专人监督负责，以防破坏土壤和植被。</w:t>
      </w:r>
    </w:p>
    <w:p w14:paraId="0E37061A">
      <w:pPr>
        <w:keepNext w:val="0"/>
        <w:keepLines w:val="0"/>
        <w:pageBreakBefore w:val="0"/>
        <w:widowControl/>
        <w:kinsoku/>
        <w:wordWrap/>
        <w:overflowPunct/>
        <w:topLinePunct w:val="0"/>
        <w:autoSpaceDE/>
        <w:autoSpaceDN/>
        <w:bidi w:val="0"/>
        <w:adjustRightInd w:val="0"/>
        <w:snapToGrid/>
        <w:spacing w:line="480" w:lineRule="exact"/>
        <w:ind w:left="0" w:firstLine="476" w:firstLineChars="200"/>
        <w:jc w:val="left"/>
        <w:textAlignment w:val="auto"/>
        <w:outlineLvl w:val="9"/>
        <w:rPr>
          <w:rFonts w:ascii="宋体" w:hAnsi="宋体" w:cs="宋体"/>
          <w:color w:val="auto"/>
          <w:kern w:val="0"/>
          <w:sz w:val="24"/>
          <w:szCs w:val="32"/>
          <w:highlight w:val="none"/>
          <w:u w:val="none"/>
        </w:rPr>
      </w:pPr>
      <w:bookmarkStart w:id="494" w:name="_Toc26870"/>
      <w:bookmarkStart w:id="495" w:name="_Toc23383"/>
      <w:r>
        <w:rPr>
          <w:rFonts w:hint="eastAsia" w:cs="Times New Roman"/>
          <w:color w:val="auto"/>
          <w:spacing w:val="-1"/>
          <w:kern w:val="0"/>
          <w:sz w:val="24"/>
          <w:szCs w:val="24"/>
          <w:highlight w:val="none"/>
          <w:u w:val="none"/>
          <w:lang w:val="en-US" w:eastAsia="zh-CN"/>
        </w:rPr>
        <w:t>2）</w:t>
      </w:r>
      <w:r>
        <w:rPr>
          <w:rFonts w:hint="eastAsia" w:ascii="宋体" w:hAnsi="宋体" w:cs="宋体"/>
          <w:color w:val="auto"/>
          <w:kern w:val="0"/>
          <w:sz w:val="24"/>
          <w:szCs w:val="32"/>
          <w:highlight w:val="none"/>
          <w:u w:val="none"/>
        </w:rPr>
        <w:t>施工时，在有植被分布地段，要特别注意保护原始地表与天然植被，应划定施工活动范围，严格控制和管理车辆及重型机械的运行范围，所有车辆采用“一”字型作业方法，走统一车辙，避免加行开辟新路，以减少风沙活动。在施工过程中，不得随意碾压项目区内</w:t>
      </w:r>
      <w:r>
        <w:rPr>
          <w:rFonts w:hint="eastAsia" w:ascii="宋体" w:hAnsi="宋体" w:cs="宋体"/>
          <w:color w:val="auto"/>
          <w:kern w:val="0"/>
          <w:sz w:val="24"/>
          <w:szCs w:val="32"/>
          <w:highlight w:val="none"/>
          <w:u w:val="none"/>
          <w:lang w:eastAsia="zh-CN"/>
        </w:rPr>
        <w:t>其他</w:t>
      </w:r>
      <w:r>
        <w:rPr>
          <w:rFonts w:hint="eastAsia" w:ascii="宋体" w:hAnsi="宋体" w:cs="宋体"/>
          <w:color w:val="auto"/>
          <w:kern w:val="0"/>
          <w:sz w:val="24"/>
          <w:szCs w:val="32"/>
          <w:highlight w:val="none"/>
          <w:u w:val="none"/>
        </w:rPr>
        <w:t>固沙植被。井场位置应根据场地周边植被分布情况，在满足设计要求的前提下进行适当的调整，以减少占地。尽量避开沙丘，减缓对沙丘活化的影响。</w:t>
      </w:r>
      <w:bookmarkEnd w:id="494"/>
      <w:bookmarkEnd w:id="495"/>
    </w:p>
    <w:p w14:paraId="30BA586E">
      <w:pPr>
        <w:keepNext w:val="0"/>
        <w:keepLines w:val="0"/>
        <w:pageBreakBefore w:val="0"/>
        <w:widowControl/>
        <w:kinsoku/>
        <w:wordWrap/>
        <w:overflowPunct/>
        <w:topLinePunct w:val="0"/>
        <w:autoSpaceDE/>
        <w:autoSpaceDN/>
        <w:bidi w:val="0"/>
        <w:snapToGrid/>
        <w:spacing w:line="480" w:lineRule="exact"/>
        <w:ind w:left="0" w:firstLine="476" w:firstLineChars="200"/>
        <w:jc w:val="left"/>
        <w:textAlignment w:val="auto"/>
        <w:rPr>
          <w:rFonts w:hint="default" w:ascii="Times New Roman" w:hAnsi="Times New Roman" w:eastAsia="宋体" w:cs="Times New Roman"/>
          <w:color w:val="auto"/>
          <w:spacing w:val="-1"/>
          <w:kern w:val="2"/>
          <w:sz w:val="24"/>
          <w:szCs w:val="24"/>
          <w:highlight w:val="none"/>
          <w:u w:val="none"/>
          <w:lang w:val="en-US" w:eastAsia="zh-CN" w:bidi="ar-SA"/>
        </w:rPr>
      </w:pPr>
      <w:r>
        <w:rPr>
          <w:rFonts w:hint="eastAsia" w:cs="Times New Roman"/>
          <w:color w:val="auto"/>
          <w:spacing w:val="-1"/>
          <w:kern w:val="2"/>
          <w:sz w:val="24"/>
          <w:szCs w:val="24"/>
          <w:highlight w:val="none"/>
          <w:u w:val="none"/>
          <w:lang w:val="en-US" w:eastAsia="zh-CN" w:bidi="ar-SA"/>
        </w:rPr>
        <w:t>3）</w:t>
      </w:r>
      <w:r>
        <w:rPr>
          <w:rFonts w:hint="eastAsia" w:ascii="Times New Roman" w:hAnsi="Times New Roman" w:eastAsia="宋体" w:cs="Times New Roman"/>
          <w:color w:val="auto"/>
          <w:spacing w:val="-1"/>
          <w:kern w:val="2"/>
          <w:sz w:val="24"/>
          <w:szCs w:val="24"/>
          <w:highlight w:val="none"/>
          <w:u w:val="none"/>
          <w:lang w:val="en-US" w:eastAsia="zh-CN" w:bidi="ar-SA"/>
        </w:rPr>
        <w:t>施工中严格按照规定的施工占地要求，划定适宜的堆料场。避免在大风、雨天施工。施工结束后，要做好施工迹地的恢复工作。井场建设应尽量利用挖方料，做到土石方平衡。</w:t>
      </w:r>
    </w:p>
    <w:p w14:paraId="4CC273BD">
      <w:pPr>
        <w:keepNext w:val="0"/>
        <w:keepLines w:val="0"/>
        <w:pageBreakBefore w:val="0"/>
        <w:widowControl/>
        <w:kinsoku/>
        <w:wordWrap/>
        <w:overflowPunct/>
        <w:topLinePunct w:val="0"/>
        <w:autoSpaceDE/>
        <w:autoSpaceDN/>
        <w:bidi w:val="0"/>
        <w:snapToGrid/>
        <w:spacing w:line="480" w:lineRule="exact"/>
        <w:ind w:left="0" w:firstLine="476" w:firstLineChars="200"/>
        <w:jc w:val="left"/>
        <w:textAlignment w:val="auto"/>
        <w:rPr>
          <w:rFonts w:hint="default" w:ascii="Times New Roman" w:hAnsi="Times New Roman" w:eastAsia="宋体" w:cs="Times New Roman"/>
          <w:color w:val="auto"/>
          <w:spacing w:val="-1"/>
          <w:kern w:val="2"/>
          <w:sz w:val="24"/>
          <w:szCs w:val="24"/>
          <w:highlight w:val="none"/>
          <w:u w:val="none"/>
          <w:lang w:val="en-US" w:eastAsia="zh-CN" w:bidi="ar-SA"/>
        </w:rPr>
      </w:pPr>
      <w:r>
        <w:rPr>
          <w:rFonts w:hint="eastAsia" w:cs="Times New Roman"/>
          <w:color w:val="auto"/>
          <w:spacing w:val="-1"/>
          <w:kern w:val="2"/>
          <w:sz w:val="24"/>
          <w:szCs w:val="24"/>
          <w:highlight w:val="none"/>
          <w:u w:val="none"/>
          <w:lang w:val="en-US" w:eastAsia="zh-CN" w:bidi="ar-SA"/>
        </w:rPr>
        <w:t>4）</w:t>
      </w:r>
      <w:r>
        <w:rPr>
          <w:rFonts w:hint="default" w:ascii="Times New Roman" w:hAnsi="Times New Roman" w:eastAsia="宋体" w:cs="Times New Roman"/>
          <w:color w:val="auto"/>
          <w:spacing w:val="-1"/>
          <w:kern w:val="2"/>
          <w:sz w:val="24"/>
          <w:szCs w:val="24"/>
          <w:highlight w:val="none"/>
          <w:u w:val="none"/>
          <w:lang w:val="en-US" w:eastAsia="zh-CN" w:bidi="ar-SA"/>
        </w:rPr>
        <w:t>严禁在大风、大雨天气下施工，特别是深挖和回填等作业。</w:t>
      </w:r>
    </w:p>
    <w:p w14:paraId="201C7FFE">
      <w:pPr>
        <w:keepNext w:val="0"/>
        <w:keepLines w:val="0"/>
        <w:pageBreakBefore w:val="0"/>
        <w:widowControl/>
        <w:kinsoku/>
        <w:wordWrap/>
        <w:overflowPunct/>
        <w:topLinePunct w:val="0"/>
        <w:autoSpaceDE/>
        <w:autoSpaceDN/>
        <w:bidi w:val="0"/>
        <w:snapToGrid/>
        <w:spacing w:line="480" w:lineRule="exact"/>
        <w:ind w:left="0" w:firstLine="476" w:firstLineChars="200"/>
        <w:jc w:val="left"/>
        <w:textAlignment w:val="auto"/>
        <w:rPr>
          <w:rFonts w:hint="eastAsia" w:ascii="Times New Roman" w:hAnsi="Times New Roman" w:eastAsia="宋体" w:cs="Times New Roman"/>
          <w:color w:val="auto"/>
          <w:spacing w:val="-1"/>
          <w:kern w:val="2"/>
          <w:sz w:val="24"/>
          <w:szCs w:val="24"/>
          <w:highlight w:val="none"/>
          <w:u w:val="none"/>
          <w:lang w:val="en-US" w:eastAsia="zh-CN" w:bidi="ar-SA"/>
        </w:rPr>
      </w:pPr>
      <w:r>
        <w:rPr>
          <w:rFonts w:hint="eastAsia" w:cs="Times New Roman"/>
          <w:color w:val="auto"/>
          <w:spacing w:val="-1"/>
          <w:kern w:val="2"/>
          <w:sz w:val="24"/>
          <w:szCs w:val="24"/>
          <w:highlight w:val="none"/>
          <w:u w:val="none"/>
          <w:lang w:val="en-US" w:eastAsia="zh-CN" w:bidi="ar-SA"/>
        </w:rPr>
        <w:t>5）</w:t>
      </w:r>
      <w:r>
        <w:rPr>
          <w:rFonts w:ascii="Times New Roman" w:hAnsi="Times New Roman" w:eastAsia="宋体" w:cs="Times New Roman"/>
          <w:color w:val="auto"/>
          <w:spacing w:val="-4"/>
          <w:kern w:val="2"/>
          <w:sz w:val="24"/>
          <w:szCs w:val="24"/>
          <w:highlight w:val="none"/>
          <w:u w:val="none"/>
          <w:lang w:val="en-US" w:eastAsia="zh-CN" w:bidi="ar-SA"/>
        </w:rPr>
        <w:t>加强施工期管理，加速建设进度，减少施工期水土</w:t>
      </w:r>
      <w:r>
        <w:rPr>
          <w:rFonts w:hint="eastAsia" w:ascii="Times New Roman" w:hAnsi="Times New Roman" w:eastAsia="宋体" w:cs="Times New Roman"/>
          <w:color w:val="auto"/>
          <w:spacing w:val="-4"/>
          <w:kern w:val="2"/>
          <w:sz w:val="24"/>
          <w:szCs w:val="24"/>
          <w:highlight w:val="none"/>
          <w:u w:val="none"/>
          <w:lang w:val="en-US" w:eastAsia="zh-CN" w:bidi="ar-SA"/>
        </w:rPr>
        <w:t>流失的产生</w:t>
      </w:r>
      <w:r>
        <w:rPr>
          <w:rFonts w:ascii="Times New Roman" w:hAnsi="Times New Roman" w:eastAsia="宋体" w:cs="Times New Roman"/>
          <w:color w:val="auto"/>
          <w:spacing w:val="-4"/>
          <w:kern w:val="2"/>
          <w:sz w:val="24"/>
          <w:szCs w:val="24"/>
          <w:highlight w:val="none"/>
          <w:u w:val="none"/>
          <w:lang w:val="en-US" w:eastAsia="zh-CN" w:bidi="ar-SA"/>
        </w:rPr>
        <w:t>；同时</w:t>
      </w:r>
      <w:r>
        <w:rPr>
          <w:rFonts w:ascii="Times New Roman" w:hAnsi="Times New Roman" w:eastAsia="宋体" w:cs="Times New Roman"/>
          <w:color w:val="auto"/>
          <w:kern w:val="2"/>
          <w:sz w:val="24"/>
          <w:szCs w:val="24"/>
          <w:highlight w:val="none"/>
          <w:u w:val="none"/>
          <w:lang w:val="en-US" w:eastAsia="zh-CN" w:bidi="ar-SA"/>
        </w:rPr>
        <w:t>在施工期间，应提前制定严密的交通管理措施</w:t>
      </w:r>
      <w:r>
        <w:rPr>
          <w:rFonts w:hint="eastAsia" w:ascii="Times New Roman" w:hAnsi="Times New Roman" w:eastAsia="宋体" w:cs="Times New Roman"/>
          <w:color w:val="auto"/>
          <w:kern w:val="2"/>
          <w:sz w:val="24"/>
          <w:szCs w:val="24"/>
          <w:highlight w:val="none"/>
          <w:u w:val="none"/>
          <w:lang w:val="en-US" w:eastAsia="zh-CN" w:bidi="ar-SA"/>
        </w:rPr>
        <w:t>。</w:t>
      </w:r>
    </w:p>
    <w:p w14:paraId="4ED8E6D4">
      <w:pPr>
        <w:keepNext w:val="0"/>
        <w:keepLines w:val="0"/>
        <w:pageBreakBefore w:val="0"/>
        <w:widowControl/>
        <w:kinsoku/>
        <w:wordWrap/>
        <w:overflowPunct/>
        <w:topLinePunct w:val="0"/>
        <w:autoSpaceDE/>
        <w:autoSpaceDN/>
        <w:bidi w:val="0"/>
        <w:snapToGrid/>
        <w:spacing w:line="480" w:lineRule="exact"/>
        <w:ind w:left="0" w:firstLine="476" w:firstLineChars="200"/>
        <w:jc w:val="left"/>
        <w:textAlignment w:val="auto"/>
        <w:rPr>
          <w:rFonts w:hint="default" w:ascii="Times New Roman" w:hAnsi="Times New Roman" w:eastAsia="宋体" w:cs="Times New Roman"/>
          <w:color w:val="auto"/>
          <w:spacing w:val="-1"/>
          <w:kern w:val="2"/>
          <w:sz w:val="24"/>
          <w:szCs w:val="24"/>
          <w:highlight w:val="none"/>
          <w:u w:val="none"/>
          <w:lang w:val="en-US" w:eastAsia="zh-CN" w:bidi="ar-SA"/>
        </w:rPr>
      </w:pPr>
      <w:r>
        <w:rPr>
          <w:rFonts w:hint="eastAsia" w:cs="Times New Roman"/>
          <w:color w:val="auto"/>
          <w:spacing w:val="-1"/>
          <w:kern w:val="2"/>
          <w:sz w:val="24"/>
          <w:szCs w:val="24"/>
          <w:highlight w:val="none"/>
          <w:u w:val="none"/>
          <w:lang w:val="en-US" w:eastAsia="zh-CN" w:bidi="ar-SA"/>
        </w:rPr>
        <w:t>6）</w:t>
      </w:r>
      <w:r>
        <w:rPr>
          <w:rFonts w:hint="default" w:ascii="Times New Roman" w:hAnsi="Times New Roman" w:eastAsia="宋体" w:cs="Times New Roman"/>
          <w:color w:val="auto"/>
          <w:spacing w:val="-1"/>
          <w:kern w:val="2"/>
          <w:sz w:val="24"/>
          <w:szCs w:val="24"/>
          <w:highlight w:val="none"/>
          <w:u w:val="none"/>
          <w:lang w:val="en-US" w:eastAsia="zh-CN" w:bidi="ar-SA"/>
        </w:rPr>
        <w:t>加强</w:t>
      </w:r>
      <w:r>
        <w:rPr>
          <w:rFonts w:hint="eastAsia" w:cs="Times New Roman"/>
          <w:color w:val="auto"/>
          <w:spacing w:val="-1"/>
          <w:kern w:val="2"/>
          <w:sz w:val="24"/>
          <w:szCs w:val="24"/>
          <w:highlight w:val="none"/>
          <w:u w:val="none"/>
          <w:lang w:val="en-US" w:eastAsia="zh-CN" w:bidi="ar-SA"/>
        </w:rPr>
        <w:t>水土保持</w:t>
      </w:r>
      <w:r>
        <w:rPr>
          <w:rFonts w:hint="default" w:ascii="Times New Roman" w:hAnsi="Times New Roman" w:eastAsia="宋体" w:cs="Times New Roman"/>
          <w:color w:val="auto"/>
          <w:spacing w:val="-1"/>
          <w:kern w:val="2"/>
          <w:sz w:val="24"/>
          <w:szCs w:val="24"/>
          <w:highlight w:val="none"/>
          <w:u w:val="none"/>
          <w:lang w:val="en-US" w:eastAsia="zh-CN" w:bidi="ar-SA"/>
        </w:rPr>
        <w:t>管理，对施工人员进行培训和教育，自觉保持水土，保护植被。严禁施工材料乱堆乱放，不随意乱采乱挖沿线植被。</w:t>
      </w:r>
    </w:p>
    <w:p w14:paraId="7D4BCA22">
      <w:pPr>
        <w:keepNext w:val="0"/>
        <w:keepLines w:val="0"/>
        <w:pageBreakBefore w:val="0"/>
        <w:widowControl/>
        <w:kinsoku/>
        <w:wordWrap/>
        <w:overflowPunct/>
        <w:topLinePunct w:val="0"/>
        <w:autoSpaceDE/>
        <w:autoSpaceDN/>
        <w:bidi w:val="0"/>
        <w:snapToGrid/>
        <w:spacing w:line="480" w:lineRule="exact"/>
        <w:ind w:left="0" w:firstLine="476" w:firstLineChars="200"/>
        <w:jc w:val="left"/>
        <w:textAlignment w:val="auto"/>
        <w:rPr>
          <w:rFonts w:hint="default" w:ascii="Times New Roman" w:hAnsi="Times New Roman" w:eastAsia="宋体" w:cs="Times New Roman"/>
          <w:color w:val="auto"/>
          <w:spacing w:val="-1"/>
          <w:kern w:val="2"/>
          <w:sz w:val="24"/>
          <w:szCs w:val="24"/>
          <w:highlight w:val="none"/>
          <w:u w:val="none"/>
          <w:lang w:val="en-US" w:eastAsia="zh-CN" w:bidi="ar-SA"/>
        </w:rPr>
      </w:pPr>
      <w:r>
        <w:rPr>
          <w:rFonts w:hint="eastAsia" w:cs="Times New Roman"/>
          <w:color w:val="auto"/>
          <w:spacing w:val="-1"/>
          <w:kern w:val="2"/>
          <w:sz w:val="24"/>
          <w:szCs w:val="24"/>
          <w:highlight w:val="none"/>
          <w:u w:val="none"/>
          <w:lang w:val="en-US" w:eastAsia="zh-CN" w:bidi="ar-SA"/>
        </w:rPr>
        <w:t>7）</w:t>
      </w:r>
      <w:r>
        <w:rPr>
          <w:rFonts w:hint="default" w:ascii="Times New Roman" w:hAnsi="Times New Roman" w:eastAsia="宋体" w:cs="Times New Roman"/>
          <w:color w:val="auto"/>
          <w:spacing w:val="-1"/>
          <w:kern w:val="2"/>
          <w:sz w:val="24"/>
          <w:szCs w:val="24"/>
          <w:highlight w:val="none"/>
          <w:u w:val="none"/>
          <w:lang w:val="en-US" w:eastAsia="zh-CN" w:bidi="ar-SA"/>
        </w:rPr>
        <w:t>对施工迹地恢复平整，以减少区域水土流失量的增加。</w:t>
      </w:r>
    </w:p>
    <w:p w14:paraId="09946559">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6.1.</w:t>
      </w:r>
      <w:r>
        <w:rPr>
          <w:rFonts w:hint="eastAsia" w:ascii="宋体" w:hAnsi="宋体" w:cs="宋体"/>
          <w:color w:val="auto"/>
          <w:u w:val="none"/>
          <w:lang w:val="en-US" w:eastAsia="zh-CN"/>
        </w:rPr>
        <w:t>1</w:t>
      </w:r>
      <w:r>
        <w:rPr>
          <w:rFonts w:hint="eastAsia" w:ascii="宋体" w:hAnsi="宋体" w:eastAsia="宋体" w:cs="宋体"/>
          <w:color w:val="auto"/>
          <w:u w:val="none"/>
          <w:lang w:val="en-US" w:eastAsia="zh-CN"/>
        </w:rPr>
        <w:t>.8 其他生态保护措施要求</w:t>
      </w:r>
    </w:p>
    <w:p w14:paraId="5ADFA7DC">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lang w:bidi="ar"/>
        </w:rPr>
        <w:t>（</w:t>
      </w:r>
      <w:r>
        <w:rPr>
          <w:rFonts w:hint="default" w:ascii="Times New Roman" w:hAnsi="Times New Roman" w:eastAsia="宋体" w:cs="Times New Roman"/>
          <w:color w:val="auto"/>
          <w:kern w:val="0"/>
          <w:sz w:val="24"/>
          <w:szCs w:val="24"/>
          <w:highlight w:val="none"/>
          <w:u w:val="none"/>
          <w:lang w:bidi="ar"/>
        </w:rPr>
        <w:t>1）在</w:t>
      </w:r>
      <w:r>
        <w:rPr>
          <w:rFonts w:hint="default" w:ascii="Times New Roman" w:hAnsi="Times New Roman" w:cs="Times New Roman"/>
          <w:color w:val="auto"/>
          <w:kern w:val="0"/>
          <w:sz w:val="24"/>
          <w:szCs w:val="24"/>
          <w:highlight w:val="none"/>
          <w:u w:val="none"/>
          <w:lang w:bidi="ar"/>
        </w:rPr>
        <w:t>工程施工过程中和施工结束后，及时对施工场地进行平整，以便自然植被后期自然恢复。</w:t>
      </w:r>
    </w:p>
    <w:p w14:paraId="419A297B">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lang w:bidi="ar"/>
        </w:rPr>
      </w:pPr>
      <w:r>
        <w:rPr>
          <w:rFonts w:hint="default" w:ascii="Times New Roman" w:hAnsi="Times New Roman" w:cs="Times New Roman"/>
          <w:color w:val="auto"/>
          <w:kern w:val="0"/>
          <w:sz w:val="24"/>
          <w:szCs w:val="24"/>
          <w:highlight w:val="none"/>
          <w:u w:val="none"/>
          <w:lang w:bidi="ar"/>
        </w:rPr>
        <w:t>（2）加强施工期环境监理，委托专职人员承担生态监理。采用巡检监理的方式。监理的重点时段是管线施工期。监理的重点内容是：施工过程中表土分层堆放，施工结束后的草方格布置情况，野生动物保护，以及材料堆放、施工方式等环境保护内容。生态监理要求应落实在管线和站场工程项目承包招标书中。</w:t>
      </w:r>
    </w:p>
    <w:p w14:paraId="4FE43994">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u w:val="none"/>
          <w:lang w:bidi="ar"/>
        </w:rPr>
      </w:pPr>
      <w:r>
        <w:rPr>
          <w:rFonts w:hint="default" w:ascii="Times New Roman" w:hAnsi="Times New Roman" w:cs="Times New Roman"/>
          <w:color w:val="auto"/>
          <w:kern w:val="0"/>
          <w:sz w:val="24"/>
          <w:szCs w:val="24"/>
          <w:highlight w:val="none"/>
          <w:u w:val="none"/>
          <w:lang w:bidi="ar"/>
        </w:rPr>
        <w:t>综上所述，本工程在施工期采取的生态环境影响减缓措施可行。</w:t>
      </w:r>
    </w:p>
    <w:p w14:paraId="7E8177ED">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6.1.</w:t>
      </w:r>
      <w:r>
        <w:rPr>
          <w:rFonts w:hint="eastAsia" w:ascii="宋体" w:hAnsi="宋体" w:cs="宋体"/>
          <w:color w:val="auto"/>
          <w:u w:val="none"/>
          <w:lang w:val="en-US" w:eastAsia="zh-CN"/>
        </w:rPr>
        <w:t>1</w:t>
      </w:r>
      <w:r>
        <w:rPr>
          <w:rFonts w:hint="eastAsia" w:ascii="宋体" w:hAnsi="宋体" w:eastAsia="宋体" w:cs="宋体"/>
          <w:color w:val="auto"/>
          <w:u w:val="none"/>
          <w:lang w:val="en-US" w:eastAsia="zh-CN"/>
        </w:rPr>
        <w:t>.9 生态保护工程的技术和经济可行性</w:t>
      </w:r>
    </w:p>
    <w:p w14:paraId="6125A0A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highlight w:val="none"/>
          <w:u w:val="none"/>
          <w:lang w:val="en-GB"/>
        </w:rPr>
      </w:pPr>
      <w:r>
        <w:rPr>
          <w:rFonts w:ascii="宋体" w:hAnsi="宋体" w:cs="宋体"/>
          <w:color w:val="auto"/>
          <w:kern w:val="0"/>
          <w:sz w:val="24"/>
          <w:szCs w:val="24"/>
          <w:highlight w:val="none"/>
          <w:u w:val="none"/>
          <w:lang w:val="en-GB"/>
        </w:rPr>
        <w:t>本</w:t>
      </w:r>
      <w:r>
        <w:rPr>
          <w:rFonts w:hint="eastAsia" w:ascii="宋体" w:hAnsi="宋体" w:cs="宋体"/>
          <w:color w:val="auto"/>
          <w:kern w:val="0"/>
          <w:sz w:val="24"/>
          <w:szCs w:val="24"/>
          <w:highlight w:val="none"/>
          <w:u w:val="none"/>
          <w:lang w:val="en-US" w:eastAsia="zh-CN"/>
        </w:rPr>
        <w:t>工程</w:t>
      </w:r>
      <w:r>
        <w:rPr>
          <w:rFonts w:ascii="宋体" w:hAnsi="宋体" w:cs="宋体"/>
          <w:color w:val="auto"/>
          <w:kern w:val="0"/>
          <w:sz w:val="24"/>
          <w:szCs w:val="24"/>
          <w:highlight w:val="none"/>
          <w:u w:val="none"/>
          <w:lang w:val="en-GB"/>
        </w:rPr>
        <w:t>征用的土地需按照自然资源部门的相关规定，支付一定的占地补偿费，具体数额由项目建设单位与当地政府商议确定。</w:t>
      </w:r>
    </w:p>
    <w:p w14:paraId="6976BB2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highlight w:val="none"/>
          <w:u w:val="none"/>
          <w:lang w:val="en-GB"/>
        </w:rPr>
      </w:pPr>
      <w:r>
        <w:rPr>
          <w:rFonts w:ascii="宋体" w:hAnsi="宋体" w:cs="宋体"/>
          <w:color w:val="auto"/>
          <w:kern w:val="0"/>
          <w:sz w:val="24"/>
          <w:szCs w:val="24"/>
          <w:highlight w:val="none"/>
          <w:u w:val="none"/>
          <w:lang w:val="en-GB"/>
        </w:rPr>
        <w:t>本</w:t>
      </w:r>
      <w:r>
        <w:rPr>
          <w:rFonts w:hint="eastAsia" w:ascii="宋体" w:hAnsi="宋体" w:cs="宋体"/>
          <w:color w:val="auto"/>
          <w:kern w:val="0"/>
          <w:sz w:val="24"/>
          <w:szCs w:val="24"/>
          <w:highlight w:val="none"/>
          <w:u w:val="none"/>
          <w:lang w:val="en-US" w:eastAsia="zh-CN"/>
        </w:rPr>
        <w:t>工程施工期</w:t>
      </w:r>
      <w:r>
        <w:rPr>
          <w:rFonts w:ascii="宋体" w:hAnsi="宋体" w:cs="宋体"/>
          <w:color w:val="auto"/>
          <w:kern w:val="0"/>
          <w:sz w:val="24"/>
          <w:szCs w:val="24"/>
          <w:highlight w:val="none"/>
          <w:u w:val="none"/>
          <w:lang w:val="en-GB"/>
        </w:rPr>
        <w:t>要严格遵守国家和地方有关野生动物保护、水土保持法、防沙治沙等法律法规。主要采取以下生态保护措施，这些措施对于减少地表破坏，减缓水土流失，抑制荒漠化发展起到了一定的积极作用。</w:t>
      </w:r>
    </w:p>
    <w:p w14:paraId="5C3C945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highlight w:val="none"/>
          <w:u w:val="none"/>
          <w:lang w:val="en-GB"/>
        </w:rPr>
      </w:pPr>
      <w:r>
        <w:rPr>
          <w:rFonts w:ascii="宋体" w:hAnsi="宋体" w:cs="宋体"/>
          <w:color w:val="auto"/>
          <w:kern w:val="0"/>
          <w:sz w:val="24"/>
          <w:szCs w:val="24"/>
          <w:highlight w:val="none"/>
          <w:u w:val="none"/>
          <w:lang w:val="en-GB"/>
        </w:rPr>
        <w:t>——对油</w:t>
      </w:r>
      <w:r>
        <w:rPr>
          <w:rFonts w:hint="eastAsia" w:ascii="宋体" w:hAnsi="宋体" w:cs="宋体"/>
          <w:color w:val="auto"/>
          <w:kern w:val="0"/>
          <w:sz w:val="24"/>
          <w:szCs w:val="24"/>
          <w:highlight w:val="none"/>
          <w:u w:val="none"/>
          <w:lang w:val="en-US" w:eastAsia="zh-CN"/>
        </w:rPr>
        <w:t>气</w:t>
      </w:r>
      <w:r>
        <w:rPr>
          <w:rFonts w:ascii="宋体" w:hAnsi="宋体" w:cs="宋体"/>
          <w:color w:val="auto"/>
          <w:kern w:val="0"/>
          <w:sz w:val="24"/>
          <w:szCs w:val="24"/>
          <w:highlight w:val="none"/>
          <w:u w:val="none"/>
          <w:lang w:val="en-GB"/>
        </w:rPr>
        <w:t>田的永久性占地合理规划，严格控制占地面积。</w:t>
      </w:r>
    </w:p>
    <w:p w14:paraId="6911735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highlight w:val="none"/>
          <w:u w:val="none"/>
          <w:lang w:val="en-GB"/>
        </w:rPr>
      </w:pPr>
      <w:r>
        <w:rPr>
          <w:rFonts w:ascii="宋体" w:hAnsi="宋体" w:cs="宋体"/>
          <w:color w:val="auto"/>
          <w:kern w:val="0"/>
          <w:sz w:val="24"/>
          <w:szCs w:val="24"/>
          <w:highlight w:val="none"/>
          <w:u w:val="none"/>
          <w:lang w:val="en-GB"/>
        </w:rPr>
        <w:t>——按设计标准规定，严格控制施工作业带（开挖）面积，油田内管线敷设施工宽度控制在设计标准范围内，并尽量沿道路纵向平行布设。以减少地表破坏，减少土方的暴露面积。</w:t>
      </w:r>
    </w:p>
    <w:p w14:paraId="5C38EF2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highlight w:val="none"/>
          <w:u w:val="none"/>
          <w:lang w:val="en-GB"/>
        </w:rPr>
      </w:pPr>
      <w:r>
        <w:rPr>
          <w:rFonts w:ascii="宋体" w:hAnsi="宋体" w:cs="宋体"/>
          <w:color w:val="auto"/>
          <w:kern w:val="0"/>
          <w:sz w:val="24"/>
          <w:szCs w:val="24"/>
          <w:highlight w:val="none"/>
          <w:u w:val="none"/>
          <w:lang w:val="en-GB"/>
        </w:rPr>
        <w:t>——施工作业尽量利用原有公路，沿已有车辙行驶，若无原有公路，严格执行先修路，后开钻的原则进行。杜绝车辆乱碾乱轧的情况发生。不随意开设便道。</w:t>
      </w:r>
    </w:p>
    <w:p w14:paraId="5817809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highlight w:val="none"/>
          <w:u w:val="none"/>
          <w:lang w:val="en-GB"/>
        </w:rPr>
      </w:pPr>
      <w:r>
        <w:rPr>
          <w:rFonts w:ascii="宋体" w:hAnsi="宋体" w:cs="宋体"/>
          <w:color w:val="auto"/>
          <w:kern w:val="0"/>
          <w:sz w:val="24"/>
          <w:szCs w:val="24"/>
          <w:highlight w:val="none"/>
          <w:u w:val="none"/>
          <w:lang w:val="en-GB"/>
        </w:rPr>
        <w:t>——施工机械在不得在</w:t>
      </w:r>
      <w:r>
        <w:rPr>
          <w:rFonts w:hint="eastAsia" w:ascii="宋体" w:hAnsi="宋体" w:cs="宋体"/>
          <w:color w:val="auto"/>
          <w:kern w:val="0"/>
          <w:sz w:val="24"/>
          <w:szCs w:val="24"/>
          <w:highlight w:val="none"/>
          <w:u w:val="none"/>
          <w:lang w:val="en-US" w:eastAsia="zh-CN"/>
        </w:rPr>
        <w:t>规定范围</w:t>
      </w:r>
      <w:r>
        <w:rPr>
          <w:rFonts w:ascii="宋体" w:hAnsi="宋体" w:cs="宋体"/>
          <w:color w:val="auto"/>
          <w:kern w:val="0"/>
          <w:sz w:val="24"/>
          <w:szCs w:val="24"/>
          <w:highlight w:val="none"/>
          <w:u w:val="none"/>
          <w:lang w:val="en-GB"/>
        </w:rPr>
        <w:t>以外的行驶和作业，保持地表不被扰动。</w:t>
      </w:r>
    </w:p>
    <w:p w14:paraId="574CCD4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highlight w:val="none"/>
          <w:u w:val="none"/>
          <w:lang w:val="en-GB"/>
        </w:rPr>
      </w:pPr>
      <w:r>
        <w:rPr>
          <w:rFonts w:ascii="宋体" w:hAnsi="宋体" w:cs="宋体"/>
          <w:color w:val="auto"/>
          <w:kern w:val="0"/>
          <w:sz w:val="24"/>
          <w:szCs w:val="24"/>
          <w:highlight w:val="none"/>
          <w:u w:val="none"/>
          <w:lang w:val="en-GB"/>
        </w:rPr>
        <w:t>——施工作业结束后，应考虑防风固沙。</w:t>
      </w:r>
    </w:p>
    <w:p w14:paraId="12A1EE7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cs="宋体"/>
          <w:color w:val="auto"/>
          <w:kern w:val="0"/>
          <w:sz w:val="24"/>
          <w:szCs w:val="24"/>
          <w:highlight w:val="none"/>
          <w:u w:val="none"/>
          <w:lang w:val="en-GB"/>
        </w:rPr>
      </w:pPr>
      <w:r>
        <w:rPr>
          <w:rFonts w:ascii="宋体" w:hAnsi="宋体" w:cs="宋体"/>
          <w:color w:val="auto"/>
          <w:kern w:val="0"/>
          <w:sz w:val="24"/>
          <w:szCs w:val="24"/>
          <w:highlight w:val="none"/>
          <w:u w:val="none"/>
          <w:lang w:val="en-GB"/>
        </w:rPr>
        <w:t>——在道路边、油</w:t>
      </w:r>
      <w:r>
        <w:rPr>
          <w:rFonts w:hint="eastAsia" w:ascii="宋体" w:hAnsi="宋体" w:cs="宋体"/>
          <w:color w:val="auto"/>
          <w:kern w:val="0"/>
          <w:sz w:val="24"/>
          <w:szCs w:val="24"/>
          <w:highlight w:val="none"/>
          <w:u w:val="none"/>
          <w:lang w:val="en-US" w:eastAsia="zh-CN"/>
        </w:rPr>
        <w:t>气</w:t>
      </w:r>
      <w:r>
        <w:rPr>
          <w:rFonts w:ascii="宋体" w:hAnsi="宋体" w:cs="宋体"/>
          <w:color w:val="auto"/>
          <w:kern w:val="0"/>
          <w:sz w:val="24"/>
          <w:szCs w:val="24"/>
          <w:highlight w:val="none"/>
          <w:u w:val="none"/>
          <w:lang w:val="en-GB"/>
        </w:rPr>
        <w:t>田区，设置“保护生态环境、保护野生动植物”等警示牌，并从管理上对作业人员加强宣传教育，切实提高保护作业区生态环境的意识。</w:t>
      </w:r>
    </w:p>
    <w:p w14:paraId="269DDC81">
      <w:pPr>
        <w:keepNext w:val="0"/>
        <w:keepLines w:val="0"/>
        <w:pageBreakBefore w:val="0"/>
        <w:widowControl/>
        <w:kinsoku/>
        <w:wordWrap/>
        <w:overflowPunct/>
        <w:topLinePunct w:val="0"/>
        <w:autoSpaceDE/>
        <w:autoSpaceDN/>
        <w:bidi w:val="0"/>
        <w:adjustRightInd/>
        <w:snapToGrid/>
        <w:spacing w:line="480" w:lineRule="exact"/>
        <w:ind w:firstLine="456" w:firstLineChars="200"/>
        <w:jc w:val="left"/>
        <w:textAlignment w:val="auto"/>
        <w:rPr>
          <w:rFonts w:ascii="宋体" w:hAnsi="宋体" w:cs="宋体"/>
          <w:color w:val="auto"/>
          <w:kern w:val="0"/>
          <w:sz w:val="24"/>
          <w:szCs w:val="24"/>
          <w:highlight w:val="none"/>
          <w:u w:val="none"/>
          <w:lang w:val="en-GB"/>
        </w:rPr>
      </w:pPr>
      <w:r>
        <w:rPr>
          <w:rFonts w:ascii="宋体" w:hAnsi="宋体" w:cs="宋体"/>
          <w:color w:val="auto"/>
          <w:spacing w:val="-6"/>
          <w:kern w:val="0"/>
          <w:sz w:val="24"/>
          <w:szCs w:val="24"/>
          <w:highlight w:val="none"/>
          <w:u w:val="none"/>
          <w:lang w:val="en-GB"/>
        </w:rPr>
        <w:t>管道施工通常只有几个月，施工结束后受损植被可逐渐恢复，采取一些人工恢复措施后，受损生物量基本可以全部恢复。评价范围内，野生植物和野生动物大多是新疆地区的常见种，工程对野生植物和野生动物影响较小。在采取以上措施后，类比本区域已开发工程所采取的环保措施可知，项目的生态保护措施是可行的。</w:t>
      </w:r>
    </w:p>
    <w:p w14:paraId="3D34ACF0">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1</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2运营期</w:t>
      </w:r>
      <w:r>
        <w:rPr>
          <w:rFonts w:hint="default" w:ascii="黑体" w:hAnsi="黑体" w:eastAsia="黑体" w:cs="黑体"/>
          <w:b/>
          <w:color w:val="auto"/>
          <w:kern w:val="0"/>
          <w:sz w:val="24"/>
          <w:szCs w:val="24"/>
          <w:highlight w:val="none"/>
          <w:u w:val="none"/>
          <w:lang w:val="en-US" w:eastAsia="zh-CN"/>
        </w:rPr>
        <w:t>生态保护措施可行性论证</w:t>
      </w:r>
    </w:p>
    <w:p w14:paraId="7CCB72C0">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（1）监督和管理措施</w:t>
      </w:r>
    </w:p>
    <w:p w14:paraId="36DC9FFB">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1）针对本工程的建设，新疆油田分公司安全环保处负责工程建设及运营期间对生态环境的保护工作，落实本工程环保措施的实施并与各施工单位签订详细的环境保护协议，明确各方的责任以及奖惩规定。</w:t>
      </w:r>
    </w:p>
    <w:p w14:paraId="4EA2E120">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2）选择信誉良好、素质较高的施工队伍，保证工程建设的质量，避免因质量问题对环境带来不利影响；同时，通过培训和发放宣传手册强化施工人员的环境保护意识，明确施工人员的行为和奖惩制度。</w:t>
      </w:r>
    </w:p>
    <w:p w14:paraId="5FCFCF2B">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3）针对已经发生的破坏生态环境的问题必须认真、及时的解决，并对正在和即将建设的工程提出具体、可行的整改和防治措施。</w:t>
      </w:r>
    </w:p>
    <w:p w14:paraId="640AEDB3">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（2）运营期生态恢复措施</w:t>
      </w:r>
    </w:p>
    <w:p w14:paraId="68EE374A">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工程实施后，运营期生态恢复措施以保持和维持施工期结束时采取的措施为主，同时需处理施工期遗留问题。</w:t>
      </w:r>
    </w:p>
    <w:p w14:paraId="5B817389">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1）在道路边、油田区，设置“保护生态环境、保护野生动植物”等警示牌，并从管理上对作业人员加强宣传教育，切实提高保护生态环境的意识。</w:t>
      </w:r>
    </w:p>
    <w:p w14:paraId="13F74C17">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2）加强对管线、设备的管理和检查，及时发现问题，及时解决，防止泄漏事故的发生；对泄漏的落地油应及时清理，彻底回收，防止污染扩大蔓延。</w:t>
      </w:r>
    </w:p>
    <w:p w14:paraId="12857316">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3）在管线上方设置标志，以防附近的各类施工活动对管线的破坏。定期检查管线，如发生管线老化，接口断裂，及时更换管线。对于事故情况下造成的油外泄事故一要做好防火，二要及时控制扩散面积并回收外泄油。</w:t>
      </w:r>
    </w:p>
    <w:p w14:paraId="7CF66A7A">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4）加强日常生产监督管理和安全运行检查工作，制定安全生产操作规程，加强职工安全意识教育和安全生产技术培训。一旦发现事故，及时采取相应补救措施，尽量减少影响和损失。</w:t>
      </w:r>
    </w:p>
    <w:p w14:paraId="229FB98E">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5）定时巡查井场、管线等，及时清理落地油，降低土壤污染。</w:t>
      </w:r>
    </w:p>
    <w:p w14:paraId="375EC5A5">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6）及时做好站场清理平整工作，填平、覆土、压实。</w:t>
      </w:r>
    </w:p>
    <w:p w14:paraId="2BA8F015">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7）井场、管线施工完毕，进行施工迹地的恢复和平整。</w:t>
      </w:r>
    </w:p>
    <w:p w14:paraId="0F000402">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outlineLvl w:val="9"/>
        <w:rPr>
          <w:rFonts w:hint="default" w:ascii="宋体" w:hAnsi="宋体" w:cs="宋体"/>
          <w:color w:val="auto"/>
          <w:kern w:val="0"/>
          <w:sz w:val="24"/>
          <w:szCs w:val="32"/>
          <w:highlight w:val="none"/>
          <w:u w:val="none"/>
          <w:lang w:val="en-US" w:eastAsia="zh-CN"/>
        </w:rPr>
      </w:pPr>
      <w:r>
        <w:rPr>
          <w:rFonts w:hint="default" w:ascii="宋体" w:hAnsi="宋体" w:cs="宋体"/>
          <w:color w:val="auto"/>
          <w:kern w:val="0"/>
          <w:sz w:val="24"/>
          <w:szCs w:val="32"/>
          <w:highlight w:val="none"/>
          <w:u w:val="none"/>
          <w:lang w:val="en-US" w:eastAsia="zh-CN"/>
        </w:rPr>
        <w:t>通过采取以上措施，本工程永久占地面积可得到有效控制，临时占地可得到及时恢复。</w:t>
      </w:r>
    </w:p>
    <w:p w14:paraId="0DB64950">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1</w:t>
      </w:r>
      <w:r>
        <w:rPr>
          <w:rFonts w:hint="default" w:ascii="黑体" w:hAnsi="黑体" w:eastAsia="黑体" w:cs="黑体"/>
          <w:b/>
          <w:color w:val="auto"/>
          <w:kern w:val="0"/>
          <w:sz w:val="24"/>
          <w:szCs w:val="24"/>
          <w:highlight w:val="none"/>
          <w:u w:val="none"/>
          <w:lang w:val="en-US" w:eastAsia="zh-CN"/>
        </w:rPr>
        <w:t>.</w:t>
      </w:r>
      <w:r>
        <w:rPr>
          <w:rFonts w:hint="eastAsia" w:ascii="黑体" w:hAnsi="黑体" w:eastAsia="黑体" w:cs="黑体"/>
          <w:b/>
          <w:color w:val="auto"/>
          <w:kern w:val="0"/>
          <w:sz w:val="24"/>
          <w:szCs w:val="24"/>
          <w:highlight w:val="none"/>
          <w:u w:val="none"/>
          <w:lang w:val="en-US" w:eastAsia="zh-CN"/>
        </w:rPr>
        <w:t>3退役期</w:t>
      </w:r>
      <w:r>
        <w:rPr>
          <w:rFonts w:hint="default" w:ascii="黑体" w:hAnsi="黑体" w:eastAsia="黑体" w:cs="黑体"/>
          <w:b/>
          <w:color w:val="auto"/>
          <w:kern w:val="0"/>
          <w:sz w:val="24"/>
          <w:szCs w:val="24"/>
          <w:highlight w:val="none"/>
          <w:u w:val="none"/>
          <w:lang w:val="en-US" w:eastAsia="zh-CN"/>
        </w:rPr>
        <w:t>生态保护措施可行性论证</w:t>
      </w:r>
    </w:p>
    <w:p w14:paraId="0CB3725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color w:val="auto"/>
          <w:kern w:val="0"/>
          <w:sz w:val="28"/>
          <w:szCs w:val="24"/>
          <w:highlight w:val="none"/>
          <w:u w:val="none"/>
        </w:rPr>
      </w:pPr>
      <w:r>
        <w:rPr>
          <w:rFonts w:hint="default" w:ascii="Times New Roman" w:hAnsi="Times New Roman" w:eastAsia="宋体" w:cs="Times New Roman"/>
          <w:color w:val="auto"/>
          <w:kern w:val="0"/>
          <w:sz w:val="24"/>
          <w:szCs w:val="24"/>
          <w:highlight w:val="none"/>
          <w:u w:val="none"/>
        </w:rPr>
        <w:t>退役期，如果封井和井场处置等措施得当，环境影响将很小；反之若出现封井不严，可能导致地下残余油水外溢等事故发生，产生局部环境污染。</w:t>
      </w:r>
    </w:p>
    <w:p w14:paraId="726D4B53">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default" w:ascii="宋体" w:hAnsi="宋体" w:cs="宋体"/>
          <w:color w:val="auto"/>
          <w:u w:val="none"/>
          <w:lang w:val="en-US" w:eastAsia="zh-CN"/>
        </w:rPr>
        <w:t>6.</w:t>
      </w:r>
      <w:r>
        <w:rPr>
          <w:rFonts w:hint="eastAsia" w:ascii="宋体" w:hAnsi="宋体" w:cs="宋体"/>
          <w:color w:val="auto"/>
          <w:u w:val="none"/>
          <w:lang w:val="en-US" w:eastAsia="zh-CN"/>
        </w:rPr>
        <w:t>1.3.1 退役期</w:t>
      </w:r>
      <w:r>
        <w:rPr>
          <w:rFonts w:hint="default" w:ascii="宋体" w:hAnsi="宋体" w:cs="宋体"/>
          <w:color w:val="auto"/>
          <w:u w:val="none"/>
          <w:lang w:val="en-US" w:eastAsia="zh-CN"/>
        </w:rPr>
        <w:t>生态环境保护措施</w:t>
      </w:r>
    </w:p>
    <w:p w14:paraId="52F27C6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rPr>
        <w:t>随着</w:t>
      </w:r>
      <w:r>
        <w:rPr>
          <w:rFonts w:hint="eastAsia" w:ascii="Times New Roman" w:hAnsi="Times New Roman" w:eastAsia="宋体" w:cs="Times New Roman"/>
          <w:color w:val="auto"/>
          <w:kern w:val="0"/>
          <w:sz w:val="24"/>
          <w:szCs w:val="24"/>
          <w:highlight w:val="none"/>
          <w:u w:val="none"/>
          <w:lang w:eastAsia="zh-CN"/>
        </w:rPr>
        <w:t>气井</w:t>
      </w:r>
      <w:r>
        <w:rPr>
          <w:rFonts w:hint="default" w:ascii="Times New Roman" w:hAnsi="Times New Roman" w:eastAsia="宋体" w:cs="Times New Roman"/>
          <w:color w:val="auto"/>
          <w:kern w:val="0"/>
          <w:sz w:val="24"/>
          <w:szCs w:val="24"/>
          <w:highlight w:val="none"/>
          <w:u w:val="none"/>
        </w:rPr>
        <w:t>开采时间的延长，其储量将逐年降低，最终进入</w:t>
      </w:r>
      <w:r>
        <w:rPr>
          <w:rFonts w:hint="eastAsia" w:ascii="Times New Roman" w:hAnsi="Times New Roman" w:eastAsia="宋体" w:cs="Times New Roman"/>
          <w:color w:val="auto"/>
          <w:kern w:val="0"/>
          <w:sz w:val="24"/>
          <w:szCs w:val="24"/>
          <w:highlight w:val="none"/>
          <w:u w:val="none"/>
          <w:lang w:eastAsia="zh-CN"/>
        </w:rPr>
        <w:t>退役期</w:t>
      </w:r>
      <w:r>
        <w:rPr>
          <w:rFonts w:hint="default" w:ascii="Times New Roman" w:hAnsi="Times New Roman" w:eastAsia="宋体" w:cs="Times New Roman"/>
          <w:color w:val="auto"/>
          <w:kern w:val="0"/>
          <w:sz w:val="24"/>
          <w:szCs w:val="24"/>
          <w:highlight w:val="none"/>
          <w:u w:val="none"/>
        </w:rPr>
        <w:t>。当开发接近尾声时，各种机械设备将停止使用，管线等设备设施陆续被拆卸、转移，原有的大气污染物、噪声及固体废物等对环境的影响将会逐渐减弱甚至消失。</w:t>
      </w:r>
    </w:p>
    <w:p w14:paraId="24C8465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（1）严格按照《废弃井封井回填技术指南（试行）》相关要求，拆除地面设施、清理井场等，拆除的报废设备和建筑废料等由建设单位进行回收处置。</w:t>
      </w:r>
    </w:p>
    <w:p w14:paraId="5445B5A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（2）对完成</w:t>
      </w:r>
      <w:r>
        <w:rPr>
          <w:rFonts w:hint="default" w:ascii="Times New Roman" w:hAnsi="Times New Roman" w:eastAsia="宋体" w:cs="Times New Roman"/>
          <w:color w:val="auto"/>
          <w:kern w:val="0"/>
          <w:sz w:val="24"/>
          <w:szCs w:val="24"/>
          <w:highlight w:val="none"/>
          <w:u w:val="none"/>
          <w:lang w:eastAsia="zh-CN"/>
        </w:rPr>
        <w:t>采</w:t>
      </w:r>
      <w:r>
        <w:rPr>
          <w:rFonts w:hint="eastAsia" w:ascii="Times New Roman" w:hAnsi="Times New Roman" w:eastAsia="宋体" w:cs="Times New Roman"/>
          <w:color w:val="auto"/>
          <w:kern w:val="0"/>
          <w:sz w:val="24"/>
          <w:szCs w:val="24"/>
          <w:highlight w:val="none"/>
          <w:u w:val="none"/>
          <w:lang w:val="en-US" w:eastAsia="zh-CN"/>
        </w:rPr>
        <w:t>气</w:t>
      </w:r>
      <w:r>
        <w:rPr>
          <w:rFonts w:hint="default" w:ascii="Times New Roman" w:hAnsi="Times New Roman" w:eastAsia="宋体" w:cs="Times New Roman"/>
          <w:color w:val="auto"/>
          <w:kern w:val="0"/>
          <w:sz w:val="24"/>
          <w:szCs w:val="24"/>
          <w:highlight w:val="none"/>
          <w:u w:val="none"/>
        </w:rPr>
        <w:t>的废弃井应封堵内井眼，拆除井口装置，截去地下1m内管头，清理场地，清除填埋各种固体废物，恢复原有地貌。</w:t>
      </w:r>
    </w:p>
    <w:p w14:paraId="0492E38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（3）保证对各类废弃井采取的固井、封井措施有效可行，防止其发生油水层窜层，产生二次污染。</w:t>
      </w:r>
    </w:p>
    <w:p w14:paraId="3FCDF8F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rPr>
        <w:t>（4）井场经过清理后，永久性占地范围内的水泥平台或砂砾石铺垫应进行清理，然后根据周边区域的自然现状对其进行恢复，使井场恢复到相对自然的一种状态。</w:t>
      </w:r>
    </w:p>
    <w:p w14:paraId="7E59371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kern w:val="0"/>
          <w:sz w:val="24"/>
          <w:szCs w:val="24"/>
          <w:highlight w:val="none"/>
          <w:u w:val="none"/>
        </w:rPr>
        <w:t>（5）通过宣传教育的形式，使施工工作人员对于在项目区生存的野生动物及植物有基本的认识与了解。在</w:t>
      </w:r>
      <w:r>
        <w:rPr>
          <w:rFonts w:hint="eastAsia" w:ascii="Times New Roman" w:hAnsi="Times New Roman" w:eastAsia="宋体" w:cs="Times New Roman"/>
          <w:color w:val="auto"/>
          <w:kern w:val="0"/>
          <w:sz w:val="24"/>
          <w:szCs w:val="24"/>
          <w:highlight w:val="none"/>
          <w:u w:val="none"/>
          <w:lang w:eastAsia="zh-CN"/>
        </w:rPr>
        <w:t>退役期</w:t>
      </w:r>
      <w:r>
        <w:rPr>
          <w:rFonts w:hint="default" w:ascii="Times New Roman" w:hAnsi="Times New Roman" w:eastAsia="宋体" w:cs="Times New Roman"/>
          <w:color w:val="auto"/>
          <w:kern w:val="0"/>
          <w:sz w:val="24"/>
          <w:szCs w:val="24"/>
          <w:highlight w:val="none"/>
          <w:u w:val="none"/>
        </w:rPr>
        <w:t>施工过程中，如遇到保护植物应进行避让，严禁随意踩踏破坏；遇到保护动物时，应主动避让，不得惊扰、伤害野生动物，不得破坏保护动物的生息繁衍地，禁止妨碍野生动物生息繁衍的施工活动。</w:t>
      </w:r>
    </w:p>
    <w:p w14:paraId="15A10C25">
      <w:pPr>
        <w:keepNext w:val="0"/>
        <w:keepLines w:val="0"/>
        <w:pageBreakBefore w:val="0"/>
        <w:widowControl/>
        <w:kinsoku/>
        <w:wordWrap/>
        <w:overflowPunct/>
        <w:topLinePunct w:val="0"/>
        <w:autoSpaceDE/>
        <w:autoSpaceDN/>
        <w:bidi w:val="0"/>
        <w:adjustRightInd/>
        <w:snapToGrid/>
        <w:spacing w:line="480" w:lineRule="exact"/>
        <w:ind w:firstLine="456" w:firstLineChars="200"/>
        <w:jc w:val="both"/>
        <w:textAlignment w:val="auto"/>
        <w:rPr>
          <w:rFonts w:hint="default" w:ascii="Times New Roman" w:hAnsi="Times New Roman" w:eastAsia="宋体" w:cs="Times New Roman"/>
          <w:color w:val="auto"/>
          <w:kern w:val="0"/>
          <w:sz w:val="24"/>
          <w:szCs w:val="24"/>
          <w:highlight w:val="none"/>
          <w:u w:val="none"/>
          <w:lang w:eastAsia="zh-CN"/>
        </w:rPr>
      </w:pPr>
      <w:r>
        <w:rPr>
          <w:rFonts w:hint="default" w:ascii="Times New Roman" w:hAnsi="Times New Roman" w:eastAsia="宋体" w:cs="Times New Roman"/>
          <w:color w:val="auto"/>
          <w:spacing w:val="-6"/>
          <w:kern w:val="0"/>
          <w:sz w:val="24"/>
          <w:szCs w:val="24"/>
          <w:highlight w:val="none"/>
          <w:u w:val="none"/>
        </w:rPr>
        <w:t>（6）加强对《中华人民共和国野生动物保护法》及《中华人民共和国野生植物保护条例》的普及、教育工作，强化保护野生动植物的观念，让施工人员明确破坏保护植物，捕猎、杀害保护动物的法律后果，理解保护野生动植物的重要意义。</w:t>
      </w:r>
    </w:p>
    <w:p w14:paraId="62D2717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通过采取以上生态保护措施，对于减少植被破坏、减缓水土流失、抵制荒漠化发展起到了一定的积极作用，可有效保护脆弱的荒漠生态环境。</w:t>
      </w:r>
    </w:p>
    <w:p w14:paraId="5DC0506C">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default" w:ascii="宋体" w:hAnsi="宋体" w:cs="宋体"/>
          <w:color w:val="auto"/>
          <w:u w:val="none"/>
          <w:lang w:val="en-US" w:eastAsia="zh-CN"/>
        </w:rPr>
      </w:pPr>
      <w:r>
        <w:rPr>
          <w:rFonts w:hint="default" w:ascii="宋体" w:hAnsi="宋体" w:cs="宋体"/>
          <w:color w:val="auto"/>
          <w:u w:val="none"/>
          <w:lang w:val="en-US" w:eastAsia="zh-CN"/>
        </w:rPr>
        <w:t>6.</w:t>
      </w:r>
      <w:r>
        <w:rPr>
          <w:rFonts w:hint="eastAsia" w:ascii="宋体" w:hAnsi="宋体" w:cs="宋体"/>
          <w:color w:val="auto"/>
          <w:u w:val="none"/>
          <w:lang w:val="en-US" w:eastAsia="zh-CN"/>
        </w:rPr>
        <w:t xml:space="preserve">1.3.2 </w:t>
      </w:r>
      <w:r>
        <w:rPr>
          <w:rFonts w:hint="default" w:ascii="宋体" w:hAnsi="宋体" w:cs="宋体"/>
          <w:color w:val="auto"/>
          <w:u w:val="none"/>
          <w:lang w:val="en-US" w:eastAsia="zh-CN"/>
        </w:rPr>
        <w:t>生态恢复治理方案</w:t>
      </w:r>
    </w:p>
    <w:p w14:paraId="5698827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（1）生态环境保护与恢复治理的一般要求</w:t>
      </w:r>
    </w:p>
    <w:p w14:paraId="38A4925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rPr>
      </w:pPr>
      <w:r>
        <w:rPr>
          <w:rFonts w:ascii="Times New Roman" w:hAnsi="Times New Roman" w:eastAsia="宋体" w:cs="Times New Roman"/>
          <w:color w:val="auto"/>
          <w:kern w:val="0"/>
          <w:sz w:val="24"/>
          <w:szCs w:val="24"/>
          <w:highlight w:val="none"/>
          <w:u w:val="none"/>
        </w:rPr>
        <w:t>根据《矿山生态环境保护与恢复治理技术规范（试行）》（HJ651-2013）的相关要求，</w:t>
      </w:r>
      <w:r>
        <w:rPr>
          <w:rFonts w:hint="eastAsia" w:ascii="Times New Roman" w:hAnsi="Times New Roman" w:eastAsia="宋体" w:cs="Times New Roman"/>
          <w:color w:val="auto"/>
          <w:kern w:val="0"/>
          <w:sz w:val="24"/>
          <w:szCs w:val="24"/>
          <w:highlight w:val="none"/>
          <w:u w:val="none"/>
          <w:lang w:eastAsia="zh-CN"/>
        </w:rPr>
        <w:t>本工程</w:t>
      </w:r>
      <w:r>
        <w:rPr>
          <w:rFonts w:ascii="Times New Roman" w:hAnsi="Times New Roman" w:eastAsia="宋体" w:cs="Times New Roman"/>
          <w:color w:val="auto"/>
          <w:kern w:val="0"/>
          <w:sz w:val="24"/>
          <w:szCs w:val="24"/>
          <w:highlight w:val="none"/>
          <w:u w:val="none"/>
        </w:rPr>
        <w:t>生态环境保护与恢复治理方案需遵循以下要求：</w:t>
      </w:r>
    </w:p>
    <w:p w14:paraId="6C81518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采取有效预防和保护措施，避免或减轻矿产资源开发活动造成的生态破坏</w:t>
      </w:r>
    </w:p>
    <w:p w14:paraId="3AE3428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和环境污染。坚持“预防为主、防治结合、过程控制”的原则，将生态环境保护与恢复治理贯穿开采的全过程。</w:t>
      </w:r>
    </w:p>
    <w:p w14:paraId="3966011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根据</w:t>
      </w:r>
      <w:r>
        <w:rPr>
          <w:rFonts w:ascii="Times New Roman" w:hAnsi="Times New Roman" w:eastAsia="宋体" w:cs="Times New Roman"/>
          <w:color w:val="auto"/>
          <w:kern w:val="0"/>
          <w:sz w:val="24"/>
          <w:szCs w:val="24"/>
          <w:highlight w:val="none"/>
          <w:u w:val="none"/>
        </w:rPr>
        <w:t>《陆上石油天然气开采业绿色矿山建设规范》（DZ/T317-2018）</w:t>
      </w:r>
      <w:r>
        <w:rPr>
          <w:rFonts w:hint="eastAsia" w:ascii="宋体" w:hAnsi="宋体" w:eastAsia="宋体" w:cs="宋体"/>
          <w:color w:val="auto"/>
          <w:kern w:val="0"/>
          <w:sz w:val="24"/>
          <w:szCs w:val="24"/>
          <w:highlight w:val="none"/>
          <w:u w:val="none"/>
        </w:rPr>
        <w:t>中生态恢复要求，</w:t>
      </w:r>
      <w:r>
        <w:rPr>
          <w:rFonts w:hint="eastAsia" w:ascii="宋体" w:hAnsi="宋体" w:eastAsia="宋体" w:cs="宋体"/>
          <w:color w:val="auto"/>
          <w:kern w:val="0"/>
          <w:sz w:val="24"/>
          <w:szCs w:val="24"/>
          <w:highlight w:val="none"/>
          <w:u w:val="none"/>
          <w:lang w:eastAsia="zh-CN"/>
        </w:rPr>
        <w:t>本工程</w:t>
      </w:r>
      <w:r>
        <w:rPr>
          <w:rFonts w:ascii="宋体" w:hAnsi="宋体" w:eastAsia="宋体" w:cs="宋体"/>
          <w:color w:val="auto"/>
          <w:kern w:val="0"/>
          <w:sz w:val="24"/>
          <w:szCs w:val="24"/>
          <w:highlight w:val="none"/>
          <w:u w:val="none"/>
        </w:rPr>
        <w:t>生态环境保护与恢复治理方案需遵循以下要求：</w:t>
      </w:r>
    </w:p>
    <w:p w14:paraId="4711351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lang w:val="en-US" w:eastAsia="zh-CN"/>
        </w:rPr>
        <w:t>1）</w:t>
      </w:r>
      <w:r>
        <w:rPr>
          <w:rFonts w:hint="eastAsia" w:ascii="宋体" w:hAnsi="宋体" w:eastAsia="宋体" w:cs="宋体"/>
          <w:color w:val="auto"/>
          <w:kern w:val="0"/>
          <w:sz w:val="24"/>
          <w:szCs w:val="24"/>
          <w:highlight w:val="none"/>
          <w:u w:val="none"/>
        </w:rPr>
        <w:t>贯彻“边开采，边治理，边恢复”的原则，及时治理恢复生态环境。</w:t>
      </w:r>
    </w:p>
    <w:p w14:paraId="3E57069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lang w:val="en-US" w:eastAsia="zh-CN"/>
        </w:rPr>
        <w:t>2）</w:t>
      </w:r>
      <w:r>
        <w:rPr>
          <w:rFonts w:hint="eastAsia" w:ascii="宋体" w:hAnsi="宋体" w:eastAsia="宋体" w:cs="宋体"/>
          <w:color w:val="auto"/>
          <w:kern w:val="0"/>
          <w:sz w:val="24"/>
          <w:szCs w:val="24"/>
          <w:highlight w:val="none"/>
          <w:u w:val="none"/>
        </w:rPr>
        <w:t>遵循矿区油气资源赋存状况、生态环境特征等条件，科学合理地确定开发方案，选择与油气藏类型相适应的先进开采技术和工艺，推广使用成熟、先进的技术装备，严禁使用国家明文规定的限制和淘汰的技术工艺及装备。</w:t>
      </w:r>
    </w:p>
    <w:p w14:paraId="62F8C6E7">
      <w:pPr>
        <w:keepNext w:val="0"/>
        <w:keepLines w:val="0"/>
        <w:pageBreakBefore w:val="0"/>
        <w:widowControl/>
        <w:kinsoku/>
        <w:wordWrap/>
        <w:overflowPunct/>
        <w:topLinePunct w:val="0"/>
        <w:autoSpaceDE/>
        <w:autoSpaceDN/>
        <w:bidi w:val="0"/>
        <w:adjustRightInd/>
        <w:snapToGrid/>
        <w:spacing w:line="480" w:lineRule="exact"/>
        <w:ind w:firstLine="456" w:firstLineChars="200"/>
        <w:jc w:val="left"/>
        <w:textAlignment w:val="auto"/>
        <w:rPr>
          <w:rFonts w:ascii="宋体" w:hAnsi="宋体" w:eastAsia="宋体" w:cs="宋体"/>
          <w:color w:val="auto"/>
          <w:kern w:val="0"/>
          <w:sz w:val="24"/>
          <w:szCs w:val="24"/>
          <w:highlight w:val="none"/>
          <w:u w:val="none"/>
        </w:rPr>
      </w:pPr>
      <w:r>
        <w:rPr>
          <w:rFonts w:hint="eastAsia" w:ascii="宋体" w:hAnsi="宋体" w:eastAsia="宋体" w:cs="宋体"/>
          <w:color w:val="auto"/>
          <w:spacing w:val="-6"/>
          <w:kern w:val="0"/>
          <w:sz w:val="24"/>
          <w:szCs w:val="24"/>
          <w:highlight w:val="none"/>
          <w:u w:val="none"/>
          <w:lang w:val="en-US" w:eastAsia="zh-CN"/>
        </w:rPr>
        <w:t>3）</w:t>
      </w:r>
      <w:r>
        <w:rPr>
          <w:rFonts w:hint="eastAsia" w:ascii="宋体" w:hAnsi="宋体" w:eastAsia="宋体" w:cs="宋体"/>
          <w:color w:val="auto"/>
          <w:spacing w:val="-6"/>
          <w:kern w:val="0"/>
          <w:sz w:val="24"/>
          <w:szCs w:val="24"/>
          <w:highlight w:val="none"/>
          <w:u w:val="none"/>
        </w:rPr>
        <w:t>土地利用需符合用地指标政策。合理确定</w:t>
      </w:r>
      <w:r>
        <w:rPr>
          <w:rFonts w:hint="eastAsia" w:ascii="宋体" w:hAnsi="宋体" w:eastAsia="宋体" w:cs="宋体"/>
          <w:color w:val="auto"/>
          <w:spacing w:val="-6"/>
          <w:kern w:val="0"/>
          <w:sz w:val="24"/>
          <w:szCs w:val="24"/>
          <w:highlight w:val="none"/>
          <w:u w:val="none"/>
          <w:lang w:val="en-US" w:eastAsia="zh-CN"/>
        </w:rPr>
        <w:t>井场</w:t>
      </w:r>
      <w:r>
        <w:rPr>
          <w:rFonts w:hint="eastAsia" w:ascii="宋体" w:hAnsi="宋体" w:eastAsia="宋体" w:cs="宋体"/>
          <w:color w:val="auto"/>
          <w:spacing w:val="-6"/>
          <w:kern w:val="0"/>
          <w:sz w:val="24"/>
          <w:szCs w:val="24"/>
          <w:highlight w:val="none"/>
          <w:u w:val="none"/>
        </w:rPr>
        <w:t>场址、管网</w:t>
      </w:r>
      <w:r>
        <w:rPr>
          <w:rFonts w:hint="eastAsia" w:ascii="宋体" w:hAnsi="宋体" w:eastAsia="宋体" w:cs="宋体"/>
          <w:color w:val="auto"/>
          <w:spacing w:val="-6"/>
          <w:kern w:val="0"/>
          <w:sz w:val="24"/>
          <w:szCs w:val="24"/>
          <w:highlight w:val="none"/>
          <w:u w:val="none"/>
          <w:lang w:val="en-US" w:eastAsia="zh-CN"/>
        </w:rPr>
        <w:t>等</w:t>
      </w:r>
      <w:r>
        <w:rPr>
          <w:rFonts w:hint="eastAsia" w:ascii="宋体" w:hAnsi="宋体" w:eastAsia="宋体" w:cs="宋体"/>
          <w:color w:val="auto"/>
          <w:spacing w:val="-6"/>
          <w:kern w:val="0"/>
          <w:sz w:val="24"/>
          <w:szCs w:val="24"/>
          <w:highlight w:val="none"/>
          <w:u w:val="none"/>
        </w:rPr>
        <w:t>建设占地规模。</w:t>
      </w:r>
    </w:p>
    <w:p w14:paraId="6EAA98A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（2）</w:t>
      </w:r>
      <w:r>
        <w:rPr>
          <w:rFonts w:hint="eastAsia" w:ascii="Times New Roman" w:hAnsi="Times New Roman" w:eastAsia="宋体" w:cs="Times New Roman"/>
          <w:color w:val="auto"/>
          <w:kern w:val="0"/>
          <w:sz w:val="24"/>
          <w:szCs w:val="24"/>
          <w:highlight w:val="none"/>
          <w:u w:val="none"/>
          <w:lang w:val="en-US" w:eastAsia="zh-CN"/>
        </w:rPr>
        <w:t>井场</w:t>
      </w:r>
      <w:r>
        <w:rPr>
          <w:rFonts w:ascii="Times New Roman" w:hAnsi="Times New Roman" w:eastAsia="宋体" w:cs="Times New Roman"/>
          <w:color w:val="auto"/>
          <w:kern w:val="0"/>
          <w:sz w:val="24"/>
          <w:szCs w:val="24"/>
          <w:highlight w:val="none"/>
          <w:u w:val="none"/>
        </w:rPr>
        <w:t>生态恢复治理</w:t>
      </w:r>
    </w:p>
    <w:p w14:paraId="76E6EEE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rPr>
        <w:t>工程施工结束后，应对井场临时占地内的土地进行平整，恢复原有地貌。充分利用前期已收集的弃土覆盖于井场表层，覆盖厚度根据植被类型和场地用途确定。</w:t>
      </w:r>
    </w:p>
    <w:p w14:paraId="16C31EA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rPr>
      </w:pPr>
      <w:r>
        <w:rPr>
          <w:rFonts w:ascii="Times New Roman" w:hAnsi="Times New Roman" w:eastAsia="宋体" w:cs="Times New Roman"/>
          <w:color w:val="auto"/>
          <w:kern w:val="0"/>
          <w:sz w:val="24"/>
          <w:szCs w:val="24"/>
          <w:highlight w:val="none"/>
          <w:u w:val="none"/>
        </w:rPr>
        <w:t>（3）管线生态恢复</w:t>
      </w:r>
    </w:p>
    <w:p w14:paraId="42421AA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宋体" w:hAnsi="宋体" w:eastAsia="宋体" w:cs="宋体"/>
          <w:color w:val="auto"/>
          <w:kern w:val="0"/>
          <w:sz w:val="24"/>
          <w:szCs w:val="24"/>
          <w:highlight w:val="none"/>
          <w:u w:val="none"/>
          <w:lang w:val="en-US" w:eastAsia="zh-CN"/>
        </w:rPr>
        <w:t>1）</w:t>
      </w:r>
      <w:r>
        <w:rPr>
          <w:rFonts w:ascii="Times New Roman" w:hAnsi="Times New Roman" w:eastAsia="宋体" w:cs="Times New Roman"/>
          <w:color w:val="auto"/>
          <w:kern w:val="0"/>
          <w:sz w:val="24"/>
          <w:szCs w:val="24"/>
          <w:highlight w:val="none"/>
          <w:u w:val="none"/>
        </w:rPr>
        <w:t>管线生态恢复治理范围</w:t>
      </w:r>
    </w:p>
    <w:p w14:paraId="2B46FA9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rPr>
      </w:pPr>
      <w:r>
        <w:rPr>
          <w:rFonts w:ascii="Times New Roman" w:hAnsi="Times New Roman" w:eastAsia="宋体" w:cs="Times New Roman"/>
          <w:color w:val="auto"/>
          <w:kern w:val="0"/>
          <w:sz w:val="24"/>
          <w:szCs w:val="24"/>
          <w:highlight w:val="none"/>
          <w:u w:val="none"/>
        </w:rPr>
        <w:t>管线施工扰动范围内需进行生态环境恢复治理。</w:t>
      </w:r>
    </w:p>
    <w:p w14:paraId="4DFB354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val="en-US" w:eastAsia="zh-CN"/>
        </w:rPr>
        <w:t>2）</w:t>
      </w:r>
      <w:r>
        <w:rPr>
          <w:rFonts w:ascii="Times New Roman" w:hAnsi="Times New Roman" w:eastAsia="宋体" w:cs="Times New Roman"/>
          <w:color w:val="auto"/>
          <w:kern w:val="0"/>
          <w:sz w:val="24"/>
          <w:szCs w:val="24"/>
          <w:highlight w:val="none"/>
          <w:u w:val="none"/>
        </w:rPr>
        <w:t>生态环境恢复治理措施</w:t>
      </w:r>
    </w:p>
    <w:p w14:paraId="0857D8C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spacing w:val="0"/>
          <w:kern w:val="0"/>
          <w:sz w:val="24"/>
          <w:szCs w:val="24"/>
          <w:highlight w:val="none"/>
          <w:u w:val="none"/>
        </w:rPr>
        <w:t>管道施工作业带宽度控制在</w:t>
      </w:r>
      <w:r>
        <w:rPr>
          <w:rFonts w:hint="eastAsia" w:ascii="Times New Roman" w:hAnsi="Times New Roman" w:eastAsia="宋体" w:cs="Times New Roman"/>
          <w:color w:val="auto"/>
          <w:spacing w:val="0"/>
          <w:kern w:val="0"/>
          <w:sz w:val="24"/>
          <w:szCs w:val="24"/>
          <w:highlight w:val="none"/>
          <w:u w:val="none"/>
          <w:lang w:val="en-US" w:eastAsia="zh-CN"/>
        </w:rPr>
        <w:t>12</w:t>
      </w:r>
      <w:r>
        <w:rPr>
          <w:rFonts w:ascii="Times New Roman" w:hAnsi="Times New Roman" w:eastAsia="宋体" w:cs="Times New Roman"/>
          <w:color w:val="auto"/>
          <w:spacing w:val="0"/>
          <w:kern w:val="0"/>
          <w:sz w:val="24"/>
          <w:szCs w:val="24"/>
          <w:highlight w:val="none"/>
          <w:u w:val="none"/>
        </w:rPr>
        <w:t>m范围内，施工过程中保护土壤成分和结构，在管线敷设过程中，覆土压实，管沟回填后多余土方应作为管廊覆土，不得随意丢弃。</w:t>
      </w:r>
    </w:p>
    <w:p w14:paraId="5C51E3A1">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color w:val="auto"/>
          <w:kern w:val="0"/>
          <w:sz w:val="24"/>
          <w:szCs w:val="24"/>
          <w:highlight w:val="none"/>
          <w:u w:val="none"/>
          <w:lang w:eastAsia="zh-CN"/>
        </w:rPr>
      </w:pPr>
      <w:r>
        <w:rPr>
          <w:rFonts w:hint="eastAsia" w:ascii="Times New Roman" w:hAnsi="Times New Roman" w:cs="Times New Roman"/>
          <w:color w:val="auto"/>
          <w:kern w:val="0"/>
          <w:sz w:val="24"/>
          <w:szCs w:val="24"/>
          <w:highlight w:val="none"/>
          <w:u w:val="none"/>
        </w:rPr>
        <w:t>（4）植被恢复措施及恢复要求</w:t>
      </w:r>
    </w:p>
    <w:p w14:paraId="010CCB7E">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0"/>
          <w:sz w:val="24"/>
          <w:szCs w:val="24"/>
          <w:highlight w:val="none"/>
          <w:u w:val="none"/>
          <w:lang w:val="en-US" w:eastAsia="zh-CN"/>
        </w:rPr>
      </w:pPr>
      <w:r>
        <w:rPr>
          <w:rFonts w:hint="eastAsia" w:ascii="Times New Roman" w:hAnsi="Times New Roman" w:cs="Times New Roman"/>
          <w:color w:val="auto"/>
          <w:kern w:val="0"/>
          <w:sz w:val="24"/>
          <w:szCs w:val="24"/>
          <w:highlight w:val="none"/>
          <w:u w:val="none"/>
        </w:rPr>
        <w:t>工程施工结束后，按照林草部门要求进行恢复，植被类型应</w:t>
      </w:r>
      <w:r>
        <w:rPr>
          <w:rFonts w:hint="eastAsia" w:ascii="Times New Roman" w:hAnsi="Times New Roman" w:cs="Times New Roman"/>
          <w:color w:val="auto"/>
          <w:kern w:val="0"/>
          <w:sz w:val="24"/>
          <w:szCs w:val="24"/>
          <w:highlight w:val="none"/>
          <w:u w:val="none"/>
          <w:lang w:eastAsia="zh-CN"/>
        </w:rPr>
        <w:t>与</w:t>
      </w:r>
      <w:r>
        <w:rPr>
          <w:rFonts w:hint="eastAsia" w:ascii="Times New Roman" w:hAnsi="Times New Roman" w:cs="Times New Roman"/>
          <w:color w:val="auto"/>
          <w:kern w:val="0"/>
          <w:sz w:val="24"/>
          <w:szCs w:val="24"/>
          <w:highlight w:val="none"/>
          <w:u w:val="none"/>
        </w:rPr>
        <w:t>原有类型相似，并与周边自然景观协调，不得使用外来有害物种进行</w:t>
      </w:r>
      <w:r>
        <w:rPr>
          <w:rFonts w:hint="eastAsia" w:ascii="Times New Roman" w:hAnsi="Times New Roman" w:cs="Times New Roman"/>
          <w:color w:val="auto"/>
          <w:kern w:val="0"/>
          <w:sz w:val="24"/>
          <w:szCs w:val="24"/>
          <w:highlight w:val="none"/>
          <w:u w:val="none"/>
          <w:lang w:val="en-US" w:eastAsia="zh-CN"/>
        </w:rPr>
        <w:t>场地</w:t>
      </w:r>
      <w:r>
        <w:rPr>
          <w:rFonts w:hint="eastAsia" w:ascii="Times New Roman" w:hAnsi="Times New Roman" w:cs="Times New Roman"/>
          <w:color w:val="auto"/>
          <w:kern w:val="0"/>
          <w:sz w:val="24"/>
          <w:szCs w:val="24"/>
          <w:highlight w:val="none"/>
          <w:u w:val="none"/>
        </w:rPr>
        <w:t>植被恢复</w:t>
      </w:r>
      <w:r>
        <w:rPr>
          <w:rFonts w:hint="eastAsia" w:ascii="Times New Roman" w:hAnsi="Times New Roman" w:cs="Times New Roman"/>
          <w:color w:val="auto"/>
          <w:kern w:val="0"/>
          <w:sz w:val="24"/>
          <w:szCs w:val="24"/>
          <w:highlight w:val="none"/>
          <w:u w:val="none"/>
          <w:lang w:eastAsia="zh-CN"/>
        </w:rPr>
        <w:t>；</w:t>
      </w:r>
      <w:r>
        <w:rPr>
          <w:rFonts w:hint="eastAsia" w:ascii="Times New Roman" w:hAnsi="Times New Roman" w:cs="Times New Roman"/>
          <w:color w:val="auto"/>
          <w:kern w:val="0"/>
          <w:sz w:val="24"/>
          <w:szCs w:val="24"/>
          <w:highlight w:val="none"/>
          <w:u w:val="none"/>
          <w:lang w:val="en-US" w:eastAsia="zh-CN"/>
        </w:rPr>
        <w:t>风沙土分布区等植被生境较差的区域，采取草方格等措施进行辅助植被恢复</w:t>
      </w:r>
      <w:r>
        <w:rPr>
          <w:rFonts w:hint="default" w:ascii="Times New Roman" w:hAnsi="Times New Roman" w:cs="Times New Roman"/>
          <w:color w:val="auto"/>
          <w:kern w:val="0"/>
          <w:sz w:val="24"/>
          <w:szCs w:val="24"/>
          <w:highlight w:val="none"/>
          <w:u w:val="none"/>
          <w:lang w:eastAsia="zh-CN"/>
        </w:rPr>
        <w:t>。</w:t>
      </w:r>
    </w:p>
    <w:p w14:paraId="0EE39592">
      <w:pPr>
        <w:pStyle w:val="50"/>
        <w:keepNext/>
        <w:keepLines/>
        <w:pageBreakBefore w:val="0"/>
        <w:widowControl w:val="0"/>
        <w:kinsoku/>
        <w:wordWrap/>
        <w:overflowPunct/>
        <w:topLinePunct w:val="0"/>
        <w:autoSpaceDE/>
        <w:autoSpaceDN/>
        <w:bidi w:val="0"/>
        <w:adjustRightInd/>
        <w:snapToGrid/>
        <w:spacing w:before="164" w:beforeLines="50" w:after="0" w:line="360" w:lineRule="auto"/>
        <w:textAlignment w:val="auto"/>
        <w:outlineLvl w:val="1"/>
        <w:rPr>
          <w:rFonts w:hint="default" w:ascii="黑体" w:hAnsi="黑体" w:eastAsia="黑体" w:cs="黑体"/>
          <w:color w:val="auto"/>
          <w:sz w:val="28"/>
          <w:szCs w:val="28"/>
          <w:u w:val="none"/>
          <w:lang w:val="en-US" w:eastAsia="zh-CN"/>
        </w:rPr>
      </w:pPr>
      <w:bookmarkStart w:id="496" w:name="_Toc3786"/>
      <w:r>
        <w:rPr>
          <w:rFonts w:hint="default" w:ascii="黑体" w:hAnsi="黑体" w:eastAsia="黑体" w:cs="黑体"/>
          <w:color w:val="auto"/>
          <w:sz w:val="28"/>
          <w:szCs w:val="28"/>
          <w:u w:val="none"/>
          <w:lang w:val="en-US" w:eastAsia="zh-CN"/>
        </w:rPr>
        <w:t>6.</w:t>
      </w:r>
      <w:r>
        <w:rPr>
          <w:rFonts w:hint="eastAsia" w:ascii="黑体" w:hAnsi="黑体" w:eastAsia="黑体" w:cs="黑体"/>
          <w:color w:val="auto"/>
          <w:sz w:val="28"/>
          <w:szCs w:val="28"/>
          <w:u w:val="none"/>
          <w:lang w:val="en-US" w:eastAsia="zh-CN"/>
        </w:rPr>
        <w:t xml:space="preserve">2 </w:t>
      </w:r>
      <w:r>
        <w:rPr>
          <w:rFonts w:hint="default" w:ascii="黑体" w:hAnsi="黑体" w:eastAsia="黑体" w:cs="黑体"/>
          <w:color w:val="auto"/>
          <w:sz w:val="28"/>
          <w:szCs w:val="28"/>
          <w:u w:val="none"/>
          <w:lang w:val="en-US" w:eastAsia="zh-CN"/>
        </w:rPr>
        <w:t>地下水环境保护措施可行性论证</w:t>
      </w:r>
      <w:bookmarkEnd w:id="496"/>
    </w:p>
    <w:p w14:paraId="5A18DA83">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2.1施工期</w:t>
      </w:r>
      <w:r>
        <w:rPr>
          <w:rFonts w:hint="default" w:ascii="黑体" w:hAnsi="黑体" w:eastAsia="黑体" w:cs="黑体"/>
          <w:b/>
          <w:color w:val="auto"/>
          <w:kern w:val="0"/>
          <w:sz w:val="24"/>
          <w:szCs w:val="24"/>
          <w:highlight w:val="none"/>
          <w:u w:val="none"/>
          <w:lang w:val="en-US" w:eastAsia="zh-CN"/>
        </w:rPr>
        <w:t>地下水环境保护措施可行性论证</w:t>
      </w:r>
    </w:p>
    <w:p w14:paraId="70548FD0">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rPr>
        <w:t>施工期产生的废水主要为钻井废水、管道试压废水和施工人员生活污水。</w:t>
      </w:r>
    </w:p>
    <w:p w14:paraId="4142B759">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1</w:t>
      </w:r>
      <w:r>
        <w:rPr>
          <w:rFonts w:hint="eastAsia" w:ascii="Times New Roman" w:hAnsi="Times New Roman" w:eastAsia="宋体" w:cs="Times New Roman"/>
          <w:color w:val="auto"/>
          <w:kern w:val="0"/>
          <w:sz w:val="24"/>
          <w:szCs w:val="24"/>
          <w:highlight w:val="none"/>
          <w:u w:val="none"/>
          <w:lang w:eastAsia="zh-CN"/>
        </w:rPr>
        <w:t>）本工程钻井全部采用钻井废弃物不落地技术，钻井废水与钻井泥浆、岩屑一同进入不落地系统进行分离处理，分离后的液相回用于钻井液配制，不外排，对水环境的影响很小。</w:t>
      </w:r>
    </w:p>
    <w:p w14:paraId="5FE28C8E">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2</w:t>
      </w:r>
      <w:r>
        <w:rPr>
          <w:rFonts w:hint="eastAsia" w:ascii="Times New Roman" w:hAnsi="Times New Roman" w:eastAsia="宋体" w:cs="Times New Roman"/>
          <w:color w:val="auto"/>
          <w:kern w:val="0"/>
          <w:sz w:val="24"/>
          <w:szCs w:val="24"/>
          <w:highlight w:val="none"/>
          <w:u w:val="none"/>
          <w:lang w:eastAsia="zh-CN"/>
        </w:rPr>
        <w:t>）管道试压采用清洁水，试压作业分段进行，每段试压水排出后进入下一段管线循环使用，可减少水资源消耗。试压废水中主要污染物为悬浮物，试压结束后全部用于施工场地洒水抑尘，对项目区周边水环境没有不良影响。</w:t>
      </w:r>
    </w:p>
    <w:p w14:paraId="584232C8">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val="en-US" w:eastAsia="zh-CN"/>
        </w:rPr>
        <w:t>（3）施工人员生活污水排入生活营地内防渗收集池，定期清运至乌尔禾区生活污水处理厂处理。粪便排入环保厕所内</w:t>
      </w:r>
      <w:r>
        <w:rPr>
          <w:rFonts w:hint="eastAsia" w:ascii="Times New Roman" w:hAnsi="Times New Roman" w:eastAsia="宋体" w:cs="Times New Roman"/>
          <w:color w:val="auto"/>
          <w:kern w:val="0"/>
          <w:sz w:val="24"/>
          <w:szCs w:val="24"/>
          <w:highlight w:val="none"/>
          <w:u w:val="none"/>
          <w:lang w:eastAsia="zh-CN"/>
        </w:rPr>
        <w:t>。</w:t>
      </w:r>
    </w:p>
    <w:p w14:paraId="5052DE12">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rPr>
        <w:t>其他施工期水环境保护措施：</w:t>
      </w:r>
    </w:p>
    <w:p w14:paraId="1367BC30">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val="en-US" w:eastAsia="zh-CN"/>
        </w:rPr>
        <w:t>（4）</w:t>
      </w:r>
      <w:r>
        <w:rPr>
          <w:rFonts w:hint="eastAsia" w:ascii="Times New Roman" w:hAnsi="Times New Roman" w:eastAsia="宋体" w:cs="Times New Roman"/>
          <w:color w:val="auto"/>
          <w:kern w:val="0"/>
          <w:sz w:val="24"/>
          <w:szCs w:val="24"/>
          <w:highlight w:val="none"/>
          <w:u w:val="none"/>
          <w:lang w:eastAsia="zh-CN"/>
        </w:rPr>
        <w:t>施工机械检修期间，地面应铺设塑料布，及时回收废机油，防止废油落地，污染土壤和地下水。</w:t>
      </w:r>
    </w:p>
    <w:p w14:paraId="7482A166">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（5）严格按照《油气输送管道穿越工程设计规范》（GB50423-2013）设计及施工，合理安排管道施工时序和施工工艺的情况。管道应埋设于最大冻土深度以下且应有足够的埋设深度。</w:t>
      </w:r>
    </w:p>
    <w:p w14:paraId="3ACBFFA4">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6</w:t>
      </w:r>
      <w:r>
        <w:rPr>
          <w:rFonts w:hint="eastAsia" w:ascii="Times New Roman" w:hAnsi="Times New Roman" w:eastAsia="宋体" w:cs="Times New Roman"/>
          <w:color w:val="auto"/>
          <w:kern w:val="0"/>
          <w:sz w:val="24"/>
          <w:szCs w:val="24"/>
          <w:highlight w:val="none"/>
          <w:u w:val="none"/>
          <w:lang w:eastAsia="zh-CN"/>
        </w:rPr>
        <w:t>）分区防治措施</w:t>
      </w:r>
    </w:p>
    <w:p w14:paraId="134E9160">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根据《环境影响评价技术导则地下水环境》（HJ 610-2016）表7和《石油化工防渗工程技术规范》（GB/T50934-2013）的要求。</w:t>
      </w:r>
    </w:p>
    <w:p w14:paraId="0EFA0C18">
      <w:pPr>
        <w:keepNext w:val="0"/>
        <w:keepLines w:val="0"/>
        <w:pageBreakBefore w:val="0"/>
        <w:widowControl/>
        <w:kinsoku/>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rPr>
        <w:t>本项目钻井期分区防渗内容见表6.2-1。</w:t>
      </w:r>
    </w:p>
    <w:p w14:paraId="530D2E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表6.2-1  分区防渗内容及技术要求</w:t>
      </w:r>
    </w:p>
    <w:tbl>
      <w:tblPr>
        <w:tblStyle w:val="37"/>
        <w:tblW w:w="499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676"/>
        <w:gridCol w:w="1441"/>
        <w:gridCol w:w="4509"/>
      </w:tblGrid>
      <w:tr w14:paraId="13B5A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551" w:type="pct"/>
            <w:noWrap w:val="0"/>
            <w:vAlign w:val="center"/>
          </w:tcPr>
          <w:p w14:paraId="3290AC59">
            <w:pPr>
              <w:pStyle w:val="83"/>
              <w:keepNext w:val="0"/>
              <w:keepLines w:val="0"/>
              <w:pageBreakBefore w:val="0"/>
              <w:widowControl w:val="0"/>
              <w:kinsoku/>
              <w:wordWrap/>
              <w:overflowPunct/>
              <w:topLinePunct w:val="0"/>
              <w:autoSpaceDE/>
              <w:autoSpaceDN/>
              <w:bidi w:val="0"/>
              <w:adjustRightInd w:val="0"/>
              <w:snapToGrid w:val="0"/>
              <w:spacing w:before="0" w:beforeLines="0" w:after="0" w:afterLines="0" w:line="400" w:lineRule="exact"/>
              <w:ind w:left="0" w:firstLine="0" w:firstLineChars="0"/>
              <w:textAlignment w:val="auto"/>
              <w:rPr>
                <w:rFonts w:hint="eastAsia" w:ascii="宋体" w:hAnsi="宋体" w:eastAsia="宋体" w:cs="宋体"/>
                <w:color w:val="auto"/>
                <w:sz w:val="21"/>
                <w:szCs w:val="21"/>
                <w:highlight w:val="none"/>
                <w:u w:val="none"/>
                <w:lang w:val="en-US" w:eastAsia="zh-CN"/>
              </w:rPr>
            </w:pPr>
            <w:bookmarkStart w:id="497" w:name="_Toc12934"/>
            <w:r>
              <w:rPr>
                <w:rFonts w:hint="eastAsia" w:ascii="宋体" w:hAnsi="宋体" w:eastAsia="宋体" w:cs="宋体"/>
                <w:color w:val="auto"/>
                <w:sz w:val="21"/>
                <w:szCs w:val="21"/>
                <w:highlight w:val="none"/>
                <w:u w:val="none"/>
                <w:lang w:val="en-US" w:eastAsia="zh-CN"/>
              </w:rPr>
              <w:t>污染源名称</w:t>
            </w:r>
            <w:bookmarkEnd w:id="497"/>
          </w:p>
        </w:tc>
        <w:tc>
          <w:tcPr>
            <w:tcW w:w="835" w:type="pct"/>
            <w:noWrap w:val="0"/>
            <w:vAlign w:val="center"/>
          </w:tcPr>
          <w:p w14:paraId="362B7FD2">
            <w:pPr>
              <w:pStyle w:val="83"/>
              <w:keepNext w:val="0"/>
              <w:keepLines w:val="0"/>
              <w:pageBreakBefore w:val="0"/>
              <w:widowControl w:val="0"/>
              <w:kinsoku/>
              <w:wordWrap/>
              <w:overflowPunct/>
              <w:topLinePunct w:val="0"/>
              <w:autoSpaceDE/>
              <w:autoSpaceDN/>
              <w:bidi w:val="0"/>
              <w:adjustRightInd w:val="0"/>
              <w:snapToGrid w:val="0"/>
              <w:spacing w:before="0" w:beforeLines="0" w:after="0" w:afterLines="0" w:line="400" w:lineRule="exact"/>
              <w:ind w:left="0" w:firstLine="0" w:firstLineChars="0"/>
              <w:textAlignment w:val="auto"/>
              <w:rPr>
                <w:rFonts w:hint="eastAsia" w:ascii="宋体" w:hAnsi="宋体" w:eastAsia="宋体" w:cs="宋体"/>
                <w:color w:val="auto"/>
                <w:sz w:val="21"/>
                <w:szCs w:val="21"/>
                <w:highlight w:val="none"/>
                <w:u w:val="none"/>
                <w:lang w:val="en-US" w:eastAsia="zh-CN"/>
              </w:rPr>
            </w:pPr>
            <w:bookmarkStart w:id="498" w:name="_Toc21655"/>
            <w:r>
              <w:rPr>
                <w:rFonts w:hint="eastAsia" w:ascii="宋体" w:hAnsi="宋体" w:eastAsia="宋体" w:cs="宋体"/>
                <w:color w:val="auto"/>
                <w:sz w:val="21"/>
                <w:szCs w:val="21"/>
                <w:highlight w:val="none"/>
                <w:u w:val="none"/>
                <w:lang w:val="en-US" w:eastAsia="zh-CN"/>
              </w:rPr>
              <w:t>防治分区</w:t>
            </w:r>
            <w:bookmarkEnd w:id="498"/>
          </w:p>
        </w:tc>
        <w:tc>
          <w:tcPr>
            <w:tcW w:w="2613" w:type="pct"/>
            <w:noWrap w:val="0"/>
            <w:vAlign w:val="center"/>
          </w:tcPr>
          <w:p w14:paraId="027B72BB">
            <w:pPr>
              <w:pStyle w:val="83"/>
              <w:keepNext w:val="0"/>
              <w:keepLines w:val="0"/>
              <w:pageBreakBefore w:val="0"/>
              <w:widowControl w:val="0"/>
              <w:kinsoku/>
              <w:wordWrap/>
              <w:overflowPunct/>
              <w:topLinePunct w:val="0"/>
              <w:autoSpaceDE/>
              <w:autoSpaceDN/>
              <w:bidi w:val="0"/>
              <w:adjustRightInd w:val="0"/>
              <w:snapToGrid w:val="0"/>
              <w:spacing w:before="0" w:beforeLines="0" w:after="0" w:afterLines="0" w:line="400" w:lineRule="exact"/>
              <w:ind w:left="0" w:firstLine="0" w:firstLineChars="0"/>
              <w:textAlignment w:val="auto"/>
              <w:rPr>
                <w:rFonts w:hint="eastAsia" w:ascii="宋体" w:hAnsi="宋体" w:eastAsia="宋体" w:cs="宋体"/>
                <w:color w:val="auto"/>
                <w:sz w:val="21"/>
                <w:szCs w:val="21"/>
                <w:highlight w:val="none"/>
                <w:u w:val="none"/>
                <w:lang w:val="en-US" w:eastAsia="zh-CN"/>
              </w:rPr>
            </w:pPr>
            <w:bookmarkStart w:id="499" w:name="_Toc7127"/>
            <w:r>
              <w:rPr>
                <w:rFonts w:hint="eastAsia" w:ascii="宋体" w:hAnsi="宋体" w:eastAsia="宋体" w:cs="宋体"/>
                <w:color w:val="auto"/>
                <w:sz w:val="21"/>
                <w:szCs w:val="21"/>
                <w:highlight w:val="none"/>
                <w:u w:val="none"/>
                <w:lang w:val="en-US" w:eastAsia="zh-CN"/>
              </w:rPr>
              <w:t>防渗技术要求</w:t>
            </w:r>
            <w:bookmarkEnd w:id="499"/>
          </w:p>
        </w:tc>
      </w:tr>
      <w:tr w14:paraId="2939B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551" w:type="pct"/>
            <w:noWrap w:val="0"/>
            <w:vAlign w:val="center"/>
          </w:tcPr>
          <w:p w14:paraId="34A09C4C">
            <w:pPr>
              <w:pStyle w:val="83"/>
              <w:keepNext w:val="0"/>
              <w:keepLines w:val="0"/>
              <w:pageBreakBefore w:val="0"/>
              <w:widowControl w:val="0"/>
              <w:kinsoku/>
              <w:wordWrap/>
              <w:overflowPunct/>
              <w:topLinePunct w:val="0"/>
              <w:autoSpaceDE/>
              <w:autoSpaceDN/>
              <w:bidi w:val="0"/>
              <w:adjustRightInd w:val="0"/>
              <w:snapToGrid w:val="0"/>
              <w:spacing w:before="0" w:beforeLines="0" w:after="0" w:afterLines="0" w:line="400" w:lineRule="exact"/>
              <w:ind w:left="0" w:firstLine="0" w:firstLineChars="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钻井平台、柴油罐区、油水罐区、危险废物贮存点</w:t>
            </w:r>
          </w:p>
        </w:tc>
        <w:tc>
          <w:tcPr>
            <w:tcW w:w="835" w:type="pct"/>
            <w:noWrap w:val="0"/>
            <w:vAlign w:val="center"/>
          </w:tcPr>
          <w:p w14:paraId="6989A770">
            <w:pPr>
              <w:pStyle w:val="83"/>
              <w:keepNext w:val="0"/>
              <w:keepLines w:val="0"/>
              <w:pageBreakBefore w:val="0"/>
              <w:widowControl w:val="0"/>
              <w:kinsoku/>
              <w:wordWrap/>
              <w:overflowPunct/>
              <w:topLinePunct w:val="0"/>
              <w:autoSpaceDE/>
              <w:autoSpaceDN/>
              <w:bidi w:val="0"/>
              <w:adjustRightInd w:val="0"/>
              <w:snapToGrid w:val="0"/>
              <w:spacing w:before="0" w:beforeLines="0" w:after="0" w:afterLines="0" w:line="400" w:lineRule="exact"/>
              <w:ind w:left="0" w:firstLine="0" w:firstLineChars="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重点防渗</w:t>
            </w:r>
          </w:p>
        </w:tc>
        <w:tc>
          <w:tcPr>
            <w:tcW w:w="2613" w:type="pct"/>
            <w:noWrap w:val="0"/>
            <w:vAlign w:val="center"/>
          </w:tcPr>
          <w:p w14:paraId="0B107F80">
            <w:pPr>
              <w:pStyle w:val="83"/>
              <w:keepNext w:val="0"/>
              <w:keepLines w:val="0"/>
              <w:pageBreakBefore w:val="0"/>
              <w:widowControl w:val="0"/>
              <w:kinsoku/>
              <w:wordWrap/>
              <w:overflowPunct/>
              <w:topLinePunct w:val="0"/>
              <w:autoSpaceDE/>
              <w:autoSpaceDN/>
              <w:bidi w:val="0"/>
              <w:adjustRightInd w:val="0"/>
              <w:snapToGrid w:val="0"/>
              <w:spacing w:before="0" w:beforeLines="0" w:after="0" w:afterLines="0" w:line="400" w:lineRule="exact"/>
              <w:ind w:left="0" w:firstLine="0" w:firstLineChars="0"/>
              <w:textAlignment w:val="auto"/>
              <w:rPr>
                <w:rFonts w:hint="eastAsia" w:ascii="宋体" w:hAnsi="宋体" w:eastAsia="宋体" w:cs="宋体"/>
                <w:color w:val="auto"/>
                <w:sz w:val="21"/>
                <w:szCs w:val="21"/>
                <w:highlight w:val="none"/>
                <w:u w:val="none"/>
                <w:lang w:val="en-US" w:eastAsia="zh-CN"/>
              </w:rPr>
            </w:pPr>
            <w:bookmarkStart w:id="500" w:name="_Toc3362"/>
            <w:r>
              <w:rPr>
                <w:rFonts w:hint="eastAsia" w:ascii="宋体" w:hAnsi="宋体" w:eastAsia="宋体" w:cs="宋体"/>
                <w:color w:val="auto"/>
                <w:sz w:val="21"/>
                <w:szCs w:val="21"/>
                <w:highlight w:val="none"/>
                <w:u w:val="none"/>
                <w:lang w:val="en-US" w:eastAsia="zh-CN"/>
              </w:rPr>
              <w:t>等效黏土防渗层 Mb≥6.0m，K≤1.0×10</w:t>
            </w:r>
            <w:r>
              <w:rPr>
                <w:rFonts w:hint="eastAsia" w:ascii="宋体" w:hAnsi="宋体" w:eastAsia="宋体" w:cs="宋体"/>
                <w:color w:val="auto"/>
                <w:sz w:val="21"/>
                <w:szCs w:val="21"/>
                <w:highlight w:val="none"/>
                <w:u w:val="none"/>
                <w:vertAlign w:val="superscript"/>
                <w:lang w:val="en-US" w:eastAsia="zh-CN"/>
              </w:rPr>
              <w:t>-7</w:t>
            </w:r>
            <w:r>
              <w:rPr>
                <w:rFonts w:hint="eastAsia" w:ascii="宋体" w:hAnsi="宋体" w:eastAsia="宋体" w:cs="宋体"/>
                <w:color w:val="auto"/>
                <w:sz w:val="21"/>
                <w:szCs w:val="21"/>
                <w:highlight w:val="none"/>
                <w:u w:val="none"/>
                <w:lang w:val="en-US" w:eastAsia="zh-CN"/>
              </w:rPr>
              <w:t>cm/s</w:t>
            </w:r>
            <w:bookmarkEnd w:id="500"/>
          </w:p>
        </w:tc>
      </w:tr>
      <w:tr w14:paraId="36AC7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551" w:type="pct"/>
            <w:noWrap w:val="0"/>
            <w:vAlign w:val="center"/>
          </w:tcPr>
          <w:p w14:paraId="05ADC8B2">
            <w:pPr>
              <w:pStyle w:val="83"/>
              <w:keepNext w:val="0"/>
              <w:keepLines w:val="0"/>
              <w:pageBreakBefore w:val="0"/>
              <w:widowControl w:val="0"/>
              <w:kinsoku/>
              <w:wordWrap/>
              <w:overflowPunct/>
              <w:topLinePunct w:val="0"/>
              <w:autoSpaceDE/>
              <w:autoSpaceDN/>
              <w:bidi w:val="0"/>
              <w:adjustRightInd w:val="0"/>
              <w:snapToGrid w:val="0"/>
              <w:spacing w:before="0" w:beforeLines="0" w:after="0" w:afterLines="0" w:line="400" w:lineRule="exact"/>
              <w:ind w:left="0" w:firstLine="0" w:firstLineChars="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施工作业区地面</w:t>
            </w:r>
          </w:p>
        </w:tc>
        <w:tc>
          <w:tcPr>
            <w:tcW w:w="835" w:type="pct"/>
            <w:noWrap w:val="0"/>
            <w:vAlign w:val="center"/>
          </w:tcPr>
          <w:p w14:paraId="2F43C1DE">
            <w:pPr>
              <w:pStyle w:val="83"/>
              <w:keepNext w:val="0"/>
              <w:keepLines w:val="0"/>
              <w:pageBreakBefore w:val="0"/>
              <w:widowControl w:val="0"/>
              <w:kinsoku/>
              <w:wordWrap/>
              <w:overflowPunct/>
              <w:topLinePunct w:val="0"/>
              <w:autoSpaceDE/>
              <w:autoSpaceDN/>
              <w:bidi w:val="0"/>
              <w:adjustRightInd w:val="0"/>
              <w:snapToGrid w:val="0"/>
              <w:spacing w:before="0" w:beforeLines="0" w:after="0" w:afterLines="0" w:line="400" w:lineRule="exact"/>
              <w:ind w:left="0" w:firstLine="0" w:firstLineChars="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一般防渗</w:t>
            </w:r>
          </w:p>
        </w:tc>
        <w:tc>
          <w:tcPr>
            <w:tcW w:w="2613" w:type="pct"/>
            <w:noWrap w:val="0"/>
            <w:vAlign w:val="center"/>
          </w:tcPr>
          <w:p w14:paraId="18A3FE0B">
            <w:pPr>
              <w:pStyle w:val="83"/>
              <w:keepNext w:val="0"/>
              <w:keepLines w:val="0"/>
              <w:pageBreakBefore w:val="0"/>
              <w:widowControl w:val="0"/>
              <w:kinsoku/>
              <w:wordWrap/>
              <w:overflowPunct/>
              <w:topLinePunct w:val="0"/>
              <w:autoSpaceDE/>
              <w:autoSpaceDN/>
              <w:bidi w:val="0"/>
              <w:adjustRightInd w:val="0"/>
              <w:snapToGrid w:val="0"/>
              <w:spacing w:before="0" w:beforeLines="0" w:after="0" w:afterLines="0" w:line="400" w:lineRule="exact"/>
              <w:ind w:left="0" w:firstLine="0" w:firstLineChars="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等效黏土防渗层 Mb≥1.5m，K≤1.0×10</w:t>
            </w:r>
            <w:r>
              <w:rPr>
                <w:rFonts w:hint="eastAsia" w:ascii="宋体" w:hAnsi="宋体" w:eastAsia="宋体" w:cs="宋体"/>
                <w:color w:val="auto"/>
                <w:sz w:val="21"/>
                <w:szCs w:val="21"/>
                <w:highlight w:val="none"/>
                <w:u w:val="none"/>
                <w:vertAlign w:val="superscript"/>
                <w:lang w:val="en-US" w:eastAsia="zh-CN"/>
              </w:rPr>
              <w:t>-7</w:t>
            </w:r>
            <w:r>
              <w:rPr>
                <w:rFonts w:hint="eastAsia" w:ascii="宋体" w:hAnsi="宋体" w:eastAsia="宋体" w:cs="宋体"/>
                <w:color w:val="auto"/>
                <w:sz w:val="21"/>
                <w:szCs w:val="21"/>
                <w:highlight w:val="none"/>
                <w:u w:val="none"/>
                <w:lang w:val="en-US" w:eastAsia="zh-CN"/>
              </w:rPr>
              <w:t>cm/s</w:t>
            </w:r>
          </w:p>
        </w:tc>
      </w:tr>
    </w:tbl>
    <w:p w14:paraId="510D3EAB">
      <w:pPr>
        <w:keepNext w:val="0"/>
        <w:keepLines w:val="0"/>
        <w:pageBreakBefore w:val="0"/>
        <w:kinsoku/>
        <w:overflowPunct/>
        <w:topLinePunct w:val="0"/>
        <w:autoSpaceDE/>
        <w:autoSpaceDN/>
        <w:bidi w:val="0"/>
        <w:adjustRightInd/>
        <w:snapToGrid/>
        <w:spacing w:after="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hint="eastAsia" w:ascii="Times New Roman" w:hAnsi="Times New Roman" w:eastAsia="宋体" w:cs="Times New Roman"/>
          <w:color w:val="auto"/>
          <w:kern w:val="2"/>
          <w:sz w:val="24"/>
          <w:szCs w:val="20"/>
          <w:highlight w:val="none"/>
          <w:u w:val="none"/>
          <w:lang w:val="en-US" w:eastAsia="zh-CN" w:bidi="ar-SA"/>
        </w:rPr>
        <w:t>综上，本工程施工期采取的水污染防治措施可行</w:t>
      </w:r>
      <w:r>
        <w:rPr>
          <w:rFonts w:ascii="Times New Roman" w:hAnsi="Times New Roman" w:eastAsia="宋体" w:cs="Times New Roman"/>
          <w:color w:val="auto"/>
          <w:kern w:val="2"/>
          <w:sz w:val="24"/>
          <w:szCs w:val="20"/>
          <w:highlight w:val="none"/>
          <w:u w:val="none"/>
          <w:lang w:val="en-US" w:eastAsia="zh-CN" w:bidi="ar-SA"/>
        </w:rPr>
        <w:t>。</w:t>
      </w:r>
    </w:p>
    <w:p w14:paraId="0E74210C">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2.2运营期</w:t>
      </w:r>
      <w:r>
        <w:rPr>
          <w:rFonts w:hint="default" w:ascii="黑体" w:hAnsi="黑体" w:eastAsia="黑体" w:cs="黑体"/>
          <w:b/>
          <w:color w:val="auto"/>
          <w:kern w:val="0"/>
          <w:sz w:val="24"/>
          <w:szCs w:val="24"/>
          <w:highlight w:val="none"/>
          <w:u w:val="none"/>
          <w:lang w:val="en-US" w:eastAsia="zh-CN"/>
        </w:rPr>
        <w:t>地下水环境保护措施可行性论证</w:t>
      </w:r>
    </w:p>
    <w:p w14:paraId="40E33C39">
      <w:pPr>
        <w:keepNext w:val="0"/>
        <w:keepLines w:val="0"/>
        <w:pageBreakBefore w:val="0"/>
        <w:widowControl w:val="0"/>
        <w:kinsoku/>
        <w:wordWrap/>
        <w:overflowPunct/>
        <w:topLinePunct w:val="0"/>
        <w:autoSpaceDE/>
        <w:autoSpaceDN/>
        <w:bidi w:val="0"/>
        <w:adjustRightInd w:val="0"/>
        <w:snapToGrid/>
        <w:spacing w:line="480" w:lineRule="exact"/>
        <w:ind w:left="0" w:firstLine="480" w:firstLineChars="200"/>
        <w:jc w:val="both"/>
        <w:textAlignment w:val="baseline"/>
        <w:rPr>
          <w:rFonts w:hint="default" w:ascii="Times New Roman" w:hAnsi="Times New Roman" w:eastAsia="宋体" w:cs="Times New Roman"/>
          <w:color w:val="auto"/>
          <w:kern w:val="2"/>
          <w:sz w:val="21"/>
          <w:szCs w:val="20"/>
          <w:highlight w:val="none"/>
          <w:u w:val="none"/>
          <w:lang w:val="en-US" w:eastAsia="zh-CN" w:bidi="en-US"/>
        </w:rPr>
      </w:pPr>
      <w:r>
        <w:rPr>
          <w:rFonts w:hint="default" w:ascii="Times New Roman" w:hAnsi="Times New Roman" w:eastAsia="宋体" w:cs="Times New Roman"/>
          <w:color w:val="auto"/>
          <w:kern w:val="2"/>
          <w:sz w:val="24"/>
          <w:szCs w:val="24"/>
          <w:highlight w:val="none"/>
          <w:u w:val="none"/>
          <w:lang w:val="en-US" w:eastAsia="zh-CN" w:bidi="en-US"/>
        </w:rPr>
        <w:t>地下水环境保护措施与对策应符合《中华人民共和国水污染防治法》和《中华人民共和国环境影响评价法》及地下水导则的相关规定，按照“源头控制、分区防控、污染监控、应急响应”，从污染物的产生、入渗、扩散、应急响应全方位进行控制。</w:t>
      </w:r>
    </w:p>
    <w:p w14:paraId="01DC4541">
      <w:pPr>
        <w:keepNext w:val="0"/>
        <w:keepLines w:val="0"/>
        <w:pageBreakBefore w:val="0"/>
        <w:widowControl/>
        <w:kinsoku/>
        <w:wordWrap/>
        <w:overflowPunct/>
        <w:topLinePunct w:val="0"/>
        <w:autoSpaceDE/>
        <w:autoSpaceDN/>
        <w:bidi w:val="0"/>
        <w:snapToGrid/>
        <w:spacing w:line="480" w:lineRule="exact"/>
        <w:ind w:left="0" w:firstLine="480" w:firstLineChars="200"/>
        <w:jc w:val="left"/>
        <w:rPr>
          <w:rFonts w:hint="default" w:ascii="Times New Roman" w:hAnsi="Times New Roman" w:eastAsia="宋体" w:cs="Times New Roman"/>
          <w:color w:val="auto"/>
          <w:kern w:val="0"/>
          <w:sz w:val="24"/>
          <w:szCs w:val="24"/>
          <w:highlight w:val="none"/>
          <w:u w:val="none"/>
          <w:lang w:bidi="en-US"/>
        </w:rPr>
      </w:pPr>
      <w:r>
        <w:rPr>
          <w:rFonts w:hint="default" w:ascii="Times New Roman" w:hAnsi="Times New Roman" w:eastAsia="宋体" w:cs="Times New Roman"/>
          <w:color w:val="auto"/>
          <w:kern w:val="0"/>
          <w:sz w:val="24"/>
          <w:szCs w:val="24"/>
          <w:highlight w:val="none"/>
          <w:u w:val="none"/>
          <w:lang w:bidi="en-US"/>
        </w:rPr>
        <w:t>基于前文的地下水环境影响预测和评价，拟建项目在正常工况下，对当地地下水环境影响小；在非正常工况下，对当地地下水环境构成潜在威胁，可能会对地下水水质产生不良影响。因此，为确保当地地下水环境安全，需采取一些保护管理措施。</w:t>
      </w:r>
    </w:p>
    <w:p w14:paraId="4B6F92E0">
      <w:pPr>
        <w:keepNext w:val="0"/>
        <w:keepLines w:val="0"/>
        <w:pageBreakBefore w:val="0"/>
        <w:widowControl/>
        <w:kinsoku/>
        <w:wordWrap/>
        <w:overflowPunct/>
        <w:topLinePunct w:val="0"/>
        <w:autoSpaceDE/>
        <w:autoSpaceDN/>
        <w:bidi w:val="0"/>
        <w:snapToGrid/>
        <w:spacing w:line="480" w:lineRule="exact"/>
        <w:ind w:left="0" w:firstLine="480" w:firstLineChars="200"/>
        <w:jc w:val="left"/>
        <w:rPr>
          <w:rFonts w:hint="default" w:ascii="Times New Roman" w:hAnsi="Times New Roman" w:eastAsia="宋体" w:cs="Times New Roman"/>
          <w:color w:val="auto"/>
          <w:kern w:val="0"/>
          <w:sz w:val="24"/>
          <w:szCs w:val="24"/>
          <w:highlight w:val="none"/>
          <w:u w:val="none"/>
          <w:lang w:bidi="en-US"/>
        </w:rPr>
      </w:pPr>
      <w:r>
        <w:rPr>
          <w:rFonts w:hint="default" w:ascii="Times New Roman" w:hAnsi="Times New Roman" w:eastAsia="宋体" w:cs="Times New Roman"/>
          <w:color w:val="auto"/>
          <w:kern w:val="0"/>
          <w:sz w:val="24"/>
          <w:szCs w:val="24"/>
          <w:highlight w:val="none"/>
          <w:u w:val="none"/>
          <w:lang w:bidi="en-US"/>
        </w:rPr>
        <w:t>为有效保护拟建项目区的地下水环境，除了按项目可研报告中设计的方案处理各类废水，还需要建设地下水跟踪监测方案和定期信息公开。下面结合拟建项目特点和当地自然环境特征，提出地下水环境保护管理的原则和措施。</w:t>
      </w:r>
    </w:p>
    <w:p w14:paraId="4CD38020">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default" w:ascii="宋体" w:hAnsi="宋体" w:eastAsia="宋体" w:cs="宋体"/>
          <w:b/>
          <w:color w:val="auto"/>
          <w:kern w:val="2"/>
          <w:sz w:val="24"/>
          <w:szCs w:val="22"/>
          <w:u w:val="none"/>
          <w:lang w:val="en-US" w:eastAsia="zh-CN" w:bidi="ar-SA"/>
        </w:rPr>
      </w:pPr>
      <w:r>
        <w:rPr>
          <w:rFonts w:hint="default" w:ascii="宋体" w:hAnsi="宋体" w:eastAsia="宋体" w:cs="宋体"/>
          <w:b/>
          <w:color w:val="auto"/>
          <w:kern w:val="2"/>
          <w:sz w:val="24"/>
          <w:szCs w:val="22"/>
          <w:u w:val="none"/>
          <w:lang w:val="en-US" w:eastAsia="zh-CN" w:bidi="ar-SA"/>
        </w:rPr>
        <w:t>6.</w:t>
      </w:r>
      <w:r>
        <w:rPr>
          <w:rFonts w:hint="eastAsia" w:ascii="宋体" w:hAnsi="宋体" w:eastAsia="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w:t>
      </w:r>
      <w:r>
        <w:rPr>
          <w:rFonts w:hint="eastAsia" w:ascii="宋体" w:hAnsi="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.1</w:t>
      </w:r>
      <w:r>
        <w:rPr>
          <w:rFonts w:hint="eastAsia" w:ascii="宋体" w:hAnsi="宋体" w:eastAsia="宋体" w:cs="宋体"/>
          <w:b/>
          <w:color w:val="auto"/>
          <w:kern w:val="2"/>
          <w:sz w:val="24"/>
          <w:szCs w:val="22"/>
          <w:u w:val="none"/>
          <w:lang w:val="en-US" w:eastAsia="zh-CN" w:bidi="ar-SA"/>
        </w:rPr>
        <w:t xml:space="preserve"> </w:t>
      </w:r>
      <w:r>
        <w:rPr>
          <w:rFonts w:hint="default" w:ascii="宋体" w:hAnsi="宋体" w:eastAsia="宋体" w:cs="宋体"/>
          <w:b/>
          <w:color w:val="auto"/>
          <w:kern w:val="2"/>
          <w:sz w:val="24"/>
          <w:szCs w:val="22"/>
          <w:u w:val="none"/>
          <w:lang w:val="en-US" w:eastAsia="zh-CN" w:bidi="ar-SA"/>
        </w:rPr>
        <w:t>源头控制措施</w:t>
      </w:r>
    </w:p>
    <w:p w14:paraId="20E06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0"/>
          <w:highlight w:val="none"/>
          <w:u w:val="none"/>
          <w:lang w:val="en-US"/>
        </w:rPr>
      </w:pPr>
      <w:r>
        <w:rPr>
          <w:rFonts w:hint="default" w:ascii="Times New Roman" w:hAnsi="Times New Roman" w:eastAsia="宋体" w:cs="Times New Roman"/>
          <w:color w:val="auto"/>
          <w:kern w:val="0"/>
          <w:sz w:val="24"/>
          <w:szCs w:val="20"/>
          <w:highlight w:val="none"/>
          <w:u w:val="none"/>
          <w:lang w:val="en-US" w:eastAsia="zh-CN" w:bidi="ar"/>
        </w:rPr>
        <w:t>选择先进、成熟、可靠的工艺技术，对产生的废物进行合理的回用和治理，尽可能从源头上减少污染物排放；严格按照国家相关规范要求，对</w:t>
      </w:r>
      <w:r>
        <w:rPr>
          <w:rFonts w:hint="eastAsia" w:ascii="Times New Roman" w:hAnsi="Times New Roman" w:eastAsia="宋体" w:cs="Times New Roman"/>
          <w:color w:val="auto"/>
          <w:kern w:val="0"/>
          <w:sz w:val="24"/>
          <w:szCs w:val="20"/>
          <w:highlight w:val="none"/>
          <w:u w:val="none"/>
          <w:lang w:val="en-US" w:eastAsia="zh-CN" w:bidi="ar"/>
        </w:rPr>
        <w:t>站场</w:t>
      </w:r>
      <w:r>
        <w:rPr>
          <w:rFonts w:hint="default" w:ascii="Times New Roman" w:hAnsi="Times New Roman" w:eastAsia="宋体" w:cs="Times New Roman"/>
          <w:color w:val="auto"/>
          <w:kern w:val="0"/>
          <w:sz w:val="24"/>
          <w:szCs w:val="20"/>
          <w:highlight w:val="none"/>
          <w:u w:val="none"/>
          <w:lang w:val="en-US" w:eastAsia="zh-CN" w:bidi="ar"/>
        </w:rPr>
        <w:t>、管道的装置</w:t>
      </w:r>
      <w:r>
        <w:rPr>
          <w:rFonts w:hint="default" w:ascii="Times New Roman" w:hAnsi="Times New Roman" w:eastAsia="宋体" w:cs="Times New Roman"/>
          <w:color w:val="auto"/>
          <w:kern w:val="2"/>
          <w:sz w:val="24"/>
          <w:szCs w:val="20"/>
          <w:highlight w:val="none"/>
          <w:u w:val="none"/>
          <w:lang w:val="en-US" w:eastAsia="zh-CN" w:bidi="ar"/>
        </w:rPr>
        <w:t>等</w:t>
      </w:r>
      <w:r>
        <w:rPr>
          <w:rFonts w:hint="default" w:ascii="Times New Roman" w:hAnsi="Times New Roman" w:eastAsia="宋体" w:cs="Times New Roman"/>
          <w:color w:val="auto"/>
          <w:kern w:val="0"/>
          <w:sz w:val="24"/>
          <w:szCs w:val="20"/>
          <w:highlight w:val="none"/>
          <w:u w:val="none"/>
          <w:lang w:val="en-US" w:eastAsia="zh-CN" w:bidi="ar"/>
        </w:rPr>
        <w:t>采取相应措施，以防止和降低污染物的跑、冒、滴、漏，降低风险事故，尽量减少地下水污染。</w:t>
      </w:r>
    </w:p>
    <w:p w14:paraId="36F149C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运营期采出水依托</w:t>
      </w:r>
      <w:r>
        <w:rPr>
          <w:rFonts w:hint="eastAsia" w:ascii="Times New Roman" w:hAnsi="Times New Roman" w:eastAsia="宋体" w:cs="Times New Roman"/>
          <w:color w:val="auto"/>
          <w:kern w:val="0"/>
          <w:sz w:val="24"/>
          <w:szCs w:val="24"/>
          <w:highlight w:val="none"/>
          <w:u w:val="none"/>
          <w:lang w:val="en-US" w:eastAsia="zh-CN"/>
        </w:rPr>
        <w:t>莫北转油站采出水处理系统</w:t>
      </w:r>
      <w:r>
        <w:rPr>
          <w:rFonts w:hint="default" w:ascii="Times New Roman" w:hAnsi="Times New Roman" w:eastAsia="宋体" w:cs="Times New Roman"/>
          <w:color w:val="auto"/>
          <w:kern w:val="0"/>
          <w:sz w:val="24"/>
          <w:szCs w:val="24"/>
          <w:highlight w:val="none"/>
          <w:u w:val="none"/>
        </w:rPr>
        <w:t>处理；井下作业产生的洗井废水和废酸化压裂液用专用罐车拉运至石西集中处理站采出水处理系统进行处置。经处理后满足</w:t>
      </w:r>
      <w:r>
        <w:rPr>
          <w:rFonts w:hint="default" w:ascii="Times New Roman" w:hAnsi="Times New Roman" w:eastAsia="宋体" w:cs="Times New Roman"/>
          <w:color w:val="auto"/>
          <w:kern w:val="24"/>
          <w:sz w:val="24"/>
          <w:szCs w:val="24"/>
          <w:highlight w:val="none"/>
          <w:u w:val="none"/>
          <w:lang w:eastAsia="zh-CN"/>
        </w:rPr>
        <w:t>《碎屑岩油藏注水水质指标技术要求及分析方法》（SY/T5329-2022）</w:t>
      </w:r>
      <w:r>
        <w:rPr>
          <w:rFonts w:hint="default" w:ascii="Times New Roman" w:hAnsi="Times New Roman" w:eastAsia="宋体" w:cs="Times New Roman"/>
          <w:color w:val="auto"/>
          <w:kern w:val="0"/>
          <w:sz w:val="24"/>
          <w:szCs w:val="24"/>
          <w:highlight w:val="none"/>
          <w:u w:val="none"/>
        </w:rPr>
        <w:t>标准中指标后回注于现役油</w:t>
      </w:r>
      <w:r>
        <w:rPr>
          <w:rFonts w:hint="eastAsia" w:ascii="Times New Roman" w:hAnsi="Times New Roman" w:eastAsia="宋体" w:cs="Times New Roman"/>
          <w:color w:val="auto"/>
          <w:kern w:val="0"/>
          <w:sz w:val="24"/>
          <w:szCs w:val="24"/>
          <w:highlight w:val="none"/>
          <w:u w:val="none"/>
          <w:lang w:val="en-US" w:eastAsia="zh-CN"/>
        </w:rPr>
        <w:t>气</w:t>
      </w:r>
      <w:r>
        <w:rPr>
          <w:rFonts w:hint="default" w:ascii="Times New Roman" w:hAnsi="Times New Roman" w:eastAsia="宋体" w:cs="Times New Roman"/>
          <w:color w:val="auto"/>
          <w:kern w:val="0"/>
          <w:sz w:val="24"/>
          <w:szCs w:val="24"/>
          <w:highlight w:val="none"/>
          <w:u w:val="none"/>
        </w:rPr>
        <w:t>藏，不外排。</w:t>
      </w:r>
    </w:p>
    <w:p w14:paraId="3691FCE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定期对井场、管汇站的设备、阀门等进行检查，一旦发现异常，及时采取措施，防止原油“跑、冒、滴、漏”的发生。</w:t>
      </w:r>
    </w:p>
    <w:p w14:paraId="4632D76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采用高质量的油气输送管道，防止油水泄漏；管线埋设严格遵守相关规定，埋至冻土层以下，并对管线进行防腐保温等保护措施；定期对输油管道进行检查，一旦发现异常，及时更换，尽量杜绝“跑、冒、滴、漏”的发生，并随时做好抢修准备，加强抢修队伍的训练和工作演练。</w:t>
      </w:r>
    </w:p>
    <w:p w14:paraId="15F81BFE">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default" w:ascii="宋体" w:hAnsi="宋体" w:eastAsia="宋体" w:cs="宋体"/>
          <w:b/>
          <w:color w:val="auto"/>
          <w:kern w:val="2"/>
          <w:sz w:val="24"/>
          <w:szCs w:val="22"/>
          <w:u w:val="none"/>
          <w:lang w:val="en-US" w:eastAsia="zh-CN" w:bidi="ar-SA"/>
        </w:rPr>
      </w:pPr>
      <w:r>
        <w:rPr>
          <w:rFonts w:hint="default" w:ascii="宋体" w:hAnsi="宋体" w:eastAsia="宋体" w:cs="宋体"/>
          <w:b/>
          <w:color w:val="auto"/>
          <w:kern w:val="2"/>
          <w:sz w:val="24"/>
          <w:szCs w:val="22"/>
          <w:u w:val="none"/>
          <w:lang w:val="en-US" w:eastAsia="zh-CN" w:bidi="ar-SA"/>
        </w:rPr>
        <w:t>6.</w:t>
      </w:r>
      <w:r>
        <w:rPr>
          <w:rFonts w:hint="eastAsia" w:ascii="宋体" w:hAnsi="宋体" w:eastAsia="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w:t>
      </w:r>
      <w:r>
        <w:rPr>
          <w:rFonts w:hint="eastAsia" w:ascii="宋体" w:hAnsi="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.2</w:t>
      </w:r>
      <w:r>
        <w:rPr>
          <w:rFonts w:hint="eastAsia" w:ascii="宋体" w:hAnsi="宋体" w:eastAsia="宋体" w:cs="宋体"/>
          <w:b/>
          <w:color w:val="auto"/>
          <w:kern w:val="2"/>
          <w:sz w:val="24"/>
          <w:szCs w:val="22"/>
          <w:u w:val="none"/>
          <w:lang w:val="en-US" w:eastAsia="zh-CN" w:bidi="ar-SA"/>
        </w:rPr>
        <w:t xml:space="preserve"> </w:t>
      </w:r>
      <w:r>
        <w:rPr>
          <w:rFonts w:hint="default" w:ascii="宋体" w:hAnsi="宋体" w:eastAsia="宋体" w:cs="宋体"/>
          <w:b/>
          <w:color w:val="auto"/>
          <w:kern w:val="2"/>
          <w:sz w:val="24"/>
          <w:szCs w:val="22"/>
          <w:u w:val="none"/>
          <w:lang w:val="en-US" w:eastAsia="zh-CN" w:bidi="ar-SA"/>
        </w:rPr>
        <w:t>分区防治措施</w:t>
      </w:r>
    </w:p>
    <w:p w14:paraId="3C5C4CA3">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对可能泄漏污染物的地面进行防渗处理，并及时将泄漏/渗漏的污染物收集起来进行处理，可有效防</w:t>
      </w:r>
      <w:r>
        <w:rPr>
          <w:rFonts w:hint="eastAsia" w:ascii="Times New Roman" w:hAnsi="Times New Roman" w:eastAsia="宋体" w:cs="Times New Roman"/>
          <w:color w:val="auto"/>
          <w:kern w:val="0"/>
          <w:sz w:val="24"/>
          <w:szCs w:val="24"/>
          <w:highlight w:val="none"/>
          <w:u w:val="none"/>
          <w:lang w:eastAsia="zh-CN"/>
        </w:rPr>
        <w:t>止</w:t>
      </w:r>
      <w:r>
        <w:rPr>
          <w:rFonts w:hint="default" w:ascii="Times New Roman" w:hAnsi="Times New Roman" w:eastAsia="宋体" w:cs="Times New Roman"/>
          <w:color w:val="auto"/>
          <w:kern w:val="0"/>
          <w:sz w:val="24"/>
          <w:szCs w:val="24"/>
          <w:highlight w:val="none"/>
          <w:u w:val="none"/>
        </w:rPr>
        <w:t>洒落地面的污染物渗入地下。根据《环境影响评价技术导则 地下水环境》（HJ610-2016），分区防控措施应满足以下要求：</w:t>
      </w:r>
    </w:p>
    <w:p w14:paraId="3E99194A">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1</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已颁布污染控制国家标准或防渗技术规范的行业，水平防渗技术要求按照相应标准或规范执行。</w:t>
      </w:r>
    </w:p>
    <w:p w14:paraId="66834A67">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2</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未颁布相关标准的行业，根据预测结果和场地包气带特征及其防污性能，提出防渗技术要求或根据建设项目场地天然包气带防污性能、污染控制难易程度和污染物特性，提出防渗技术要求。</w:t>
      </w:r>
    </w:p>
    <w:p w14:paraId="71B08263">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本工程不属于已颁布污染控制国家标准或防渗技术规范的行业，分区防控措施应根据《环境影响评价技术导则-地下水环境》（HJ 610-2016）中污染控制难易程度分级参照表（表6.</w:t>
      </w:r>
      <w:r>
        <w:rPr>
          <w:rFonts w:hint="eastAsia" w:ascii="Times New Roman" w:hAnsi="Times New Roman" w:eastAsia="宋体" w:cs="Times New Roman"/>
          <w:color w:val="auto"/>
          <w:kern w:val="0"/>
          <w:sz w:val="24"/>
          <w:szCs w:val="24"/>
          <w:highlight w:val="none"/>
          <w:u w:val="none"/>
          <w:lang w:val="en-US" w:eastAsia="zh-CN"/>
        </w:rPr>
        <w:t>2</w:t>
      </w:r>
      <w:r>
        <w:rPr>
          <w:rFonts w:hint="default" w:ascii="Times New Roman" w:hAnsi="Times New Roman" w:eastAsia="宋体" w:cs="Times New Roman"/>
          <w:color w:val="auto"/>
          <w:kern w:val="0"/>
          <w:sz w:val="24"/>
          <w:szCs w:val="24"/>
          <w:highlight w:val="none"/>
          <w:u w:val="none"/>
        </w:rPr>
        <w:t>-1）、天然包气带防污性能分级参照表（表6.</w:t>
      </w:r>
      <w:r>
        <w:rPr>
          <w:rFonts w:hint="eastAsia" w:ascii="Times New Roman" w:hAnsi="Times New Roman" w:eastAsia="宋体" w:cs="Times New Roman"/>
          <w:color w:val="auto"/>
          <w:kern w:val="0"/>
          <w:sz w:val="24"/>
          <w:szCs w:val="24"/>
          <w:highlight w:val="none"/>
          <w:u w:val="none"/>
          <w:lang w:val="en-US" w:eastAsia="zh-CN"/>
        </w:rPr>
        <w:t>2</w:t>
      </w:r>
      <w:r>
        <w:rPr>
          <w:rFonts w:hint="default" w:ascii="Times New Roman" w:hAnsi="Times New Roman" w:eastAsia="宋体" w:cs="Times New Roman"/>
          <w:color w:val="auto"/>
          <w:kern w:val="0"/>
          <w:sz w:val="24"/>
          <w:szCs w:val="24"/>
          <w:highlight w:val="none"/>
          <w:u w:val="none"/>
        </w:rPr>
        <w:t>-2）、地下水污染防渗分区参照表（表6.</w:t>
      </w:r>
      <w:r>
        <w:rPr>
          <w:rFonts w:hint="eastAsia" w:ascii="Times New Roman" w:hAnsi="Times New Roman" w:eastAsia="宋体" w:cs="Times New Roman"/>
          <w:color w:val="auto"/>
          <w:kern w:val="0"/>
          <w:sz w:val="24"/>
          <w:szCs w:val="24"/>
          <w:highlight w:val="none"/>
          <w:u w:val="none"/>
          <w:lang w:val="en-US" w:eastAsia="zh-CN"/>
        </w:rPr>
        <w:t>2</w:t>
      </w:r>
      <w:r>
        <w:rPr>
          <w:rFonts w:hint="default" w:ascii="Times New Roman" w:hAnsi="Times New Roman" w:eastAsia="宋体" w:cs="Times New Roman"/>
          <w:color w:val="auto"/>
          <w:kern w:val="0"/>
          <w:sz w:val="24"/>
          <w:szCs w:val="24"/>
          <w:highlight w:val="none"/>
          <w:u w:val="none"/>
        </w:rPr>
        <w:t>-3），提出防渗技术要求。</w:t>
      </w:r>
    </w:p>
    <w:p w14:paraId="76A212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黑体" w:hAnsi="黑体" w:eastAsia="黑体" w:cs="Times New Roman"/>
          <w:b/>
          <w:bCs/>
          <w:color w:val="auto"/>
          <w:kern w:val="2"/>
          <w:sz w:val="21"/>
          <w:szCs w:val="21"/>
          <w:highlight w:val="none"/>
          <w:u w:val="none"/>
          <w:lang w:val="en-US" w:eastAsia="zh-CN" w:bidi="ar-SA"/>
        </w:rPr>
      </w:pPr>
      <w:r>
        <w:rPr>
          <w:rFonts w:hint="eastAsia" w:ascii="黑体" w:hAnsi="黑体" w:eastAsia="黑体" w:cs="黑体"/>
          <w:b w:val="0"/>
          <w:bCs/>
          <w:color w:val="auto"/>
          <w:kern w:val="2"/>
          <w:sz w:val="24"/>
          <w:szCs w:val="24"/>
          <w:u w:val="none"/>
          <w:lang w:val="en-US" w:eastAsia="zh-CN" w:bidi="ar-SA"/>
        </w:rPr>
        <w:t>表6.2-1  污染控制难易程度分级参照表</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6702"/>
      </w:tblGrid>
      <w:tr w14:paraId="0891F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5" w:type="pct"/>
            <w:tcBorders>
              <w:tl2br w:val="nil"/>
              <w:tr2bl w:val="nil"/>
            </w:tcBorders>
            <w:noWrap w:val="0"/>
            <w:vAlign w:val="center"/>
          </w:tcPr>
          <w:p w14:paraId="501ED07E">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污染控制难易程度</w:t>
            </w:r>
          </w:p>
        </w:tc>
        <w:tc>
          <w:tcPr>
            <w:tcW w:w="3794" w:type="pct"/>
            <w:tcBorders>
              <w:tl2br w:val="nil"/>
              <w:tr2bl w:val="nil"/>
            </w:tcBorders>
            <w:noWrap w:val="0"/>
            <w:vAlign w:val="center"/>
          </w:tcPr>
          <w:p w14:paraId="6566F080">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主要特征</w:t>
            </w:r>
          </w:p>
        </w:tc>
      </w:tr>
      <w:tr w14:paraId="047E1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5" w:type="pct"/>
            <w:tcBorders>
              <w:tl2br w:val="nil"/>
              <w:tr2bl w:val="nil"/>
            </w:tcBorders>
            <w:noWrap w:val="0"/>
            <w:vAlign w:val="center"/>
          </w:tcPr>
          <w:p w14:paraId="1B375AA8">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难</w:t>
            </w:r>
          </w:p>
        </w:tc>
        <w:tc>
          <w:tcPr>
            <w:tcW w:w="3794" w:type="pct"/>
            <w:tcBorders>
              <w:tl2br w:val="nil"/>
              <w:tr2bl w:val="nil"/>
            </w:tcBorders>
            <w:noWrap w:val="0"/>
            <w:vAlign w:val="center"/>
          </w:tcPr>
          <w:p w14:paraId="3BC327DC">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对地下水环境有污染的物料或污染物</w:t>
            </w:r>
            <w:r>
              <w:rPr>
                <w:rFonts w:hint="eastAsia" w:ascii="Times New Roman" w:hAnsi="Times New Roman" w:eastAsia="宋体" w:cs="Times New Roman"/>
                <w:snapToGrid/>
                <w:color w:val="auto"/>
                <w:kern w:val="2"/>
                <w:sz w:val="21"/>
                <w:szCs w:val="21"/>
                <w:highlight w:val="none"/>
                <w:u w:val="none"/>
                <w:lang w:val="en-US" w:eastAsia="zh-CN" w:bidi="ar-SA"/>
              </w:rPr>
              <w:t>泄漏</w:t>
            </w:r>
            <w:r>
              <w:rPr>
                <w:rFonts w:ascii="Times New Roman" w:hAnsi="Times New Roman" w:eastAsia="宋体" w:cs="Times New Roman"/>
                <w:snapToGrid/>
                <w:color w:val="auto"/>
                <w:kern w:val="2"/>
                <w:sz w:val="21"/>
                <w:szCs w:val="21"/>
                <w:highlight w:val="none"/>
                <w:u w:val="none"/>
                <w:lang w:val="en-US" w:eastAsia="zh-CN" w:bidi="ar-SA"/>
              </w:rPr>
              <w:t>后，不能及时发现和处理</w:t>
            </w:r>
          </w:p>
        </w:tc>
      </w:tr>
      <w:tr w14:paraId="7E260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5" w:type="pct"/>
            <w:tcBorders>
              <w:tl2br w:val="nil"/>
              <w:tr2bl w:val="nil"/>
            </w:tcBorders>
            <w:shd w:val="clear" w:color="auto" w:fill="auto"/>
            <w:noWrap w:val="0"/>
            <w:vAlign w:val="center"/>
          </w:tcPr>
          <w:p w14:paraId="4E21278E">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易</w:t>
            </w:r>
          </w:p>
        </w:tc>
        <w:tc>
          <w:tcPr>
            <w:tcW w:w="3794" w:type="pct"/>
            <w:tcBorders>
              <w:tl2br w:val="nil"/>
              <w:tr2bl w:val="nil"/>
            </w:tcBorders>
            <w:shd w:val="clear" w:color="auto" w:fill="auto"/>
            <w:noWrap w:val="0"/>
            <w:vAlign w:val="center"/>
          </w:tcPr>
          <w:p w14:paraId="1E0D56DA">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对地下水环境有污染的物料或污染物</w:t>
            </w:r>
            <w:r>
              <w:rPr>
                <w:rFonts w:hint="eastAsia" w:ascii="Times New Roman" w:hAnsi="Times New Roman" w:eastAsia="宋体" w:cs="Times New Roman"/>
                <w:snapToGrid/>
                <w:color w:val="auto"/>
                <w:kern w:val="2"/>
                <w:sz w:val="21"/>
                <w:szCs w:val="21"/>
                <w:highlight w:val="none"/>
                <w:u w:val="none"/>
                <w:lang w:val="en-US" w:eastAsia="zh-CN" w:bidi="ar-SA"/>
              </w:rPr>
              <w:t>泄漏</w:t>
            </w:r>
            <w:r>
              <w:rPr>
                <w:rFonts w:ascii="Times New Roman" w:hAnsi="Times New Roman" w:eastAsia="宋体" w:cs="Times New Roman"/>
                <w:snapToGrid/>
                <w:color w:val="auto"/>
                <w:kern w:val="2"/>
                <w:sz w:val="21"/>
                <w:szCs w:val="21"/>
                <w:highlight w:val="none"/>
                <w:u w:val="none"/>
                <w:lang w:val="en-US" w:eastAsia="zh-CN" w:bidi="ar-SA"/>
              </w:rPr>
              <w:t>后，可及时发现和处理</w:t>
            </w:r>
          </w:p>
        </w:tc>
      </w:tr>
    </w:tbl>
    <w:p w14:paraId="1C590C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184511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2B8A50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p>
    <w:p w14:paraId="3964B7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kern w:val="2"/>
          <w:sz w:val="21"/>
          <w:szCs w:val="21"/>
          <w:highlight w:val="none"/>
          <w:u w:val="none"/>
          <w:lang w:val="en-US" w:eastAsia="zh-CN" w:bidi="ar-SA"/>
        </w:rPr>
      </w:pPr>
      <w:r>
        <w:rPr>
          <w:rFonts w:hint="eastAsia" w:ascii="黑体" w:hAnsi="黑体" w:eastAsia="黑体" w:cs="黑体"/>
          <w:b w:val="0"/>
          <w:bCs/>
          <w:color w:val="auto"/>
          <w:kern w:val="2"/>
          <w:sz w:val="24"/>
          <w:szCs w:val="24"/>
          <w:u w:val="none"/>
          <w:lang w:val="en-US" w:eastAsia="zh-CN" w:bidi="ar-SA"/>
        </w:rPr>
        <w:t>表6.2-2  天然包气带防污性能分级参照表</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3"/>
        <w:gridCol w:w="8118"/>
      </w:tblGrid>
      <w:tr w14:paraId="6EE6D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4" w:type="pct"/>
            <w:tcBorders>
              <w:tl2br w:val="nil"/>
              <w:tr2bl w:val="nil"/>
            </w:tcBorders>
            <w:noWrap w:val="0"/>
            <w:vAlign w:val="center"/>
          </w:tcPr>
          <w:p w14:paraId="0BBECB4E">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分级</w:t>
            </w:r>
          </w:p>
        </w:tc>
        <w:tc>
          <w:tcPr>
            <w:tcW w:w="4595" w:type="pct"/>
            <w:tcBorders>
              <w:tl2br w:val="nil"/>
              <w:tr2bl w:val="nil"/>
            </w:tcBorders>
            <w:noWrap w:val="0"/>
            <w:vAlign w:val="center"/>
          </w:tcPr>
          <w:p w14:paraId="6737F557">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包气带岩土的防污性能</w:t>
            </w:r>
          </w:p>
        </w:tc>
      </w:tr>
      <w:tr w14:paraId="58C8B9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4" w:type="pct"/>
            <w:tcBorders>
              <w:tl2br w:val="nil"/>
              <w:tr2bl w:val="nil"/>
            </w:tcBorders>
            <w:noWrap w:val="0"/>
            <w:vAlign w:val="center"/>
          </w:tcPr>
          <w:p w14:paraId="149F64D4">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强</w:t>
            </w:r>
          </w:p>
        </w:tc>
        <w:tc>
          <w:tcPr>
            <w:tcW w:w="4595" w:type="pct"/>
            <w:tcBorders>
              <w:tl2br w:val="nil"/>
              <w:tr2bl w:val="nil"/>
            </w:tcBorders>
            <w:noWrap w:val="0"/>
            <w:vAlign w:val="center"/>
          </w:tcPr>
          <w:p w14:paraId="13DC2B80">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岩（土）层单层厚度Mb</w:t>
            </w:r>
            <w:r>
              <w:rPr>
                <w:rFonts w:hint="eastAsia" w:ascii="宋体" w:hAnsi="宋体" w:eastAsia="宋体" w:cs="宋体"/>
                <w:snapToGrid/>
                <w:color w:val="auto"/>
                <w:kern w:val="2"/>
                <w:sz w:val="21"/>
                <w:szCs w:val="21"/>
                <w:highlight w:val="none"/>
                <w:u w:val="none"/>
                <w:lang w:val="en-US" w:eastAsia="zh-CN" w:bidi="ar-SA"/>
              </w:rPr>
              <w:t>≧</w:t>
            </w:r>
            <w:r>
              <w:rPr>
                <w:rFonts w:ascii="Times New Roman" w:hAnsi="Times New Roman" w:eastAsia="宋体" w:cs="Times New Roman"/>
                <w:snapToGrid/>
                <w:color w:val="auto"/>
                <w:kern w:val="2"/>
                <w:sz w:val="21"/>
                <w:szCs w:val="21"/>
                <w:highlight w:val="none"/>
                <w:u w:val="none"/>
                <w:lang w:val="en-US" w:eastAsia="zh-CN" w:bidi="ar-SA"/>
              </w:rPr>
              <w:t>1.0m，渗透系数K</w:t>
            </w:r>
            <w:r>
              <w:rPr>
                <w:rFonts w:hint="eastAsia" w:ascii="宋体" w:hAnsi="宋体" w:eastAsia="宋体" w:cs="宋体"/>
                <w:snapToGrid/>
                <w:color w:val="auto"/>
                <w:kern w:val="2"/>
                <w:sz w:val="21"/>
                <w:szCs w:val="21"/>
                <w:highlight w:val="none"/>
                <w:u w:val="none"/>
                <w:lang w:val="en-US" w:eastAsia="zh-CN" w:bidi="ar-SA"/>
              </w:rPr>
              <w:t>≦</w:t>
            </w:r>
            <w:r>
              <w:rPr>
                <w:rFonts w:ascii="Times New Roman" w:hAnsi="Times New Roman" w:eastAsia="宋体" w:cs="Times New Roman"/>
                <w:snapToGrid/>
                <w:color w:val="auto"/>
                <w:kern w:val="2"/>
                <w:sz w:val="21"/>
                <w:szCs w:val="21"/>
                <w:highlight w:val="none"/>
                <w:u w:val="none"/>
                <w:lang w:val="en-US" w:eastAsia="zh-CN" w:bidi="ar-SA"/>
              </w:rPr>
              <w:t>1×10</w:t>
            </w:r>
            <w:r>
              <w:rPr>
                <w:rFonts w:ascii="Times New Roman" w:hAnsi="Times New Roman" w:eastAsia="宋体" w:cs="Times New Roman"/>
                <w:snapToGrid/>
                <w:color w:val="auto"/>
                <w:kern w:val="2"/>
                <w:sz w:val="21"/>
                <w:szCs w:val="21"/>
                <w:highlight w:val="none"/>
                <w:u w:val="none"/>
                <w:vertAlign w:val="superscript"/>
                <w:lang w:val="en-US" w:eastAsia="zh-CN" w:bidi="ar-SA"/>
              </w:rPr>
              <w:t>-6</w:t>
            </w:r>
            <w:r>
              <w:rPr>
                <w:rFonts w:ascii="Times New Roman" w:hAnsi="Times New Roman" w:eastAsia="宋体" w:cs="Times New Roman"/>
                <w:snapToGrid/>
                <w:color w:val="auto"/>
                <w:kern w:val="2"/>
                <w:sz w:val="21"/>
                <w:szCs w:val="21"/>
                <w:highlight w:val="none"/>
                <w:u w:val="none"/>
                <w:lang w:val="en-US" w:eastAsia="zh-CN" w:bidi="ar-SA"/>
              </w:rPr>
              <w:t>cm/s，且分布连续、稳定</w:t>
            </w:r>
          </w:p>
        </w:tc>
      </w:tr>
      <w:tr w14:paraId="7D8C4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4" w:type="pct"/>
            <w:tcBorders>
              <w:tl2br w:val="nil"/>
              <w:tr2bl w:val="nil"/>
            </w:tcBorders>
            <w:noWrap w:val="0"/>
            <w:vAlign w:val="center"/>
          </w:tcPr>
          <w:p w14:paraId="40696200">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中</w:t>
            </w:r>
          </w:p>
        </w:tc>
        <w:tc>
          <w:tcPr>
            <w:tcW w:w="4595" w:type="pct"/>
            <w:tcBorders>
              <w:tl2br w:val="nil"/>
              <w:tr2bl w:val="nil"/>
            </w:tcBorders>
            <w:noWrap w:val="0"/>
            <w:vAlign w:val="center"/>
          </w:tcPr>
          <w:p w14:paraId="648B4382">
            <w:pPr>
              <w:keepNext w:val="0"/>
              <w:keepLines w:val="0"/>
              <w:pageBreakBefore w:val="0"/>
              <w:widowControl/>
              <w:kinsoku/>
              <w:wordWrap/>
              <w:overflowPunct/>
              <w:topLinePunct w:val="0"/>
              <w:autoSpaceDE/>
              <w:autoSpaceDN/>
              <w:bidi w:val="0"/>
              <w:snapToGrid/>
              <w:spacing w:line="400" w:lineRule="exact"/>
              <w:jc w:val="both"/>
              <w:rPr>
                <w:rFonts w:ascii="宋体" w:hAnsi="宋体" w:eastAsia="宋体" w:cs="Times New Roman"/>
                <w:color w:val="auto"/>
                <w:spacing w:val="-11"/>
                <w:kern w:val="0"/>
                <w:sz w:val="21"/>
                <w:szCs w:val="21"/>
                <w:highlight w:val="none"/>
                <w:u w:val="none"/>
                <w:lang w:val="en-US" w:eastAsia="zh-CN" w:bidi="ar-SA"/>
              </w:rPr>
            </w:pPr>
            <w:r>
              <w:rPr>
                <w:rFonts w:ascii="宋体" w:hAnsi="宋体" w:eastAsia="宋体" w:cs="Times New Roman"/>
                <w:color w:val="auto"/>
                <w:spacing w:val="-11"/>
                <w:kern w:val="0"/>
                <w:sz w:val="21"/>
                <w:szCs w:val="21"/>
                <w:highlight w:val="none"/>
                <w:u w:val="none"/>
                <w:lang w:val="en-US" w:eastAsia="zh-CN" w:bidi="ar-SA"/>
              </w:rPr>
              <w:t>岩（土）层单层厚度0.5m</w:t>
            </w:r>
            <w:r>
              <w:rPr>
                <w:rFonts w:hint="eastAsia" w:ascii="宋体" w:hAnsi="宋体" w:eastAsia="宋体" w:cs="宋体"/>
                <w:color w:val="auto"/>
                <w:spacing w:val="-11"/>
                <w:kern w:val="0"/>
                <w:sz w:val="21"/>
                <w:szCs w:val="21"/>
                <w:highlight w:val="none"/>
                <w:u w:val="none"/>
                <w:lang w:val="en-US" w:eastAsia="zh-CN" w:bidi="ar-SA"/>
              </w:rPr>
              <w:t>≦</w:t>
            </w:r>
            <w:r>
              <w:rPr>
                <w:rFonts w:ascii="宋体" w:hAnsi="宋体" w:eastAsia="宋体" w:cs="Times New Roman"/>
                <w:color w:val="auto"/>
                <w:spacing w:val="-11"/>
                <w:kern w:val="0"/>
                <w:sz w:val="21"/>
                <w:szCs w:val="21"/>
                <w:highlight w:val="none"/>
                <w:u w:val="none"/>
                <w:lang w:val="en-US" w:eastAsia="zh-CN" w:bidi="ar-SA"/>
              </w:rPr>
              <w:t>Mb&lt;1.0m，渗透系数K</w:t>
            </w:r>
            <w:r>
              <w:rPr>
                <w:rFonts w:hint="eastAsia" w:ascii="宋体" w:hAnsi="宋体" w:eastAsia="宋体" w:cs="宋体"/>
                <w:color w:val="auto"/>
                <w:spacing w:val="-11"/>
                <w:kern w:val="0"/>
                <w:sz w:val="21"/>
                <w:szCs w:val="21"/>
                <w:highlight w:val="none"/>
                <w:u w:val="none"/>
                <w:lang w:val="en-US" w:eastAsia="zh-CN" w:bidi="ar-SA"/>
              </w:rPr>
              <w:t>≦</w:t>
            </w:r>
            <w:r>
              <w:rPr>
                <w:rFonts w:ascii="宋体" w:hAnsi="宋体" w:eastAsia="宋体" w:cs="Times New Roman"/>
                <w:color w:val="auto"/>
                <w:spacing w:val="-11"/>
                <w:kern w:val="0"/>
                <w:sz w:val="21"/>
                <w:szCs w:val="21"/>
                <w:highlight w:val="none"/>
                <w:u w:val="none"/>
                <w:lang w:val="en-US" w:eastAsia="zh-CN" w:bidi="ar-SA"/>
              </w:rPr>
              <w:t>1×10</w:t>
            </w:r>
            <w:r>
              <w:rPr>
                <w:rFonts w:ascii="宋体" w:hAnsi="宋体" w:eastAsia="宋体" w:cs="Times New Roman"/>
                <w:color w:val="auto"/>
                <w:spacing w:val="-11"/>
                <w:kern w:val="0"/>
                <w:sz w:val="21"/>
                <w:szCs w:val="21"/>
                <w:highlight w:val="none"/>
                <w:u w:val="none"/>
                <w:vertAlign w:val="superscript"/>
                <w:lang w:val="en-US" w:eastAsia="zh-CN" w:bidi="ar-SA"/>
              </w:rPr>
              <w:t>-6</w:t>
            </w:r>
            <w:r>
              <w:rPr>
                <w:rFonts w:ascii="宋体" w:hAnsi="宋体" w:eastAsia="宋体" w:cs="Times New Roman"/>
                <w:color w:val="auto"/>
                <w:spacing w:val="-11"/>
                <w:kern w:val="0"/>
                <w:sz w:val="21"/>
                <w:szCs w:val="21"/>
                <w:highlight w:val="none"/>
                <w:u w:val="none"/>
                <w:lang w:val="en-US" w:eastAsia="zh-CN" w:bidi="ar-SA"/>
              </w:rPr>
              <w:t>cm/s，且分布连续、稳定；</w:t>
            </w:r>
          </w:p>
          <w:p w14:paraId="1D29CA7E">
            <w:pPr>
              <w:keepNext w:val="0"/>
              <w:keepLines w:val="0"/>
              <w:pageBreakBefore w:val="0"/>
              <w:widowControl/>
              <w:kinsoku/>
              <w:wordWrap/>
              <w:overflowPunct/>
              <w:topLinePunct w:val="0"/>
              <w:autoSpaceDE/>
              <w:autoSpaceDN/>
              <w:bidi w:val="0"/>
              <w:snapToGrid/>
              <w:spacing w:line="400" w:lineRule="exact"/>
              <w:jc w:val="both"/>
              <w:rPr>
                <w:rFonts w:ascii="宋体" w:hAnsi="宋体" w:eastAsia="宋体" w:cs="Times New Roman"/>
                <w:color w:val="auto"/>
                <w:kern w:val="0"/>
                <w:sz w:val="21"/>
                <w:szCs w:val="21"/>
                <w:highlight w:val="none"/>
                <w:u w:val="none"/>
                <w:lang w:val="en-US" w:eastAsia="zh-CN" w:bidi="ar-SA"/>
              </w:rPr>
            </w:pPr>
            <w:r>
              <w:rPr>
                <w:rFonts w:ascii="宋体" w:hAnsi="宋体" w:eastAsia="宋体" w:cs="Times New Roman"/>
                <w:color w:val="auto"/>
                <w:spacing w:val="-11"/>
                <w:kern w:val="0"/>
                <w:sz w:val="21"/>
                <w:szCs w:val="21"/>
                <w:highlight w:val="none"/>
                <w:u w:val="none"/>
                <w:lang w:val="en-US" w:eastAsia="zh-CN" w:bidi="ar-SA"/>
              </w:rPr>
              <w:t>岩（土）层单层厚度Mb</w:t>
            </w:r>
            <w:r>
              <w:rPr>
                <w:rFonts w:hint="eastAsia" w:ascii="宋体" w:hAnsi="宋体" w:eastAsia="宋体" w:cs="宋体"/>
                <w:color w:val="auto"/>
                <w:spacing w:val="-11"/>
                <w:kern w:val="0"/>
                <w:sz w:val="21"/>
                <w:szCs w:val="21"/>
                <w:highlight w:val="none"/>
                <w:u w:val="none"/>
                <w:lang w:val="en-US" w:eastAsia="zh-CN" w:bidi="ar-SA"/>
              </w:rPr>
              <w:t>≧</w:t>
            </w:r>
            <w:r>
              <w:rPr>
                <w:rFonts w:ascii="宋体" w:hAnsi="宋体" w:eastAsia="宋体" w:cs="Times New Roman"/>
                <w:color w:val="auto"/>
                <w:spacing w:val="-11"/>
                <w:kern w:val="0"/>
                <w:sz w:val="21"/>
                <w:szCs w:val="21"/>
                <w:highlight w:val="none"/>
                <w:u w:val="none"/>
                <w:lang w:val="en-US" w:eastAsia="zh-CN" w:bidi="ar-SA"/>
              </w:rPr>
              <w:t>1.0m，渗透系数1×10</w:t>
            </w:r>
            <w:r>
              <w:rPr>
                <w:rFonts w:ascii="宋体" w:hAnsi="宋体" w:eastAsia="宋体" w:cs="Times New Roman"/>
                <w:color w:val="auto"/>
                <w:spacing w:val="-11"/>
                <w:kern w:val="0"/>
                <w:sz w:val="21"/>
                <w:szCs w:val="21"/>
                <w:highlight w:val="none"/>
                <w:u w:val="none"/>
                <w:vertAlign w:val="superscript"/>
                <w:lang w:val="en-US" w:eastAsia="zh-CN" w:bidi="ar-SA"/>
              </w:rPr>
              <w:t>-6</w:t>
            </w:r>
            <w:r>
              <w:rPr>
                <w:rFonts w:ascii="宋体" w:hAnsi="宋体" w:eastAsia="宋体" w:cs="Times New Roman"/>
                <w:color w:val="auto"/>
                <w:spacing w:val="-11"/>
                <w:kern w:val="0"/>
                <w:sz w:val="21"/>
                <w:szCs w:val="21"/>
                <w:highlight w:val="none"/>
                <w:u w:val="none"/>
                <w:lang w:val="en-US" w:eastAsia="zh-CN" w:bidi="ar-SA"/>
              </w:rPr>
              <w:t>cm/s&lt;K</w:t>
            </w:r>
            <w:r>
              <w:rPr>
                <w:rFonts w:hint="eastAsia" w:ascii="宋体" w:hAnsi="宋体" w:eastAsia="宋体" w:cs="宋体"/>
                <w:color w:val="auto"/>
                <w:spacing w:val="-11"/>
                <w:kern w:val="0"/>
                <w:sz w:val="21"/>
                <w:szCs w:val="21"/>
                <w:highlight w:val="none"/>
                <w:u w:val="none"/>
                <w:lang w:val="en-US" w:eastAsia="zh-CN" w:bidi="ar-SA"/>
              </w:rPr>
              <w:t>≦</w:t>
            </w:r>
            <w:r>
              <w:rPr>
                <w:rFonts w:ascii="宋体" w:hAnsi="宋体" w:eastAsia="宋体" w:cs="Times New Roman"/>
                <w:color w:val="auto"/>
                <w:spacing w:val="-11"/>
                <w:kern w:val="0"/>
                <w:sz w:val="21"/>
                <w:szCs w:val="21"/>
                <w:highlight w:val="none"/>
                <w:u w:val="none"/>
                <w:lang w:val="en-US" w:eastAsia="zh-CN" w:bidi="ar-SA"/>
              </w:rPr>
              <w:t>1×10</w:t>
            </w:r>
            <w:r>
              <w:rPr>
                <w:rFonts w:ascii="宋体" w:hAnsi="宋体" w:eastAsia="宋体" w:cs="Times New Roman"/>
                <w:color w:val="auto"/>
                <w:spacing w:val="-11"/>
                <w:kern w:val="0"/>
                <w:sz w:val="21"/>
                <w:szCs w:val="21"/>
                <w:highlight w:val="none"/>
                <w:u w:val="none"/>
                <w:vertAlign w:val="superscript"/>
                <w:lang w:val="en-US" w:eastAsia="zh-CN" w:bidi="ar-SA"/>
              </w:rPr>
              <w:t>-4</w:t>
            </w:r>
            <w:r>
              <w:rPr>
                <w:rFonts w:ascii="宋体" w:hAnsi="宋体" w:eastAsia="宋体" w:cs="Times New Roman"/>
                <w:color w:val="auto"/>
                <w:spacing w:val="-11"/>
                <w:kern w:val="0"/>
                <w:sz w:val="21"/>
                <w:szCs w:val="21"/>
                <w:highlight w:val="none"/>
                <w:u w:val="none"/>
                <w:lang w:val="en-US" w:eastAsia="zh-CN" w:bidi="ar-SA"/>
              </w:rPr>
              <w:t>cm/s，且分布连续、稳定；</w:t>
            </w:r>
          </w:p>
        </w:tc>
      </w:tr>
      <w:tr w14:paraId="1902A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4" w:type="pct"/>
            <w:tcBorders>
              <w:tl2br w:val="nil"/>
              <w:tr2bl w:val="nil"/>
            </w:tcBorders>
            <w:shd w:val="clear" w:color="auto" w:fill="auto"/>
            <w:noWrap w:val="0"/>
            <w:vAlign w:val="center"/>
          </w:tcPr>
          <w:p w14:paraId="66C8D2C9">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弱</w:t>
            </w:r>
          </w:p>
        </w:tc>
        <w:tc>
          <w:tcPr>
            <w:tcW w:w="4595" w:type="pct"/>
            <w:tcBorders>
              <w:tl2br w:val="nil"/>
              <w:tr2bl w:val="nil"/>
            </w:tcBorders>
            <w:shd w:val="clear" w:color="auto" w:fill="auto"/>
            <w:noWrap w:val="0"/>
            <w:vAlign w:val="center"/>
          </w:tcPr>
          <w:p w14:paraId="09E027A9">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宋体" w:hAnsi="宋体" w:eastAsia="宋体" w:cs="Times New Roman"/>
                <w:snapToGrid/>
                <w:color w:val="auto"/>
                <w:kern w:val="2"/>
                <w:sz w:val="21"/>
                <w:szCs w:val="21"/>
                <w:highlight w:val="none"/>
                <w:u w:val="none"/>
                <w:lang w:val="en-US" w:eastAsia="zh-CN" w:bidi="ar-SA"/>
              </w:rPr>
            </w:pPr>
            <w:r>
              <w:rPr>
                <w:rFonts w:ascii="宋体" w:hAnsi="宋体" w:eastAsia="宋体" w:cs="Times New Roman"/>
                <w:snapToGrid/>
                <w:color w:val="auto"/>
                <w:kern w:val="2"/>
                <w:sz w:val="21"/>
                <w:szCs w:val="21"/>
                <w:highlight w:val="none"/>
                <w:u w:val="none"/>
                <w:lang w:val="en-US" w:eastAsia="zh-CN" w:bidi="ar-SA"/>
              </w:rPr>
              <w:t>岩（土）层不满足上述“强”和“中”条件</w:t>
            </w:r>
          </w:p>
        </w:tc>
      </w:tr>
    </w:tbl>
    <w:p w14:paraId="043E74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kern w:val="2"/>
          <w:sz w:val="21"/>
          <w:szCs w:val="21"/>
          <w:highlight w:val="none"/>
          <w:u w:val="none"/>
          <w:lang w:val="en-US" w:eastAsia="zh-CN" w:bidi="ar-SA"/>
        </w:rPr>
      </w:pPr>
      <w:r>
        <w:rPr>
          <w:rFonts w:hint="eastAsia" w:ascii="黑体" w:hAnsi="黑体" w:eastAsia="黑体" w:cs="黑体"/>
          <w:b w:val="0"/>
          <w:bCs/>
          <w:color w:val="auto"/>
          <w:kern w:val="2"/>
          <w:sz w:val="24"/>
          <w:szCs w:val="24"/>
          <w:u w:val="none"/>
          <w:lang w:val="en-US" w:eastAsia="zh-CN" w:bidi="ar-SA"/>
        </w:rPr>
        <w:t>表6.2-3  地下水污染防渗分区参照表</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6"/>
        <w:gridCol w:w="1482"/>
        <w:gridCol w:w="1417"/>
        <w:gridCol w:w="1823"/>
        <w:gridCol w:w="2751"/>
      </w:tblGrid>
      <w:tr w14:paraId="3C2BD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tcBorders>
              <w:tl2br w:val="nil"/>
              <w:tr2bl w:val="nil"/>
            </w:tcBorders>
            <w:noWrap w:val="0"/>
            <w:vAlign w:val="center"/>
          </w:tcPr>
          <w:p w14:paraId="6B7DC8A4">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防渗分区</w:t>
            </w:r>
          </w:p>
        </w:tc>
        <w:tc>
          <w:tcPr>
            <w:tcW w:w="839" w:type="pct"/>
            <w:tcBorders>
              <w:tl2br w:val="nil"/>
              <w:tr2bl w:val="nil"/>
            </w:tcBorders>
            <w:noWrap w:val="0"/>
            <w:vAlign w:val="center"/>
          </w:tcPr>
          <w:p w14:paraId="44F68AB8">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天然包气带防污性能</w:t>
            </w:r>
          </w:p>
        </w:tc>
        <w:tc>
          <w:tcPr>
            <w:tcW w:w="802" w:type="pct"/>
            <w:tcBorders>
              <w:tl2br w:val="nil"/>
              <w:tr2bl w:val="nil"/>
            </w:tcBorders>
            <w:noWrap w:val="0"/>
            <w:vAlign w:val="center"/>
          </w:tcPr>
          <w:p w14:paraId="2339C836">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污染控制难易程度</w:t>
            </w:r>
          </w:p>
        </w:tc>
        <w:tc>
          <w:tcPr>
            <w:tcW w:w="1032" w:type="pct"/>
            <w:tcBorders>
              <w:tl2br w:val="nil"/>
              <w:tr2bl w:val="nil"/>
            </w:tcBorders>
            <w:noWrap w:val="0"/>
            <w:vAlign w:val="center"/>
          </w:tcPr>
          <w:p w14:paraId="04BB45BE">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污染物类型</w:t>
            </w:r>
          </w:p>
        </w:tc>
        <w:tc>
          <w:tcPr>
            <w:tcW w:w="1557" w:type="pct"/>
            <w:tcBorders>
              <w:tl2br w:val="nil"/>
              <w:tr2bl w:val="nil"/>
            </w:tcBorders>
            <w:noWrap w:val="0"/>
            <w:vAlign w:val="center"/>
          </w:tcPr>
          <w:p w14:paraId="1008E3C7">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防渗技术要求</w:t>
            </w:r>
          </w:p>
        </w:tc>
      </w:tr>
      <w:tr w14:paraId="2B49AE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restart"/>
            <w:tcBorders>
              <w:tl2br w:val="nil"/>
              <w:tr2bl w:val="nil"/>
            </w:tcBorders>
            <w:noWrap w:val="0"/>
            <w:vAlign w:val="center"/>
          </w:tcPr>
          <w:p w14:paraId="3EF09347">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重点防渗区</w:t>
            </w:r>
          </w:p>
        </w:tc>
        <w:tc>
          <w:tcPr>
            <w:tcW w:w="839" w:type="pct"/>
            <w:tcBorders>
              <w:tl2br w:val="nil"/>
              <w:tr2bl w:val="nil"/>
            </w:tcBorders>
            <w:noWrap w:val="0"/>
            <w:vAlign w:val="center"/>
          </w:tcPr>
          <w:p w14:paraId="4899B45C">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弱</w:t>
            </w:r>
          </w:p>
        </w:tc>
        <w:tc>
          <w:tcPr>
            <w:tcW w:w="802" w:type="pct"/>
            <w:tcBorders>
              <w:tl2br w:val="nil"/>
              <w:tr2bl w:val="nil"/>
            </w:tcBorders>
            <w:noWrap w:val="0"/>
            <w:vAlign w:val="center"/>
          </w:tcPr>
          <w:p w14:paraId="1CDAE77E">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难</w:t>
            </w:r>
          </w:p>
        </w:tc>
        <w:tc>
          <w:tcPr>
            <w:tcW w:w="1032" w:type="pct"/>
            <w:vMerge w:val="restart"/>
            <w:tcBorders>
              <w:tl2br w:val="nil"/>
              <w:tr2bl w:val="nil"/>
            </w:tcBorders>
            <w:noWrap w:val="0"/>
            <w:vAlign w:val="center"/>
          </w:tcPr>
          <w:p w14:paraId="7DD29506">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重金属、持久性有机污染物</w:t>
            </w:r>
          </w:p>
        </w:tc>
        <w:tc>
          <w:tcPr>
            <w:tcW w:w="1557" w:type="pct"/>
            <w:vMerge w:val="restart"/>
            <w:tcBorders>
              <w:tl2br w:val="nil"/>
              <w:tr2bl w:val="nil"/>
            </w:tcBorders>
            <w:noWrap w:val="0"/>
            <w:vAlign w:val="center"/>
          </w:tcPr>
          <w:p w14:paraId="2B4F1738">
            <w:pPr>
              <w:keepNext w:val="0"/>
              <w:keepLines w:val="0"/>
              <w:pageBreakBefore w:val="0"/>
              <w:kinsoku/>
              <w:wordWrap/>
              <w:overflowPunct/>
              <w:topLinePunct w:val="0"/>
              <w:autoSpaceDE/>
              <w:autoSpaceDN/>
              <w:bidi w:val="0"/>
              <w:snapToGrid/>
              <w:spacing w:line="400" w:lineRule="exact"/>
              <w:jc w:val="both"/>
              <w:rPr>
                <w:rFonts w:ascii="Times New Roman" w:hAnsi="Times New Roman" w:eastAsia="宋体" w:cs="Times New Roman"/>
                <w:color w:val="auto"/>
                <w:kern w:val="2"/>
                <w:sz w:val="21"/>
                <w:szCs w:val="21"/>
                <w:highlight w:val="none"/>
                <w:u w:val="none"/>
                <w:lang w:val="en-US" w:eastAsia="zh-CN" w:bidi="ar-SA"/>
              </w:rPr>
            </w:pPr>
            <w:r>
              <w:rPr>
                <w:rFonts w:ascii="Times New Roman" w:hAnsi="Times New Roman" w:eastAsia="宋体" w:cs="Times New Roman"/>
                <w:color w:val="auto"/>
                <w:kern w:val="2"/>
                <w:sz w:val="21"/>
                <w:szCs w:val="21"/>
                <w:highlight w:val="none"/>
                <w:u w:val="none"/>
                <w:lang w:val="en-US" w:eastAsia="zh-CN" w:bidi="ar-SA"/>
              </w:rPr>
              <w:t>等效粘土防渗层Mb≥6.0m，K≤1×10</w:t>
            </w:r>
            <w:r>
              <w:rPr>
                <w:rFonts w:ascii="Times New Roman" w:hAnsi="Times New Roman" w:eastAsia="宋体" w:cs="Times New Roman"/>
                <w:color w:val="auto"/>
                <w:kern w:val="2"/>
                <w:sz w:val="21"/>
                <w:szCs w:val="21"/>
                <w:highlight w:val="none"/>
                <w:u w:val="none"/>
                <w:vertAlign w:val="superscript"/>
                <w:lang w:val="en-US" w:eastAsia="zh-CN" w:bidi="ar-SA"/>
              </w:rPr>
              <w:t>-7</w:t>
            </w:r>
            <w:r>
              <w:rPr>
                <w:rFonts w:ascii="Times New Roman" w:hAnsi="Times New Roman" w:eastAsia="宋体" w:cs="Times New Roman"/>
                <w:color w:val="auto"/>
                <w:kern w:val="2"/>
                <w:sz w:val="21"/>
                <w:szCs w:val="21"/>
                <w:highlight w:val="none"/>
                <w:u w:val="none"/>
                <w:lang w:val="en-US" w:eastAsia="zh-CN" w:bidi="ar-SA"/>
              </w:rPr>
              <w:t>cm/s；或参照GB18598执行</w:t>
            </w:r>
          </w:p>
        </w:tc>
      </w:tr>
      <w:tr w14:paraId="7B9EF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tcBorders>
              <w:tl2br w:val="nil"/>
              <w:tr2bl w:val="nil"/>
            </w:tcBorders>
            <w:noWrap w:val="0"/>
            <w:vAlign w:val="center"/>
          </w:tcPr>
          <w:p w14:paraId="19DF80F0">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c>
          <w:tcPr>
            <w:tcW w:w="839" w:type="pct"/>
            <w:tcBorders>
              <w:tl2br w:val="nil"/>
              <w:tr2bl w:val="nil"/>
            </w:tcBorders>
            <w:noWrap w:val="0"/>
            <w:vAlign w:val="center"/>
          </w:tcPr>
          <w:p w14:paraId="38F438DE">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中-强</w:t>
            </w:r>
          </w:p>
        </w:tc>
        <w:tc>
          <w:tcPr>
            <w:tcW w:w="802" w:type="pct"/>
            <w:tcBorders>
              <w:tl2br w:val="nil"/>
              <w:tr2bl w:val="nil"/>
            </w:tcBorders>
            <w:noWrap w:val="0"/>
            <w:vAlign w:val="center"/>
          </w:tcPr>
          <w:p w14:paraId="6AED062C">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难</w:t>
            </w:r>
          </w:p>
        </w:tc>
        <w:tc>
          <w:tcPr>
            <w:tcW w:w="1032" w:type="pct"/>
            <w:vMerge w:val="continue"/>
            <w:tcBorders>
              <w:tl2br w:val="nil"/>
              <w:tr2bl w:val="nil"/>
            </w:tcBorders>
            <w:noWrap w:val="0"/>
            <w:vAlign w:val="center"/>
          </w:tcPr>
          <w:p w14:paraId="31CE00D9">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c>
          <w:tcPr>
            <w:tcW w:w="1557" w:type="pct"/>
            <w:vMerge w:val="continue"/>
            <w:tcBorders>
              <w:tl2br w:val="nil"/>
              <w:tr2bl w:val="nil"/>
            </w:tcBorders>
            <w:noWrap w:val="0"/>
            <w:vAlign w:val="center"/>
          </w:tcPr>
          <w:p w14:paraId="7B6F423F">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r>
      <w:tr w14:paraId="045F7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768" w:type="pct"/>
            <w:vMerge w:val="continue"/>
            <w:tcBorders>
              <w:tl2br w:val="nil"/>
              <w:tr2bl w:val="nil"/>
            </w:tcBorders>
            <w:noWrap w:val="0"/>
            <w:vAlign w:val="center"/>
          </w:tcPr>
          <w:p w14:paraId="4F7F05EF">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c>
          <w:tcPr>
            <w:tcW w:w="839" w:type="pct"/>
            <w:tcBorders>
              <w:tl2br w:val="nil"/>
              <w:tr2bl w:val="nil"/>
            </w:tcBorders>
            <w:noWrap w:val="0"/>
            <w:vAlign w:val="center"/>
          </w:tcPr>
          <w:p w14:paraId="4FF11851">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弱</w:t>
            </w:r>
          </w:p>
        </w:tc>
        <w:tc>
          <w:tcPr>
            <w:tcW w:w="802" w:type="pct"/>
            <w:tcBorders>
              <w:tl2br w:val="nil"/>
              <w:tr2bl w:val="nil"/>
            </w:tcBorders>
            <w:noWrap w:val="0"/>
            <w:vAlign w:val="center"/>
          </w:tcPr>
          <w:p w14:paraId="066C18BC">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易</w:t>
            </w:r>
          </w:p>
        </w:tc>
        <w:tc>
          <w:tcPr>
            <w:tcW w:w="1032" w:type="pct"/>
            <w:vMerge w:val="continue"/>
            <w:tcBorders>
              <w:tl2br w:val="nil"/>
              <w:tr2bl w:val="nil"/>
            </w:tcBorders>
            <w:noWrap w:val="0"/>
            <w:vAlign w:val="center"/>
          </w:tcPr>
          <w:p w14:paraId="40B28CB0">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c>
          <w:tcPr>
            <w:tcW w:w="1557" w:type="pct"/>
            <w:vMerge w:val="continue"/>
            <w:tcBorders>
              <w:tl2br w:val="nil"/>
              <w:tr2bl w:val="nil"/>
            </w:tcBorders>
            <w:noWrap w:val="0"/>
            <w:vAlign w:val="center"/>
          </w:tcPr>
          <w:p w14:paraId="61240965">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r>
      <w:tr w14:paraId="02CA8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restart"/>
            <w:tcBorders>
              <w:tl2br w:val="nil"/>
              <w:tr2bl w:val="nil"/>
            </w:tcBorders>
            <w:shd w:val="clear" w:color="auto" w:fill="auto"/>
            <w:noWrap w:val="0"/>
            <w:vAlign w:val="center"/>
          </w:tcPr>
          <w:p w14:paraId="28D6112F">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一般防渗区</w:t>
            </w:r>
          </w:p>
        </w:tc>
        <w:tc>
          <w:tcPr>
            <w:tcW w:w="839" w:type="pct"/>
            <w:tcBorders>
              <w:tl2br w:val="nil"/>
              <w:tr2bl w:val="nil"/>
            </w:tcBorders>
            <w:shd w:val="clear" w:color="auto" w:fill="auto"/>
            <w:noWrap w:val="0"/>
            <w:vAlign w:val="center"/>
          </w:tcPr>
          <w:p w14:paraId="23BDBDC1">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弱</w:t>
            </w:r>
          </w:p>
        </w:tc>
        <w:tc>
          <w:tcPr>
            <w:tcW w:w="802" w:type="pct"/>
            <w:tcBorders>
              <w:tl2br w:val="nil"/>
              <w:tr2bl w:val="nil"/>
            </w:tcBorders>
            <w:shd w:val="clear" w:color="auto" w:fill="auto"/>
            <w:noWrap w:val="0"/>
            <w:vAlign w:val="center"/>
          </w:tcPr>
          <w:p w14:paraId="2E4E0F24">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易-难</w:t>
            </w:r>
          </w:p>
        </w:tc>
        <w:tc>
          <w:tcPr>
            <w:tcW w:w="1032" w:type="pct"/>
            <w:vMerge w:val="restart"/>
            <w:tcBorders>
              <w:tl2br w:val="nil"/>
              <w:tr2bl w:val="nil"/>
            </w:tcBorders>
            <w:shd w:val="clear" w:color="auto" w:fill="auto"/>
            <w:noWrap w:val="0"/>
            <w:vAlign w:val="center"/>
          </w:tcPr>
          <w:p w14:paraId="3A2D5527">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其它类型</w:t>
            </w:r>
          </w:p>
        </w:tc>
        <w:tc>
          <w:tcPr>
            <w:tcW w:w="1557" w:type="pct"/>
            <w:vMerge w:val="restart"/>
            <w:tcBorders>
              <w:tl2br w:val="nil"/>
              <w:tr2bl w:val="nil"/>
            </w:tcBorders>
            <w:shd w:val="clear" w:color="auto" w:fill="auto"/>
            <w:noWrap w:val="0"/>
            <w:vAlign w:val="center"/>
          </w:tcPr>
          <w:p w14:paraId="34625AAF">
            <w:pPr>
              <w:keepNext w:val="0"/>
              <w:keepLines w:val="0"/>
              <w:pageBreakBefore w:val="0"/>
              <w:kinsoku/>
              <w:wordWrap/>
              <w:overflowPunct/>
              <w:topLinePunct w:val="0"/>
              <w:autoSpaceDE/>
              <w:autoSpaceDN/>
              <w:bidi w:val="0"/>
              <w:snapToGrid/>
              <w:spacing w:line="400" w:lineRule="exact"/>
              <w:jc w:val="both"/>
              <w:rPr>
                <w:rFonts w:ascii="Times New Roman" w:hAnsi="Times New Roman" w:eastAsia="宋体" w:cs="Times New Roman"/>
                <w:color w:val="auto"/>
                <w:kern w:val="2"/>
                <w:sz w:val="21"/>
                <w:szCs w:val="21"/>
                <w:highlight w:val="none"/>
                <w:u w:val="none"/>
                <w:lang w:val="en-US" w:eastAsia="zh-CN" w:bidi="ar-SA"/>
              </w:rPr>
            </w:pPr>
            <w:r>
              <w:rPr>
                <w:rFonts w:ascii="Times New Roman" w:hAnsi="Times New Roman" w:eastAsia="宋体" w:cs="Times New Roman"/>
                <w:color w:val="auto"/>
                <w:kern w:val="2"/>
                <w:sz w:val="21"/>
                <w:szCs w:val="21"/>
                <w:highlight w:val="none"/>
                <w:u w:val="none"/>
                <w:lang w:val="en-US" w:eastAsia="zh-CN" w:bidi="ar-SA"/>
              </w:rPr>
              <w:t>等效粘土防渗层Mb≥1.5m，K≤1×10</w:t>
            </w:r>
            <w:r>
              <w:rPr>
                <w:rFonts w:ascii="Times New Roman" w:hAnsi="Times New Roman" w:eastAsia="宋体" w:cs="Times New Roman"/>
                <w:color w:val="auto"/>
                <w:kern w:val="2"/>
                <w:sz w:val="21"/>
                <w:szCs w:val="21"/>
                <w:highlight w:val="none"/>
                <w:u w:val="none"/>
                <w:vertAlign w:val="superscript"/>
                <w:lang w:val="en-US" w:eastAsia="zh-CN" w:bidi="ar-SA"/>
              </w:rPr>
              <w:t>-7</w:t>
            </w:r>
            <w:r>
              <w:rPr>
                <w:rFonts w:ascii="Times New Roman" w:hAnsi="Times New Roman" w:eastAsia="宋体" w:cs="Times New Roman"/>
                <w:color w:val="auto"/>
                <w:kern w:val="2"/>
                <w:sz w:val="21"/>
                <w:szCs w:val="21"/>
                <w:highlight w:val="none"/>
                <w:u w:val="none"/>
                <w:lang w:val="en-US" w:eastAsia="zh-CN" w:bidi="ar-SA"/>
              </w:rPr>
              <w:t>cm/s，或参照GB16889执行</w:t>
            </w:r>
          </w:p>
        </w:tc>
      </w:tr>
      <w:tr w14:paraId="4DF68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tcBorders>
              <w:tl2br w:val="nil"/>
              <w:tr2bl w:val="nil"/>
            </w:tcBorders>
            <w:shd w:val="clear" w:color="auto" w:fill="EEECE1"/>
            <w:noWrap w:val="0"/>
            <w:vAlign w:val="center"/>
          </w:tcPr>
          <w:p w14:paraId="5BFF3278">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c>
          <w:tcPr>
            <w:tcW w:w="839" w:type="pct"/>
            <w:tcBorders>
              <w:tl2br w:val="nil"/>
              <w:tr2bl w:val="nil"/>
            </w:tcBorders>
            <w:shd w:val="clear" w:color="auto" w:fill="auto"/>
            <w:noWrap w:val="0"/>
            <w:vAlign w:val="center"/>
          </w:tcPr>
          <w:p w14:paraId="03E3CCE1">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中-强</w:t>
            </w:r>
          </w:p>
        </w:tc>
        <w:tc>
          <w:tcPr>
            <w:tcW w:w="802" w:type="pct"/>
            <w:tcBorders>
              <w:tl2br w:val="nil"/>
              <w:tr2bl w:val="nil"/>
            </w:tcBorders>
            <w:shd w:val="clear" w:color="auto" w:fill="auto"/>
            <w:noWrap w:val="0"/>
            <w:vAlign w:val="center"/>
          </w:tcPr>
          <w:p w14:paraId="5C5D8E94">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难</w:t>
            </w:r>
          </w:p>
        </w:tc>
        <w:tc>
          <w:tcPr>
            <w:tcW w:w="1032" w:type="pct"/>
            <w:vMerge w:val="continue"/>
            <w:tcBorders>
              <w:tl2br w:val="nil"/>
              <w:tr2bl w:val="nil"/>
            </w:tcBorders>
            <w:shd w:val="clear" w:color="auto" w:fill="B8CCE4"/>
            <w:noWrap w:val="0"/>
            <w:vAlign w:val="center"/>
          </w:tcPr>
          <w:p w14:paraId="1B6F43D5">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c>
          <w:tcPr>
            <w:tcW w:w="1557" w:type="pct"/>
            <w:vMerge w:val="continue"/>
            <w:tcBorders>
              <w:tl2br w:val="nil"/>
              <w:tr2bl w:val="nil"/>
            </w:tcBorders>
            <w:shd w:val="clear" w:color="auto" w:fill="EEECE1"/>
            <w:noWrap w:val="0"/>
            <w:vAlign w:val="center"/>
          </w:tcPr>
          <w:p w14:paraId="26C4A634">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r>
      <w:tr w14:paraId="6EBFC5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tcBorders>
              <w:tl2br w:val="nil"/>
              <w:tr2bl w:val="nil"/>
            </w:tcBorders>
            <w:shd w:val="clear" w:color="auto" w:fill="EEECE1"/>
            <w:noWrap w:val="0"/>
            <w:vAlign w:val="center"/>
          </w:tcPr>
          <w:p w14:paraId="1AA16767">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c>
          <w:tcPr>
            <w:tcW w:w="839" w:type="pct"/>
            <w:tcBorders>
              <w:tl2br w:val="nil"/>
              <w:tr2bl w:val="nil"/>
            </w:tcBorders>
            <w:shd w:val="clear" w:color="auto" w:fill="auto"/>
            <w:noWrap w:val="0"/>
            <w:vAlign w:val="center"/>
          </w:tcPr>
          <w:p w14:paraId="082218F1">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中</w:t>
            </w:r>
          </w:p>
        </w:tc>
        <w:tc>
          <w:tcPr>
            <w:tcW w:w="802" w:type="pct"/>
            <w:tcBorders>
              <w:tl2br w:val="nil"/>
              <w:tr2bl w:val="nil"/>
            </w:tcBorders>
            <w:shd w:val="clear" w:color="auto" w:fill="auto"/>
            <w:noWrap w:val="0"/>
            <w:vAlign w:val="center"/>
          </w:tcPr>
          <w:p w14:paraId="58787EC7">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易</w:t>
            </w:r>
          </w:p>
        </w:tc>
        <w:tc>
          <w:tcPr>
            <w:tcW w:w="1032" w:type="pct"/>
            <w:vMerge w:val="restart"/>
            <w:tcBorders>
              <w:tl2br w:val="nil"/>
              <w:tr2bl w:val="nil"/>
            </w:tcBorders>
            <w:shd w:val="clear" w:color="auto" w:fill="auto"/>
            <w:noWrap w:val="0"/>
            <w:vAlign w:val="center"/>
          </w:tcPr>
          <w:p w14:paraId="46E1052D">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重金属、持久性有机污染物</w:t>
            </w:r>
          </w:p>
        </w:tc>
        <w:tc>
          <w:tcPr>
            <w:tcW w:w="1557" w:type="pct"/>
            <w:vMerge w:val="continue"/>
            <w:tcBorders>
              <w:tl2br w:val="nil"/>
              <w:tr2bl w:val="nil"/>
            </w:tcBorders>
            <w:shd w:val="clear" w:color="auto" w:fill="EEECE1"/>
            <w:noWrap w:val="0"/>
            <w:vAlign w:val="center"/>
          </w:tcPr>
          <w:p w14:paraId="7E73AE51">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r>
      <w:tr w14:paraId="54817C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vMerge w:val="continue"/>
            <w:tcBorders>
              <w:tl2br w:val="nil"/>
              <w:tr2bl w:val="nil"/>
            </w:tcBorders>
            <w:shd w:val="clear" w:color="auto" w:fill="EEECE1"/>
            <w:noWrap w:val="0"/>
            <w:vAlign w:val="center"/>
          </w:tcPr>
          <w:p w14:paraId="5567AFCA">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c>
          <w:tcPr>
            <w:tcW w:w="839" w:type="pct"/>
            <w:tcBorders>
              <w:tl2br w:val="nil"/>
              <w:tr2bl w:val="nil"/>
            </w:tcBorders>
            <w:shd w:val="clear" w:color="auto" w:fill="auto"/>
            <w:noWrap w:val="0"/>
            <w:vAlign w:val="center"/>
          </w:tcPr>
          <w:p w14:paraId="75820241">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强</w:t>
            </w:r>
          </w:p>
        </w:tc>
        <w:tc>
          <w:tcPr>
            <w:tcW w:w="802" w:type="pct"/>
            <w:tcBorders>
              <w:tl2br w:val="nil"/>
              <w:tr2bl w:val="nil"/>
            </w:tcBorders>
            <w:shd w:val="clear" w:color="auto" w:fill="auto"/>
            <w:noWrap w:val="0"/>
            <w:vAlign w:val="center"/>
          </w:tcPr>
          <w:p w14:paraId="68F6419D">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易</w:t>
            </w:r>
          </w:p>
        </w:tc>
        <w:tc>
          <w:tcPr>
            <w:tcW w:w="1032" w:type="pct"/>
            <w:vMerge w:val="continue"/>
            <w:tcBorders>
              <w:tl2br w:val="nil"/>
              <w:tr2bl w:val="nil"/>
            </w:tcBorders>
            <w:shd w:val="clear" w:color="auto" w:fill="auto"/>
            <w:noWrap w:val="0"/>
            <w:vAlign w:val="center"/>
          </w:tcPr>
          <w:p w14:paraId="3372782B">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c>
          <w:tcPr>
            <w:tcW w:w="1557" w:type="pct"/>
            <w:vMerge w:val="continue"/>
            <w:tcBorders>
              <w:tl2br w:val="nil"/>
              <w:tr2bl w:val="nil"/>
            </w:tcBorders>
            <w:shd w:val="clear" w:color="auto" w:fill="EEECE1"/>
            <w:noWrap w:val="0"/>
            <w:vAlign w:val="center"/>
          </w:tcPr>
          <w:p w14:paraId="6C7036CF">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p>
        </w:tc>
      </w:tr>
      <w:tr w14:paraId="5B82D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8" w:type="pct"/>
            <w:tcBorders>
              <w:tl2br w:val="nil"/>
              <w:tr2bl w:val="nil"/>
            </w:tcBorders>
            <w:noWrap w:val="0"/>
            <w:vAlign w:val="center"/>
          </w:tcPr>
          <w:p w14:paraId="4DD757AC">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简单防渗区</w:t>
            </w:r>
          </w:p>
        </w:tc>
        <w:tc>
          <w:tcPr>
            <w:tcW w:w="839" w:type="pct"/>
            <w:tcBorders>
              <w:tl2br w:val="nil"/>
              <w:tr2bl w:val="nil"/>
            </w:tcBorders>
            <w:noWrap w:val="0"/>
            <w:vAlign w:val="center"/>
          </w:tcPr>
          <w:p w14:paraId="2D2E71C3">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中-强</w:t>
            </w:r>
          </w:p>
        </w:tc>
        <w:tc>
          <w:tcPr>
            <w:tcW w:w="802" w:type="pct"/>
            <w:tcBorders>
              <w:tl2br w:val="nil"/>
              <w:tr2bl w:val="nil"/>
            </w:tcBorders>
            <w:noWrap w:val="0"/>
            <w:vAlign w:val="center"/>
          </w:tcPr>
          <w:p w14:paraId="0EC499EE">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易</w:t>
            </w:r>
          </w:p>
        </w:tc>
        <w:tc>
          <w:tcPr>
            <w:tcW w:w="1032" w:type="pct"/>
            <w:tcBorders>
              <w:tl2br w:val="nil"/>
              <w:tr2bl w:val="nil"/>
            </w:tcBorders>
            <w:noWrap w:val="0"/>
            <w:vAlign w:val="center"/>
          </w:tcPr>
          <w:p w14:paraId="2874DC99">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其它类型</w:t>
            </w:r>
          </w:p>
        </w:tc>
        <w:tc>
          <w:tcPr>
            <w:tcW w:w="1557" w:type="pct"/>
            <w:tcBorders>
              <w:tl2br w:val="nil"/>
              <w:tr2bl w:val="nil"/>
            </w:tcBorders>
            <w:noWrap w:val="0"/>
            <w:vAlign w:val="center"/>
          </w:tcPr>
          <w:p w14:paraId="3D933F5B">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baseline"/>
              <w:rPr>
                <w:rFonts w:ascii="Times New Roman" w:hAnsi="Times New Roman" w:eastAsia="宋体" w:cs="Times New Roman"/>
                <w:snapToGrid/>
                <w:color w:val="auto"/>
                <w:kern w:val="2"/>
                <w:sz w:val="21"/>
                <w:szCs w:val="21"/>
                <w:highlight w:val="none"/>
                <w:u w:val="none"/>
                <w:lang w:val="en-US" w:eastAsia="zh-CN" w:bidi="ar-SA"/>
              </w:rPr>
            </w:pPr>
            <w:r>
              <w:rPr>
                <w:rFonts w:ascii="Times New Roman" w:hAnsi="Times New Roman" w:eastAsia="宋体" w:cs="Times New Roman"/>
                <w:snapToGrid/>
                <w:color w:val="auto"/>
                <w:kern w:val="2"/>
                <w:sz w:val="21"/>
                <w:szCs w:val="21"/>
                <w:highlight w:val="none"/>
                <w:u w:val="none"/>
                <w:lang w:val="en-US" w:eastAsia="zh-CN" w:bidi="ar-SA"/>
              </w:rPr>
              <w:t>一般地面硬化</w:t>
            </w:r>
          </w:p>
        </w:tc>
      </w:tr>
    </w:tbl>
    <w:p w14:paraId="18576FA5">
      <w:pPr>
        <w:keepNext w:val="0"/>
        <w:keepLines w:val="0"/>
        <w:pageBreakBefore w:val="0"/>
        <w:widowControl/>
        <w:kinsoku/>
        <w:wordWrap/>
        <w:overflowPunct/>
        <w:topLinePunct w:val="0"/>
        <w:autoSpaceDE w:val="0"/>
        <w:autoSpaceDN w:val="0"/>
        <w:bidi w:val="0"/>
        <w:adjustRightInd/>
        <w:snapToGrid/>
        <w:spacing w:line="480" w:lineRule="exact"/>
        <w:ind w:firstLine="480" w:firstLineChars="200"/>
        <w:jc w:val="left"/>
        <w:textAlignment w:val="auto"/>
        <w:rPr>
          <w:rFonts w:ascii="宋体" w:hAnsi="宋体" w:eastAsia="宋体" w:cs="宋体"/>
          <w:color w:val="auto"/>
          <w:kern w:val="0"/>
          <w:sz w:val="24"/>
          <w:szCs w:val="30"/>
          <w:highlight w:val="none"/>
          <w:u w:val="none"/>
        </w:rPr>
      </w:pPr>
      <w:r>
        <w:rPr>
          <w:rFonts w:ascii="宋体" w:hAnsi="宋体" w:eastAsia="宋体" w:cs="宋体"/>
          <w:color w:val="auto"/>
          <w:kern w:val="0"/>
          <w:sz w:val="24"/>
          <w:szCs w:val="30"/>
          <w:highlight w:val="none"/>
          <w:u w:val="none"/>
        </w:rPr>
        <w:t>根据《环境影响评价技术导则-地下水环境》（HJ610-2016）中表6及前文分析，项目区内包气带防污性能为“弱”，生产过程中产生的污水中主要污染物为石油类，不属于重金属和持久性有机物类，为“其他类型”。故将工程区域整体划分为一般防渗区。具体划分方案</w:t>
      </w:r>
      <w:r>
        <w:rPr>
          <w:rFonts w:hint="eastAsia" w:ascii="宋体" w:hAnsi="宋体" w:eastAsia="宋体" w:cs="宋体"/>
          <w:color w:val="auto"/>
          <w:kern w:val="0"/>
          <w:sz w:val="24"/>
          <w:szCs w:val="30"/>
          <w:highlight w:val="none"/>
          <w:u w:val="none"/>
          <w:lang w:eastAsia="zh-CN"/>
        </w:rPr>
        <w:t>，</w:t>
      </w:r>
      <w:r>
        <w:rPr>
          <w:rFonts w:hint="eastAsia" w:ascii="宋体" w:hAnsi="宋体" w:eastAsia="宋体" w:cs="宋体"/>
          <w:color w:val="auto"/>
          <w:kern w:val="0"/>
          <w:sz w:val="24"/>
          <w:szCs w:val="30"/>
          <w:highlight w:val="none"/>
          <w:u w:val="none"/>
          <w:lang w:val="en-US" w:eastAsia="zh-CN"/>
        </w:rPr>
        <w:t>见表6.2-4。</w:t>
      </w:r>
    </w:p>
    <w:p w14:paraId="79233F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kern w:val="2"/>
          <w:sz w:val="21"/>
          <w:szCs w:val="21"/>
          <w:highlight w:val="none"/>
          <w:u w:val="none"/>
          <w:lang w:val="en-US" w:eastAsia="zh-CN" w:bidi="ar-SA"/>
        </w:rPr>
      </w:pPr>
      <w:r>
        <w:rPr>
          <w:rFonts w:hint="eastAsia" w:ascii="黑体" w:hAnsi="黑体" w:eastAsia="黑体" w:cs="黑体"/>
          <w:b w:val="0"/>
          <w:bCs/>
          <w:color w:val="auto"/>
          <w:kern w:val="2"/>
          <w:sz w:val="24"/>
          <w:szCs w:val="24"/>
          <w:u w:val="none"/>
          <w:lang w:val="en-US" w:eastAsia="zh-CN" w:bidi="ar-SA"/>
        </w:rPr>
        <w:t>表6.2-4  项目污染防渗区划分</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3"/>
        <w:gridCol w:w="903"/>
        <w:gridCol w:w="1062"/>
        <w:gridCol w:w="6171"/>
      </w:tblGrid>
      <w:tr w14:paraId="393AF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93" w:type="pct"/>
            <w:tcBorders>
              <w:tl2br w:val="nil"/>
              <w:tr2bl w:val="nil"/>
            </w:tcBorders>
            <w:noWrap w:val="0"/>
            <w:vAlign w:val="center"/>
          </w:tcPr>
          <w:p w14:paraId="610C7F19">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bCs/>
                <w:color w:val="auto"/>
                <w:sz w:val="20"/>
                <w:szCs w:val="21"/>
                <w:highlight w:val="none"/>
                <w:u w:val="none"/>
                <w:lang w:val="en-US" w:eastAsia="zh-CN" w:bidi="ar-SA"/>
              </w:rPr>
            </w:pPr>
            <w:r>
              <w:rPr>
                <w:rFonts w:ascii="Times New Roman" w:hAnsi="Times New Roman" w:eastAsia="宋体" w:cs="Times New Roman"/>
                <w:bCs/>
                <w:color w:val="auto"/>
                <w:sz w:val="20"/>
                <w:szCs w:val="21"/>
                <w:highlight w:val="none"/>
                <w:u w:val="none"/>
                <w:lang w:val="en-US" w:eastAsia="zh-CN" w:bidi="ar-SA"/>
              </w:rPr>
              <w:t>类别</w:t>
            </w:r>
          </w:p>
        </w:tc>
        <w:tc>
          <w:tcPr>
            <w:tcW w:w="1112" w:type="pct"/>
            <w:gridSpan w:val="2"/>
            <w:tcBorders>
              <w:tl2br w:val="nil"/>
              <w:tr2bl w:val="nil"/>
            </w:tcBorders>
            <w:noWrap w:val="0"/>
            <w:vAlign w:val="center"/>
          </w:tcPr>
          <w:p w14:paraId="39E87192">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bCs/>
                <w:color w:val="auto"/>
                <w:sz w:val="20"/>
                <w:szCs w:val="21"/>
                <w:highlight w:val="none"/>
                <w:u w:val="none"/>
                <w:lang w:val="en-US" w:eastAsia="zh-CN" w:bidi="ar-SA"/>
              </w:rPr>
            </w:pPr>
            <w:r>
              <w:rPr>
                <w:rFonts w:ascii="Times New Roman" w:hAnsi="Times New Roman" w:eastAsia="宋体" w:cs="Times New Roman"/>
                <w:bCs/>
                <w:color w:val="auto"/>
                <w:sz w:val="20"/>
                <w:szCs w:val="21"/>
                <w:highlight w:val="none"/>
                <w:u w:val="none"/>
                <w:lang w:val="en-US" w:eastAsia="zh-CN" w:bidi="ar-SA"/>
              </w:rPr>
              <w:t>项目涉及区域</w:t>
            </w:r>
          </w:p>
        </w:tc>
        <w:tc>
          <w:tcPr>
            <w:tcW w:w="3493" w:type="pct"/>
            <w:tcBorders>
              <w:tl2br w:val="nil"/>
              <w:tr2bl w:val="nil"/>
            </w:tcBorders>
            <w:noWrap w:val="0"/>
            <w:vAlign w:val="center"/>
          </w:tcPr>
          <w:p w14:paraId="2B99C91E">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bCs/>
                <w:color w:val="auto"/>
                <w:sz w:val="20"/>
                <w:szCs w:val="21"/>
                <w:highlight w:val="none"/>
                <w:u w:val="none"/>
                <w:lang w:val="en-US" w:eastAsia="zh-CN" w:bidi="ar-SA"/>
              </w:rPr>
            </w:pPr>
            <w:r>
              <w:rPr>
                <w:rFonts w:ascii="Times New Roman" w:hAnsi="Times New Roman" w:eastAsia="宋体" w:cs="Times New Roman"/>
                <w:bCs/>
                <w:color w:val="auto"/>
                <w:sz w:val="20"/>
                <w:szCs w:val="21"/>
                <w:highlight w:val="none"/>
                <w:u w:val="none"/>
                <w:lang w:val="en-US" w:eastAsia="zh-CN" w:bidi="ar-SA"/>
              </w:rPr>
              <w:t>防渗要求</w:t>
            </w:r>
          </w:p>
        </w:tc>
      </w:tr>
      <w:tr w14:paraId="63A1BC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3" w:type="pct"/>
            <w:vMerge w:val="restart"/>
            <w:tcBorders>
              <w:tl2br w:val="nil"/>
              <w:tr2bl w:val="nil"/>
            </w:tcBorders>
            <w:noWrap w:val="0"/>
            <w:vAlign w:val="center"/>
          </w:tcPr>
          <w:p w14:paraId="4195D1EB">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color w:val="auto"/>
                <w:sz w:val="20"/>
                <w:szCs w:val="21"/>
                <w:highlight w:val="none"/>
                <w:u w:val="none"/>
                <w:lang w:val="en-US" w:eastAsia="zh-CN" w:bidi="ar-SA"/>
              </w:rPr>
            </w:pPr>
            <w:r>
              <w:rPr>
                <w:rFonts w:ascii="Times New Roman" w:hAnsi="Times New Roman" w:eastAsia="宋体" w:cs="Times New Roman"/>
                <w:color w:val="auto"/>
                <w:sz w:val="20"/>
                <w:szCs w:val="21"/>
                <w:highlight w:val="none"/>
                <w:u w:val="none"/>
                <w:lang w:val="en-US" w:eastAsia="zh-CN" w:bidi="ar-SA"/>
              </w:rPr>
              <w:t>一</w:t>
            </w:r>
          </w:p>
          <w:p w14:paraId="179F6C1A">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color w:val="auto"/>
                <w:sz w:val="20"/>
                <w:szCs w:val="21"/>
                <w:highlight w:val="none"/>
                <w:u w:val="none"/>
                <w:lang w:val="en-US" w:eastAsia="zh-CN" w:bidi="ar-SA"/>
              </w:rPr>
            </w:pPr>
            <w:r>
              <w:rPr>
                <w:rFonts w:ascii="Times New Roman" w:hAnsi="Times New Roman" w:eastAsia="宋体" w:cs="Times New Roman"/>
                <w:color w:val="auto"/>
                <w:sz w:val="20"/>
                <w:szCs w:val="21"/>
                <w:highlight w:val="none"/>
                <w:u w:val="none"/>
                <w:lang w:val="en-US" w:eastAsia="zh-CN" w:bidi="ar-SA"/>
              </w:rPr>
              <w:t>般</w:t>
            </w:r>
          </w:p>
          <w:p w14:paraId="1AC7BA57">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color w:val="auto"/>
                <w:sz w:val="20"/>
                <w:szCs w:val="21"/>
                <w:highlight w:val="none"/>
                <w:u w:val="none"/>
                <w:lang w:val="en-US" w:eastAsia="zh-CN" w:bidi="ar-SA"/>
              </w:rPr>
            </w:pPr>
            <w:r>
              <w:rPr>
                <w:rFonts w:ascii="Times New Roman" w:hAnsi="Times New Roman" w:eastAsia="宋体" w:cs="Times New Roman"/>
                <w:color w:val="auto"/>
                <w:sz w:val="20"/>
                <w:szCs w:val="21"/>
                <w:highlight w:val="none"/>
                <w:u w:val="none"/>
                <w:lang w:val="en-US" w:eastAsia="zh-CN" w:bidi="ar-SA"/>
              </w:rPr>
              <w:t>防</w:t>
            </w:r>
          </w:p>
          <w:p w14:paraId="0EE5B444">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color w:val="auto"/>
                <w:sz w:val="20"/>
                <w:szCs w:val="21"/>
                <w:highlight w:val="none"/>
                <w:u w:val="none"/>
                <w:lang w:val="en-US" w:eastAsia="zh-CN" w:bidi="ar-SA"/>
              </w:rPr>
            </w:pPr>
            <w:r>
              <w:rPr>
                <w:rFonts w:ascii="Times New Roman" w:hAnsi="Times New Roman" w:eastAsia="宋体" w:cs="Times New Roman"/>
                <w:color w:val="auto"/>
                <w:sz w:val="20"/>
                <w:szCs w:val="21"/>
                <w:highlight w:val="none"/>
                <w:u w:val="none"/>
                <w:lang w:val="en-US" w:eastAsia="zh-CN" w:bidi="ar-SA"/>
              </w:rPr>
              <w:t>渗</w:t>
            </w:r>
          </w:p>
          <w:p w14:paraId="0EB1AC7F">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color w:val="auto"/>
                <w:sz w:val="20"/>
                <w:szCs w:val="21"/>
                <w:highlight w:val="none"/>
                <w:u w:val="none"/>
                <w:lang w:val="en-US" w:eastAsia="zh-CN" w:bidi="ar-SA"/>
              </w:rPr>
            </w:pPr>
            <w:r>
              <w:rPr>
                <w:rFonts w:ascii="Times New Roman" w:hAnsi="Times New Roman" w:eastAsia="宋体" w:cs="Times New Roman"/>
                <w:color w:val="auto"/>
                <w:sz w:val="20"/>
                <w:szCs w:val="21"/>
                <w:highlight w:val="none"/>
                <w:u w:val="none"/>
                <w:lang w:val="en-US" w:eastAsia="zh-CN" w:bidi="ar-SA"/>
              </w:rPr>
              <w:t>区</w:t>
            </w:r>
          </w:p>
        </w:tc>
        <w:tc>
          <w:tcPr>
            <w:tcW w:w="511" w:type="pct"/>
            <w:tcBorders>
              <w:tl2br w:val="nil"/>
              <w:tr2bl w:val="nil"/>
            </w:tcBorders>
            <w:noWrap w:val="0"/>
            <w:vAlign w:val="center"/>
          </w:tcPr>
          <w:p w14:paraId="4F4F5C6A">
            <w:pPr>
              <w:keepNext w:val="0"/>
              <w:keepLines w:val="0"/>
              <w:pageBreakBefore w:val="0"/>
              <w:kinsoku/>
              <w:wordWrap/>
              <w:overflowPunct/>
              <w:topLinePunct w:val="0"/>
              <w:autoSpaceDE/>
              <w:autoSpaceDN/>
              <w:bidi w:val="0"/>
              <w:adjustRightInd w:val="0"/>
              <w:snapToGrid/>
              <w:spacing w:line="400" w:lineRule="exact"/>
              <w:jc w:val="center"/>
              <w:rPr>
                <w:rFonts w:hint="eastAsia" w:ascii="Times New Roman" w:hAnsi="Times New Roman" w:eastAsia="宋体" w:cs="Times New Roman"/>
                <w:color w:val="auto"/>
                <w:sz w:val="20"/>
                <w:szCs w:val="21"/>
                <w:highlight w:val="none"/>
                <w:u w:val="none"/>
                <w:lang w:val="en-US" w:eastAsia="zh-CN" w:bidi="ar-SA"/>
              </w:rPr>
            </w:pPr>
            <w:r>
              <w:rPr>
                <w:rFonts w:hint="eastAsia" w:ascii="Times New Roman" w:hAnsi="Times New Roman" w:eastAsia="宋体" w:cs="Times New Roman"/>
                <w:color w:val="auto"/>
                <w:sz w:val="20"/>
                <w:szCs w:val="21"/>
                <w:highlight w:val="none"/>
                <w:u w:val="none"/>
                <w:lang w:val="en-US" w:eastAsia="zh-CN" w:bidi="ar-SA"/>
              </w:rPr>
              <w:t>运营期</w:t>
            </w:r>
          </w:p>
        </w:tc>
        <w:tc>
          <w:tcPr>
            <w:tcW w:w="601" w:type="pct"/>
            <w:tcBorders>
              <w:tl2br w:val="nil"/>
              <w:tr2bl w:val="nil"/>
            </w:tcBorders>
            <w:noWrap w:val="0"/>
            <w:vAlign w:val="center"/>
          </w:tcPr>
          <w:p w14:paraId="2FF5E154">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color w:val="auto"/>
                <w:sz w:val="20"/>
                <w:szCs w:val="21"/>
                <w:highlight w:val="none"/>
                <w:u w:val="none"/>
                <w:lang w:val="en-US" w:eastAsia="zh-CN" w:bidi="ar-SA"/>
              </w:rPr>
            </w:pPr>
            <w:r>
              <w:rPr>
                <w:rFonts w:ascii="Times New Roman" w:hAnsi="Times New Roman" w:eastAsia="宋体" w:cs="Times New Roman"/>
                <w:color w:val="auto"/>
                <w:sz w:val="20"/>
                <w:szCs w:val="21"/>
                <w:highlight w:val="none"/>
                <w:u w:val="none"/>
                <w:lang w:val="en-US" w:eastAsia="zh-CN" w:bidi="ar-SA"/>
              </w:rPr>
              <w:t>集输管线</w:t>
            </w:r>
          </w:p>
        </w:tc>
        <w:tc>
          <w:tcPr>
            <w:tcW w:w="3493" w:type="pct"/>
            <w:tcBorders>
              <w:tl2br w:val="nil"/>
              <w:tr2bl w:val="nil"/>
            </w:tcBorders>
            <w:noWrap w:val="0"/>
            <w:vAlign w:val="center"/>
          </w:tcPr>
          <w:p w14:paraId="406787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eastAsia="宋体" w:cs="宋体"/>
                <w:color w:val="auto"/>
                <w:kern w:val="0"/>
                <w:sz w:val="24"/>
                <w:szCs w:val="21"/>
                <w:highlight w:val="none"/>
                <w:u w:val="none"/>
              </w:rPr>
            </w:pPr>
            <w:r>
              <w:rPr>
                <w:rFonts w:ascii="Times New Roman" w:hAnsi="Times New Roman" w:eastAsia="宋体" w:cs="Times New Roman"/>
                <w:color w:val="auto"/>
                <w:kern w:val="2"/>
                <w:sz w:val="21"/>
                <w:szCs w:val="21"/>
                <w:highlight w:val="none"/>
                <w:u w:val="none"/>
                <w:lang w:val="en-US" w:eastAsia="zh-CN" w:bidi="ar-SA"/>
              </w:rPr>
              <w:t>采用玻璃钢管或柔性复合管</w:t>
            </w:r>
            <w:r>
              <w:rPr>
                <w:rFonts w:hint="eastAsia" w:ascii="宋体" w:hAnsi="宋体" w:eastAsia="宋体" w:cs="Times New Roman"/>
                <w:color w:val="auto"/>
                <w:kern w:val="2"/>
                <w:sz w:val="21"/>
                <w:szCs w:val="21"/>
                <w:highlight w:val="none"/>
                <w:u w:val="none"/>
                <w:lang w:val="en-US" w:eastAsia="zh-CN" w:bidi="ar-SA"/>
              </w:rPr>
              <w:t>。</w:t>
            </w:r>
            <w:r>
              <w:rPr>
                <w:rFonts w:ascii="Times New Roman" w:hAnsi="Times New Roman" w:eastAsia="宋体" w:cs="Times New Roman"/>
                <w:color w:val="auto"/>
                <w:kern w:val="2"/>
                <w:sz w:val="21"/>
                <w:szCs w:val="21"/>
                <w:highlight w:val="none"/>
                <w:u w:val="none"/>
                <w:lang w:val="en-US" w:eastAsia="zh-CN" w:bidi="ar-SA"/>
              </w:rPr>
              <w:t>钢质管道外壁防腐层：无溶剂环氧防腐涂料，涂敷二道，防腐层干膜厚度≥200μm。非金属管道钢接头外壁防腐层：弹性聚氨酯防腐漆底漆-面漆-面漆、玻璃布、面漆-面漆、玻璃布、面漆-面漆，防腐层干膜厚度≥0.6mm，管道的连接方式应采用焊接。施工过程中应有专人负责质量控制，并做好施工记录，同时施工期应留存施工影像。</w:t>
            </w:r>
          </w:p>
        </w:tc>
      </w:tr>
      <w:tr w14:paraId="1BE4E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3" w:type="pct"/>
            <w:vMerge w:val="continue"/>
            <w:tcBorders>
              <w:tl2br w:val="nil"/>
              <w:tr2bl w:val="nil"/>
            </w:tcBorders>
            <w:noWrap w:val="0"/>
            <w:vAlign w:val="center"/>
          </w:tcPr>
          <w:p w14:paraId="622DE03E">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color w:val="auto"/>
                <w:sz w:val="20"/>
                <w:szCs w:val="21"/>
                <w:highlight w:val="none"/>
                <w:u w:val="none"/>
                <w:lang w:val="en-US" w:eastAsia="zh-CN" w:bidi="ar-SA"/>
              </w:rPr>
            </w:pPr>
          </w:p>
        </w:tc>
        <w:tc>
          <w:tcPr>
            <w:tcW w:w="511" w:type="pct"/>
            <w:tcBorders>
              <w:tl2br w:val="nil"/>
              <w:tr2bl w:val="nil"/>
            </w:tcBorders>
            <w:noWrap w:val="0"/>
            <w:vAlign w:val="center"/>
          </w:tcPr>
          <w:p w14:paraId="6511AF74">
            <w:pPr>
              <w:keepNext w:val="0"/>
              <w:keepLines w:val="0"/>
              <w:pageBreakBefore w:val="0"/>
              <w:kinsoku/>
              <w:wordWrap/>
              <w:overflowPunct/>
              <w:topLinePunct w:val="0"/>
              <w:autoSpaceDE/>
              <w:autoSpaceDN/>
              <w:bidi w:val="0"/>
              <w:adjustRightInd w:val="0"/>
              <w:snapToGrid/>
              <w:spacing w:line="400" w:lineRule="exact"/>
              <w:jc w:val="center"/>
              <w:rPr>
                <w:rFonts w:hint="eastAsia" w:ascii="Times New Roman" w:hAnsi="Times New Roman" w:eastAsia="宋体" w:cs="Times New Roman"/>
                <w:color w:val="auto"/>
                <w:sz w:val="20"/>
                <w:szCs w:val="21"/>
                <w:highlight w:val="none"/>
                <w:u w:val="none"/>
                <w:lang w:val="en-US" w:eastAsia="zh-CN" w:bidi="ar-SA"/>
              </w:rPr>
            </w:pPr>
            <w:r>
              <w:rPr>
                <w:rFonts w:hint="eastAsia" w:ascii="Times New Roman" w:hAnsi="Times New Roman" w:eastAsia="宋体" w:cs="Times New Roman"/>
                <w:color w:val="auto"/>
                <w:sz w:val="20"/>
                <w:szCs w:val="21"/>
                <w:highlight w:val="none"/>
                <w:u w:val="none"/>
                <w:lang w:val="en-US" w:eastAsia="zh-CN" w:bidi="ar-SA"/>
              </w:rPr>
              <w:t>运营期</w:t>
            </w:r>
          </w:p>
        </w:tc>
        <w:tc>
          <w:tcPr>
            <w:tcW w:w="601" w:type="pct"/>
            <w:tcBorders>
              <w:tl2br w:val="nil"/>
              <w:tr2bl w:val="nil"/>
            </w:tcBorders>
            <w:noWrap w:val="0"/>
            <w:vAlign w:val="center"/>
          </w:tcPr>
          <w:p w14:paraId="4ED75FB3">
            <w:pPr>
              <w:keepNext w:val="0"/>
              <w:keepLines w:val="0"/>
              <w:pageBreakBefore w:val="0"/>
              <w:kinsoku/>
              <w:wordWrap/>
              <w:overflowPunct/>
              <w:topLinePunct w:val="0"/>
              <w:autoSpaceDE/>
              <w:autoSpaceDN/>
              <w:bidi w:val="0"/>
              <w:adjustRightInd w:val="0"/>
              <w:snapToGrid/>
              <w:spacing w:line="400" w:lineRule="exact"/>
              <w:jc w:val="center"/>
              <w:rPr>
                <w:rFonts w:ascii="Times New Roman" w:hAnsi="Times New Roman" w:eastAsia="宋体" w:cs="Times New Roman"/>
                <w:color w:val="auto"/>
                <w:sz w:val="20"/>
                <w:szCs w:val="21"/>
                <w:highlight w:val="none"/>
                <w:u w:val="none"/>
                <w:lang w:val="en-US" w:eastAsia="zh-CN" w:bidi="ar-SA"/>
              </w:rPr>
            </w:pPr>
            <w:r>
              <w:rPr>
                <w:rFonts w:hint="eastAsia" w:ascii="Times New Roman" w:hAnsi="Times New Roman" w:eastAsia="宋体" w:cs="Times New Roman"/>
                <w:color w:val="auto"/>
                <w:sz w:val="20"/>
                <w:szCs w:val="21"/>
                <w:highlight w:val="none"/>
                <w:u w:val="none"/>
                <w:lang w:val="en-US" w:eastAsia="zh-CN" w:bidi="ar-SA"/>
              </w:rPr>
              <w:t>井场、站场</w:t>
            </w:r>
            <w:r>
              <w:rPr>
                <w:rFonts w:ascii="Times New Roman" w:hAnsi="Times New Roman" w:eastAsia="宋体" w:cs="Times New Roman"/>
                <w:color w:val="auto"/>
                <w:sz w:val="20"/>
                <w:szCs w:val="21"/>
                <w:highlight w:val="none"/>
                <w:u w:val="none"/>
                <w:lang w:val="en-US" w:eastAsia="zh-CN" w:bidi="ar-SA"/>
              </w:rPr>
              <w:t>设施永久占地</w:t>
            </w:r>
          </w:p>
        </w:tc>
        <w:tc>
          <w:tcPr>
            <w:tcW w:w="3493" w:type="pct"/>
            <w:tcBorders>
              <w:tl2br w:val="nil"/>
              <w:tr2bl w:val="nil"/>
            </w:tcBorders>
            <w:noWrap w:val="0"/>
            <w:vAlign w:val="center"/>
          </w:tcPr>
          <w:p w14:paraId="23C5FB24">
            <w:pPr>
              <w:keepNext w:val="0"/>
              <w:keepLines w:val="0"/>
              <w:pageBreakBefore w:val="0"/>
              <w:kinsoku/>
              <w:wordWrap/>
              <w:overflowPunct/>
              <w:topLinePunct w:val="0"/>
              <w:autoSpaceDE/>
              <w:autoSpaceDN/>
              <w:bidi w:val="0"/>
              <w:adjustRightInd w:val="0"/>
              <w:snapToGrid/>
              <w:spacing w:line="400" w:lineRule="exact"/>
              <w:jc w:val="both"/>
              <w:rPr>
                <w:rFonts w:ascii="Times New Roman" w:hAnsi="Times New Roman" w:eastAsia="宋体" w:cs="Times New Roman"/>
                <w:color w:val="auto"/>
                <w:sz w:val="20"/>
                <w:szCs w:val="21"/>
                <w:highlight w:val="none"/>
                <w:u w:val="none"/>
                <w:lang w:val="en-US" w:eastAsia="zh-CN" w:bidi="ar-SA"/>
              </w:rPr>
            </w:pPr>
            <w:r>
              <w:rPr>
                <w:rFonts w:ascii="Times New Roman" w:hAnsi="Times New Roman" w:eastAsia="宋体" w:cs="Times New Roman"/>
                <w:color w:val="auto"/>
                <w:sz w:val="20"/>
                <w:szCs w:val="21"/>
                <w:highlight w:val="none"/>
                <w:u w:val="none"/>
                <w:lang w:val="en-US" w:eastAsia="zh-CN" w:bidi="ar-SA"/>
              </w:rPr>
              <w:t>防渗性能不应低于1.5m厚渗透系数为1.0×10</w:t>
            </w:r>
            <w:r>
              <w:rPr>
                <w:rFonts w:ascii="Times New Roman" w:hAnsi="Times New Roman" w:eastAsia="宋体" w:cs="Times New Roman"/>
                <w:color w:val="auto"/>
                <w:sz w:val="20"/>
                <w:szCs w:val="21"/>
                <w:highlight w:val="none"/>
                <w:u w:val="none"/>
                <w:vertAlign w:val="superscript"/>
                <w:lang w:val="en-US" w:eastAsia="zh-CN" w:bidi="ar-SA"/>
              </w:rPr>
              <w:t>-7</w:t>
            </w:r>
            <w:r>
              <w:rPr>
                <w:rFonts w:ascii="Times New Roman" w:hAnsi="Times New Roman" w:eastAsia="宋体" w:cs="Times New Roman"/>
                <w:color w:val="auto"/>
                <w:sz w:val="20"/>
                <w:szCs w:val="21"/>
                <w:highlight w:val="none"/>
                <w:u w:val="none"/>
                <w:lang w:val="en-US" w:eastAsia="zh-CN" w:bidi="ar-SA"/>
              </w:rPr>
              <w:t>cm/s的黏土层的防渗性能，施工过程中应有专人负责质量控制，并做好施工记录，同时施工期应留存施工影像。</w:t>
            </w:r>
          </w:p>
        </w:tc>
      </w:tr>
    </w:tbl>
    <w:p w14:paraId="6128DF80">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default" w:ascii="宋体" w:hAnsi="宋体" w:eastAsia="宋体" w:cs="宋体"/>
          <w:b/>
          <w:color w:val="auto"/>
          <w:kern w:val="2"/>
          <w:sz w:val="24"/>
          <w:szCs w:val="22"/>
          <w:u w:val="none"/>
          <w:lang w:val="en-US" w:eastAsia="zh-CN" w:bidi="ar-SA"/>
        </w:rPr>
      </w:pPr>
      <w:r>
        <w:rPr>
          <w:rFonts w:hint="default" w:ascii="宋体" w:hAnsi="宋体" w:eastAsia="宋体" w:cs="宋体"/>
          <w:b/>
          <w:color w:val="auto"/>
          <w:kern w:val="2"/>
          <w:sz w:val="24"/>
          <w:szCs w:val="22"/>
          <w:u w:val="none"/>
          <w:lang w:val="en-US" w:eastAsia="zh-CN" w:bidi="ar-SA"/>
        </w:rPr>
        <w:t>6.</w:t>
      </w:r>
      <w:r>
        <w:rPr>
          <w:rFonts w:hint="eastAsia" w:ascii="宋体" w:hAnsi="宋体" w:eastAsia="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w:t>
      </w:r>
      <w:r>
        <w:rPr>
          <w:rFonts w:hint="eastAsia" w:ascii="宋体" w:hAnsi="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.3</w:t>
      </w:r>
      <w:r>
        <w:rPr>
          <w:rFonts w:hint="eastAsia" w:ascii="宋体" w:hAnsi="宋体" w:eastAsia="宋体" w:cs="宋体"/>
          <w:b/>
          <w:color w:val="auto"/>
          <w:kern w:val="2"/>
          <w:sz w:val="24"/>
          <w:szCs w:val="22"/>
          <w:u w:val="none"/>
          <w:lang w:val="en-US" w:eastAsia="zh-CN" w:bidi="ar-SA"/>
        </w:rPr>
        <w:t xml:space="preserve"> </w:t>
      </w:r>
      <w:r>
        <w:rPr>
          <w:rFonts w:hint="default" w:ascii="宋体" w:hAnsi="宋体" w:eastAsia="宋体" w:cs="宋体"/>
          <w:b/>
          <w:color w:val="auto"/>
          <w:kern w:val="2"/>
          <w:sz w:val="24"/>
          <w:szCs w:val="22"/>
          <w:u w:val="none"/>
          <w:lang w:val="en-US" w:eastAsia="zh-CN" w:bidi="ar-SA"/>
        </w:rPr>
        <w:t>管道刺漏防范措施</w:t>
      </w:r>
    </w:p>
    <w:p w14:paraId="5A7E67AE">
      <w:pPr>
        <w:keepNext w:val="0"/>
        <w:keepLines w:val="0"/>
        <w:pageBreakBefore w:val="0"/>
        <w:widowControl/>
        <w:kinsoku/>
        <w:wordWrap/>
        <w:overflowPunct/>
        <w:topLinePunct w:val="0"/>
        <w:autoSpaceDE/>
        <w:autoSpaceDN/>
        <w:bidi w:val="0"/>
        <w:adjustRightInd/>
        <w:snapToGrid/>
        <w:spacing w:afterLines="0" w:afterAutospacing="0" w:line="480" w:lineRule="exact"/>
        <w:ind w:firstLine="480" w:firstLineChars="200"/>
        <w:textAlignment w:val="auto"/>
        <w:rPr>
          <w:rFonts w:hint="default" w:ascii="Times New Roman" w:hAnsi="Times New Roman" w:eastAsia="宋体" w:cs="Times New Roman"/>
          <w:color w:val="auto"/>
          <w:spacing w:val="0"/>
          <w:kern w:val="0"/>
          <w:sz w:val="24"/>
          <w:szCs w:val="24"/>
          <w:highlight w:val="none"/>
          <w:u w:val="none"/>
          <w:lang w:val="en-US" w:eastAsia="zh-CN" w:bidi="ar-SA"/>
        </w:rPr>
      </w:pPr>
      <w:r>
        <w:rPr>
          <w:rFonts w:hint="default" w:ascii="Times New Roman" w:hAnsi="Times New Roman" w:eastAsia="宋体" w:cs="Times New Roman"/>
          <w:color w:val="auto"/>
          <w:spacing w:val="0"/>
          <w:kern w:val="0"/>
          <w:sz w:val="24"/>
          <w:szCs w:val="24"/>
          <w:highlight w:val="none"/>
          <w:u w:val="none"/>
          <w:lang w:val="en-US" w:eastAsia="zh-CN" w:bidi="ar-SA"/>
        </w:rPr>
        <w:t>（1）在管道上方设置标志，以防附近的各类施工活动对管道的破坏。</w:t>
      </w:r>
      <w:r>
        <w:rPr>
          <w:rFonts w:hint="default" w:ascii="Times New Roman" w:hAnsi="Times New Roman" w:eastAsia="宋体" w:cs="Times New Roman"/>
          <w:color w:val="auto"/>
          <w:spacing w:val="0"/>
          <w:kern w:val="0"/>
          <w:sz w:val="24"/>
          <w:szCs w:val="24"/>
          <w:highlight w:val="none"/>
          <w:u w:val="none"/>
          <w:lang w:val="en-US" w:eastAsia="zh-CN" w:bidi="ar"/>
        </w:rPr>
        <w:t>减轻管道的内外腐蚀，定期检测管道的内外腐蚀情况</w:t>
      </w:r>
      <w:r>
        <w:rPr>
          <w:rFonts w:hint="default" w:ascii="Times New Roman" w:hAnsi="Times New Roman" w:eastAsia="宋体" w:cs="Times New Roman"/>
          <w:color w:val="auto"/>
          <w:spacing w:val="0"/>
          <w:kern w:val="0"/>
          <w:sz w:val="24"/>
          <w:szCs w:val="24"/>
          <w:highlight w:val="none"/>
          <w:u w:val="none"/>
          <w:lang w:val="en-US" w:eastAsia="zh-CN" w:bidi="ar-SA"/>
        </w:rPr>
        <w:t>，并配备适当的管道抢修、灭火及人员抢救设备。</w:t>
      </w:r>
    </w:p>
    <w:p w14:paraId="258CAF64">
      <w:pPr>
        <w:keepNext w:val="0"/>
        <w:keepLines w:val="0"/>
        <w:pageBreakBefore w:val="0"/>
        <w:widowControl/>
        <w:kinsoku/>
        <w:wordWrap/>
        <w:overflowPunct/>
        <w:topLinePunct w:val="0"/>
        <w:autoSpaceDE/>
        <w:autoSpaceDN/>
        <w:bidi w:val="0"/>
        <w:adjustRightInd/>
        <w:snapToGrid/>
        <w:spacing w:afterLines="0" w:afterAutospacing="0" w:line="480" w:lineRule="exact"/>
        <w:ind w:firstLine="480" w:firstLineChars="200"/>
        <w:textAlignment w:val="auto"/>
        <w:rPr>
          <w:rFonts w:hint="default" w:ascii="Times New Roman" w:hAnsi="Times New Roman" w:eastAsia="宋体" w:cs="Times New Roman"/>
          <w:color w:val="auto"/>
          <w:spacing w:val="0"/>
          <w:kern w:val="0"/>
          <w:sz w:val="24"/>
          <w:szCs w:val="24"/>
          <w:highlight w:val="none"/>
          <w:u w:val="none"/>
          <w:lang w:val="en-US" w:eastAsia="zh-CN" w:bidi="ar-SA"/>
        </w:rPr>
      </w:pPr>
      <w:r>
        <w:rPr>
          <w:rFonts w:hint="default" w:ascii="Times New Roman" w:hAnsi="Times New Roman" w:eastAsia="宋体" w:cs="Times New Roman"/>
          <w:color w:val="auto"/>
          <w:spacing w:val="0"/>
          <w:kern w:val="0"/>
          <w:sz w:val="24"/>
          <w:szCs w:val="24"/>
          <w:highlight w:val="none"/>
          <w:u w:val="none"/>
          <w:lang w:val="en-US" w:eastAsia="zh-CN" w:bidi="ar-SA"/>
        </w:rPr>
        <w:t>（</w:t>
      </w:r>
      <w:r>
        <w:rPr>
          <w:rFonts w:hint="eastAsia" w:ascii="Times New Roman" w:hAnsi="Times New Roman" w:eastAsia="宋体" w:cs="Times New Roman"/>
          <w:color w:val="auto"/>
          <w:spacing w:val="0"/>
          <w:kern w:val="0"/>
          <w:sz w:val="24"/>
          <w:szCs w:val="24"/>
          <w:highlight w:val="none"/>
          <w:u w:val="none"/>
          <w:lang w:val="en-US" w:eastAsia="zh-CN" w:bidi="ar-SA"/>
        </w:rPr>
        <w:t>2</w:t>
      </w:r>
      <w:r>
        <w:rPr>
          <w:rFonts w:hint="default" w:ascii="Times New Roman" w:hAnsi="Times New Roman" w:eastAsia="宋体" w:cs="Times New Roman"/>
          <w:color w:val="auto"/>
          <w:spacing w:val="0"/>
          <w:kern w:val="0"/>
          <w:sz w:val="24"/>
          <w:szCs w:val="24"/>
          <w:highlight w:val="none"/>
          <w:u w:val="none"/>
          <w:lang w:val="en-US" w:eastAsia="zh-CN" w:bidi="ar-SA"/>
        </w:rPr>
        <w:t>）利用管道的压力、流量监控系统，发现异常立即排查，若是出现问题，立即派人现场核查，如有突发事情启动应急预案。</w:t>
      </w:r>
    </w:p>
    <w:p w14:paraId="1FC5B93C">
      <w:pPr>
        <w:keepNext w:val="0"/>
        <w:keepLines w:val="0"/>
        <w:pageBreakBefore w:val="0"/>
        <w:widowControl/>
        <w:kinsoku/>
        <w:wordWrap/>
        <w:overflowPunct/>
        <w:topLinePunct w:val="0"/>
        <w:autoSpaceDE/>
        <w:autoSpaceDN/>
        <w:bidi w:val="0"/>
        <w:adjustRightInd/>
        <w:snapToGrid/>
        <w:spacing w:afterLines="0" w:afterAutospacing="0" w:line="480" w:lineRule="exact"/>
        <w:ind w:firstLine="480" w:firstLineChars="200"/>
        <w:textAlignment w:val="auto"/>
        <w:rPr>
          <w:rFonts w:hint="default" w:ascii="Times New Roman" w:hAnsi="Times New Roman" w:eastAsia="宋体" w:cs="Times New Roman"/>
          <w:b/>
          <w:bCs/>
          <w:color w:val="auto"/>
          <w:spacing w:val="0"/>
          <w:kern w:val="0"/>
          <w:sz w:val="21"/>
          <w:szCs w:val="24"/>
          <w:highlight w:val="none"/>
          <w:u w:val="none"/>
          <w:lang w:val="en-US" w:eastAsia="zh-CN" w:bidi="ar-SA"/>
        </w:rPr>
      </w:pPr>
      <w:r>
        <w:rPr>
          <w:rFonts w:hint="default" w:ascii="Times New Roman" w:hAnsi="Times New Roman" w:eastAsia="宋体" w:cs="Times New Roman"/>
          <w:color w:val="auto"/>
          <w:spacing w:val="0"/>
          <w:kern w:val="0"/>
          <w:sz w:val="24"/>
          <w:szCs w:val="24"/>
          <w:highlight w:val="none"/>
          <w:u w:val="none"/>
          <w:lang w:val="en-US" w:eastAsia="zh-CN" w:bidi="ar-SA"/>
        </w:rPr>
        <w:t>（</w:t>
      </w:r>
      <w:r>
        <w:rPr>
          <w:rFonts w:hint="eastAsia" w:ascii="Times New Roman" w:hAnsi="Times New Roman" w:eastAsia="宋体" w:cs="Times New Roman"/>
          <w:color w:val="auto"/>
          <w:spacing w:val="0"/>
          <w:kern w:val="0"/>
          <w:sz w:val="24"/>
          <w:szCs w:val="24"/>
          <w:highlight w:val="none"/>
          <w:u w:val="none"/>
          <w:lang w:val="en-US" w:eastAsia="zh-CN" w:bidi="ar-SA"/>
        </w:rPr>
        <w:t>3</w:t>
      </w:r>
      <w:r>
        <w:rPr>
          <w:rFonts w:hint="default" w:ascii="Times New Roman" w:hAnsi="Times New Roman" w:eastAsia="宋体" w:cs="Times New Roman"/>
          <w:color w:val="auto"/>
          <w:spacing w:val="0"/>
          <w:kern w:val="0"/>
          <w:sz w:val="24"/>
          <w:szCs w:val="24"/>
          <w:highlight w:val="none"/>
          <w:u w:val="none"/>
          <w:lang w:val="en-US" w:eastAsia="zh-CN" w:bidi="ar-SA"/>
        </w:rPr>
        <w:t>）一旦管道发生泄漏事故，井场及试采点内设置有流量控制仪及压力变送器，当检测到压力降速率超过0.15MPa/min时，由SCADA系统发出指令，远程自动关闭阀门</w:t>
      </w:r>
      <w:r>
        <w:rPr>
          <w:rFonts w:hint="default" w:ascii="Times New Roman" w:hAnsi="Times New Roman" w:eastAsia="宋体" w:cs="Times New Roman"/>
          <w:color w:val="auto"/>
          <w:spacing w:val="0"/>
          <w:kern w:val="0"/>
          <w:sz w:val="21"/>
          <w:szCs w:val="24"/>
          <w:highlight w:val="none"/>
          <w:u w:val="none"/>
          <w:lang w:val="en-US" w:eastAsia="zh-CN" w:bidi="ar-SA"/>
        </w:rPr>
        <w:t>。</w:t>
      </w:r>
    </w:p>
    <w:p w14:paraId="5A029704">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default" w:ascii="宋体" w:hAnsi="宋体" w:eastAsia="宋体" w:cs="宋体"/>
          <w:b/>
          <w:color w:val="auto"/>
          <w:kern w:val="2"/>
          <w:sz w:val="24"/>
          <w:szCs w:val="22"/>
          <w:u w:val="none"/>
          <w:lang w:val="en-US" w:eastAsia="zh-CN" w:bidi="ar-SA"/>
        </w:rPr>
      </w:pPr>
      <w:r>
        <w:rPr>
          <w:rFonts w:hint="default" w:ascii="宋体" w:hAnsi="宋体" w:eastAsia="宋体" w:cs="宋体"/>
          <w:b/>
          <w:color w:val="auto"/>
          <w:kern w:val="2"/>
          <w:sz w:val="24"/>
          <w:szCs w:val="22"/>
          <w:u w:val="none"/>
          <w:lang w:val="en-US" w:eastAsia="zh-CN" w:bidi="ar-SA"/>
        </w:rPr>
        <w:t>6.</w:t>
      </w:r>
      <w:r>
        <w:rPr>
          <w:rFonts w:hint="eastAsia" w:ascii="宋体" w:hAnsi="宋体" w:eastAsia="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w:t>
      </w:r>
      <w:r>
        <w:rPr>
          <w:rFonts w:hint="eastAsia" w:ascii="宋体" w:hAnsi="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.4</w:t>
      </w:r>
      <w:r>
        <w:rPr>
          <w:rFonts w:hint="eastAsia" w:ascii="宋体" w:hAnsi="宋体" w:eastAsia="宋体" w:cs="宋体"/>
          <w:b/>
          <w:color w:val="auto"/>
          <w:kern w:val="2"/>
          <w:sz w:val="24"/>
          <w:szCs w:val="22"/>
          <w:u w:val="none"/>
          <w:lang w:val="en-US" w:eastAsia="zh-CN" w:bidi="ar-SA"/>
        </w:rPr>
        <w:t xml:space="preserve"> </w:t>
      </w:r>
      <w:r>
        <w:rPr>
          <w:rFonts w:hint="default" w:ascii="宋体" w:hAnsi="宋体" w:eastAsia="宋体" w:cs="宋体"/>
          <w:b/>
          <w:color w:val="auto"/>
          <w:kern w:val="2"/>
          <w:sz w:val="24"/>
          <w:szCs w:val="22"/>
          <w:u w:val="none"/>
          <w:lang w:val="en-US" w:eastAsia="zh-CN" w:bidi="ar-SA"/>
        </w:rPr>
        <w:t>地下水环境监测与管理</w:t>
      </w:r>
    </w:p>
    <w:p w14:paraId="60433DA4">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根据</w:t>
      </w:r>
      <w:r>
        <w:rPr>
          <w:rFonts w:hint="eastAsia" w:ascii="Times New Roman" w:hAnsi="Times New Roman" w:eastAsia="宋体" w:cs="Times New Roman"/>
          <w:color w:val="auto"/>
          <w:kern w:val="0"/>
          <w:sz w:val="24"/>
          <w:szCs w:val="24"/>
          <w:highlight w:val="none"/>
          <w:u w:val="none"/>
          <w:lang w:eastAsia="zh-CN"/>
        </w:rPr>
        <w:t>本工程</w:t>
      </w:r>
      <w:r>
        <w:rPr>
          <w:rFonts w:hint="default" w:ascii="Times New Roman" w:hAnsi="Times New Roman" w:eastAsia="宋体" w:cs="Times New Roman"/>
          <w:color w:val="auto"/>
          <w:kern w:val="0"/>
          <w:sz w:val="24"/>
          <w:szCs w:val="24"/>
          <w:highlight w:val="none"/>
          <w:u w:val="none"/>
        </w:rPr>
        <w:t>特点建立和完善区域地下水环境监测制度和环境管理体系，制定完善的监测计划，环境监测工作可委托当地有资质的环境监测机构承担。根据《</w:t>
      </w:r>
      <w:r>
        <w:rPr>
          <w:rFonts w:hint="eastAsia" w:ascii="Times New Roman" w:hAnsi="Times New Roman" w:eastAsia="宋体" w:cs="Times New Roman"/>
          <w:color w:val="auto"/>
          <w:kern w:val="0"/>
          <w:sz w:val="24"/>
          <w:szCs w:val="24"/>
          <w:highlight w:val="none"/>
          <w:u w:val="none"/>
          <w:lang w:eastAsia="zh-CN"/>
        </w:rPr>
        <w:t>环境影响</w:t>
      </w:r>
      <w:r>
        <w:rPr>
          <w:rFonts w:hint="default" w:ascii="Times New Roman" w:hAnsi="Times New Roman" w:eastAsia="宋体" w:cs="Times New Roman"/>
          <w:color w:val="auto"/>
          <w:kern w:val="0"/>
          <w:sz w:val="24"/>
          <w:szCs w:val="24"/>
          <w:highlight w:val="none"/>
          <w:u w:val="none"/>
          <w:lang w:eastAsia="zh-CN"/>
        </w:rPr>
        <w:t>评价技术导则 地下水环境</w:t>
      </w:r>
      <w:r>
        <w:rPr>
          <w:rFonts w:hint="default" w:ascii="Times New Roman" w:hAnsi="Times New Roman" w:eastAsia="宋体" w:cs="Times New Roman"/>
          <w:color w:val="auto"/>
          <w:kern w:val="0"/>
          <w:sz w:val="24"/>
          <w:szCs w:val="24"/>
          <w:highlight w:val="none"/>
          <w:u w:val="none"/>
        </w:rPr>
        <w:t>》</w:t>
      </w:r>
      <w:r>
        <w:rPr>
          <w:rFonts w:hint="default"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HJ610-2016</w:t>
      </w:r>
      <w:r>
        <w:rPr>
          <w:rFonts w:hint="default"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及《地下水环境监测技术规范》</w:t>
      </w:r>
      <w:r>
        <w:rPr>
          <w:rFonts w:hint="default"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HJ164-2020</w:t>
      </w:r>
      <w:r>
        <w:rPr>
          <w:rFonts w:hint="default"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的要求、地下水流向、项目的平面布置特征及地下水监测布点原则，</w:t>
      </w:r>
      <w:r>
        <w:rPr>
          <w:rFonts w:hint="default" w:ascii="Times New Roman" w:hAnsi="Times New Roman" w:eastAsia="宋体" w:cs="Times New Roman"/>
          <w:color w:val="auto"/>
          <w:kern w:val="0"/>
          <w:sz w:val="24"/>
          <w:szCs w:val="24"/>
          <w:highlight w:val="none"/>
          <w:u w:val="none"/>
          <w:lang w:eastAsia="zh-CN"/>
        </w:rPr>
        <w:t>本工程</w:t>
      </w:r>
      <w:r>
        <w:rPr>
          <w:rFonts w:hint="default" w:ascii="Times New Roman" w:hAnsi="Times New Roman" w:eastAsia="宋体" w:cs="Times New Roman"/>
          <w:color w:val="auto"/>
          <w:kern w:val="0"/>
          <w:sz w:val="24"/>
          <w:szCs w:val="24"/>
          <w:highlight w:val="none"/>
          <w:u w:val="none"/>
        </w:rPr>
        <w:t>地下水监测计划</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见表</w:t>
      </w:r>
      <w:r>
        <w:rPr>
          <w:rFonts w:hint="default" w:ascii="Times New Roman" w:hAnsi="Times New Roman" w:eastAsia="宋体" w:cs="Times New Roman"/>
          <w:color w:val="auto"/>
          <w:kern w:val="0"/>
          <w:sz w:val="24"/>
          <w:szCs w:val="24"/>
          <w:highlight w:val="none"/>
          <w:u w:val="none"/>
          <w:lang w:val="en-US" w:eastAsia="zh-CN"/>
        </w:rPr>
        <w:t>6.</w:t>
      </w:r>
      <w:r>
        <w:rPr>
          <w:rFonts w:hint="eastAsia" w:ascii="Times New Roman" w:hAnsi="Times New Roman" w:eastAsia="宋体" w:cs="Times New Roman"/>
          <w:color w:val="auto"/>
          <w:kern w:val="0"/>
          <w:sz w:val="24"/>
          <w:szCs w:val="24"/>
          <w:highlight w:val="none"/>
          <w:u w:val="none"/>
          <w:lang w:val="en-US" w:eastAsia="zh-CN"/>
        </w:rPr>
        <w:t>2-5</w:t>
      </w:r>
      <w:r>
        <w:rPr>
          <w:rFonts w:hint="default" w:ascii="Times New Roman" w:hAnsi="Times New Roman" w:eastAsia="宋体" w:cs="Times New Roman"/>
          <w:color w:val="auto"/>
          <w:kern w:val="0"/>
          <w:sz w:val="24"/>
          <w:szCs w:val="24"/>
          <w:highlight w:val="none"/>
          <w:u w:val="none"/>
        </w:rPr>
        <w:t>。</w:t>
      </w:r>
    </w:p>
    <w:p w14:paraId="6A737C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1"/>
          <w:szCs w:val="21"/>
          <w:highlight w:val="none"/>
          <w:u w:val="none"/>
        </w:rPr>
      </w:pPr>
      <w:r>
        <w:rPr>
          <w:rFonts w:hint="default" w:ascii="黑体" w:hAnsi="黑体" w:eastAsia="黑体" w:cs="黑体"/>
          <w:b w:val="0"/>
          <w:bCs/>
          <w:color w:val="auto"/>
          <w:kern w:val="2"/>
          <w:sz w:val="24"/>
          <w:szCs w:val="24"/>
          <w:u w:val="none"/>
          <w:lang w:val="en-US" w:eastAsia="zh-CN" w:bidi="ar-SA"/>
        </w:rPr>
        <w:t>表6</w:t>
      </w:r>
      <w:r>
        <w:rPr>
          <w:rFonts w:hint="eastAsia" w:ascii="黑体" w:hAnsi="黑体" w:eastAsia="黑体" w:cs="黑体"/>
          <w:b w:val="0"/>
          <w:bCs/>
          <w:color w:val="auto"/>
          <w:kern w:val="2"/>
          <w:sz w:val="24"/>
          <w:szCs w:val="24"/>
          <w:u w:val="none"/>
          <w:lang w:val="en-US" w:eastAsia="zh-CN" w:bidi="ar-SA"/>
        </w:rPr>
        <w:t xml:space="preserve">.2-5  </w:t>
      </w:r>
      <w:r>
        <w:rPr>
          <w:rFonts w:hint="default" w:ascii="黑体" w:hAnsi="黑体" w:eastAsia="黑体" w:cs="黑体"/>
          <w:b w:val="0"/>
          <w:bCs/>
          <w:color w:val="auto"/>
          <w:kern w:val="2"/>
          <w:sz w:val="24"/>
          <w:szCs w:val="24"/>
          <w:u w:val="none"/>
          <w:lang w:val="en-US" w:eastAsia="zh-CN" w:bidi="ar-SA"/>
        </w:rPr>
        <w:t>地下水监测点布控一览表</w:t>
      </w:r>
    </w:p>
    <w:tbl>
      <w:tblPr>
        <w:tblStyle w:val="37"/>
        <w:tblW w:w="85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5"/>
        <w:gridCol w:w="869"/>
        <w:gridCol w:w="981"/>
        <w:gridCol w:w="1181"/>
        <w:gridCol w:w="1388"/>
        <w:gridCol w:w="3125"/>
      </w:tblGrid>
      <w:tr w14:paraId="1C271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5" w:type="dxa"/>
            <w:tcBorders>
              <w:tl2br w:val="nil"/>
              <w:tr2bl w:val="nil"/>
            </w:tcBorders>
            <w:noWrap w:val="0"/>
            <w:vAlign w:val="center"/>
          </w:tcPr>
          <w:p w14:paraId="5FD67256">
            <w:pPr>
              <w:keepNext w:val="0"/>
              <w:pageBreakBefore w:val="0"/>
              <w:widowControl/>
              <w:kinsoku/>
              <w:wordWrap/>
              <w:overflowPunct/>
              <w:topLinePunct w:val="0"/>
              <w:bidi w:val="0"/>
              <w:spacing w:line="400" w:lineRule="exact"/>
              <w:jc w:val="center"/>
              <w:rPr>
                <w:rFonts w:hint="eastAsia" w:ascii="Times New Roman" w:hAnsi="Times New Roman" w:eastAsia="宋体" w:cs="Times New Roman"/>
                <w:color w:val="auto"/>
                <w:kern w:val="0"/>
                <w:sz w:val="21"/>
                <w:szCs w:val="18"/>
                <w:highlight w:val="none"/>
                <w:u w:val="none"/>
                <w:lang w:val="en-US" w:eastAsia="zh-CN"/>
              </w:rPr>
            </w:pPr>
            <w:r>
              <w:rPr>
                <w:rFonts w:hint="eastAsia" w:ascii="Times New Roman" w:hAnsi="Times New Roman" w:eastAsia="宋体" w:cs="Times New Roman"/>
                <w:color w:val="auto"/>
                <w:kern w:val="0"/>
                <w:sz w:val="21"/>
                <w:szCs w:val="18"/>
                <w:highlight w:val="none"/>
                <w:u w:val="none"/>
                <w:lang w:val="en-US" w:eastAsia="zh-CN"/>
              </w:rPr>
              <w:t>井号</w:t>
            </w:r>
          </w:p>
        </w:tc>
        <w:tc>
          <w:tcPr>
            <w:tcW w:w="869" w:type="dxa"/>
            <w:tcBorders>
              <w:tl2br w:val="nil"/>
              <w:tr2bl w:val="nil"/>
            </w:tcBorders>
            <w:noWrap w:val="0"/>
            <w:vAlign w:val="center"/>
          </w:tcPr>
          <w:p w14:paraId="5AB1A0FA">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rPr>
            </w:pPr>
            <w:r>
              <w:rPr>
                <w:rFonts w:hint="default" w:ascii="Times New Roman" w:hAnsi="Times New Roman" w:eastAsia="宋体" w:cs="Times New Roman"/>
                <w:color w:val="auto"/>
                <w:kern w:val="0"/>
                <w:sz w:val="21"/>
                <w:szCs w:val="18"/>
                <w:highlight w:val="none"/>
                <w:u w:val="none"/>
              </w:rPr>
              <w:t>区位</w:t>
            </w:r>
          </w:p>
        </w:tc>
        <w:tc>
          <w:tcPr>
            <w:tcW w:w="981" w:type="dxa"/>
            <w:tcBorders>
              <w:tl2br w:val="nil"/>
              <w:tr2bl w:val="nil"/>
            </w:tcBorders>
            <w:noWrap w:val="0"/>
            <w:vAlign w:val="center"/>
          </w:tcPr>
          <w:p w14:paraId="78A52E5C">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rPr>
            </w:pPr>
            <w:r>
              <w:rPr>
                <w:rFonts w:hint="default" w:ascii="Times New Roman" w:hAnsi="Times New Roman" w:eastAsia="宋体" w:cs="Times New Roman"/>
                <w:color w:val="auto"/>
                <w:kern w:val="0"/>
                <w:sz w:val="21"/>
                <w:szCs w:val="18"/>
                <w:highlight w:val="none"/>
                <w:u w:val="none"/>
              </w:rPr>
              <w:t>监测层位</w:t>
            </w:r>
          </w:p>
        </w:tc>
        <w:tc>
          <w:tcPr>
            <w:tcW w:w="1181" w:type="dxa"/>
            <w:tcBorders>
              <w:tl2br w:val="nil"/>
              <w:tr2bl w:val="nil"/>
            </w:tcBorders>
            <w:noWrap w:val="0"/>
            <w:vAlign w:val="center"/>
          </w:tcPr>
          <w:p w14:paraId="56B5E6AC">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lang w:val="en-US" w:eastAsia="zh-CN"/>
              </w:rPr>
            </w:pPr>
            <w:r>
              <w:rPr>
                <w:rFonts w:hint="default" w:ascii="Times New Roman" w:hAnsi="Times New Roman" w:eastAsia="宋体" w:cs="Times New Roman"/>
                <w:color w:val="auto"/>
                <w:kern w:val="0"/>
                <w:sz w:val="21"/>
                <w:szCs w:val="18"/>
                <w:highlight w:val="none"/>
                <w:u w:val="none"/>
                <w:lang w:val="en-US" w:eastAsia="zh-CN"/>
              </w:rPr>
              <w:t>功能</w:t>
            </w:r>
          </w:p>
        </w:tc>
        <w:tc>
          <w:tcPr>
            <w:tcW w:w="1388" w:type="dxa"/>
            <w:tcBorders>
              <w:tl2br w:val="nil"/>
              <w:tr2bl w:val="nil"/>
            </w:tcBorders>
            <w:noWrap w:val="0"/>
            <w:vAlign w:val="center"/>
          </w:tcPr>
          <w:p w14:paraId="28263ED6">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rPr>
            </w:pPr>
            <w:r>
              <w:rPr>
                <w:rFonts w:hint="default" w:ascii="Times New Roman" w:hAnsi="Times New Roman" w:eastAsia="宋体" w:cs="Times New Roman"/>
                <w:color w:val="auto"/>
                <w:kern w:val="0"/>
                <w:sz w:val="21"/>
                <w:szCs w:val="18"/>
                <w:highlight w:val="none"/>
                <w:u w:val="none"/>
              </w:rPr>
              <w:t>监测频率</w:t>
            </w:r>
          </w:p>
        </w:tc>
        <w:tc>
          <w:tcPr>
            <w:tcW w:w="3125" w:type="dxa"/>
            <w:tcBorders>
              <w:tl2br w:val="nil"/>
              <w:tr2bl w:val="nil"/>
            </w:tcBorders>
            <w:noWrap w:val="0"/>
            <w:vAlign w:val="center"/>
          </w:tcPr>
          <w:p w14:paraId="2A5D5A1C">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rPr>
            </w:pPr>
            <w:r>
              <w:rPr>
                <w:rFonts w:hint="default" w:ascii="Times New Roman" w:hAnsi="Times New Roman" w:eastAsia="宋体" w:cs="Times New Roman"/>
                <w:color w:val="auto"/>
                <w:kern w:val="0"/>
                <w:sz w:val="21"/>
                <w:szCs w:val="18"/>
                <w:highlight w:val="none"/>
                <w:u w:val="none"/>
              </w:rPr>
              <w:t>主要监测项目</w:t>
            </w:r>
          </w:p>
        </w:tc>
      </w:tr>
      <w:tr w14:paraId="1C0BB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5" w:type="dxa"/>
            <w:tcBorders>
              <w:tl2br w:val="nil"/>
              <w:tr2bl w:val="nil"/>
            </w:tcBorders>
            <w:noWrap w:val="0"/>
            <w:vAlign w:val="center"/>
          </w:tcPr>
          <w:p w14:paraId="476FD5C9">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lang w:val="en-US" w:eastAsia="zh-CN"/>
              </w:rPr>
            </w:pPr>
            <w:r>
              <w:rPr>
                <w:rFonts w:hint="eastAsia" w:ascii="Times New Roman" w:hAnsi="Times New Roman" w:eastAsia="宋体" w:cs="Times New Roman"/>
                <w:color w:val="auto"/>
                <w:kern w:val="0"/>
                <w:sz w:val="21"/>
                <w:szCs w:val="21"/>
                <w:highlight w:val="none"/>
                <w:u w:val="none"/>
                <w:lang w:val="en-US" w:eastAsia="zh-CN"/>
              </w:rPr>
              <w:t>莫北6#水井</w:t>
            </w:r>
          </w:p>
        </w:tc>
        <w:tc>
          <w:tcPr>
            <w:tcW w:w="869" w:type="dxa"/>
            <w:tcBorders>
              <w:tl2br w:val="nil"/>
              <w:tr2bl w:val="nil"/>
            </w:tcBorders>
            <w:noWrap w:val="0"/>
            <w:vAlign w:val="center"/>
          </w:tcPr>
          <w:p w14:paraId="12451C70">
            <w:pPr>
              <w:keepNext w:val="0"/>
              <w:pageBreakBefore w:val="0"/>
              <w:widowControl/>
              <w:kinsoku/>
              <w:wordWrap/>
              <w:overflowPunct/>
              <w:topLinePunct w:val="0"/>
              <w:bidi w:val="0"/>
              <w:spacing w:line="400" w:lineRule="exact"/>
              <w:jc w:val="center"/>
              <w:rPr>
                <w:rFonts w:hint="eastAsia" w:ascii="Times New Roman" w:hAnsi="Times New Roman" w:eastAsia="宋体" w:cs="Times New Roman"/>
                <w:color w:val="auto"/>
                <w:kern w:val="0"/>
                <w:sz w:val="21"/>
                <w:szCs w:val="18"/>
                <w:highlight w:val="none"/>
                <w:u w:val="none"/>
                <w:lang w:eastAsia="zh-CN"/>
              </w:rPr>
            </w:pPr>
            <w:r>
              <w:rPr>
                <w:rFonts w:hint="default" w:ascii="Times New Roman" w:hAnsi="Times New Roman" w:eastAsia="宋体" w:cs="Times New Roman"/>
                <w:color w:val="auto"/>
                <w:kern w:val="0"/>
                <w:sz w:val="21"/>
                <w:szCs w:val="18"/>
                <w:highlight w:val="none"/>
                <w:u w:val="none"/>
              </w:rPr>
              <w:t>项目区</w:t>
            </w:r>
            <w:r>
              <w:rPr>
                <w:rFonts w:hint="eastAsia" w:ascii="Times New Roman" w:hAnsi="Times New Roman" w:eastAsia="宋体" w:cs="Times New Roman"/>
                <w:color w:val="auto"/>
                <w:kern w:val="0"/>
                <w:sz w:val="21"/>
                <w:szCs w:val="18"/>
                <w:highlight w:val="none"/>
                <w:u w:val="none"/>
                <w:lang w:val="en-US" w:eastAsia="zh-CN"/>
              </w:rPr>
              <w:t>下游</w:t>
            </w:r>
          </w:p>
        </w:tc>
        <w:tc>
          <w:tcPr>
            <w:tcW w:w="981" w:type="dxa"/>
            <w:vMerge w:val="restart"/>
            <w:tcBorders>
              <w:tl2br w:val="nil"/>
              <w:tr2bl w:val="nil"/>
            </w:tcBorders>
            <w:noWrap w:val="0"/>
            <w:vAlign w:val="center"/>
          </w:tcPr>
          <w:p w14:paraId="1E737A21">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lang w:eastAsia="zh-CN"/>
              </w:rPr>
            </w:pPr>
            <w:r>
              <w:rPr>
                <w:rFonts w:hint="default" w:ascii="Times New Roman" w:hAnsi="Times New Roman" w:eastAsia="宋体" w:cs="Times New Roman"/>
                <w:color w:val="auto"/>
                <w:kern w:val="0"/>
                <w:sz w:val="21"/>
                <w:szCs w:val="18"/>
                <w:highlight w:val="none"/>
                <w:u w:val="none"/>
              </w:rPr>
              <w:t>孔隙潜水</w:t>
            </w:r>
            <w:r>
              <w:rPr>
                <w:rFonts w:hint="default" w:ascii="Times New Roman" w:hAnsi="Times New Roman" w:eastAsia="宋体" w:cs="Times New Roman"/>
                <w:color w:val="auto"/>
                <w:kern w:val="0"/>
                <w:sz w:val="21"/>
                <w:szCs w:val="18"/>
                <w:highlight w:val="none"/>
                <w:u w:val="none"/>
                <w:lang w:val="en-US" w:eastAsia="zh-CN"/>
              </w:rPr>
              <w:t>/单管单层</w:t>
            </w:r>
          </w:p>
        </w:tc>
        <w:tc>
          <w:tcPr>
            <w:tcW w:w="1181" w:type="dxa"/>
            <w:vMerge w:val="restart"/>
            <w:tcBorders>
              <w:tl2br w:val="nil"/>
              <w:tr2bl w:val="nil"/>
            </w:tcBorders>
            <w:noWrap w:val="0"/>
            <w:vAlign w:val="center"/>
          </w:tcPr>
          <w:p w14:paraId="5D828B46">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rPr>
            </w:pPr>
            <w:r>
              <w:rPr>
                <w:rFonts w:hint="default" w:ascii="Times New Roman" w:hAnsi="Times New Roman" w:eastAsia="宋体" w:cs="Times New Roman"/>
                <w:color w:val="auto"/>
                <w:kern w:val="0"/>
                <w:sz w:val="21"/>
                <w:szCs w:val="18"/>
                <w:highlight w:val="none"/>
                <w:u w:val="none"/>
              </w:rPr>
              <w:t>地下水环境影响跟踪监测井</w:t>
            </w:r>
          </w:p>
        </w:tc>
        <w:tc>
          <w:tcPr>
            <w:tcW w:w="1388" w:type="dxa"/>
            <w:vMerge w:val="restart"/>
            <w:tcBorders>
              <w:tl2br w:val="nil"/>
              <w:tr2bl w:val="nil"/>
            </w:tcBorders>
            <w:noWrap w:val="0"/>
            <w:vAlign w:val="center"/>
          </w:tcPr>
          <w:p w14:paraId="29DBD59F">
            <w:pPr>
              <w:keepNext w:val="0"/>
              <w:pageBreakBefore w:val="0"/>
              <w:widowControl/>
              <w:kinsoku/>
              <w:wordWrap/>
              <w:overflowPunct/>
              <w:topLinePunct w:val="0"/>
              <w:bidi w:val="0"/>
              <w:spacing w:line="400" w:lineRule="exact"/>
              <w:jc w:val="both"/>
              <w:rPr>
                <w:rFonts w:hint="default" w:ascii="Times New Roman" w:hAnsi="Times New Roman" w:eastAsia="宋体" w:cs="Times New Roman"/>
                <w:color w:val="auto"/>
                <w:kern w:val="0"/>
                <w:sz w:val="21"/>
                <w:szCs w:val="18"/>
                <w:highlight w:val="none"/>
                <w:u w:val="none"/>
              </w:rPr>
            </w:pPr>
            <w:r>
              <w:rPr>
                <w:rFonts w:hint="default" w:ascii="Times New Roman" w:hAnsi="Times New Roman" w:eastAsia="宋体" w:cs="Times New Roman"/>
                <w:color w:val="auto"/>
                <w:kern w:val="0"/>
                <w:sz w:val="21"/>
                <w:szCs w:val="18"/>
                <w:highlight w:val="none"/>
                <w:u w:val="none"/>
              </w:rPr>
              <w:t>每</w:t>
            </w:r>
            <w:r>
              <w:rPr>
                <w:rFonts w:hint="eastAsia" w:ascii="Times New Roman" w:hAnsi="Times New Roman" w:eastAsia="宋体" w:cs="Times New Roman"/>
                <w:color w:val="auto"/>
                <w:kern w:val="0"/>
                <w:sz w:val="21"/>
                <w:szCs w:val="18"/>
                <w:highlight w:val="none"/>
                <w:u w:val="none"/>
                <w:lang w:val="en-US" w:eastAsia="zh-CN"/>
              </w:rPr>
              <w:t>半年采样1次</w:t>
            </w:r>
            <w:r>
              <w:rPr>
                <w:rFonts w:hint="default" w:ascii="Times New Roman" w:hAnsi="Times New Roman" w:eastAsia="宋体" w:cs="Times New Roman"/>
                <w:color w:val="auto"/>
                <w:kern w:val="0"/>
                <w:sz w:val="21"/>
                <w:szCs w:val="18"/>
                <w:highlight w:val="none"/>
                <w:u w:val="none"/>
              </w:rPr>
              <w:t>。发生事故时加大取样频率。</w:t>
            </w:r>
          </w:p>
        </w:tc>
        <w:tc>
          <w:tcPr>
            <w:tcW w:w="3125" w:type="dxa"/>
            <w:vMerge w:val="restart"/>
            <w:tcBorders>
              <w:tl2br w:val="nil"/>
              <w:tr2bl w:val="nil"/>
            </w:tcBorders>
            <w:noWrap w:val="0"/>
            <w:vAlign w:val="center"/>
          </w:tcPr>
          <w:p w14:paraId="2424C2E5">
            <w:pPr>
              <w:keepNext w:val="0"/>
              <w:pageBreakBefore w:val="0"/>
              <w:widowControl/>
              <w:kinsoku/>
              <w:wordWrap/>
              <w:overflowPunct/>
              <w:topLinePunct w:val="0"/>
              <w:bidi w:val="0"/>
              <w:spacing w:line="400" w:lineRule="exact"/>
              <w:jc w:val="both"/>
              <w:rPr>
                <w:rFonts w:hint="default" w:ascii="Times New Roman" w:hAnsi="Times New Roman" w:eastAsia="宋体" w:cs="Times New Roman"/>
                <w:snapToGrid w:val="0"/>
                <w:color w:val="auto"/>
                <w:spacing w:val="10"/>
                <w:kern w:val="0"/>
                <w:sz w:val="21"/>
                <w:szCs w:val="18"/>
                <w:highlight w:val="none"/>
                <w:u w:val="none"/>
              </w:rPr>
            </w:pPr>
            <w:r>
              <w:rPr>
                <w:rFonts w:hint="eastAsia" w:ascii="宋体" w:hAnsi="宋体" w:eastAsia="宋体" w:cs="宋体"/>
                <w:color w:val="auto"/>
                <w:kern w:val="0"/>
                <w:sz w:val="21"/>
                <w:szCs w:val="21"/>
                <w:highlight w:val="none"/>
                <w:u w:val="none"/>
                <w:lang w:bidi="ar"/>
              </w:rPr>
              <w:t>石油类、石油烃（C</w:t>
            </w:r>
            <w:r>
              <w:rPr>
                <w:rFonts w:hint="eastAsia" w:ascii="宋体" w:hAnsi="宋体" w:eastAsia="宋体" w:cs="宋体"/>
                <w:color w:val="auto"/>
                <w:kern w:val="0"/>
                <w:sz w:val="21"/>
                <w:szCs w:val="21"/>
                <w:highlight w:val="none"/>
                <w:u w:val="none"/>
                <w:vertAlign w:val="subscript"/>
                <w:lang w:bidi="ar"/>
              </w:rPr>
              <w:t>6</w:t>
            </w:r>
            <w:r>
              <w:rPr>
                <w:rFonts w:hint="eastAsia" w:ascii="宋体" w:hAnsi="宋体" w:eastAsia="宋体" w:cs="宋体"/>
                <w:color w:val="auto"/>
                <w:kern w:val="0"/>
                <w:sz w:val="21"/>
                <w:szCs w:val="21"/>
                <w:highlight w:val="none"/>
                <w:u w:val="none"/>
                <w:lang w:bidi="ar"/>
              </w:rPr>
              <w:t>～C</w:t>
            </w:r>
            <w:r>
              <w:rPr>
                <w:rFonts w:hint="eastAsia" w:ascii="宋体" w:hAnsi="宋体" w:eastAsia="宋体" w:cs="宋体"/>
                <w:color w:val="auto"/>
                <w:kern w:val="0"/>
                <w:sz w:val="21"/>
                <w:szCs w:val="21"/>
                <w:highlight w:val="none"/>
                <w:u w:val="none"/>
                <w:vertAlign w:val="subscript"/>
                <w:lang w:bidi="ar"/>
              </w:rPr>
              <w:t>9</w:t>
            </w:r>
            <w:r>
              <w:rPr>
                <w:rFonts w:hint="eastAsia" w:ascii="宋体" w:hAnsi="宋体" w:eastAsia="宋体" w:cs="宋体"/>
                <w:color w:val="auto"/>
                <w:kern w:val="0"/>
                <w:sz w:val="21"/>
                <w:szCs w:val="21"/>
                <w:highlight w:val="none"/>
                <w:u w:val="none"/>
                <w:lang w:bidi="ar"/>
              </w:rPr>
              <w:t>）、石油烃（C</w:t>
            </w:r>
            <w:r>
              <w:rPr>
                <w:rFonts w:hint="eastAsia" w:ascii="宋体" w:hAnsi="宋体" w:eastAsia="宋体" w:cs="宋体"/>
                <w:color w:val="auto"/>
                <w:kern w:val="0"/>
                <w:sz w:val="21"/>
                <w:szCs w:val="21"/>
                <w:highlight w:val="none"/>
                <w:u w:val="none"/>
                <w:vertAlign w:val="subscript"/>
                <w:lang w:bidi="ar"/>
              </w:rPr>
              <w:t>10</w:t>
            </w:r>
            <w:r>
              <w:rPr>
                <w:rFonts w:hint="eastAsia" w:ascii="宋体" w:hAnsi="宋体" w:eastAsia="宋体" w:cs="宋体"/>
                <w:color w:val="auto"/>
                <w:kern w:val="0"/>
                <w:sz w:val="21"/>
                <w:szCs w:val="21"/>
                <w:highlight w:val="none"/>
                <w:u w:val="none"/>
                <w:lang w:bidi="ar"/>
              </w:rPr>
              <w:t>～C</w:t>
            </w:r>
            <w:r>
              <w:rPr>
                <w:rFonts w:hint="eastAsia" w:ascii="宋体" w:hAnsi="宋体" w:eastAsia="宋体" w:cs="宋体"/>
                <w:color w:val="auto"/>
                <w:kern w:val="0"/>
                <w:sz w:val="21"/>
                <w:szCs w:val="21"/>
                <w:highlight w:val="none"/>
                <w:u w:val="none"/>
                <w:vertAlign w:val="subscript"/>
                <w:lang w:bidi="ar"/>
              </w:rPr>
              <w:t>40</w:t>
            </w:r>
            <w:r>
              <w:rPr>
                <w:rFonts w:hint="eastAsia" w:ascii="宋体" w:hAnsi="宋体" w:eastAsia="宋体" w:cs="宋体"/>
                <w:color w:val="auto"/>
                <w:kern w:val="0"/>
                <w:sz w:val="21"/>
                <w:szCs w:val="21"/>
                <w:highlight w:val="none"/>
                <w:u w:val="none"/>
                <w:lang w:bidi="ar"/>
              </w:rPr>
              <w:t>）、汞、砷、六价铬</w:t>
            </w:r>
            <w:r>
              <w:rPr>
                <w:rFonts w:hint="default" w:ascii="Times New Roman" w:hAnsi="Times New Roman" w:eastAsia="宋体" w:cs="Times New Roman"/>
                <w:color w:val="auto"/>
                <w:kern w:val="0"/>
                <w:sz w:val="21"/>
                <w:szCs w:val="18"/>
                <w:highlight w:val="none"/>
                <w:u w:val="none"/>
                <w:lang w:val="en-US" w:eastAsia="zh-CN"/>
              </w:rPr>
              <w:t>等</w:t>
            </w:r>
            <w:r>
              <w:rPr>
                <w:rFonts w:hint="default" w:ascii="Times New Roman" w:hAnsi="Times New Roman" w:eastAsia="宋体" w:cs="Times New Roman"/>
                <w:color w:val="auto"/>
                <w:kern w:val="0"/>
                <w:sz w:val="21"/>
                <w:szCs w:val="18"/>
                <w:highlight w:val="none"/>
                <w:u w:val="none"/>
              </w:rPr>
              <w:t>，其余监测项目可结合</w:t>
            </w:r>
            <w:r>
              <w:rPr>
                <w:rFonts w:hint="eastAsia" w:ascii="Times New Roman" w:hAnsi="Times New Roman" w:eastAsia="宋体" w:cs="Times New Roman"/>
                <w:color w:val="auto"/>
                <w:kern w:val="0"/>
                <w:sz w:val="21"/>
                <w:szCs w:val="18"/>
                <w:highlight w:val="none"/>
                <w:u w:val="none"/>
                <w:lang w:val="en-US" w:eastAsia="zh-CN"/>
              </w:rPr>
              <w:t>莫北</w:t>
            </w:r>
            <w:r>
              <w:rPr>
                <w:rFonts w:hint="eastAsia" w:ascii="Times New Roman" w:hAnsi="Times New Roman" w:eastAsia="宋体" w:cs="Times New Roman"/>
                <w:color w:val="auto"/>
                <w:kern w:val="0"/>
                <w:sz w:val="21"/>
                <w:szCs w:val="18"/>
                <w:highlight w:val="none"/>
                <w:u w:val="none"/>
                <w:lang w:eastAsia="zh-CN"/>
              </w:rPr>
              <w:t>油田</w:t>
            </w:r>
            <w:r>
              <w:rPr>
                <w:rFonts w:hint="default" w:ascii="Times New Roman" w:hAnsi="Times New Roman" w:eastAsia="宋体" w:cs="Times New Roman"/>
                <w:color w:val="auto"/>
                <w:kern w:val="0"/>
                <w:sz w:val="21"/>
                <w:szCs w:val="18"/>
                <w:highlight w:val="none"/>
                <w:u w:val="none"/>
              </w:rPr>
              <w:t>例行监测计划增加。</w:t>
            </w:r>
          </w:p>
        </w:tc>
      </w:tr>
      <w:tr w14:paraId="51E50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5" w:type="dxa"/>
            <w:tcBorders>
              <w:tl2br w:val="nil"/>
              <w:tr2bl w:val="nil"/>
            </w:tcBorders>
            <w:noWrap w:val="0"/>
            <w:vAlign w:val="center"/>
          </w:tcPr>
          <w:p w14:paraId="23F9C997">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sz w:val="21"/>
                <w:szCs w:val="18"/>
                <w:highlight w:val="none"/>
                <w:u w:val="none"/>
                <w:lang w:val="en-US" w:eastAsia="zh-CN" w:bidi="en-US"/>
              </w:rPr>
            </w:pPr>
            <w:r>
              <w:rPr>
                <w:rFonts w:hint="eastAsia" w:ascii="Times New Roman" w:hAnsi="Times New Roman" w:eastAsia="宋体" w:cs="Times New Roman"/>
                <w:color w:val="auto"/>
                <w:kern w:val="0"/>
                <w:sz w:val="21"/>
                <w:szCs w:val="21"/>
                <w:highlight w:val="none"/>
                <w:u w:val="none"/>
                <w:lang w:val="en-US" w:eastAsia="zh-CN"/>
              </w:rPr>
              <w:t>莫北11#水井</w:t>
            </w:r>
          </w:p>
        </w:tc>
        <w:tc>
          <w:tcPr>
            <w:tcW w:w="869" w:type="dxa"/>
            <w:tcBorders>
              <w:tl2br w:val="nil"/>
              <w:tr2bl w:val="nil"/>
            </w:tcBorders>
            <w:noWrap w:val="0"/>
            <w:vAlign w:val="center"/>
          </w:tcPr>
          <w:p w14:paraId="6AB3C2A0">
            <w:pPr>
              <w:keepNext w:val="0"/>
              <w:keepLines/>
              <w:pageBreakBefore w:val="0"/>
              <w:widowControl w:val="0"/>
              <w:kinsoku/>
              <w:wordWrap/>
              <w:overflowPunct/>
              <w:topLinePunct w:val="0"/>
              <w:autoSpaceDE w:val="0"/>
              <w:autoSpaceDN w:val="0"/>
              <w:bidi w:val="0"/>
              <w:adjustRightInd w:val="0"/>
              <w:snapToGrid w:val="0"/>
              <w:spacing w:line="400" w:lineRule="exact"/>
              <w:ind w:left="0" w:leftChars="0" w:right="-31" w:rightChars="-15" w:firstLine="0" w:firstLineChars="0"/>
              <w:jc w:val="center"/>
              <w:textAlignment w:val="center"/>
              <w:rPr>
                <w:rFonts w:hint="default" w:ascii="Times New Roman" w:hAnsi="Times New Roman" w:eastAsia="宋体" w:cs="Times New Roman"/>
                <w:color w:val="auto"/>
                <w:sz w:val="21"/>
                <w:szCs w:val="18"/>
                <w:highlight w:val="none"/>
                <w:u w:val="none"/>
                <w:lang w:val="en-US" w:eastAsia="zh-CN" w:bidi="en-US"/>
              </w:rPr>
            </w:pPr>
            <w:r>
              <w:rPr>
                <w:rFonts w:hint="eastAsia" w:ascii="Times New Roman" w:hAnsi="Times New Roman" w:eastAsia="宋体" w:cs="Times New Roman"/>
                <w:color w:val="auto"/>
                <w:sz w:val="21"/>
                <w:szCs w:val="18"/>
                <w:highlight w:val="none"/>
                <w:u w:val="none"/>
                <w:lang w:val="en-US" w:eastAsia="zh-CN" w:bidi="en-US"/>
              </w:rPr>
              <w:t>项目区</w:t>
            </w:r>
            <w:r>
              <w:rPr>
                <w:rFonts w:hint="default" w:ascii="Times New Roman" w:hAnsi="Times New Roman" w:eastAsia="宋体" w:cs="Times New Roman"/>
                <w:color w:val="auto"/>
                <w:sz w:val="21"/>
                <w:szCs w:val="21"/>
                <w:highlight w:val="none"/>
                <w:u w:val="none"/>
                <w:lang w:val="en-US" w:eastAsia="zh-CN" w:bidi="ar-SA"/>
              </w:rPr>
              <w:t>上游</w:t>
            </w:r>
          </w:p>
        </w:tc>
        <w:tc>
          <w:tcPr>
            <w:tcW w:w="981" w:type="dxa"/>
            <w:vMerge w:val="continue"/>
            <w:tcBorders>
              <w:tl2br w:val="nil"/>
              <w:tr2bl w:val="nil"/>
            </w:tcBorders>
            <w:noWrap w:val="0"/>
            <w:vAlign w:val="center"/>
          </w:tcPr>
          <w:p w14:paraId="6CA15E12">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rPr>
            </w:pPr>
          </w:p>
        </w:tc>
        <w:tc>
          <w:tcPr>
            <w:tcW w:w="1181" w:type="dxa"/>
            <w:vMerge w:val="continue"/>
            <w:tcBorders>
              <w:tl2br w:val="nil"/>
              <w:tr2bl w:val="nil"/>
            </w:tcBorders>
            <w:noWrap w:val="0"/>
            <w:vAlign w:val="center"/>
          </w:tcPr>
          <w:p w14:paraId="4DCCFD8D">
            <w:pPr>
              <w:keepNext w:val="0"/>
              <w:pageBreakBefore w:val="0"/>
              <w:widowControl/>
              <w:kinsoku/>
              <w:wordWrap/>
              <w:overflowPunct/>
              <w:topLinePunct w:val="0"/>
              <w:bidi w:val="0"/>
              <w:spacing w:line="400" w:lineRule="exact"/>
              <w:jc w:val="center"/>
              <w:rPr>
                <w:rFonts w:hint="default" w:ascii="Times New Roman" w:hAnsi="Times New Roman" w:eastAsia="宋体" w:cs="Times New Roman"/>
                <w:color w:val="auto"/>
                <w:kern w:val="0"/>
                <w:sz w:val="21"/>
                <w:szCs w:val="18"/>
                <w:highlight w:val="none"/>
                <w:u w:val="none"/>
              </w:rPr>
            </w:pPr>
          </w:p>
        </w:tc>
        <w:tc>
          <w:tcPr>
            <w:tcW w:w="1388" w:type="dxa"/>
            <w:vMerge w:val="continue"/>
            <w:tcBorders>
              <w:tl2br w:val="nil"/>
              <w:tr2bl w:val="nil"/>
            </w:tcBorders>
            <w:noWrap w:val="0"/>
            <w:vAlign w:val="center"/>
          </w:tcPr>
          <w:p w14:paraId="33321805">
            <w:pPr>
              <w:keepNext w:val="0"/>
              <w:pageBreakBefore w:val="0"/>
              <w:widowControl/>
              <w:kinsoku/>
              <w:wordWrap/>
              <w:overflowPunct/>
              <w:topLinePunct w:val="0"/>
              <w:bidi w:val="0"/>
              <w:spacing w:line="400" w:lineRule="exact"/>
              <w:jc w:val="both"/>
              <w:rPr>
                <w:rFonts w:hint="default" w:ascii="Times New Roman" w:hAnsi="Times New Roman" w:eastAsia="宋体" w:cs="Times New Roman"/>
                <w:color w:val="auto"/>
                <w:kern w:val="0"/>
                <w:sz w:val="21"/>
                <w:szCs w:val="18"/>
                <w:highlight w:val="none"/>
                <w:u w:val="none"/>
              </w:rPr>
            </w:pPr>
          </w:p>
        </w:tc>
        <w:tc>
          <w:tcPr>
            <w:tcW w:w="3125" w:type="dxa"/>
            <w:vMerge w:val="continue"/>
            <w:tcBorders>
              <w:tl2br w:val="nil"/>
              <w:tr2bl w:val="nil"/>
            </w:tcBorders>
            <w:noWrap w:val="0"/>
            <w:vAlign w:val="center"/>
          </w:tcPr>
          <w:p w14:paraId="6DB387BC">
            <w:pPr>
              <w:keepNext w:val="0"/>
              <w:pageBreakBefore w:val="0"/>
              <w:widowControl/>
              <w:kinsoku/>
              <w:wordWrap/>
              <w:overflowPunct/>
              <w:topLinePunct w:val="0"/>
              <w:bidi w:val="0"/>
              <w:spacing w:line="400" w:lineRule="exact"/>
              <w:jc w:val="both"/>
              <w:rPr>
                <w:rFonts w:hint="default" w:ascii="Times New Roman" w:hAnsi="Times New Roman" w:eastAsia="宋体" w:cs="Times New Roman"/>
                <w:color w:val="auto"/>
                <w:kern w:val="0"/>
                <w:sz w:val="21"/>
                <w:szCs w:val="18"/>
                <w:highlight w:val="none"/>
                <w:u w:val="none"/>
              </w:rPr>
            </w:pPr>
          </w:p>
        </w:tc>
      </w:tr>
    </w:tbl>
    <w:p w14:paraId="416B671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b w:val="0"/>
          <w:bCs w:val="0"/>
          <w:color w:val="auto"/>
          <w:kern w:val="0"/>
          <w:sz w:val="21"/>
          <w:szCs w:val="21"/>
          <w:highlight w:val="none"/>
          <w:u w:val="none"/>
        </w:rPr>
      </w:pPr>
      <w:r>
        <w:rPr>
          <w:rFonts w:hint="eastAsia" w:ascii="Times New Roman" w:hAnsi="Times New Roman" w:eastAsia="宋体" w:cs="Times New Roman"/>
          <w:b w:val="0"/>
          <w:bCs w:val="0"/>
          <w:color w:val="auto"/>
          <w:kern w:val="0"/>
          <w:sz w:val="21"/>
          <w:szCs w:val="21"/>
          <w:highlight w:val="none"/>
          <w:u w:val="none"/>
          <w:lang w:val="en-US" w:eastAsia="zh-CN"/>
        </w:rPr>
        <w:t>注：</w:t>
      </w:r>
      <w:r>
        <w:rPr>
          <w:rFonts w:hint="default" w:ascii="Times New Roman" w:hAnsi="Times New Roman" w:eastAsia="宋体" w:cs="Times New Roman"/>
          <w:b w:val="0"/>
          <w:bCs w:val="0"/>
          <w:color w:val="auto"/>
          <w:kern w:val="0"/>
          <w:sz w:val="21"/>
          <w:szCs w:val="21"/>
          <w:highlight w:val="none"/>
          <w:u w:val="none"/>
        </w:rPr>
        <w:t>监测点充分依托石西油田已有监测井。</w:t>
      </w:r>
    </w:p>
    <w:p w14:paraId="6C071DA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上述监测结果应按项目有关规定及时建立档案，并定期向</w:t>
      </w:r>
      <w:r>
        <w:rPr>
          <w:rFonts w:hint="eastAsia" w:ascii="Times New Roman" w:hAnsi="Times New Roman" w:eastAsia="宋体" w:cs="Times New Roman"/>
          <w:color w:val="auto"/>
          <w:kern w:val="0"/>
          <w:sz w:val="24"/>
          <w:szCs w:val="24"/>
          <w:highlight w:val="none"/>
          <w:u w:val="none"/>
          <w:lang w:val="en-US" w:eastAsia="zh-CN"/>
        </w:rPr>
        <w:t>石西油田作业区</w:t>
      </w:r>
      <w:r>
        <w:rPr>
          <w:rFonts w:hint="default" w:ascii="Times New Roman" w:hAnsi="Times New Roman" w:eastAsia="宋体" w:cs="Times New Roman"/>
          <w:color w:val="auto"/>
          <w:kern w:val="0"/>
          <w:sz w:val="24"/>
          <w:szCs w:val="24"/>
          <w:highlight w:val="none"/>
          <w:u w:val="none"/>
        </w:rPr>
        <w:t>安全环保部门汇报，对于常规监测数据应该进行公开。如发现异常或发生事故，加密监测频次，改为每周监测一次，并分析污染原因，确定泄漏污染源，及时采取应急措施。</w:t>
      </w:r>
    </w:p>
    <w:p w14:paraId="34B88A7C">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为保证地下水监测工作</w:t>
      </w:r>
      <w:r>
        <w:rPr>
          <w:rFonts w:hint="eastAsia" w:ascii="Times New Roman" w:hAnsi="Times New Roman" w:eastAsia="宋体" w:cs="Times New Roman"/>
          <w:color w:val="auto"/>
          <w:kern w:val="0"/>
          <w:sz w:val="24"/>
          <w:szCs w:val="24"/>
          <w:highlight w:val="none"/>
          <w:u w:val="none"/>
          <w:lang w:val="en-US" w:eastAsia="zh-CN"/>
        </w:rPr>
        <w:t>高</w:t>
      </w:r>
      <w:r>
        <w:rPr>
          <w:rFonts w:hint="default" w:ascii="Times New Roman" w:hAnsi="Times New Roman" w:eastAsia="宋体" w:cs="Times New Roman"/>
          <w:color w:val="auto"/>
          <w:kern w:val="0"/>
          <w:sz w:val="24"/>
          <w:szCs w:val="24"/>
          <w:highlight w:val="none"/>
          <w:u w:val="none"/>
        </w:rPr>
        <w:t>效有序运行，须明确职责、制定相关规定进行管理；具体管理措施和技术措施如下：</w:t>
      </w:r>
    </w:p>
    <w:p w14:paraId="5AAF4698">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1</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管理措施</w:t>
      </w:r>
    </w:p>
    <w:p w14:paraId="774B1B77">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1）预防地下水污染的管理工作是生态环境管理部门的职责之一，油田公司环境保护管理部门应指派专人负责预防地下水污染的管理工作；</w:t>
      </w:r>
    </w:p>
    <w:p w14:paraId="7D0CF613">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2）建设单位应委托具有监测资质的单位按时、按质、按量完成地下水监测工作，并按要求分析整理原始资料、编写监测报告；</w:t>
      </w:r>
    </w:p>
    <w:p w14:paraId="58DBDDE9">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3）建立与工程区环境管理系统相联系的地下水监测信息管理系统；</w:t>
      </w:r>
    </w:p>
    <w:p w14:paraId="438D6147">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4）按突发事故的性质、类型、影响范围、后果严重性分等级制订相应的应急预案，在制定预案时要根据环境污染事故潜在威胁的情况，认真细致地考虑各项影响因素，并组织有关部门、人员进行适时演练、不断补充完善预案内容。</w:t>
      </w:r>
    </w:p>
    <w:p w14:paraId="60D0605F">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2</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技术措施</w:t>
      </w:r>
    </w:p>
    <w:p w14:paraId="7DB74328">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1）定期对法兰、阀门、管道等进行检查。</w:t>
      </w:r>
    </w:p>
    <w:p w14:paraId="58A1EDF5">
      <w:pPr>
        <w:keepNext w:val="0"/>
        <w:keepLines w:val="0"/>
        <w:pageBreakBefore w:val="0"/>
        <w:widowControl w:val="0"/>
        <w:kinsoku/>
        <w:wordWrap/>
        <w:overflowPunct/>
        <w:topLinePunct/>
        <w:autoSpaceDE w:val="0"/>
        <w:autoSpaceDN/>
        <w:bidi w:val="0"/>
        <w:adjustRightInd/>
        <w:snapToGrid/>
        <w:spacing w:line="480" w:lineRule="exact"/>
        <w:ind w:left="0" w:firstLine="480" w:firstLineChars="200"/>
        <w:jc w:val="both"/>
        <w:textAlignment w:val="auto"/>
        <w:rPr>
          <w:rFonts w:hint="default" w:ascii="Times New Roman" w:hAnsi="Times New Roman" w:eastAsia="宋体" w:cs="Times New Roman"/>
          <w:b/>
          <w:bCs/>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2）在日常例行监测中，一旦发现地下水水质监测数据异常，应尽快核查数据，确保数据的正确性，并将核查过的监测数据</w:t>
      </w:r>
      <w:r>
        <w:rPr>
          <w:rFonts w:hint="default" w:ascii="Times New Roman" w:hAnsi="Times New Roman" w:eastAsia="宋体" w:cs="Times New Roman"/>
          <w:color w:val="auto"/>
          <w:kern w:val="0"/>
          <w:sz w:val="24"/>
          <w:szCs w:val="24"/>
          <w:highlight w:val="none"/>
          <w:u w:val="none"/>
          <w:lang w:eastAsia="zh-CN"/>
        </w:rPr>
        <w:t>通告</w:t>
      </w:r>
      <w:r>
        <w:rPr>
          <w:rFonts w:hint="default" w:ascii="Times New Roman" w:hAnsi="Times New Roman" w:eastAsia="宋体" w:cs="Times New Roman"/>
          <w:color w:val="auto"/>
          <w:kern w:val="0"/>
          <w:sz w:val="24"/>
          <w:szCs w:val="24"/>
          <w:highlight w:val="none"/>
          <w:u w:val="none"/>
        </w:rPr>
        <w:t>相关部门，由专人负责对数据进行分析、核实，并密切关注生产设施的运行情况。具体内容如下：了解全井场、站场生产是否出现异常情况，出现异常情况的装置、原因；加大监测密度，如监测频率由</w:t>
      </w:r>
      <w:r>
        <w:rPr>
          <w:rFonts w:hint="default" w:ascii="Times New Roman" w:hAnsi="Times New Roman" w:eastAsia="宋体" w:cs="Times New Roman"/>
          <w:color w:val="auto"/>
          <w:kern w:val="0"/>
          <w:sz w:val="24"/>
          <w:szCs w:val="24"/>
          <w:highlight w:val="none"/>
          <w:u w:val="none"/>
          <w:lang w:eastAsia="zh-CN"/>
        </w:rPr>
        <w:t>每年两次</w:t>
      </w:r>
      <w:r>
        <w:rPr>
          <w:rFonts w:hint="default" w:ascii="Times New Roman" w:hAnsi="Times New Roman" w:eastAsia="宋体" w:cs="Times New Roman"/>
          <w:color w:val="auto"/>
          <w:kern w:val="0"/>
          <w:sz w:val="24"/>
          <w:szCs w:val="24"/>
          <w:highlight w:val="none"/>
          <w:u w:val="none"/>
        </w:rPr>
        <w:t>临时加密为每天一次或更多，连续多天，分析变化动向。</w:t>
      </w:r>
    </w:p>
    <w:p w14:paraId="39F737EA">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default" w:ascii="宋体" w:hAnsi="宋体" w:eastAsia="宋体" w:cs="宋体"/>
          <w:b/>
          <w:color w:val="auto"/>
          <w:kern w:val="2"/>
          <w:sz w:val="24"/>
          <w:szCs w:val="22"/>
          <w:u w:val="none"/>
          <w:lang w:val="en-US" w:eastAsia="zh-CN" w:bidi="ar-SA"/>
        </w:rPr>
      </w:pPr>
      <w:r>
        <w:rPr>
          <w:rFonts w:hint="default" w:ascii="宋体" w:hAnsi="宋体" w:eastAsia="宋体" w:cs="宋体"/>
          <w:b/>
          <w:color w:val="auto"/>
          <w:kern w:val="2"/>
          <w:sz w:val="24"/>
          <w:szCs w:val="22"/>
          <w:u w:val="none"/>
          <w:lang w:val="en-US" w:eastAsia="zh-CN" w:bidi="ar-SA"/>
        </w:rPr>
        <w:t>6.</w:t>
      </w:r>
      <w:r>
        <w:rPr>
          <w:rFonts w:hint="eastAsia" w:ascii="宋体" w:hAnsi="宋体" w:eastAsia="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w:t>
      </w:r>
      <w:r>
        <w:rPr>
          <w:rFonts w:hint="eastAsia" w:ascii="宋体" w:hAnsi="宋体" w:cs="宋体"/>
          <w:b/>
          <w:color w:val="auto"/>
          <w:kern w:val="2"/>
          <w:sz w:val="24"/>
          <w:szCs w:val="22"/>
          <w:u w:val="none"/>
          <w:lang w:val="en-US" w:eastAsia="zh-CN" w:bidi="ar-SA"/>
        </w:rPr>
        <w:t>2</w:t>
      </w:r>
      <w:r>
        <w:rPr>
          <w:rFonts w:hint="default" w:ascii="宋体" w:hAnsi="宋体" w:eastAsia="宋体" w:cs="宋体"/>
          <w:b/>
          <w:color w:val="auto"/>
          <w:kern w:val="2"/>
          <w:sz w:val="24"/>
          <w:szCs w:val="22"/>
          <w:u w:val="none"/>
          <w:lang w:val="en-US" w:eastAsia="zh-CN" w:bidi="ar-SA"/>
        </w:rPr>
        <w:t>.5</w:t>
      </w:r>
      <w:r>
        <w:rPr>
          <w:rFonts w:hint="eastAsia" w:ascii="宋体" w:hAnsi="宋体" w:eastAsia="宋体" w:cs="宋体"/>
          <w:b/>
          <w:color w:val="auto"/>
          <w:kern w:val="2"/>
          <w:sz w:val="24"/>
          <w:szCs w:val="22"/>
          <w:u w:val="none"/>
          <w:lang w:val="en-US" w:eastAsia="zh-CN" w:bidi="ar-SA"/>
        </w:rPr>
        <w:t xml:space="preserve"> </w:t>
      </w:r>
      <w:r>
        <w:rPr>
          <w:rFonts w:hint="default" w:ascii="宋体" w:hAnsi="宋体" w:eastAsia="宋体" w:cs="宋体"/>
          <w:b/>
          <w:color w:val="auto"/>
          <w:kern w:val="2"/>
          <w:sz w:val="24"/>
          <w:szCs w:val="22"/>
          <w:u w:val="none"/>
          <w:lang w:val="en-US" w:eastAsia="zh-CN" w:bidi="ar-SA"/>
        </w:rPr>
        <w:t>地下水污染应急预案及处理</w:t>
      </w:r>
    </w:p>
    <w:p w14:paraId="2CF4F9A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（1）应急预案内容</w:t>
      </w:r>
    </w:p>
    <w:p w14:paraId="01658FD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在制定站场安全管理体制的基础上，制订专门的地下水污染事故应急措施，并应与其它类型事故的应急预案相协调，并纳入到</w:t>
      </w:r>
      <w:r>
        <w:rPr>
          <w:rFonts w:hint="eastAsia" w:ascii="Times New Roman" w:hAnsi="Times New Roman" w:eastAsia="宋体" w:cs="Times New Roman"/>
          <w:color w:val="auto"/>
          <w:kern w:val="0"/>
          <w:sz w:val="24"/>
          <w:szCs w:val="24"/>
          <w:highlight w:val="none"/>
          <w:u w:val="none"/>
          <w:lang w:val="en-US" w:eastAsia="zh-CN"/>
        </w:rPr>
        <w:t>作业区</w:t>
      </w:r>
      <w:r>
        <w:rPr>
          <w:rFonts w:hint="default" w:ascii="Times New Roman" w:hAnsi="Times New Roman" w:eastAsia="宋体" w:cs="Times New Roman"/>
          <w:color w:val="auto"/>
          <w:kern w:val="0"/>
          <w:sz w:val="24"/>
          <w:szCs w:val="24"/>
          <w:highlight w:val="none"/>
          <w:u w:val="none"/>
        </w:rPr>
        <w:t>应急预案中。地下水应急预案的具体内容如下：</w:t>
      </w:r>
    </w:p>
    <w:p w14:paraId="5EA9128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1）</w:t>
      </w:r>
      <w:r>
        <w:rPr>
          <w:rFonts w:hint="default" w:ascii="Times New Roman" w:hAnsi="Times New Roman" w:eastAsia="宋体" w:cs="Times New Roman"/>
          <w:color w:val="auto"/>
          <w:kern w:val="0"/>
          <w:sz w:val="24"/>
          <w:szCs w:val="24"/>
          <w:highlight w:val="none"/>
          <w:u w:val="none"/>
          <w:lang w:eastAsia="zh-TW"/>
        </w:rPr>
        <w:t>应急预案的</w:t>
      </w:r>
      <w:r>
        <w:rPr>
          <w:rFonts w:hint="default" w:ascii="Times New Roman" w:hAnsi="Times New Roman" w:eastAsia="宋体" w:cs="Times New Roman"/>
          <w:color w:val="auto"/>
          <w:kern w:val="0"/>
          <w:sz w:val="24"/>
          <w:szCs w:val="24"/>
          <w:highlight w:val="none"/>
          <w:u w:val="none"/>
          <w:lang w:eastAsia="zh-CN"/>
        </w:rPr>
        <w:t>日常</w:t>
      </w:r>
      <w:r>
        <w:rPr>
          <w:rFonts w:hint="default" w:ascii="Times New Roman" w:hAnsi="Times New Roman" w:eastAsia="宋体" w:cs="Times New Roman"/>
          <w:color w:val="auto"/>
          <w:kern w:val="0"/>
          <w:sz w:val="24"/>
          <w:szCs w:val="24"/>
          <w:highlight w:val="none"/>
          <w:u w:val="none"/>
          <w:lang w:eastAsia="zh-TW"/>
        </w:rPr>
        <w:t>协调和</w:t>
      </w:r>
      <w:r>
        <w:rPr>
          <w:rFonts w:hint="default" w:ascii="Times New Roman" w:hAnsi="Times New Roman" w:eastAsia="宋体" w:cs="Times New Roman"/>
          <w:color w:val="auto"/>
          <w:kern w:val="0"/>
          <w:sz w:val="24"/>
          <w:szCs w:val="24"/>
          <w:highlight w:val="none"/>
          <w:u w:val="none"/>
        </w:rPr>
        <w:t>指</w:t>
      </w:r>
      <w:r>
        <w:rPr>
          <w:rFonts w:hint="default" w:ascii="Times New Roman" w:hAnsi="Times New Roman" w:eastAsia="宋体" w:cs="Times New Roman"/>
          <w:color w:val="auto"/>
          <w:kern w:val="0"/>
          <w:sz w:val="24"/>
          <w:szCs w:val="24"/>
          <w:highlight w:val="none"/>
          <w:u w:val="none"/>
          <w:lang w:eastAsia="zh-TW"/>
        </w:rPr>
        <w:t>挥机构</w:t>
      </w:r>
      <w:r>
        <w:rPr>
          <w:rFonts w:hint="default" w:ascii="Times New Roman" w:hAnsi="Times New Roman" w:eastAsia="宋体" w:cs="Times New Roman"/>
          <w:color w:val="auto"/>
          <w:kern w:val="0"/>
          <w:sz w:val="24"/>
          <w:szCs w:val="24"/>
          <w:highlight w:val="none"/>
          <w:u w:val="none"/>
        </w:rPr>
        <w:t>；</w:t>
      </w:r>
    </w:p>
    <w:p w14:paraId="130FC22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TW"/>
        </w:rPr>
      </w:pPr>
      <w:r>
        <w:rPr>
          <w:rFonts w:hint="eastAsia" w:ascii="Times New Roman" w:hAnsi="Times New Roman" w:eastAsia="宋体" w:cs="Times New Roman"/>
          <w:color w:val="auto"/>
          <w:kern w:val="0"/>
          <w:sz w:val="24"/>
          <w:szCs w:val="24"/>
          <w:highlight w:val="none"/>
          <w:u w:val="none"/>
          <w:lang w:val="en-US" w:eastAsia="zh-CN"/>
        </w:rPr>
        <w:t>2）</w:t>
      </w:r>
      <w:r>
        <w:rPr>
          <w:rFonts w:hint="default" w:ascii="Times New Roman" w:hAnsi="Times New Roman" w:eastAsia="宋体" w:cs="Times New Roman"/>
          <w:color w:val="auto"/>
          <w:kern w:val="0"/>
          <w:sz w:val="24"/>
          <w:szCs w:val="24"/>
          <w:highlight w:val="none"/>
          <w:u w:val="none"/>
          <w:lang w:eastAsia="zh-TW"/>
        </w:rPr>
        <w:t>各部门在应急预案中的职责和分工</w:t>
      </w:r>
      <w:r>
        <w:rPr>
          <w:rFonts w:hint="default" w:ascii="Times New Roman" w:hAnsi="Times New Roman" w:eastAsia="宋体" w:cs="Times New Roman"/>
          <w:color w:val="auto"/>
          <w:kern w:val="0"/>
          <w:sz w:val="24"/>
          <w:szCs w:val="24"/>
          <w:highlight w:val="none"/>
          <w:u w:val="none"/>
        </w:rPr>
        <w:t>；</w:t>
      </w:r>
    </w:p>
    <w:p w14:paraId="593D576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TW"/>
        </w:rPr>
      </w:pPr>
      <w:r>
        <w:rPr>
          <w:rFonts w:hint="eastAsia" w:ascii="Times New Roman" w:hAnsi="Times New Roman" w:eastAsia="宋体" w:cs="Times New Roman"/>
          <w:color w:val="auto"/>
          <w:kern w:val="0"/>
          <w:sz w:val="24"/>
          <w:szCs w:val="24"/>
          <w:highlight w:val="none"/>
          <w:u w:val="none"/>
          <w:lang w:val="en-US" w:eastAsia="zh-CN"/>
        </w:rPr>
        <w:t>3）</w:t>
      </w:r>
      <w:r>
        <w:rPr>
          <w:rFonts w:hint="default" w:ascii="Times New Roman" w:hAnsi="Times New Roman" w:eastAsia="宋体" w:cs="Times New Roman"/>
          <w:color w:val="auto"/>
          <w:kern w:val="0"/>
          <w:sz w:val="24"/>
          <w:szCs w:val="24"/>
          <w:highlight w:val="none"/>
          <w:u w:val="none"/>
          <w:lang w:eastAsia="zh-TW"/>
        </w:rPr>
        <w:t>确定地下水环境保护目标和对目标采取的紧急</w:t>
      </w:r>
      <w:r>
        <w:rPr>
          <w:rFonts w:hint="default" w:ascii="Times New Roman" w:hAnsi="Times New Roman" w:eastAsia="宋体" w:cs="Times New Roman"/>
          <w:color w:val="auto"/>
          <w:kern w:val="0"/>
          <w:sz w:val="24"/>
          <w:szCs w:val="24"/>
          <w:highlight w:val="none"/>
          <w:u w:val="none"/>
        </w:rPr>
        <w:t>处</w:t>
      </w:r>
      <w:r>
        <w:rPr>
          <w:rFonts w:hint="default" w:ascii="Times New Roman" w:hAnsi="Times New Roman" w:eastAsia="宋体" w:cs="Times New Roman"/>
          <w:color w:val="auto"/>
          <w:kern w:val="0"/>
          <w:sz w:val="24"/>
          <w:szCs w:val="24"/>
          <w:highlight w:val="none"/>
          <w:u w:val="none"/>
          <w:lang w:eastAsia="zh-TW"/>
        </w:rPr>
        <w:t>置措施，评估潜在污染可能性</w:t>
      </w:r>
      <w:r>
        <w:rPr>
          <w:rFonts w:hint="default" w:ascii="Times New Roman" w:hAnsi="Times New Roman" w:eastAsia="宋体" w:cs="Times New Roman"/>
          <w:color w:val="auto"/>
          <w:kern w:val="0"/>
          <w:sz w:val="24"/>
          <w:szCs w:val="24"/>
          <w:highlight w:val="none"/>
          <w:u w:val="none"/>
        </w:rPr>
        <w:t>；</w:t>
      </w:r>
    </w:p>
    <w:p w14:paraId="153CE18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4）</w:t>
      </w:r>
      <w:r>
        <w:rPr>
          <w:rFonts w:hint="default" w:ascii="Times New Roman" w:hAnsi="Times New Roman" w:eastAsia="宋体" w:cs="Times New Roman"/>
          <w:color w:val="auto"/>
          <w:kern w:val="0"/>
          <w:sz w:val="24"/>
          <w:szCs w:val="24"/>
          <w:highlight w:val="none"/>
          <w:u w:val="none"/>
          <w:lang w:eastAsia="zh-TW"/>
        </w:rPr>
        <w:t>特大事故应急救援组织状况、人员和装备情况，平常的训练</w:t>
      </w:r>
      <w:r>
        <w:rPr>
          <w:rFonts w:hint="default" w:ascii="Times New Roman" w:hAnsi="Times New Roman" w:eastAsia="宋体" w:cs="Times New Roman"/>
          <w:color w:val="auto"/>
          <w:kern w:val="0"/>
          <w:sz w:val="24"/>
          <w:szCs w:val="24"/>
          <w:highlight w:val="none"/>
          <w:u w:val="none"/>
        </w:rPr>
        <w:t>和演习。</w:t>
      </w:r>
    </w:p>
    <w:p w14:paraId="5D92F6A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（2）污染事故处理</w:t>
      </w:r>
    </w:p>
    <w:p w14:paraId="1D88447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在发现异常或者事故状态下，建议采取如下污染治理措施。</w:t>
      </w:r>
    </w:p>
    <w:p w14:paraId="506A91A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1）</w:t>
      </w:r>
      <w:r>
        <w:rPr>
          <w:rFonts w:hint="default" w:ascii="Times New Roman" w:hAnsi="Times New Roman" w:eastAsia="宋体" w:cs="Times New Roman"/>
          <w:color w:val="auto"/>
          <w:kern w:val="0"/>
          <w:sz w:val="24"/>
          <w:szCs w:val="24"/>
          <w:highlight w:val="none"/>
          <w:u w:val="none"/>
        </w:rPr>
        <w:t>如发现异常或发生事故，加密监测频次，改为每周监测一次，并分析污染原因，确定泄漏污染源，及时采取应急措施。</w:t>
      </w:r>
    </w:p>
    <w:p w14:paraId="39508DC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2）</w:t>
      </w:r>
      <w:r>
        <w:rPr>
          <w:rFonts w:hint="default" w:ascii="Times New Roman" w:hAnsi="Times New Roman" w:eastAsia="宋体" w:cs="Times New Roman"/>
          <w:color w:val="auto"/>
          <w:kern w:val="0"/>
          <w:sz w:val="24"/>
          <w:szCs w:val="24"/>
          <w:highlight w:val="none"/>
          <w:u w:val="none"/>
        </w:rPr>
        <w:t>一旦发生地下水污染事故，应立即启动应急预案。</w:t>
      </w:r>
    </w:p>
    <w:p w14:paraId="154385F3">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3）</w:t>
      </w:r>
      <w:r>
        <w:rPr>
          <w:rFonts w:hint="default" w:ascii="Times New Roman" w:hAnsi="Times New Roman" w:eastAsia="宋体" w:cs="Times New Roman"/>
          <w:color w:val="auto"/>
          <w:kern w:val="0"/>
          <w:sz w:val="24"/>
          <w:szCs w:val="24"/>
          <w:highlight w:val="none"/>
          <w:u w:val="none"/>
        </w:rPr>
        <w:t>查明并切断污染源。</w:t>
      </w:r>
    </w:p>
    <w:p w14:paraId="35D67DF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4）</w:t>
      </w:r>
      <w:r>
        <w:rPr>
          <w:rFonts w:hint="default" w:ascii="Times New Roman" w:hAnsi="Times New Roman" w:eastAsia="宋体" w:cs="Times New Roman"/>
          <w:color w:val="auto"/>
          <w:kern w:val="0"/>
          <w:sz w:val="24"/>
          <w:szCs w:val="24"/>
          <w:highlight w:val="none"/>
          <w:u w:val="none"/>
        </w:rPr>
        <w:t>探明地下水污染深度、范围和污染程度。</w:t>
      </w:r>
    </w:p>
    <w:p w14:paraId="7FBBE95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5）</w:t>
      </w:r>
      <w:r>
        <w:rPr>
          <w:rFonts w:hint="default" w:ascii="Times New Roman" w:hAnsi="Times New Roman" w:eastAsia="宋体" w:cs="Times New Roman"/>
          <w:color w:val="auto"/>
          <w:kern w:val="0"/>
          <w:sz w:val="24"/>
          <w:szCs w:val="24"/>
          <w:highlight w:val="none"/>
          <w:u w:val="none"/>
        </w:rPr>
        <w:t>依据探明的地下水污染情况，合理布置浅井，并进行试抽工作。</w:t>
      </w:r>
    </w:p>
    <w:p w14:paraId="7AFDC90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6）</w:t>
      </w:r>
      <w:r>
        <w:rPr>
          <w:rFonts w:hint="default" w:ascii="Times New Roman" w:hAnsi="Times New Roman" w:eastAsia="宋体" w:cs="Times New Roman"/>
          <w:color w:val="auto"/>
          <w:kern w:val="0"/>
          <w:sz w:val="24"/>
          <w:szCs w:val="24"/>
          <w:highlight w:val="none"/>
          <w:u w:val="none"/>
        </w:rPr>
        <w:t>依据抽水设计方案进行施工，抽取被污染的地下水体，并依据各井孔出水情况进行调整。可采用阻断污染物向周边环境迁移扩散的技术，如泥浆墙、灌浆墙、土工膜阻断、板桩、原位土壤搅拌阻断、可渗透反应墙等，通过在污染源周围构筑低渗透屏障，来隔离污染物，同时操控地下水的流场。</w:t>
      </w:r>
    </w:p>
    <w:p w14:paraId="116FCFC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7）</w:t>
      </w:r>
      <w:r>
        <w:rPr>
          <w:rFonts w:hint="default" w:ascii="Times New Roman" w:hAnsi="Times New Roman" w:eastAsia="宋体" w:cs="Times New Roman"/>
          <w:color w:val="auto"/>
          <w:kern w:val="0"/>
          <w:sz w:val="24"/>
          <w:szCs w:val="24"/>
          <w:highlight w:val="none"/>
          <w:u w:val="none"/>
        </w:rPr>
        <w:t>将抽取的地下水进行集中收集处理，并送实验室进行化验分析。</w:t>
      </w:r>
    </w:p>
    <w:p w14:paraId="24BE15A0">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val="en-US" w:eastAsia="zh-CN"/>
        </w:rPr>
        <w:t>8）</w:t>
      </w:r>
      <w:r>
        <w:rPr>
          <w:rFonts w:hint="default" w:ascii="Times New Roman" w:hAnsi="Times New Roman" w:eastAsia="宋体" w:cs="Times New Roman"/>
          <w:color w:val="auto"/>
          <w:kern w:val="0"/>
          <w:sz w:val="24"/>
          <w:szCs w:val="24"/>
          <w:highlight w:val="none"/>
          <w:u w:val="none"/>
          <w:lang w:eastAsia="zh-CN"/>
        </w:rPr>
        <w:t>当地下水中的特征污染物浓度满足地下水功能区划的标准后，逐步停止抽水，并进行土壤修复治理工作。</w:t>
      </w:r>
    </w:p>
    <w:p w14:paraId="579607F1">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9）</w:t>
      </w:r>
      <w:r>
        <w:rPr>
          <w:rFonts w:hint="default" w:ascii="Times New Roman" w:hAnsi="Times New Roman" w:eastAsia="宋体" w:cs="Times New Roman"/>
          <w:color w:val="auto"/>
          <w:kern w:val="0"/>
          <w:sz w:val="24"/>
          <w:szCs w:val="24"/>
          <w:highlight w:val="none"/>
          <w:u w:val="none"/>
          <w:lang w:val="en-US" w:eastAsia="zh-CN"/>
        </w:rPr>
        <w:t>对事故后果进行评估，并制定防止类似事件发生的措施。</w:t>
      </w:r>
    </w:p>
    <w:p w14:paraId="6F50A958">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综上，本工程采取的地下水污染防治措施可行。</w:t>
      </w:r>
    </w:p>
    <w:p w14:paraId="56871F60">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2.3退役期</w:t>
      </w:r>
      <w:r>
        <w:rPr>
          <w:rFonts w:hint="default" w:ascii="黑体" w:hAnsi="黑体" w:eastAsia="黑体" w:cs="黑体"/>
          <w:b/>
          <w:color w:val="auto"/>
          <w:kern w:val="0"/>
          <w:sz w:val="24"/>
          <w:szCs w:val="24"/>
          <w:highlight w:val="none"/>
          <w:u w:val="none"/>
          <w:lang w:val="en-US" w:eastAsia="zh-CN"/>
        </w:rPr>
        <w:t>地下水环境保护措施可行性论证</w:t>
      </w:r>
    </w:p>
    <w:p w14:paraId="0D73A5B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对废弃井应封堵，拆除井口装置，截去地下1m内管头，保证对各类废弃井采取的固井、封井措施有效可行，防止发生油水窜层，污染地下水资源。根据《废弃井封井回填技术指南（试行）》要求，应对矿井进行环境风险等级评估后，按照风险等级采取不同的保护措施。</w:t>
      </w:r>
    </w:p>
    <w:p w14:paraId="703F5A99">
      <w:pPr>
        <w:pStyle w:val="50"/>
        <w:keepNext/>
        <w:keepLines/>
        <w:pageBreakBefore w:val="0"/>
        <w:widowControl w:val="0"/>
        <w:kinsoku/>
        <w:wordWrap/>
        <w:overflowPunct/>
        <w:topLinePunct w:val="0"/>
        <w:autoSpaceDE/>
        <w:autoSpaceDN/>
        <w:bidi w:val="0"/>
        <w:adjustRightInd/>
        <w:snapToGrid/>
        <w:spacing w:before="164" w:beforeLines="50" w:after="0" w:line="360" w:lineRule="auto"/>
        <w:textAlignment w:val="auto"/>
        <w:outlineLvl w:val="1"/>
        <w:rPr>
          <w:rFonts w:hint="default" w:ascii="黑体" w:hAnsi="黑体" w:eastAsia="黑体" w:cs="黑体"/>
          <w:color w:val="auto"/>
          <w:sz w:val="28"/>
          <w:szCs w:val="28"/>
          <w:u w:val="none"/>
          <w:lang w:val="en-US" w:eastAsia="zh-CN"/>
        </w:rPr>
      </w:pPr>
      <w:bookmarkStart w:id="501" w:name="_Toc989"/>
      <w:r>
        <w:rPr>
          <w:rFonts w:hint="default" w:ascii="黑体" w:hAnsi="黑体" w:eastAsia="黑体" w:cs="黑体"/>
          <w:color w:val="auto"/>
          <w:sz w:val="28"/>
          <w:szCs w:val="28"/>
          <w:u w:val="none"/>
          <w:lang w:val="en-US" w:eastAsia="zh-CN"/>
        </w:rPr>
        <w:t>6.</w:t>
      </w:r>
      <w:r>
        <w:rPr>
          <w:rFonts w:hint="eastAsia" w:ascii="黑体" w:hAnsi="黑体" w:eastAsia="黑体" w:cs="黑体"/>
          <w:color w:val="auto"/>
          <w:sz w:val="28"/>
          <w:szCs w:val="28"/>
          <w:u w:val="none"/>
          <w:lang w:val="en-US" w:eastAsia="zh-CN"/>
        </w:rPr>
        <w:t>3 地表水</w:t>
      </w:r>
      <w:r>
        <w:rPr>
          <w:rFonts w:hint="default" w:ascii="黑体" w:hAnsi="黑体" w:eastAsia="黑体" w:cs="黑体"/>
          <w:color w:val="auto"/>
          <w:sz w:val="28"/>
          <w:szCs w:val="28"/>
          <w:u w:val="none"/>
          <w:lang w:val="en-US" w:eastAsia="zh-CN"/>
        </w:rPr>
        <w:t>环境保护措施可行性论证</w:t>
      </w:r>
      <w:bookmarkEnd w:id="501"/>
    </w:p>
    <w:p w14:paraId="3371E2EE">
      <w:pPr>
        <w:keepNext w:val="0"/>
        <w:keepLines w:val="0"/>
        <w:pageBreakBefore w:val="0"/>
        <w:widowControl/>
        <w:kinsoku/>
        <w:overflowPunct/>
        <w:topLinePunct w:val="0"/>
        <w:autoSpaceDE/>
        <w:autoSpaceDN/>
        <w:bidi w:val="0"/>
        <w:adjustRightInd/>
        <w:snapToGrid/>
        <w:spacing w:line="480" w:lineRule="exact"/>
        <w:ind w:firstLine="480" w:firstLineChars="200"/>
        <w:jc w:val="left"/>
        <w:textAlignment w:val="auto"/>
        <w:rPr>
          <w:rFonts w:hint="default" w:cs="Times New Roman"/>
          <w:color w:val="auto"/>
          <w:kern w:val="0"/>
          <w:sz w:val="24"/>
          <w:szCs w:val="24"/>
          <w:highlight w:val="none"/>
          <w:u w:val="none"/>
          <w:lang w:val="en-US" w:eastAsia="zh-CN"/>
        </w:rPr>
      </w:pPr>
      <w:r>
        <w:rPr>
          <w:rFonts w:hint="eastAsia" w:cs="Times New Roman"/>
          <w:color w:val="auto"/>
          <w:kern w:val="0"/>
          <w:sz w:val="24"/>
          <w:szCs w:val="24"/>
          <w:highlight w:val="none"/>
          <w:u w:val="none"/>
          <w:lang w:val="en-US" w:eastAsia="zh-CN"/>
        </w:rPr>
        <w:t>项目区周边无天然地表水体，运营阶段正常情况无废水排放。</w:t>
      </w:r>
    </w:p>
    <w:p w14:paraId="7B4344C2">
      <w:pPr>
        <w:pStyle w:val="50"/>
        <w:keepNext/>
        <w:keepLines/>
        <w:pageBreakBefore w:val="0"/>
        <w:widowControl w:val="0"/>
        <w:kinsoku/>
        <w:wordWrap/>
        <w:overflowPunct/>
        <w:topLinePunct w:val="0"/>
        <w:autoSpaceDE/>
        <w:autoSpaceDN/>
        <w:bidi w:val="0"/>
        <w:adjustRightInd/>
        <w:snapToGrid/>
        <w:spacing w:before="164" w:beforeLines="50" w:after="0" w:line="360" w:lineRule="auto"/>
        <w:textAlignment w:val="auto"/>
        <w:outlineLvl w:val="1"/>
        <w:rPr>
          <w:rFonts w:hint="default" w:ascii="黑体" w:hAnsi="黑体" w:eastAsia="黑体" w:cs="黑体"/>
          <w:color w:val="auto"/>
          <w:sz w:val="28"/>
          <w:szCs w:val="28"/>
          <w:u w:val="none"/>
          <w:lang w:val="en-US" w:eastAsia="zh-CN"/>
        </w:rPr>
      </w:pPr>
      <w:bookmarkStart w:id="502" w:name="_Toc29934"/>
      <w:bookmarkStart w:id="503" w:name="_Toc25391"/>
      <w:bookmarkStart w:id="504" w:name="_Toc119915029"/>
      <w:bookmarkStart w:id="505" w:name="_Toc31256"/>
      <w:bookmarkStart w:id="506" w:name="_Toc7597"/>
      <w:bookmarkStart w:id="507" w:name="_Toc27659"/>
      <w:bookmarkStart w:id="508" w:name="_Toc12216"/>
      <w:r>
        <w:rPr>
          <w:rFonts w:hint="default" w:ascii="黑体" w:hAnsi="黑体" w:eastAsia="黑体" w:cs="黑体"/>
          <w:color w:val="auto"/>
          <w:sz w:val="28"/>
          <w:szCs w:val="28"/>
          <w:u w:val="none"/>
          <w:lang w:val="en-US" w:eastAsia="zh-CN"/>
        </w:rPr>
        <w:t>6.</w:t>
      </w:r>
      <w:r>
        <w:rPr>
          <w:rFonts w:hint="eastAsia" w:ascii="黑体" w:hAnsi="黑体" w:eastAsia="黑体" w:cs="黑体"/>
          <w:color w:val="auto"/>
          <w:sz w:val="28"/>
          <w:szCs w:val="28"/>
          <w:u w:val="none"/>
          <w:lang w:val="en-US" w:eastAsia="zh-CN"/>
        </w:rPr>
        <w:t xml:space="preserve">4 </w:t>
      </w:r>
      <w:r>
        <w:rPr>
          <w:rFonts w:hint="default" w:ascii="黑体" w:hAnsi="黑体" w:eastAsia="黑体" w:cs="黑体"/>
          <w:color w:val="auto"/>
          <w:sz w:val="28"/>
          <w:szCs w:val="28"/>
          <w:u w:val="none"/>
          <w:lang w:val="en-US" w:eastAsia="zh-CN"/>
        </w:rPr>
        <w:t>土壤环境保护措施可行性论证</w:t>
      </w:r>
      <w:bookmarkEnd w:id="502"/>
    </w:p>
    <w:p w14:paraId="708B5F5A">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4.1施工期</w:t>
      </w:r>
      <w:r>
        <w:rPr>
          <w:rFonts w:hint="default" w:ascii="黑体" w:hAnsi="黑体" w:eastAsia="黑体" w:cs="黑体"/>
          <w:b/>
          <w:color w:val="auto"/>
          <w:kern w:val="0"/>
          <w:sz w:val="24"/>
          <w:szCs w:val="24"/>
          <w:highlight w:val="none"/>
          <w:u w:val="none"/>
          <w:lang w:val="en-US" w:eastAsia="zh-CN"/>
        </w:rPr>
        <w:t>土壤环境保护措施可行性论证</w:t>
      </w:r>
    </w:p>
    <w:p w14:paraId="691473F0">
      <w:pPr>
        <w:keepNext w:val="0"/>
        <w:keepLines w:val="0"/>
        <w:pageBreakBefore w:val="0"/>
        <w:widowControl w:val="0"/>
        <w:kinsoku/>
        <w:wordWrap/>
        <w:overflowPunct/>
        <w:topLinePunct/>
        <w:autoSpaceDE/>
        <w:autoSpaceDN/>
        <w:bidi w:val="0"/>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（1）应严格控制施工期临时占地面积，按设计及规划的施工范围进行施工作业，减少土壤扰动。</w:t>
      </w:r>
    </w:p>
    <w:p w14:paraId="182BD139">
      <w:pPr>
        <w:keepNext w:val="0"/>
        <w:keepLines w:val="0"/>
        <w:pageBreakBefore w:val="0"/>
        <w:widowControl w:val="0"/>
        <w:kinsoku/>
        <w:wordWrap/>
        <w:overflowPunct/>
        <w:topLinePunct/>
        <w:autoSpaceDE/>
        <w:autoSpaceDN/>
        <w:bidi w:val="0"/>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（2）施工机械及运输车辆应按规定的道路行驶，减少对土壤的碾压，减少碾压造成的土壤紧实度增加及养分流失。</w:t>
      </w:r>
    </w:p>
    <w:p w14:paraId="2046E5BF">
      <w:pPr>
        <w:keepNext w:val="0"/>
        <w:keepLines w:val="0"/>
        <w:pageBreakBefore w:val="0"/>
        <w:widowControl w:val="0"/>
        <w:kinsoku/>
        <w:wordWrap/>
        <w:overflowPunct/>
        <w:topLinePunct/>
        <w:autoSpaceDE/>
        <w:autoSpaceDN/>
        <w:bidi w:val="0"/>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（3）施工产生的建筑垃圾不得随意抛洒，应集中收集并及时清运，防止污染物进入土壤环境造成污染。采取的土壤污染防治措施可行。</w:t>
      </w:r>
    </w:p>
    <w:p w14:paraId="61D696A9">
      <w:pPr>
        <w:keepNext w:val="0"/>
        <w:keepLines w:val="0"/>
        <w:pageBreakBefore w:val="0"/>
        <w:widowControl w:val="0"/>
        <w:kinsoku/>
        <w:wordWrap/>
        <w:overflowPunct/>
        <w:topLinePunct/>
        <w:autoSpaceDE/>
        <w:autoSpaceDN/>
        <w:bidi w:val="0"/>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（4）项目区处于风蚀区，需要严格采取各项水土流失防治措施，施工完毕后通过对临时占地采取土地平整和防沙治沙措施，地表基本可免受水土流失。</w:t>
      </w:r>
    </w:p>
    <w:p w14:paraId="60BEB2E5">
      <w:pPr>
        <w:keepNext w:val="0"/>
        <w:keepLines w:val="0"/>
        <w:pageBreakBefore w:val="0"/>
        <w:widowControl w:val="0"/>
        <w:kinsoku/>
        <w:wordWrap/>
        <w:overflowPunct/>
        <w:topLinePunct/>
        <w:autoSpaceDE/>
        <w:autoSpaceDN/>
        <w:bidi w:val="0"/>
        <w:spacing w:before="0" w:beforeAutospacing="0" w:after="0" w:afterAutospacing="0" w:line="480" w:lineRule="exact"/>
        <w:ind w:firstLine="480" w:firstLineChars="200"/>
        <w:jc w:val="both"/>
        <w:textAlignment w:val="auto"/>
        <w:rPr>
          <w:rFonts w:ascii="Times New Roman" w:hAnsi="Times New Roman" w:eastAsia="宋体" w:cs="Times New Roman"/>
          <w:b/>
          <w:color w:val="auto"/>
          <w:kern w:val="44"/>
          <w:sz w:val="30"/>
          <w:szCs w:val="20"/>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综上，本工程施工期采取的土壤污染防治措施可行。</w:t>
      </w:r>
    </w:p>
    <w:bookmarkEnd w:id="503"/>
    <w:bookmarkEnd w:id="504"/>
    <w:bookmarkEnd w:id="505"/>
    <w:bookmarkEnd w:id="506"/>
    <w:bookmarkEnd w:id="507"/>
    <w:bookmarkEnd w:id="508"/>
    <w:p w14:paraId="65233E87">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4.2运营期</w:t>
      </w:r>
      <w:r>
        <w:rPr>
          <w:rFonts w:hint="default" w:ascii="黑体" w:hAnsi="黑体" w:eastAsia="黑体" w:cs="黑体"/>
          <w:b/>
          <w:color w:val="auto"/>
          <w:kern w:val="0"/>
          <w:sz w:val="24"/>
          <w:szCs w:val="24"/>
          <w:highlight w:val="none"/>
          <w:u w:val="none"/>
          <w:lang w:val="en-US" w:eastAsia="zh-CN"/>
        </w:rPr>
        <w:t>土壤环境保护措施可行性论证</w:t>
      </w:r>
    </w:p>
    <w:p w14:paraId="2C71C0C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Calibri" w:hAnsi="Calibri" w:eastAsia="宋体" w:cs="宋体"/>
          <w:color w:val="auto"/>
          <w:kern w:val="0"/>
          <w:sz w:val="24"/>
          <w:szCs w:val="24"/>
          <w:highlight w:val="none"/>
          <w:u w:val="none"/>
        </w:rPr>
      </w:pPr>
      <w:r>
        <w:rPr>
          <w:rFonts w:hint="eastAsia" w:ascii="Calibri" w:hAnsi="Calibri" w:eastAsia="宋体" w:cs="宋体"/>
          <w:color w:val="auto"/>
          <w:kern w:val="0"/>
          <w:sz w:val="24"/>
          <w:szCs w:val="24"/>
          <w:highlight w:val="none"/>
          <w:u w:val="none"/>
        </w:rPr>
        <w:t>结合</w:t>
      </w:r>
      <w:r>
        <w:rPr>
          <w:rFonts w:hint="eastAsia" w:ascii="Calibri" w:hAnsi="Calibri" w:eastAsia="宋体" w:cs="宋体"/>
          <w:color w:val="auto"/>
          <w:kern w:val="0"/>
          <w:sz w:val="24"/>
          <w:szCs w:val="24"/>
          <w:highlight w:val="none"/>
          <w:u w:val="none"/>
          <w:lang w:eastAsia="zh-CN"/>
        </w:rPr>
        <w:t>本工程</w:t>
      </w:r>
      <w:r>
        <w:rPr>
          <w:rFonts w:hint="eastAsia" w:ascii="Calibri" w:hAnsi="Calibri" w:eastAsia="宋体" w:cs="宋体"/>
          <w:color w:val="auto"/>
          <w:kern w:val="0"/>
          <w:sz w:val="24"/>
          <w:szCs w:val="24"/>
          <w:highlight w:val="none"/>
          <w:u w:val="none"/>
        </w:rPr>
        <w:t>特点与调查评价范围内的土壤环境质量现状，在分析土壤污染途径的基础上，根据环境影响预测与评价结果，</w:t>
      </w:r>
      <w:bookmarkStart w:id="509" w:name="_Hlk89191531"/>
      <w:r>
        <w:rPr>
          <w:rFonts w:hint="eastAsia" w:ascii="Calibri" w:hAnsi="Calibri" w:eastAsia="宋体" w:cs="宋体"/>
          <w:color w:val="auto"/>
          <w:kern w:val="0"/>
          <w:sz w:val="24"/>
          <w:szCs w:val="24"/>
          <w:highlight w:val="none"/>
          <w:u w:val="none"/>
        </w:rPr>
        <w:t>按照“源头控制、过程防控、跟踪监测、应急响应”相结合的原则</w:t>
      </w:r>
      <w:bookmarkEnd w:id="509"/>
      <w:r>
        <w:rPr>
          <w:rFonts w:hint="eastAsia" w:ascii="Calibri" w:hAnsi="Calibri" w:eastAsia="宋体" w:cs="宋体"/>
          <w:color w:val="auto"/>
          <w:kern w:val="0"/>
          <w:sz w:val="24"/>
          <w:szCs w:val="24"/>
          <w:highlight w:val="none"/>
          <w:u w:val="none"/>
        </w:rPr>
        <w:t>，提出合理、可行、操作性强的土壤环境影响防控措施。</w:t>
      </w:r>
    </w:p>
    <w:p w14:paraId="74AB5D19">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eastAsia" w:ascii="宋体" w:hAnsi="宋体" w:eastAsia="宋体" w:cs="宋体"/>
          <w:b/>
          <w:color w:val="auto"/>
          <w:kern w:val="2"/>
          <w:sz w:val="24"/>
          <w:szCs w:val="22"/>
          <w:u w:val="none"/>
          <w:lang w:val="en-US" w:eastAsia="zh-CN" w:bidi="ar-SA"/>
        </w:rPr>
      </w:pPr>
      <w:r>
        <w:rPr>
          <w:rFonts w:hint="eastAsia" w:ascii="宋体" w:hAnsi="宋体" w:eastAsia="宋体" w:cs="宋体"/>
          <w:b/>
          <w:color w:val="auto"/>
          <w:kern w:val="2"/>
          <w:sz w:val="24"/>
          <w:szCs w:val="22"/>
          <w:u w:val="none"/>
          <w:lang w:val="en-US" w:eastAsia="zh-CN" w:bidi="ar-SA"/>
        </w:rPr>
        <w:t>6.</w:t>
      </w:r>
      <w:r>
        <w:rPr>
          <w:rFonts w:hint="eastAsia" w:ascii="宋体" w:hAnsi="宋体" w:cs="宋体"/>
          <w:b/>
          <w:color w:val="auto"/>
          <w:kern w:val="2"/>
          <w:sz w:val="24"/>
          <w:szCs w:val="22"/>
          <w:u w:val="none"/>
          <w:lang w:val="en-US" w:eastAsia="zh-CN" w:bidi="ar-SA"/>
        </w:rPr>
        <w:t>4.2</w:t>
      </w:r>
      <w:r>
        <w:rPr>
          <w:rFonts w:hint="eastAsia" w:ascii="宋体" w:hAnsi="宋体" w:eastAsia="宋体" w:cs="宋体"/>
          <w:b/>
          <w:color w:val="auto"/>
          <w:kern w:val="2"/>
          <w:sz w:val="24"/>
          <w:szCs w:val="22"/>
          <w:u w:val="none"/>
          <w:lang w:val="en-US" w:eastAsia="zh-CN" w:bidi="ar-SA"/>
        </w:rPr>
        <w:t>.1 源头控制措施</w:t>
      </w:r>
    </w:p>
    <w:p w14:paraId="525A4B9B">
      <w:pPr>
        <w:keepNext w:val="0"/>
        <w:keepLines w:val="0"/>
        <w:pageBreakBefore w:val="0"/>
        <w:widowControl/>
        <w:kinsoku/>
        <w:wordWrap/>
        <w:overflowPunct/>
        <w:topLinePunct w:val="0"/>
        <w:autoSpaceDE/>
        <w:autoSpaceDN/>
        <w:bidi w:val="0"/>
        <w:adjustRightInd/>
        <w:snapToGrid/>
        <w:spacing w:line="480" w:lineRule="exact"/>
        <w:ind w:firstLine="456" w:firstLineChars="200"/>
        <w:jc w:val="both"/>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spacing w:val="-6"/>
          <w:kern w:val="0"/>
          <w:sz w:val="24"/>
          <w:szCs w:val="24"/>
          <w:highlight w:val="none"/>
          <w:u w:val="none"/>
        </w:rPr>
        <w:t>从生产过程入手，在工艺、设备、集输管道等方面尽可能地采取泄漏控制措施，从源头最大限度降低</w:t>
      </w:r>
      <w:r>
        <w:rPr>
          <w:rFonts w:hint="eastAsia" w:ascii="Times New Roman" w:hAnsi="Times New Roman" w:eastAsia="宋体" w:cs="Times New Roman"/>
          <w:color w:val="auto"/>
          <w:spacing w:val="-6"/>
          <w:kern w:val="0"/>
          <w:sz w:val="24"/>
          <w:szCs w:val="24"/>
          <w:highlight w:val="none"/>
          <w:u w:val="none"/>
          <w:lang w:val="en-US" w:eastAsia="zh-CN"/>
        </w:rPr>
        <w:t>含油废水</w:t>
      </w:r>
      <w:r>
        <w:rPr>
          <w:rFonts w:ascii="Times New Roman" w:hAnsi="Times New Roman" w:eastAsia="宋体" w:cs="Times New Roman"/>
          <w:color w:val="auto"/>
          <w:spacing w:val="-6"/>
          <w:kern w:val="0"/>
          <w:sz w:val="24"/>
          <w:szCs w:val="24"/>
          <w:highlight w:val="none"/>
          <w:u w:val="none"/>
        </w:rPr>
        <w:t>泄漏的可能性和泄漏量，使项目区污染物对土壤的影响降至最低，一旦出现泄漏等即可由区域内的各种配套措施进行收集、处置。</w:t>
      </w:r>
    </w:p>
    <w:p w14:paraId="5F9FB1C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（1）定期派人检查井口区，是否有采出液</w:t>
      </w:r>
      <w:r>
        <w:rPr>
          <w:rFonts w:hint="eastAsia" w:ascii="Times New Roman" w:hAnsi="Times New Roman" w:eastAsia="宋体" w:cs="Times New Roman"/>
          <w:color w:val="auto"/>
          <w:kern w:val="0"/>
          <w:sz w:val="24"/>
          <w:szCs w:val="24"/>
          <w:highlight w:val="none"/>
          <w:u w:val="none"/>
        </w:rPr>
        <w:t>泄漏</w:t>
      </w:r>
      <w:r>
        <w:rPr>
          <w:rFonts w:ascii="Times New Roman" w:hAnsi="Times New Roman" w:eastAsia="宋体" w:cs="Times New Roman"/>
          <w:color w:val="auto"/>
          <w:kern w:val="0"/>
          <w:sz w:val="24"/>
          <w:szCs w:val="24"/>
          <w:highlight w:val="none"/>
          <w:u w:val="none"/>
        </w:rPr>
        <w:t>的现象发生。</w:t>
      </w:r>
    </w:p>
    <w:p w14:paraId="23B660D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（2）选用耐腐蚀性能好、抗老化性能、耐热性能好、抗冻性能好、耐磨性能好的管材作为集输管线，可有效的防止管线腐蚀穿孔，降低管线环境风险事故的发生。</w:t>
      </w:r>
    </w:p>
    <w:p w14:paraId="40BFC90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（3）对管道定期检修，将事故发生的概率降至最低，可有效保护土壤和地下水环境不受污染。</w:t>
      </w:r>
    </w:p>
    <w:p w14:paraId="1B65413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（4）由于发生管线泄漏时管线的压力变化明显比较容易发现，可及时采取必要的处理措施，使造成的污染控制在局部环境。</w:t>
      </w:r>
    </w:p>
    <w:p w14:paraId="3AD3128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（5）如果发生集输管道的采出</w:t>
      </w:r>
      <w:r>
        <w:rPr>
          <w:rFonts w:hint="eastAsia" w:ascii="Times New Roman" w:hAnsi="Times New Roman" w:eastAsia="宋体" w:cs="Times New Roman"/>
          <w:color w:val="auto"/>
          <w:kern w:val="0"/>
          <w:sz w:val="24"/>
          <w:szCs w:val="24"/>
          <w:highlight w:val="none"/>
          <w:u w:val="none"/>
          <w:lang w:val="en-US" w:eastAsia="zh-CN"/>
        </w:rPr>
        <w:t>物</w:t>
      </w:r>
      <w:r>
        <w:rPr>
          <w:rFonts w:hint="default" w:ascii="Times New Roman" w:hAnsi="Times New Roman" w:eastAsia="宋体" w:cs="Times New Roman"/>
          <w:color w:val="auto"/>
          <w:kern w:val="0"/>
          <w:sz w:val="24"/>
          <w:szCs w:val="24"/>
          <w:highlight w:val="none"/>
          <w:u w:val="none"/>
        </w:rPr>
        <w:t>渗漏，建设单位应立即采取切断措施并及时组织专门力量进行污染物的清除工作，在最短的时间内清除地面及地下的石油类物质，委托具有相应危废处理资质单位对污染土壤进行转运处置，因而，石油类污染物进入土壤和地下潜水的可能性较小。</w:t>
      </w:r>
    </w:p>
    <w:p w14:paraId="660236F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具体步骤为：</w:t>
      </w:r>
    </w:p>
    <w:p w14:paraId="2ED12214">
      <w:pPr>
        <w:keepNext w:val="0"/>
        <w:keepLines w:val="0"/>
        <w:pageBreakBefore w:val="0"/>
        <w:widowControl/>
        <w:kinsoku/>
        <w:wordWrap/>
        <w:overflowPunct/>
        <w:topLinePunct w:val="0"/>
        <w:autoSpaceDE/>
        <w:autoSpaceDN/>
        <w:bidi w:val="0"/>
        <w:adjustRightInd/>
        <w:snapToGrid/>
        <w:spacing w:line="480" w:lineRule="exact"/>
        <w:ind w:left="400"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1）按顺序停泵或关井</w:t>
      </w:r>
    </w:p>
    <w:p w14:paraId="732BD79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在管道发生断裂、漏油事故时，按顺序停泵或关井。抢修队根据现场情况及时抢修，做好安全防范工作，把损失控制在最小范围内。</w:t>
      </w:r>
    </w:p>
    <w:p w14:paraId="31168A39">
      <w:pPr>
        <w:keepNext w:val="0"/>
        <w:keepLines w:val="0"/>
        <w:pageBreakBefore w:val="0"/>
        <w:widowControl/>
        <w:kinsoku/>
        <w:wordWrap/>
        <w:overflowPunct/>
        <w:topLinePunct w:val="0"/>
        <w:autoSpaceDE/>
        <w:autoSpaceDN/>
        <w:bidi w:val="0"/>
        <w:adjustRightInd/>
        <w:snapToGrid/>
        <w:spacing w:line="480" w:lineRule="exact"/>
        <w:ind w:left="400"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rPr>
        <w:t>2）回收泄漏</w:t>
      </w:r>
      <w:r>
        <w:rPr>
          <w:rFonts w:hint="eastAsia" w:ascii="Times New Roman" w:hAnsi="Times New Roman" w:eastAsia="宋体" w:cs="Times New Roman"/>
          <w:color w:val="auto"/>
          <w:kern w:val="0"/>
          <w:sz w:val="24"/>
          <w:szCs w:val="24"/>
          <w:highlight w:val="none"/>
          <w:u w:val="none"/>
          <w:lang w:eastAsia="zh-CN"/>
        </w:rPr>
        <w:t>油</w:t>
      </w:r>
      <w:r>
        <w:rPr>
          <w:rFonts w:hint="eastAsia" w:ascii="Times New Roman" w:hAnsi="Times New Roman" w:eastAsia="宋体" w:cs="Times New Roman"/>
          <w:color w:val="auto"/>
          <w:kern w:val="0"/>
          <w:sz w:val="24"/>
          <w:szCs w:val="24"/>
          <w:highlight w:val="none"/>
          <w:u w:val="none"/>
          <w:lang w:val="en-US" w:eastAsia="zh-CN"/>
        </w:rPr>
        <w:t>品</w:t>
      </w:r>
    </w:p>
    <w:p w14:paraId="2B53590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首先限制地表污染的扩大。油受重力和地形的控制，会流向低洼地带，应尽量防止泄漏</w:t>
      </w:r>
      <w:r>
        <w:rPr>
          <w:rFonts w:hint="eastAsia" w:ascii="Times New Roman" w:hAnsi="Times New Roman" w:eastAsia="宋体" w:cs="Times New Roman"/>
          <w:color w:val="auto"/>
          <w:kern w:val="0"/>
          <w:sz w:val="24"/>
          <w:szCs w:val="24"/>
          <w:highlight w:val="none"/>
          <w:u w:val="none"/>
          <w:lang w:eastAsia="zh-CN"/>
        </w:rPr>
        <w:t>油</w:t>
      </w:r>
      <w:r>
        <w:rPr>
          <w:rFonts w:hint="eastAsia" w:ascii="Times New Roman" w:hAnsi="Times New Roman" w:eastAsia="宋体" w:cs="Times New Roman"/>
          <w:color w:val="auto"/>
          <w:kern w:val="0"/>
          <w:sz w:val="24"/>
          <w:szCs w:val="24"/>
          <w:highlight w:val="none"/>
          <w:u w:val="none"/>
          <w:lang w:val="en-US" w:eastAsia="zh-CN"/>
        </w:rPr>
        <w:t>品</w:t>
      </w:r>
      <w:r>
        <w:rPr>
          <w:rFonts w:hint="default" w:ascii="Times New Roman" w:hAnsi="Times New Roman" w:eastAsia="宋体" w:cs="Times New Roman"/>
          <w:color w:val="auto"/>
          <w:kern w:val="0"/>
          <w:sz w:val="24"/>
          <w:szCs w:val="24"/>
          <w:highlight w:val="none"/>
          <w:u w:val="none"/>
        </w:rPr>
        <w:t>移动。在可能的情况下应进行筑堤，汇集在低洼坑中的地表油，用车及时进行收集，将严重污染的土壤集中处理，交由有资质单位进行处置。</w:t>
      </w:r>
    </w:p>
    <w:p w14:paraId="6537E6D8">
      <w:pPr>
        <w:keepNext w:val="0"/>
        <w:keepLines w:val="0"/>
        <w:pageBreakBefore w:val="0"/>
        <w:widowControl/>
        <w:kinsoku/>
        <w:wordWrap/>
        <w:overflowPunct/>
        <w:topLinePunct w:val="0"/>
        <w:autoSpaceDE/>
        <w:autoSpaceDN/>
        <w:bidi w:val="0"/>
        <w:adjustRightInd/>
        <w:snapToGrid/>
        <w:spacing w:line="480" w:lineRule="exact"/>
        <w:ind w:left="400" w:firstLine="480" w:firstLineChars="20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3）挖坑应急</w:t>
      </w:r>
    </w:p>
    <w:p w14:paraId="0F18E3A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因地制宜地采取有效措施清除土壤油浸润体中的残油，减轻土壤污染。</w:t>
      </w:r>
    </w:p>
    <w:p w14:paraId="138759B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fldChar w:fldCharType="begin"/>
      </w:r>
      <w:r>
        <w:rPr>
          <w:rFonts w:hint="default" w:ascii="Times New Roman" w:hAnsi="Times New Roman" w:eastAsia="宋体" w:cs="Times New Roman"/>
          <w:color w:val="auto"/>
          <w:kern w:val="0"/>
          <w:sz w:val="24"/>
          <w:szCs w:val="24"/>
          <w:highlight w:val="none"/>
          <w:u w:val="none"/>
        </w:rPr>
        <w:instrText xml:space="preserve"> = 1 \* GB3 </w:instrText>
      </w:r>
      <w:r>
        <w:rPr>
          <w:rFonts w:hint="default" w:ascii="Times New Roman" w:hAnsi="Times New Roman" w:eastAsia="宋体" w:cs="Times New Roman"/>
          <w:color w:val="auto"/>
          <w:kern w:val="0"/>
          <w:sz w:val="24"/>
          <w:szCs w:val="24"/>
          <w:highlight w:val="none"/>
          <w:u w:val="none"/>
        </w:rPr>
        <w:fldChar w:fldCharType="separate"/>
      </w:r>
      <w:r>
        <w:rPr>
          <w:rFonts w:hint="default" w:ascii="Times New Roman" w:hAnsi="Times New Roman" w:eastAsia="宋体" w:cs="Times New Roman"/>
          <w:color w:val="auto"/>
          <w:kern w:val="0"/>
          <w:sz w:val="24"/>
          <w:szCs w:val="24"/>
          <w:highlight w:val="none"/>
          <w:u w:val="none"/>
        </w:rPr>
        <w:t>①</w:t>
      </w:r>
      <w:r>
        <w:rPr>
          <w:rFonts w:hint="default" w:ascii="Times New Roman" w:hAnsi="Times New Roman" w:eastAsia="宋体" w:cs="Times New Roman"/>
          <w:color w:val="auto"/>
          <w:kern w:val="0"/>
          <w:sz w:val="24"/>
          <w:szCs w:val="24"/>
          <w:highlight w:val="none"/>
          <w:u w:val="none"/>
        </w:rPr>
        <w:fldChar w:fldCharType="end"/>
      </w:r>
      <w:r>
        <w:rPr>
          <w:rFonts w:hint="eastAsia" w:ascii="Times New Roman" w:hAnsi="Times New Roman" w:eastAsia="宋体" w:cs="Times New Roman"/>
          <w:color w:val="auto"/>
          <w:kern w:val="0"/>
          <w:sz w:val="24"/>
          <w:szCs w:val="24"/>
          <w:highlight w:val="none"/>
          <w:u w:val="none"/>
          <w:lang w:val="en-US" w:eastAsia="zh-CN"/>
        </w:rPr>
        <w:t xml:space="preserve"> </w:t>
      </w:r>
      <w:r>
        <w:rPr>
          <w:rFonts w:hint="default" w:ascii="Times New Roman" w:hAnsi="Times New Roman" w:eastAsia="宋体" w:cs="Times New Roman"/>
          <w:color w:val="auto"/>
          <w:kern w:val="0"/>
          <w:sz w:val="24"/>
          <w:szCs w:val="24"/>
          <w:highlight w:val="none"/>
          <w:u w:val="none"/>
        </w:rPr>
        <w:t>坑撇油：在漏油点附近挖坑进行撇油。</w:t>
      </w:r>
    </w:p>
    <w:p w14:paraId="5AE22B4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②</w:t>
      </w:r>
      <w:r>
        <w:rPr>
          <w:rFonts w:hint="eastAsia" w:ascii="Times New Roman" w:hAnsi="Times New Roman" w:eastAsia="宋体" w:cs="Times New Roman"/>
          <w:color w:val="auto"/>
          <w:kern w:val="0"/>
          <w:sz w:val="24"/>
          <w:szCs w:val="24"/>
          <w:highlight w:val="none"/>
          <w:u w:val="none"/>
          <w:lang w:val="en-US" w:eastAsia="zh-CN"/>
        </w:rPr>
        <w:t xml:space="preserve"> </w:t>
      </w:r>
      <w:r>
        <w:rPr>
          <w:rFonts w:hint="default" w:ascii="Times New Roman" w:hAnsi="Times New Roman" w:eastAsia="宋体" w:cs="Times New Roman"/>
          <w:color w:val="auto"/>
          <w:kern w:val="0"/>
          <w:sz w:val="24"/>
          <w:szCs w:val="24"/>
          <w:highlight w:val="none"/>
          <w:u w:val="none"/>
        </w:rPr>
        <w:t>挖沟截油：根据</w:t>
      </w:r>
      <w:r>
        <w:rPr>
          <w:rFonts w:hint="eastAsia" w:ascii="Times New Roman" w:hAnsi="Times New Roman" w:eastAsia="宋体" w:cs="Times New Roman"/>
          <w:color w:val="auto"/>
          <w:kern w:val="0"/>
          <w:sz w:val="24"/>
          <w:szCs w:val="24"/>
          <w:highlight w:val="none"/>
          <w:u w:val="none"/>
          <w:lang w:eastAsia="zh-CN"/>
        </w:rPr>
        <w:t>原油</w:t>
      </w:r>
      <w:r>
        <w:rPr>
          <w:rFonts w:hint="default" w:ascii="Times New Roman" w:hAnsi="Times New Roman" w:eastAsia="宋体" w:cs="Times New Roman"/>
          <w:color w:val="auto"/>
          <w:kern w:val="0"/>
          <w:sz w:val="24"/>
          <w:szCs w:val="24"/>
          <w:highlight w:val="none"/>
          <w:u w:val="none"/>
        </w:rPr>
        <w:t>以漏油点为点源向下游迁移扩散为主的特点，在漏油点下游的10m～30m处，根据漏油量的大小挖2</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3m深的两条水平截油沟，一撇二排，以加速土壤油浸润体中残油的外泄，减小事故影响范围。</w:t>
      </w:r>
    </w:p>
    <w:p w14:paraId="5F25F3DB">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eastAsia" w:ascii="宋体" w:hAnsi="宋体" w:eastAsia="宋体" w:cs="宋体"/>
          <w:b/>
          <w:color w:val="auto"/>
          <w:kern w:val="2"/>
          <w:sz w:val="24"/>
          <w:szCs w:val="22"/>
          <w:u w:val="none"/>
          <w:lang w:val="en-US" w:eastAsia="zh-CN" w:bidi="ar-SA"/>
        </w:rPr>
      </w:pPr>
      <w:r>
        <w:rPr>
          <w:rFonts w:hint="eastAsia" w:ascii="宋体" w:hAnsi="宋体" w:eastAsia="宋体" w:cs="宋体"/>
          <w:b/>
          <w:color w:val="auto"/>
          <w:kern w:val="2"/>
          <w:sz w:val="24"/>
          <w:szCs w:val="22"/>
          <w:u w:val="none"/>
          <w:lang w:val="en-US" w:eastAsia="zh-CN" w:bidi="ar-SA"/>
        </w:rPr>
        <w:t>6.</w:t>
      </w:r>
      <w:r>
        <w:rPr>
          <w:rFonts w:hint="eastAsia" w:ascii="宋体" w:hAnsi="宋体" w:cs="宋体"/>
          <w:b/>
          <w:color w:val="auto"/>
          <w:kern w:val="2"/>
          <w:sz w:val="24"/>
          <w:szCs w:val="22"/>
          <w:u w:val="none"/>
          <w:lang w:val="en-US" w:eastAsia="zh-CN" w:bidi="ar-SA"/>
        </w:rPr>
        <w:t>4.2</w:t>
      </w:r>
      <w:r>
        <w:rPr>
          <w:rFonts w:hint="eastAsia" w:ascii="宋体" w:hAnsi="宋体" w:eastAsia="宋体" w:cs="宋体"/>
          <w:b/>
          <w:color w:val="auto"/>
          <w:kern w:val="2"/>
          <w:sz w:val="24"/>
          <w:szCs w:val="22"/>
          <w:u w:val="none"/>
          <w:lang w:val="en-US" w:eastAsia="zh-CN" w:bidi="ar-SA"/>
        </w:rPr>
        <w:t>.2 过程控制措施</w:t>
      </w:r>
    </w:p>
    <w:p w14:paraId="7D7CF08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Calibri" w:hAnsi="Calibri" w:eastAsia="宋体" w:cs="宋体"/>
          <w:color w:val="auto"/>
          <w:kern w:val="0"/>
          <w:sz w:val="24"/>
          <w:szCs w:val="24"/>
          <w:highlight w:val="none"/>
          <w:u w:val="none"/>
        </w:rPr>
      </w:pPr>
      <w:r>
        <w:rPr>
          <w:rFonts w:hint="eastAsia" w:ascii="Calibri" w:hAnsi="Calibri" w:eastAsia="宋体" w:cs="宋体"/>
          <w:color w:val="auto"/>
          <w:kern w:val="0"/>
          <w:sz w:val="24"/>
          <w:szCs w:val="24"/>
          <w:highlight w:val="none"/>
          <w:u w:val="none"/>
        </w:rPr>
        <w:t>根据</w:t>
      </w:r>
      <w:r>
        <w:rPr>
          <w:rFonts w:hint="eastAsia" w:ascii="Calibri" w:hAnsi="Calibri" w:eastAsia="宋体" w:cs="宋体"/>
          <w:color w:val="auto"/>
          <w:kern w:val="0"/>
          <w:sz w:val="24"/>
          <w:szCs w:val="24"/>
          <w:highlight w:val="none"/>
          <w:u w:val="none"/>
          <w:lang w:eastAsia="zh-CN"/>
        </w:rPr>
        <w:t>本工程</w:t>
      </w:r>
      <w:r>
        <w:rPr>
          <w:rFonts w:hint="eastAsia" w:ascii="Calibri" w:hAnsi="Calibri" w:eastAsia="宋体" w:cs="宋体"/>
          <w:color w:val="auto"/>
          <w:kern w:val="0"/>
          <w:sz w:val="24"/>
          <w:szCs w:val="24"/>
          <w:highlight w:val="none"/>
          <w:u w:val="none"/>
        </w:rPr>
        <w:t>特点，从垂直入渗途径，采取过程阻断、污染物削减和分区防控措施保护土壤环境。</w:t>
      </w:r>
    </w:p>
    <w:p w14:paraId="02858EA3">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eastAsia" w:ascii="宋体" w:hAnsi="宋体" w:eastAsia="宋体" w:cs="宋体"/>
          <w:b/>
          <w:color w:val="auto"/>
          <w:kern w:val="2"/>
          <w:sz w:val="24"/>
          <w:szCs w:val="22"/>
          <w:u w:val="none"/>
          <w:lang w:val="en-US" w:eastAsia="zh-CN" w:bidi="ar-SA"/>
        </w:rPr>
      </w:pPr>
      <w:r>
        <w:rPr>
          <w:rFonts w:hint="eastAsia" w:ascii="宋体" w:hAnsi="宋体" w:eastAsia="宋体" w:cs="宋体"/>
          <w:b/>
          <w:color w:val="auto"/>
          <w:kern w:val="2"/>
          <w:sz w:val="24"/>
          <w:szCs w:val="22"/>
          <w:u w:val="none"/>
          <w:lang w:val="en-US" w:eastAsia="zh-CN" w:bidi="ar-SA"/>
        </w:rPr>
        <w:t>6.</w:t>
      </w:r>
      <w:r>
        <w:rPr>
          <w:rFonts w:hint="eastAsia" w:ascii="宋体" w:hAnsi="宋体" w:cs="宋体"/>
          <w:b/>
          <w:color w:val="auto"/>
          <w:kern w:val="2"/>
          <w:sz w:val="24"/>
          <w:szCs w:val="22"/>
          <w:u w:val="none"/>
          <w:lang w:val="en-US" w:eastAsia="zh-CN" w:bidi="ar-SA"/>
        </w:rPr>
        <w:t>4.2</w:t>
      </w:r>
      <w:r>
        <w:rPr>
          <w:rFonts w:hint="eastAsia" w:ascii="宋体" w:hAnsi="宋体" w:eastAsia="宋体" w:cs="宋体"/>
          <w:b/>
          <w:color w:val="auto"/>
          <w:kern w:val="2"/>
          <w:sz w:val="24"/>
          <w:szCs w:val="22"/>
          <w:u w:val="none"/>
          <w:lang w:val="en-US" w:eastAsia="zh-CN" w:bidi="ar-SA"/>
        </w:rPr>
        <w:t>.3 跟踪监测</w:t>
      </w:r>
    </w:p>
    <w:p w14:paraId="01923BB1">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根据《环境影响评价技术导则土壤环境</w:t>
      </w:r>
      <w:r>
        <w:rPr>
          <w:rFonts w:hint="eastAsia" w:ascii="Times New Roman" w:hAnsi="Times New Roman" w:eastAsia="宋体" w:cs="Times New Roman"/>
          <w:color w:val="auto"/>
          <w:kern w:val="2"/>
          <w:sz w:val="24"/>
          <w:szCs w:val="20"/>
          <w:highlight w:val="none"/>
          <w:u w:val="none"/>
          <w:lang w:val="en-US" w:eastAsia="zh-CN" w:bidi="ar-SA"/>
        </w:rPr>
        <w:t>（</w:t>
      </w:r>
      <w:r>
        <w:rPr>
          <w:rFonts w:ascii="Times New Roman" w:hAnsi="Times New Roman" w:eastAsia="宋体" w:cs="Times New Roman"/>
          <w:color w:val="auto"/>
          <w:kern w:val="2"/>
          <w:sz w:val="24"/>
          <w:szCs w:val="20"/>
          <w:highlight w:val="none"/>
          <w:u w:val="none"/>
          <w:lang w:val="en-US" w:eastAsia="zh-CN" w:bidi="ar-SA"/>
        </w:rPr>
        <w:t>试行</w:t>
      </w:r>
      <w:r>
        <w:rPr>
          <w:rFonts w:hint="eastAsia" w:ascii="Times New Roman" w:hAnsi="Times New Roman" w:eastAsia="宋体" w:cs="Times New Roman"/>
          <w:color w:val="auto"/>
          <w:kern w:val="2"/>
          <w:sz w:val="24"/>
          <w:szCs w:val="20"/>
          <w:highlight w:val="none"/>
          <w:u w:val="none"/>
          <w:lang w:val="en-US" w:eastAsia="zh-CN" w:bidi="ar-SA"/>
        </w:rPr>
        <w:t>）</w:t>
      </w:r>
      <w:r>
        <w:rPr>
          <w:rFonts w:ascii="Times New Roman" w:hAnsi="Times New Roman" w:eastAsia="宋体" w:cs="Times New Roman"/>
          <w:color w:val="auto"/>
          <w:kern w:val="2"/>
          <w:sz w:val="24"/>
          <w:szCs w:val="20"/>
          <w:highlight w:val="none"/>
          <w:u w:val="none"/>
          <w:lang w:val="en-US" w:eastAsia="zh-CN" w:bidi="ar-SA"/>
        </w:rPr>
        <w:t>》</w:t>
      </w:r>
      <w:r>
        <w:rPr>
          <w:rFonts w:hint="eastAsia" w:ascii="Times New Roman" w:hAnsi="Times New Roman" w:eastAsia="宋体" w:cs="Times New Roman"/>
          <w:color w:val="auto"/>
          <w:kern w:val="2"/>
          <w:sz w:val="24"/>
          <w:szCs w:val="20"/>
          <w:highlight w:val="none"/>
          <w:u w:val="none"/>
          <w:lang w:val="en-US" w:eastAsia="zh-CN" w:bidi="ar-SA"/>
        </w:rPr>
        <w:t>（</w:t>
      </w:r>
      <w:r>
        <w:rPr>
          <w:rFonts w:ascii="Times New Roman" w:hAnsi="Times New Roman" w:eastAsia="宋体" w:cs="Times New Roman"/>
          <w:color w:val="auto"/>
          <w:kern w:val="2"/>
          <w:sz w:val="24"/>
          <w:szCs w:val="20"/>
          <w:highlight w:val="none"/>
          <w:u w:val="none"/>
          <w:lang w:val="en-US" w:eastAsia="zh-CN" w:bidi="ar-SA"/>
        </w:rPr>
        <w:t>HJ964-2018</w:t>
      </w:r>
      <w:r>
        <w:rPr>
          <w:rFonts w:hint="eastAsia" w:ascii="Times New Roman" w:hAnsi="Times New Roman" w:eastAsia="宋体" w:cs="Times New Roman"/>
          <w:color w:val="auto"/>
          <w:kern w:val="2"/>
          <w:sz w:val="24"/>
          <w:szCs w:val="20"/>
          <w:highlight w:val="none"/>
          <w:u w:val="none"/>
          <w:lang w:val="en-US" w:eastAsia="zh-CN" w:bidi="ar-SA"/>
        </w:rPr>
        <w:t>）</w:t>
      </w:r>
      <w:r>
        <w:rPr>
          <w:rFonts w:ascii="Times New Roman" w:hAnsi="Times New Roman" w:eastAsia="宋体" w:cs="Times New Roman"/>
          <w:color w:val="auto"/>
          <w:kern w:val="2"/>
          <w:sz w:val="24"/>
          <w:szCs w:val="20"/>
          <w:highlight w:val="none"/>
          <w:u w:val="none"/>
          <w:lang w:val="en-US" w:eastAsia="zh-CN" w:bidi="ar-SA"/>
        </w:rPr>
        <w:t>土壤</w:t>
      </w:r>
      <w:r>
        <w:rPr>
          <w:rFonts w:hint="eastAsia" w:ascii="Times New Roman" w:hAnsi="Times New Roman" w:eastAsia="宋体" w:cs="Times New Roman"/>
          <w:color w:val="auto"/>
          <w:kern w:val="2"/>
          <w:sz w:val="24"/>
          <w:szCs w:val="20"/>
          <w:highlight w:val="none"/>
          <w:u w:val="none"/>
          <w:lang w:val="en-US" w:eastAsia="zh-CN" w:bidi="ar-SA"/>
        </w:rPr>
        <w:t>已</w:t>
      </w:r>
      <w:r>
        <w:rPr>
          <w:rFonts w:ascii="Times New Roman" w:hAnsi="Times New Roman" w:eastAsia="宋体" w:cs="Times New Roman"/>
          <w:color w:val="auto"/>
          <w:kern w:val="2"/>
          <w:sz w:val="24"/>
          <w:szCs w:val="20"/>
          <w:highlight w:val="none"/>
          <w:u w:val="none"/>
          <w:lang w:val="en-US" w:eastAsia="zh-CN" w:bidi="ar-SA"/>
        </w:rPr>
        <w:t>级评价的跟踪监测要求，制定跟踪监测计划，发生事故</w:t>
      </w:r>
      <w:r>
        <w:rPr>
          <w:rFonts w:hint="eastAsia" w:ascii="Times New Roman" w:hAnsi="Times New Roman" w:eastAsia="宋体" w:cs="Times New Roman"/>
          <w:color w:val="auto"/>
          <w:kern w:val="2"/>
          <w:sz w:val="24"/>
          <w:szCs w:val="20"/>
          <w:highlight w:val="none"/>
          <w:u w:val="none"/>
          <w:lang w:val="en-US" w:eastAsia="zh-CN" w:bidi="ar-SA"/>
        </w:rPr>
        <w:t>泄漏</w:t>
      </w:r>
      <w:r>
        <w:rPr>
          <w:rFonts w:ascii="Times New Roman" w:hAnsi="Times New Roman" w:eastAsia="宋体" w:cs="Times New Roman"/>
          <w:color w:val="auto"/>
          <w:kern w:val="2"/>
          <w:sz w:val="24"/>
          <w:szCs w:val="20"/>
          <w:highlight w:val="none"/>
          <w:u w:val="none"/>
          <w:lang w:val="en-US" w:eastAsia="zh-CN" w:bidi="ar-SA"/>
        </w:rPr>
        <w:t>时对井场可能影响区域跟踪监测，在占地范围内</w:t>
      </w:r>
      <w:r>
        <w:rPr>
          <w:rFonts w:hint="eastAsia" w:ascii="Times New Roman" w:hAnsi="Times New Roman" w:eastAsia="宋体" w:cs="Times New Roman"/>
          <w:color w:val="auto"/>
          <w:kern w:val="2"/>
          <w:sz w:val="24"/>
          <w:szCs w:val="20"/>
          <w:highlight w:val="none"/>
          <w:u w:val="none"/>
          <w:lang w:val="en-US" w:eastAsia="zh-CN" w:bidi="ar-SA"/>
        </w:rPr>
        <w:t>设置1</w:t>
      </w:r>
      <w:r>
        <w:rPr>
          <w:rFonts w:ascii="Times New Roman" w:hAnsi="Times New Roman" w:eastAsia="宋体" w:cs="Times New Roman"/>
          <w:color w:val="auto"/>
          <w:kern w:val="2"/>
          <w:sz w:val="24"/>
          <w:szCs w:val="20"/>
          <w:highlight w:val="none"/>
          <w:u w:val="none"/>
          <w:lang w:val="en-US" w:eastAsia="zh-CN" w:bidi="ar-SA"/>
        </w:rPr>
        <w:t>个表层样</w:t>
      </w:r>
      <w:r>
        <w:rPr>
          <w:rFonts w:hint="eastAsia" w:ascii="Times New Roman" w:hAnsi="Times New Roman" w:eastAsia="宋体" w:cs="Times New Roman"/>
          <w:color w:val="auto"/>
          <w:kern w:val="2"/>
          <w:sz w:val="24"/>
          <w:szCs w:val="20"/>
          <w:highlight w:val="none"/>
          <w:u w:val="none"/>
          <w:lang w:val="en-US" w:eastAsia="zh-CN" w:bidi="ar-SA"/>
        </w:rPr>
        <w:t>监测点，</w:t>
      </w:r>
      <w:r>
        <w:rPr>
          <w:rFonts w:ascii="Times New Roman" w:hAnsi="Times New Roman" w:eastAsia="宋体" w:cs="Times New Roman"/>
          <w:color w:val="auto"/>
          <w:kern w:val="2"/>
          <w:sz w:val="24"/>
          <w:szCs w:val="20"/>
          <w:highlight w:val="none"/>
          <w:u w:val="none"/>
          <w:lang w:val="en-US" w:eastAsia="zh-CN" w:bidi="ar-SA"/>
        </w:rPr>
        <w:t>每</w:t>
      </w:r>
      <w:r>
        <w:rPr>
          <w:rFonts w:hint="eastAsia" w:ascii="Times New Roman" w:hAnsi="Times New Roman" w:eastAsia="宋体" w:cs="Times New Roman"/>
          <w:color w:val="auto"/>
          <w:kern w:val="2"/>
          <w:sz w:val="24"/>
          <w:szCs w:val="20"/>
          <w:highlight w:val="none"/>
          <w:u w:val="none"/>
          <w:lang w:val="en-US" w:eastAsia="zh-CN" w:bidi="ar-SA"/>
        </w:rPr>
        <w:t>5</w:t>
      </w:r>
      <w:r>
        <w:rPr>
          <w:rFonts w:ascii="Times New Roman" w:hAnsi="Times New Roman" w:eastAsia="宋体" w:cs="Times New Roman"/>
          <w:color w:val="auto"/>
          <w:kern w:val="2"/>
          <w:sz w:val="24"/>
          <w:szCs w:val="20"/>
          <w:highlight w:val="none"/>
          <w:u w:val="none"/>
          <w:lang w:val="en-US" w:eastAsia="zh-CN" w:bidi="ar-SA"/>
        </w:rPr>
        <w:t>年监测1次。</w:t>
      </w:r>
    </w:p>
    <w:p w14:paraId="7806A2C4">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2"/>
          <w:sz w:val="24"/>
          <w:szCs w:val="20"/>
          <w:highlight w:val="none"/>
          <w:u w:val="none"/>
          <w:lang w:val="en-US" w:eastAsia="zh-CN" w:bidi="ar-SA"/>
        </w:rPr>
        <w:t>综上所述，正常情况下，</w:t>
      </w:r>
      <w:r>
        <w:rPr>
          <w:rFonts w:hint="eastAsia" w:ascii="Times New Roman" w:hAnsi="Times New Roman" w:eastAsia="宋体" w:cs="Times New Roman"/>
          <w:color w:val="auto"/>
          <w:kern w:val="2"/>
          <w:sz w:val="24"/>
          <w:szCs w:val="20"/>
          <w:highlight w:val="none"/>
          <w:u w:val="none"/>
          <w:lang w:val="en-US" w:eastAsia="zh-CN" w:bidi="ar-SA"/>
        </w:rPr>
        <w:t>本工程</w:t>
      </w:r>
      <w:r>
        <w:rPr>
          <w:rFonts w:ascii="Times New Roman" w:hAnsi="Times New Roman" w:eastAsia="宋体" w:cs="Times New Roman"/>
          <w:color w:val="auto"/>
          <w:kern w:val="2"/>
          <w:sz w:val="24"/>
          <w:szCs w:val="20"/>
          <w:highlight w:val="none"/>
          <w:u w:val="none"/>
          <w:lang w:val="en-US" w:eastAsia="zh-CN" w:bidi="ar-SA"/>
        </w:rPr>
        <w:t>的各项工程不会污染土壤环境，非正常情况下，采取有效措施后可减轻对土壤环境的影响。在做好源头控制、过程防控等措施的前提下，可避免工程实施对土壤环境产生污染影响</w:t>
      </w:r>
      <w:r>
        <w:rPr>
          <w:rFonts w:ascii="Times New Roman" w:hAnsi="Times New Roman" w:eastAsia="宋体" w:cs="Times New Roman"/>
          <w:color w:val="auto"/>
          <w:kern w:val="0"/>
          <w:sz w:val="24"/>
          <w:szCs w:val="24"/>
          <w:highlight w:val="none"/>
          <w:u w:val="none"/>
        </w:rPr>
        <w:t>。</w:t>
      </w:r>
    </w:p>
    <w:p w14:paraId="1A559856">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4.3退役期</w:t>
      </w:r>
      <w:r>
        <w:rPr>
          <w:rFonts w:hint="default" w:ascii="黑体" w:hAnsi="黑体" w:eastAsia="黑体" w:cs="黑体"/>
          <w:b/>
          <w:color w:val="auto"/>
          <w:kern w:val="0"/>
          <w:sz w:val="24"/>
          <w:szCs w:val="24"/>
          <w:highlight w:val="none"/>
          <w:u w:val="none"/>
          <w:lang w:val="en-US" w:eastAsia="zh-CN"/>
        </w:rPr>
        <w:t>土壤环境保护措施可行性论证</w:t>
      </w:r>
    </w:p>
    <w:p w14:paraId="5B2F01D7">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rPr>
        <w:t>地面设施拆除、井场清理等工作过程中被原油污染的土壤或油渣等危险固废，交由有资质的单位进行无害化处置，不会对周围环境产生影响。</w:t>
      </w:r>
    </w:p>
    <w:p w14:paraId="51ECA5D1">
      <w:pPr>
        <w:pStyle w:val="50"/>
        <w:keepNext/>
        <w:keepLines/>
        <w:pageBreakBefore w:val="0"/>
        <w:widowControl w:val="0"/>
        <w:kinsoku/>
        <w:wordWrap/>
        <w:overflowPunct/>
        <w:topLinePunct w:val="0"/>
        <w:autoSpaceDE/>
        <w:autoSpaceDN/>
        <w:bidi w:val="0"/>
        <w:adjustRightInd/>
        <w:snapToGrid/>
        <w:spacing w:before="164" w:beforeLines="50" w:after="0" w:line="360" w:lineRule="auto"/>
        <w:textAlignment w:val="auto"/>
        <w:outlineLvl w:val="1"/>
        <w:rPr>
          <w:rFonts w:hint="eastAsia" w:ascii="黑体" w:hAnsi="黑体" w:eastAsia="黑体" w:cs="黑体"/>
          <w:color w:val="auto"/>
          <w:sz w:val="28"/>
          <w:szCs w:val="28"/>
          <w:u w:val="none"/>
          <w:lang w:val="en-US" w:eastAsia="zh-CN"/>
        </w:rPr>
      </w:pPr>
      <w:bookmarkStart w:id="510" w:name="_Toc4687"/>
      <w:r>
        <w:rPr>
          <w:rFonts w:hint="default" w:ascii="黑体" w:hAnsi="黑体" w:eastAsia="黑体" w:cs="黑体"/>
          <w:color w:val="auto"/>
          <w:sz w:val="28"/>
          <w:szCs w:val="28"/>
          <w:u w:val="none"/>
          <w:lang w:val="en-US" w:eastAsia="zh-CN"/>
        </w:rPr>
        <w:t>6.</w:t>
      </w:r>
      <w:r>
        <w:rPr>
          <w:rFonts w:hint="eastAsia" w:ascii="黑体" w:hAnsi="黑体" w:eastAsia="黑体" w:cs="黑体"/>
          <w:color w:val="auto"/>
          <w:sz w:val="28"/>
          <w:szCs w:val="28"/>
          <w:u w:val="none"/>
          <w:lang w:val="en-US" w:eastAsia="zh-CN"/>
        </w:rPr>
        <w:t xml:space="preserve">5 </w:t>
      </w:r>
      <w:r>
        <w:rPr>
          <w:rFonts w:hint="default" w:ascii="黑体" w:hAnsi="黑体" w:eastAsia="黑体" w:cs="黑体"/>
          <w:color w:val="auto"/>
          <w:sz w:val="28"/>
          <w:szCs w:val="28"/>
          <w:u w:val="none"/>
          <w:lang w:val="en-US" w:eastAsia="zh-CN"/>
        </w:rPr>
        <w:t>大气环境保护措施可行性论证</w:t>
      </w:r>
      <w:bookmarkEnd w:id="510"/>
    </w:p>
    <w:p w14:paraId="3CECF24F">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5.1施工期大气</w:t>
      </w:r>
      <w:r>
        <w:rPr>
          <w:rFonts w:hint="default" w:ascii="黑体" w:hAnsi="黑体" w:eastAsia="黑体" w:cs="黑体"/>
          <w:b/>
          <w:color w:val="auto"/>
          <w:kern w:val="0"/>
          <w:sz w:val="24"/>
          <w:szCs w:val="24"/>
          <w:highlight w:val="none"/>
          <w:u w:val="none"/>
          <w:lang w:val="en-US" w:eastAsia="zh-CN"/>
        </w:rPr>
        <w:t>环境保护措施可行性论证</w:t>
      </w:r>
    </w:p>
    <w:p w14:paraId="40B522A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color w:val="auto"/>
          <w:kern w:val="2"/>
          <w:sz w:val="24"/>
          <w:szCs w:val="20"/>
          <w:highlight w:val="none"/>
          <w:u w:val="none"/>
          <w:lang w:val="en-US" w:eastAsia="zh-CN" w:bidi="ar-SA"/>
        </w:rPr>
      </w:pPr>
      <w:r>
        <w:rPr>
          <w:rFonts w:ascii="Times New Roman" w:hAnsi="Times New Roman" w:eastAsia="宋体" w:cs="Times New Roman"/>
          <w:snapToGrid/>
          <w:color w:val="auto"/>
          <w:kern w:val="2"/>
          <w:sz w:val="24"/>
          <w:szCs w:val="20"/>
          <w:highlight w:val="none"/>
          <w:u w:val="none"/>
          <w:lang w:val="en-US" w:eastAsia="zh-CN" w:bidi="ar-SA"/>
        </w:rPr>
        <w:t>施工期废气主要包括</w:t>
      </w:r>
      <w:r>
        <w:rPr>
          <w:rFonts w:hint="eastAsia" w:cs="Times New Roman"/>
          <w:snapToGrid/>
          <w:color w:val="auto"/>
          <w:kern w:val="2"/>
          <w:sz w:val="24"/>
          <w:szCs w:val="20"/>
          <w:highlight w:val="none"/>
          <w:u w:val="none"/>
          <w:lang w:val="en-US" w:eastAsia="zh-CN" w:bidi="ar-SA"/>
        </w:rPr>
        <w:t>井场、站场、</w:t>
      </w:r>
      <w:r>
        <w:rPr>
          <w:rFonts w:ascii="Times New Roman" w:hAnsi="Times New Roman" w:eastAsia="宋体" w:cs="Times New Roman"/>
          <w:snapToGrid/>
          <w:color w:val="auto"/>
          <w:kern w:val="2"/>
          <w:sz w:val="24"/>
          <w:szCs w:val="20"/>
          <w:highlight w:val="none"/>
          <w:u w:val="none"/>
          <w:lang w:val="en-US" w:eastAsia="zh-CN" w:bidi="ar-SA"/>
        </w:rPr>
        <w:t>管线作业带等施工场地平整清理、管沟开挖、回填、建材运输、露天堆放、装卸等过程产生的扬尘，施工机械及运输车辆产生的燃油废气等。提出以下大气污染防治措施：</w:t>
      </w:r>
    </w:p>
    <w:p w14:paraId="4F337393">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（1）避免在大风季节施工，尽可能缩短施工时间，提高施工效率，减少裸地暴露时间。</w:t>
      </w:r>
    </w:p>
    <w:p w14:paraId="36D1CB3F">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（2）施工单位必须加强施工区的规划管理。挖方堆放应定点定位，并采取防尘、抑尘措施（洒水、遮盖等措施）。</w:t>
      </w:r>
    </w:p>
    <w:p w14:paraId="25EA7CA0">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（3）合理规划、选择最短的运输路线，充分利用</w:t>
      </w:r>
      <w:r>
        <w:rPr>
          <w:rFonts w:hint="eastAsia" w:ascii="Times New Roman" w:hAnsi="Times New Roman" w:eastAsia="宋体" w:cs="Times New Roman"/>
          <w:color w:val="auto"/>
          <w:kern w:val="2"/>
          <w:sz w:val="24"/>
          <w:szCs w:val="20"/>
          <w:highlight w:val="none"/>
          <w:u w:val="none"/>
          <w:lang w:val="en-US" w:eastAsia="zh-CN" w:bidi="ar-SA"/>
        </w:rPr>
        <w:t>油</w:t>
      </w:r>
      <w:r>
        <w:rPr>
          <w:rFonts w:hint="eastAsia" w:cs="Times New Roman"/>
          <w:color w:val="auto"/>
          <w:kern w:val="2"/>
          <w:sz w:val="24"/>
          <w:szCs w:val="20"/>
          <w:highlight w:val="none"/>
          <w:u w:val="none"/>
          <w:lang w:val="en-US" w:eastAsia="zh-CN" w:bidi="ar-SA"/>
        </w:rPr>
        <w:t>气</w:t>
      </w:r>
      <w:r>
        <w:rPr>
          <w:rFonts w:hint="eastAsia" w:ascii="Times New Roman" w:hAnsi="Times New Roman" w:eastAsia="宋体" w:cs="Times New Roman"/>
          <w:color w:val="auto"/>
          <w:kern w:val="2"/>
          <w:sz w:val="24"/>
          <w:szCs w:val="20"/>
          <w:highlight w:val="none"/>
          <w:u w:val="none"/>
          <w:lang w:val="en-US" w:eastAsia="zh-CN" w:bidi="ar-SA"/>
        </w:rPr>
        <w:t>田</w:t>
      </w:r>
      <w:r>
        <w:rPr>
          <w:rFonts w:ascii="Times New Roman" w:hAnsi="Times New Roman" w:eastAsia="宋体" w:cs="Times New Roman"/>
          <w:color w:val="auto"/>
          <w:kern w:val="2"/>
          <w:sz w:val="24"/>
          <w:szCs w:val="20"/>
          <w:highlight w:val="none"/>
          <w:u w:val="none"/>
          <w:lang w:val="en-US" w:eastAsia="zh-CN" w:bidi="ar-SA"/>
        </w:rPr>
        <w:t>现有公路网络，禁止随意开辟道路，运输车辆应以中、低速行驶，减少车辆行驶动力起尘。</w:t>
      </w:r>
    </w:p>
    <w:p w14:paraId="403A0E77">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（4）合理规划临时占地，控制临时占地范围，对工作区域外的场地严禁机械及车辆进入、占用，避免破坏植被和造成土地松动。</w:t>
      </w:r>
    </w:p>
    <w:p w14:paraId="7DF29D77">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hint="eastAsia"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（5）管沟开挖深度不宜过深，及时开挖，及时回填，遇大风天气应停止土方作业。</w:t>
      </w:r>
    </w:p>
    <w:p w14:paraId="5B700D74">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（6）加强对施工机械、车辆的维修保养，禁止以柴油为燃料的施工机械超负荷工作，减少烟尘和尾气的排放。</w:t>
      </w:r>
    </w:p>
    <w:p w14:paraId="45532148">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（7）加强施工</w:t>
      </w:r>
      <w:r>
        <w:rPr>
          <w:rFonts w:hint="eastAsia" w:ascii="Times New Roman" w:hAnsi="Times New Roman" w:eastAsia="宋体" w:cs="Times New Roman"/>
          <w:color w:val="auto"/>
          <w:kern w:val="2"/>
          <w:sz w:val="24"/>
          <w:szCs w:val="20"/>
          <w:highlight w:val="none"/>
          <w:u w:val="none"/>
          <w:lang w:val="en-US" w:eastAsia="zh-CN" w:bidi="ar-SA"/>
        </w:rPr>
        <w:t>场地</w:t>
      </w:r>
      <w:r>
        <w:rPr>
          <w:rFonts w:ascii="Times New Roman" w:hAnsi="Times New Roman" w:eastAsia="宋体" w:cs="Times New Roman"/>
          <w:color w:val="auto"/>
          <w:kern w:val="2"/>
          <w:sz w:val="24"/>
          <w:szCs w:val="20"/>
          <w:highlight w:val="none"/>
          <w:u w:val="none"/>
          <w:lang w:val="en-US" w:eastAsia="zh-CN" w:bidi="ar-SA"/>
        </w:rPr>
        <w:t>环境管理，提倡文明施工，积极推进绿色施工，严防人为扬尘污染。</w:t>
      </w:r>
    </w:p>
    <w:p w14:paraId="4A1F1816">
      <w:pPr>
        <w:keepNext w:val="0"/>
        <w:keepLines w:val="0"/>
        <w:pageBreakBefore w:val="0"/>
        <w:kinsoku/>
        <w:wordWrap/>
        <w:overflowPunct/>
        <w:topLinePunct w:val="0"/>
        <w:autoSpaceDE/>
        <w:autoSpaceDN/>
        <w:bidi w:val="0"/>
        <w:adjustRightInd/>
        <w:snapToGrid/>
        <w:spacing w:after="0" w:afterLines="0" w:afterAutospacing="0"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u w:val="none"/>
          <w:lang w:val="en-US" w:eastAsia="zh-CN" w:bidi="ar-SA"/>
        </w:rPr>
      </w:pPr>
      <w:r>
        <w:rPr>
          <w:rFonts w:hint="default" w:ascii="Times New Roman" w:hAnsi="Times New Roman" w:eastAsia="宋体" w:cs="Times New Roman"/>
          <w:snapToGrid w:val="0"/>
          <w:color w:val="auto"/>
          <w:kern w:val="2"/>
          <w:sz w:val="24"/>
          <w:szCs w:val="20"/>
          <w:highlight w:val="none"/>
          <w:u w:val="none"/>
          <w:lang w:val="en-US" w:eastAsia="zh-CN" w:bidi="ar-SA"/>
        </w:rPr>
        <w:t>以上的大气污染防治措施可使本工程建设对环境空气影响减少，是可行有效的。</w:t>
      </w:r>
    </w:p>
    <w:p w14:paraId="1547B69E">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5.2运营期大气</w:t>
      </w:r>
      <w:r>
        <w:rPr>
          <w:rFonts w:hint="default" w:ascii="黑体" w:hAnsi="黑体" w:eastAsia="黑体" w:cs="黑体"/>
          <w:b/>
          <w:color w:val="auto"/>
          <w:kern w:val="0"/>
          <w:sz w:val="24"/>
          <w:szCs w:val="24"/>
          <w:highlight w:val="none"/>
          <w:u w:val="none"/>
          <w:lang w:val="en-US" w:eastAsia="zh-CN"/>
        </w:rPr>
        <w:t>环境保护措施可行性论证</w:t>
      </w:r>
    </w:p>
    <w:p w14:paraId="7D66E8E6">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本工程运营期废气排放源主要为集输过程中无组织废气排放</w:t>
      </w:r>
      <w:r>
        <w:rPr>
          <w:rFonts w:hint="eastAsia" w:ascii="Times New Roman" w:hAnsi="Times New Roman" w:eastAsia="宋体" w:cs="Times New Roman"/>
          <w:snapToGrid w:val="0"/>
          <w:color w:val="auto"/>
          <w:kern w:val="2"/>
          <w:sz w:val="24"/>
          <w:szCs w:val="20"/>
          <w:u w:val="none"/>
          <w:lang w:val="en-US" w:eastAsia="zh-CN" w:bidi="ar-SA"/>
        </w:rPr>
        <w:t>和温室气体排放源</w:t>
      </w:r>
      <w:r>
        <w:rPr>
          <w:rFonts w:hint="eastAsia" w:ascii="Times New Roman" w:hAnsi="Times New Roman" w:eastAsia="宋体" w:cs="Times New Roman"/>
          <w:snapToGrid w:val="0"/>
          <w:color w:val="auto"/>
          <w:kern w:val="2"/>
          <w:sz w:val="24"/>
          <w:szCs w:val="20"/>
          <w:highlight w:val="none"/>
          <w:u w:val="none"/>
          <w:lang w:val="en-US" w:eastAsia="zh-CN" w:bidi="ar-SA"/>
        </w:rPr>
        <w:t>。无组织排放的污染物主要为井口、管线接口、阀门等处产生的无组织挥发非甲烷总烃和硫化氢；</w:t>
      </w:r>
      <w:r>
        <w:rPr>
          <w:rFonts w:hint="eastAsia" w:ascii="Times New Roman" w:hAnsi="Times New Roman" w:eastAsia="宋体" w:cs="Times New Roman"/>
          <w:snapToGrid w:val="0"/>
          <w:color w:val="auto"/>
          <w:kern w:val="2"/>
          <w:sz w:val="24"/>
          <w:szCs w:val="20"/>
          <w:u w:val="none"/>
          <w:lang w:val="en-US" w:eastAsia="zh-CN" w:bidi="ar-SA"/>
        </w:rPr>
        <w:t>温室气体的污染物主要为油气开采过程中产生的甲烷逃逸</w:t>
      </w:r>
      <w:r>
        <w:rPr>
          <w:rFonts w:hint="default" w:ascii="Times New Roman" w:hAnsi="Times New Roman" w:eastAsia="宋体" w:cs="Times New Roman"/>
          <w:snapToGrid w:val="0"/>
          <w:color w:val="auto"/>
          <w:kern w:val="2"/>
          <w:sz w:val="24"/>
          <w:szCs w:val="20"/>
          <w:u w:val="none"/>
          <w:lang w:val="en-US" w:eastAsia="zh-CN" w:bidi="ar-SA"/>
        </w:rPr>
        <w:t>。</w:t>
      </w:r>
      <w:r>
        <w:rPr>
          <w:rFonts w:hint="eastAsia" w:ascii="Times New Roman" w:hAnsi="Times New Roman" w:eastAsia="宋体" w:cs="Times New Roman"/>
          <w:snapToGrid w:val="0"/>
          <w:color w:val="auto"/>
          <w:kern w:val="2"/>
          <w:sz w:val="24"/>
          <w:szCs w:val="20"/>
          <w:highlight w:val="none"/>
          <w:u w:val="none"/>
          <w:lang w:val="en-US" w:eastAsia="zh-CN" w:bidi="ar-SA"/>
        </w:rPr>
        <w:t>针对以上污染源，油田采取以下大气污染治理措施：</w:t>
      </w:r>
    </w:p>
    <w:p w14:paraId="22158798">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（1）采用技术质量可靠的设备、仪表控制、阀门等，烃类机泵采用无泄漏屏蔽泵。</w:t>
      </w:r>
    </w:p>
    <w:p w14:paraId="2469AC3B">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（2）项目投入运营后，需严格按照《挥发性有机物（VOCs）污染防治技术政策》要求，持续加强物料储存、转移、输送过程中VOCs排放、</w:t>
      </w:r>
      <w:r>
        <w:rPr>
          <w:rFonts w:hint="eastAsia" w:ascii="Times New Roman" w:hAnsi="Times New Roman" w:eastAsia="宋体" w:cs="Times New Roman"/>
          <w:snapToGrid w:val="0"/>
          <w:color w:val="auto"/>
          <w:kern w:val="2"/>
          <w:sz w:val="24"/>
          <w:szCs w:val="20"/>
          <w:highlight w:val="none"/>
          <w:u w:val="none"/>
          <w:lang w:val="en-US" w:eastAsia="zh-CN" w:bidi="ar-SA"/>
        </w:rPr>
        <w:t>泄漏</w:t>
      </w:r>
      <w:r>
        <w:rPr>
          <w:rFonts w:ascii="Times New Roman" w:hAnsi="Times New Roman" w:eastAsia="宋体" w:cs="Times New Roman"/>
          <w:snapToGrid w:val="0"/>
          <w:color w:val="auto"/>
          <w:kern w:val="2"/>
          <w:sz w:val="24"/>
          <w:szCs w:val="20"/>
          <w:highlight w:val="none"/>
          <w:u w:val="none"/>
          <w:lang w:val="en-US" w:eastAsia="zh-CN" w:bidi="ar-SA"/>
        </w:rPr>
        <w:t>、收集处理等控制措施。在油气集输过程中，为减轻集输过程中烃类的损失，</w:t>
      </w:r>
      <w:r>
        <w:rPr>
          <w:rFonts w:hint="eastAsia" w:ascii="Times New Roman" w:hAnsi="Times New Roman" w:eastAsia="宋体" w:cs="Times New Roman"/>
          <w:snapToGrid w:val="0"/>
          <w:color w:val="auto"/>
          <w:kern w:val="2"/>
          <w:sz w:val="24"/>
          <w:szCs w:val="20"/>
          <w:highlight w:val="none"/>
          <w:u w:val="none"/>
          <w:lang w:val="en-US" w:eastAsia="zh-CN" w:bidi="ar-SA"/>
        </w:rPr>
        <w:t>油气田</w:t>
      </w:r>
      <w:r>
        <w:rPr>
          <w:rFonts w:ascii="Times New Roman" w:hAnsi="Times New Roman" w:eastAsia="宋体" w:cs="Times New Roman"/>
          <w:snapToGrid w:val="0"/>
          <w:color w:val="auto"/>
          <w:kern w:val="2"/>
          <w:sz w:val="24"/>
          <w:szCs w:val="20"/>
          <w:highlight w:val="none"/>
          <w:u w:val="none"/>
          <w:lang w:val="en-US" w:eastAsia="zh-CN" w:bidi="ar-SA"/>
        </w:rPr>
        <w:t>开发采用密闭集输流程，非甲烷总烃无组织排放可以满足《</w:t>
      </w:r>
      <w:r>
        <w:rPr>
          <w:rFonts w:hint="eastAsia" w:ascii="Times New Roman" w:hAnsi="Times New Roman" w:eastAsia="宋体" w:cs="Times New Roman"/>
          <w:snapToGrid w:val="0"/>
          <w:color w:val="auto"/>
          <w:kern w:val="2"/>
          <w:sz w:val="24"/>
          <w:szCs w:val="20"/>
          <w:highlight w:val="none"/>
          <w:u w:val="none"/>
          <w:lang w:val="en-US" w:eastAsia="zh-CN" w:bidi="ar-SA"/>
        </w:rPr>
        <w:t>陆上石油天然气开采工业大气污染物排放标准</w:t>
      </w:r>
      <w:r>
        <w:rPr>
          <w:rFonts w:ascii="Times New Roman" w:hAnsi="Times New Roman" w:eastAsia="宋体" w:cs="Times New Roman"/>
          <w:snapToGrid w:val="0"/>
          <w:color w:val="auto"/>
          <w:kern w:val="2"/>
          <w:sz w:val="24"/>
          <w:szCs w:val="20"/>
          <w:highlight w:val="none"/>
          <w:u w:val="none"/>
          <w:lang w:val="en-US" w:eastAsia="zh-CN" w:bidi="ar-SA"/>
        </w:rPr>
        <w:t>》（GB</w:t>
      </w:r>
      <w:r>
        <w:rPr>
          <w:rFonts w:hint="eastAsia" w:ascii="Times New Roman" w:hAnsi="Times New Roman" w:eastAsia="宋体" w:cs="Times New Roman"/>
          <w:snapToGrid w:val="0"/>
          <w:color w:val="auto"/>
          <w:kern w:val="2"/>
          <w:sz w:val="24"/>
          <w:szCs w:val="20"/>
          <w:highlight w:val="none"/>
          <w:u w:val="none"/>
          <w:lang w:val="en-US" w:eastAsia="zh-CN" w:bidi="ar-SA"/>
        </w:rPr>
        <w:t>39728</w:t>
      </w:r>
      <w:r>
        <w:rPr>
          <w:rFonts w:ascii="Times New Roman" w:hAnsi="Times New Roman" w:eastAsia="宋体" w:cs="Times New Roman"/>
          <w:snapToGrid w:val="0"/>
          <w:color w:val="auto"/>
          <w:kern w:val="2"/>
          <w:sz w:val="24"/>
          <w:szCs w:val="20"/>
          <w:highlight w:val="none"/>
          <w:u w:val="none"/>
          <w:lang w:val="en-US" w:eastAsia="zh-CN" w:bidi="ar-SA"/>
        </w:rPr>
        <w:t>-</w:t>
      </w:r>
      <w:r>
        <w:rPr>
          <w:rFonts w:hint="eastAsia" w:ascii="Times New Roman" w:hAnsi="Times New Roman" w:eastAsia="宋体" w:cs="Times New Roman"/>
          <w:snapToGrid w:val="0"/>
          <w:color w:val="auto"/>
          <w:kern w:val="2"/>
          <w:sz w:val="24"/>
          <w:szCs w:val="20"/>
          <w:highlight w:val="none"/>
          <w:u w:val="none"/>
          <w:lang w:val="en-US" w:eastAsia="zh-CN" w:bidi="ar-SA"/>
        </w:rPr>
        <w:t>2020</w:t>
      </w:r>
      <w:r>
        <w:rPr>
          <w:rFonts w:ascii="Times New Roman" w:hAnsi="Times New Roman" w:eastAsia="宋体" w:cs="Times New Roman"/>
          <w:snapToGrid w:val="0"/>
          <w:color w:val="auto"/>
          <w:kern w:val="2"/>
          <w:sz w:val="24"/>
          <w:szCs w:val="20"/>
          <w:highlight w:val="none"/>
          <w:u w:val="none"/>
          <w:lang w:val="en-US" w:eastAsia="zh-CN" w:bidi="ar-SA"/>
        </w:rPr>
        <w:t>）中</w:t>
      </w:r>
      <w:r>
        <w:rPr>
          <w:rFonts w:hint="eastAsia" w:ascii="Times New Roman" w:hAnsi="Times New Roman" w:eastAsia="宋体" w:cs="Times New Roman"/>
          <w:snapToGrid w:val="0"/>
          <w:color w:val="auto"/>
          <w:kern w:val="2"/>
          <w:sz w:val="24"/>
          <w:szCs w:val="20"/>
          <w:highlight w:val="none"/>
          <w:u w:val="none"/>
          <w:lang w:val="en-US" w:eastAsia="zh-CN" w:bidi="ar-SA"/>
        </w:rPr>
        <w:t>企业边界污染物控制要求；硫化氢无组织排放满足《恶臭污染物排放标准》（GB14554-93）中改扩建项目厂界二级标准要求</w:t>
      </w:r>
      <w:r>
        <w:rPr>
          <w:rFonts w:hint="eastAsia" w:cs="Times New Roman"/>
          <w:snapToGrid w:val="0"/>
          <w:color w:val="auto"/>
          <w:kern w:val="2"/>
          <w:sz w:val="24"/>
          <w:szCs w:val="20"/>
          <w:highlight w:val="none"/>
          <w:u w:val="none"/>
          <w:lang w:val="en-US" w:eastAsia="zh-CN" w:bidi="ar-SA"/>
        </w:rPr>
        <w:t>。</w:t>
      </w:r>
    </w:p>
    <w:p w14:paraId="47D1C6ED">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一旦发生泄漏事故，紧急切断油、气源，实施关井，从而最大限度地减少油气集输过程中</w:t>
      </w:r>
      <w:r>
        <w:rPr>
          <w:rFonts w:hint="eastAsia" w:ascii="Times New Roman" w:hAnsi="Times New Roman" w:eastAsia="宋体" w:cs="Times New Roman"/>
          <w:snapToGrid w:val="0"/>
          <w:color w:val="auto"/>
          <w:kern w:val="2"/>
          <w:sz w:val="24"/>
          <w:szCs w:val="20"/>
          <w:highlight w:val="none"/>
          <w:u w:val="none"/>
          <w:lang w:val="en-US" w:eastAsia="zh-CN" w:bidi="ar-SA"/>
        </w:rPr>
        <w:t>非甲烷总烃</w:t>
      </w:r>
      <w:r>
        <w:rPr>
          <w:rFonts w:ascii="Times New Roman" w:hAnsi="Times New Roman" w:eastAsia="宋体" w:cs="Times New Roman"/>
          <w:snapToGrid w:val="0"/>
          <w:color w:val="auto"/>
          <w:kern w:val="2"/>
          <w:sz w:val="24"/>
          <w:szCs w:val="20"/>
          <w:highlight w:val="none"/>
          <w:u w:val="none"/>
          <w:lang w:val="en-US" w:eastAsia="zh-CN" w:bidi="ar-SA"/>
        </w:rPr>
        <w:t>及油</w:t>
      </w:r>
      <w:r>
        <w:rPr>
          <w:rFonts w:hint="eastAsia" w:cs="Times New Roman"/>
          <w:snapToGrid w:val="0"/>
          <w:color w:val="auto"/>
          <w:kern w:val="2"/>
          <w:sz w:val="24"/>
          <w:szCs w:val="20"/>
          <w:highlight w:val="none"/>
          <w:u w:val="none"/>
          <w:lang w:val="en-US" w:eastAsia="zh-CN" w:bidi="ar-SA"/>
        </w:rPr>
        <w:t>类物质</w:t>
      </w:r>
      <w:r>
        <w:rPr>
          <w:rFonts w:ascii="Times New Roman" w:hAnsi="Times New Roman" w:eastAsia="宋体" w:cs="Times New Roman"/>
          <w:snapToGrid w:val="0"/>
          <w:color w:val="auto"/>
          <w:kern w:val="2"/>
          <w:sz w:val="24"/>
          <w:szCs w:val="20"/>
          <w:highlight w:val="none"/>
          <w:u w:val="none"/>
          <w:lang w:val="en-US" w:eastAsia="zh-CN" w:bidi="ar-SA"/>
        </w:rPr>
        <w:t>的排放量。定期对油气集输管线进行巡检，以便及时发现问题，消除事故隐患，防止油气泄漏进入大气环境。</w:t>
      </w:r>
    </w:p>
    <w:p w14:paraId="4595D5B9">
      <w:pPr>
        <w:keepNext w:val="0"/>
        <w:keepLines w:val="0"/>
        <w:pageBreakBefore w:val="0"/>
        <w:widowControl/>
        <w:kinsoku/>
        <w:wordWrap/>
        <w:overflowPunct/>
        <w:topLinePunct w:val="0"/>
        <w:autoSpaceDE/>
        <w:autoSpaceDN/>
        <w:bidi w:val="0"/>
        <w:adjustRightInd/>
        <w:snapToGrid/>
        <w:spacing w:line="480" w:lineRule="exact"/>
        <w:ind w:firstLine="456" w:firstLineChars="200"/>
        <w:jc w:val="both"/>
        <w:textAlignment w:val="auto"/>
        <w:rPr>
          <w:rFonts w:hint="eastAsia" w:ascii="宋体" w:hAnsi="宋体" w:eastAsia="宋体" w:cs="宋体"/>
          <w:color w:val="auto"/>
          <w:kern w:val="0"/>
          <w:sz w:val="24"/>
          <w:szCs w:val="24"/>
          <w:highlight w:val="none"/>
          <w:u w:val="none"/>
        </w:rPr>
      </w:pPr>
      <w:r>
        <w:rPr>
          <w:rFonts w:ascii="Times New Roman" w:hAnsi="Times New Roman" w:eastAsia="宋体" w:cs="Times New Roman"/>
          <w:color w:val="auto"/>
          <w:spacing w:val="-6"/>
          <w:kern w:val="0"/>
          <w:sz w:val="24"/>
          <w:szCs w:val="24"/>
          <w:highlight w:val="none"/>
          <w:u w:val="none"/>
        </w:rPr>
        <w:t>（</w:t>
      </w:r>
      <w:r>
        <w:rPr>
          <w:rFonts w:hint="eastAsia" w:ascii="Times New Roman" w:hAnsi="Times New Roman" w:eastAsia="宋体" w:cs="Times New Roman"/>
          <w:color w:val="auto"/>
          <w:spacing w:val="-6"/>
          <w:kern w:val="0"/>
          <w:sz w:val="24"/>
          <w:szCs w:val="24"/>
          <w:highlight w:val="none"/>
          <w:u w:val="none"/>
        </w:rPr>
        <w:t>3</w:t>
      </w:r>
      <w:r>
        <w:rPr>
          <w:rFonts w:ascii="Times New Roman" w:hAnsi="Times New Roman" w:eastAsia="宋体" w:cs="Times New Roman"/>
          <w:color w:val="auto"/>
          <w:spacing w:val="-6"/>
          <w:kern w:val="0"/>
          <w:sz w:val="24"/>
          <w:szCs w:val="24"/>
          <w:highlight w:val="none"/>
          <w:u w:val="none"/>
        </w:rPr>
        <w:t>）VOCs污染控制措施：</w:t>
      </w:r>
      <w:r>
        <w:rPr>
          <w:rFonts w:hint="eastAsia" w:ascii="宋体" w:hAnsi="宋体" w:eastAsia="宋体" w:cs="宋体"/>
          <w:color w:val="auto"/>
          <w:spacing w:val="-6"/>
          <w:kern w:val="0"/>
          <w:sz w:val="24"/>
          <w:szCs w:val="24"/>
          <w:highlight w:val="none"/>
          <w:u w:val="none"/>
        </w:rPr>
        <w:t>①</w:t>
      </w:r>
      <w:r>
        <w:rPr>
          <w:rFonts w:ascii="Times New Roman" w:hAnsi="Times New Roman" w:eastAsia="宋体" w:cs="Times New Roman"/>
          <w:color w:val="auto"/>
          <w:spacing w:val="-6"/>
          <w:kern w:val="0"/>
          <w:sz w:val="24"/>
          <w:szCs w:val="24"/>
          <w:highlight w:val="none"/>
          <w:u w:val="none"/>
        </w:rPr>
        <w:t>选用质量可靠的设备、仪表、阀门等；定期对井场的设备、阀门等检查、检修，以防止跑、冒、漏现象的发生；</w:t>
      </w:r>
      <w:r>
        <w:rPr>
          <w:rFonts w:hint="eastAsia" w:ascii="宋体" w:hAnsi="宋体" w:eastAsia="宋体" w:cs="宋体"/>
          <w:color w:val="auto"/>
          <w:spacing w:val="-6"/>
          <w:kern w:val="0"/>
          <w:sz w:val="24"/>
          <w:szCs w:val="24"/>
          <w:highlight w:val="none"/>
          <w:u w:val="none"/>
        </w:rPr>
        <w:t>②</w:t>
      </w:r>
      <w:r>
        <w:rPr>
          <w:rFonts w:ascii="Times New Roman" w:hAnsi="Times New Roman" w:eastAsia="宋体" w:cs="Times New Roman"/>
          <w:color w:val="auto"/>
          <w:spacing w:val="-6"/>
          <w:kern w:val="0"/>
          <w:sz w:val="24"/>
          <w:szCs w:val="24"/>
          <w:highlight w:val="none"/>
          <w:u w:val="none"/>
        </w:rPr>
        <w:t>加强对密闭管线及密封点的巡检，一旦发生泄漏立即切断控制阀，并</w:t>
      </w:r>
      <w:r>
        <w:rPr>
          <w:rFonts w:hint="eastAsia" w:cs="Times New Roman"/>
          <w:color w:val="auto"/>
          <w:spacing w:val="-6"/>
          <w:kern w:val="0"/>
          <w:sz w:val="24"/>
          <w:szCs w:val="24"/>
          <w:highlight w:val="none"/>
          <w:u w:val="none"/>
          <w:lang w:eastAsia="zh-CN"/>
        </w:rPr>
        <w:t>尽快</w:t>
      </w:r>
      <w:r>
        <w:rPr>
          <w:rFonts w:ascii="Times New Roman" w:hAnsi="Times New Roman" w:eastAsia="宋体" w:cs="Times New Roman"/>
          <w:color w:val="auto"/>
          <w:spacing w:val="-6"/>
          <w:kern w:val="0"/>
          <w:sz w:val="24"/>
          <w:szCs w:val="24"/>
          <w:highlight w:val="none"/>
          <w:u w:val="none"/>
        </w:rPr>
        <w:t>完成修复；加强</w:t>
      </w:r>
      <w:r>
        <w:rPr>
          <w:rFonts w:hint="eastAsia" w:ascii="Times New Roman" w:hAnsi="Times New Roman" w:eastAsia="宋体" w:cs="Times New Roman"/>
          <w:color w:val="auto"/>
          <w:spacing w:val="-6"/>
          <w:kern w:val="0"/>
          <w:sz w:val="24"/>
          <w:szCs w:val="24"/>
          <w:highlight w:val="none"/>
          <w:u w:val="none"/>
          <w:lang w:val="en-US" w:eastAsia="zh-CN"/>
        </w:rPr>
        <w:t>气</w:t>
      </w:r>
      <w:r>
        <w:rPr>
          <w:rFonts w:hint="eastAsia" w:ascii="Times New Roman" w:hAnsi="Times New Roman" w:eastAsia="宋体" w:cs="Times New Roman"/>
          <w:color w:val="auto"/>
          <w:spacing w:val="-6"/>
          <w:kern w:val="0"/>
          <w:sz w:val="24"/>
          <w:szCs w:val="24"/>
          <w:highlight w:val="none"/>
          <w:u w:val="none"/>
          <w:lang w:eastAsia="zh-CN"/>
        </w:rPr>
        <w:t>井</w:t>
      </w:r>
      <w:r>
        <w:rPr>
          <w:rFonts w:ascii="Times New Roman" w:hAnsi="Times New Roman" w:eastAsia="宋体" w:cs="Times New Roman"/>
          <w:color w:val="auto"/>
          <w:spacing w:val="-6"/>
          <w:kern w:val="0"/>
          <w:sz w:val="24"/>
          <w:szCs w:val="24"/>
          <w:highlight w:val="none"/>
          <w:u w:val="none"/>
        </w:rPr>
        <w:t>生产管理，减少烃类的跑、冒、滴、漏，做好</w:t>
      </w:r>
      <w:r>
        <w:rPr>
          <w:rFonts w:hint="eastAsia" w:ascii="Times New Roman" w:hAnsi="Times New Roman" w:eastAsia="宋体" w:cs="Times New Roman"/>
          <w:color w:val="auto"/>
          <w:spacing w:val="-6"/>
          <w:kern w:val="0"/>
          <w:sz w:val="24"/>
          <w:szCs w:val="24"/>
          <w:highlight w:val="none"/>
          <w:u w:val="none"/>
          <w:lang w:eastAsia="zh-CN"/>
        </w:rPr>
        <w:t>气井</w:t>
      </w:r>
      <w:r>
        <w:rPr>
          <w:rFonts w:ascii="Times New Roman" w:hAnsi="Times New Roman" w:eastAsia="宋体" w:cs="Times New Roman"/>
          <w:color w:val="auto"/>
          <w:spacing w:val="-6"/>
          <w:kern w:val="0"/>
          <w:sz w:val="24"/>
          <w:szCs w:val="24"/>
          <w:highlight w:val="none"/>
          <w:u w:val="none"/>
        </w:rPr>
        <w:t>的压力监测，并准备应急措施</w:t>
      </w:r>
      <w:r>
        <w:rPr>
          <w:rFonts w:hint="eastAsia" w:ascii="Times New Roman" w:hAnsi="Times New Roman" w:eastAsia="宋体" w:cs="Times New Roman"/>
          <w:color w:val="auto"/>
          <w:spacing w:val="-6"/>
          <w:kern w:val="0"/>
          <w:sz w:val="24"/>
          <w:szCs w:val="24"/>
          <w:highlight w:val="none"/>
          <w:u w:val="none"/>
        </w:rPr>
        <w:t>。</w:t>
      </w:r>
    </w:p>
    <w:p w14:paraId="10556D95">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default" w:ascii="Times New Roman" w:hAnsi="Times New Roman" w:eastAsia="宋体" w:cs="Times New Roman"/>
          <w:snapToGrid w:val="0"/>
          <w:color w:val="auto"/>
          <w:kern w:val="2"/>
          <w:sz w:val="24"/>
          <w:szCs w:val="20"/>
          <w:highlight w:val="none"/>
          <w:u w:val="none"/>
          <w:lang w:val="en-US" w:eastAsia="zh-CN" w:bidi="ar-SA"/>
        </w:rPr>
        <w:t>（</w:t>
      </w:r>
      <w:r>
        <w:rPr>
          <w:rFonts w:hint="eastAsia" w:ascii="Times New Roman" w:hAnsi="Times New Roman" w:eastAsia="宋体" w:cs="Times New Roman"/>
          <w:snapToGrid w:val="0"/>
          <w:color w:val="auto"/>
          <w:kern w:val="2"/>
          <w:sz w:val="24"/>
          <w:szCs w:val="20"/>
          <w:highlight w:val="none"/>
          <w:u w:val="none"/>
          <w:lang w:val="en-US" w:eastAsia="zh-CN" w:bidi="ar-SA"/>
        </w:rPr>
        <w:t>4</w:t>
      </w:r>
      <w:r>
        <w:rPr>
          <w:rFonts w:hint="default" w:ascii="Times New Roman" w:hAnsi="Times New Roman" w:eastAsia="宋体" w:cs="Times New Roman"/>
          <w:snapToGrid w:val="0"/>
          <w:color w:val="auto"/>
          <w:kern w:val="2"/>
          <w:sz w:val="24"/>
          <w:szCs w:val="20"/>
          <w:highlight w:val="none"/>
          <w:u w:val="none"/>
          <w:lang w:val="en-US" w:eastAsia="zh-CN" w:bidi="ar-SA"/>
        </w:rPr>
        <w:t>）</w:t>
      </w:r>
      <w:r>
        <w:rPr>
          <w:rFonts w:ascii="Times New Roman" w:hAnsi="Times New Roman" w:eastAsia="宋体" w:cs="Times New Roman"/>
          <w:snapToGrid w:val="0"/>
          <w:color w:val="auto"/>
          <w:kern w:val="2"/>
          <w:sz w:val="24"/>
          <w:szCs w:val="20"/>
          <w:highlight w:val="none"/>
          <w:u w:val="none"/>
          <w:lang w:val="en-US" w:eastAsia="zh-CN" w:bidi="ar-SA"/>
        </w:rPr>
        <w:t>在日常生产过程中，加强非甲烷总烃</w:t>
      </w:r>
      <w:r>
        <w:rPr>
          <w:rFonts w:hint="eastAsia" w:cs="Times New Roman"/>
          <w:snapToGrid w:val="0"/>
          <w:color w:val="auto"/>
          <w:kern w:val="2"/>
          <w:sz w:val="24"/>
          <w:szCs w:val="20"/>
          <w:highlight w:val="none"/>
          <w:u w:val="none"/>
          <w:lang w:val="en-US" w:eastAsia="zh-CN" w:bidi="ar-SA"/>
        </w:rPr>
        <w:t>、硫化氢</w:t>
      </w:r>
      <w:r>
        <w:rPr>
          <w:rFonts w:ascii="Times New Roman" w:hAnsi="Times New Roman" w:eastAsia="宋体" w:cs="Times New Roman"/>
          <w:snapToGrid w:val="0"/>
          <w:color w:val="auto"/>
          <w:kern w:val="2"/>
          <w:sz w:val="24"/>
          <w:szCs w:val="20"/>
          <w:highlight w:val="none"/>
          <w:u w:val="none"/>
          <w:lang w:val="en-US" w:eastAsia="zh-CN" w:bidi="ar-SA"/>
        </w:rPr>
        <w:t>无组织排放例行监测，确保非甲烷总烃满足《</w:t>
      </w:r>
      <w:r>
        <w:rPr>
          <w:rFonts w:hint="eastAsia" w:ascii="Times New Roman" w:hAnsi="Times New Roman" w:eastAsia="宋体" w:cs="Times New Roman"/>
          <w:snapToGrid w:val="0"/>
          <w:color w:val="auto"/>
          <w:kern w:val="2"/>
          <w:sz w:val="24"/>
          <w:szCs w:val="20"/>
          <w:highlight w:val="none"/>
          <w:u w:val="none"/>
          <w:lang w:val="en-US" w:eastAsia="zh-CN" w:bidi="ar-SA"/>
        </w:rPr>
        <w:t>陆上石油天然气开采工业大气污染物排放标准</w:t>
      </w:r>
      <w:r>
        <w:rPr>
          <w:rFonts w:ascii="Times New Roman" w:hAnsi="Times New Roman" w:eastAsia="宋体" w:cs="Times New Roman"/>
          <w:snapToGrid w:val="0"/>
          <w:color w:val="auto"/>
          <w:kern w:val="2"/>
          <w:sz w:val="24"/>
          <w:szCs w:val="20"/>
          <w:highlight w:val="none"/>
          <w:u w:val="none"/>
          <w:lang w:val="en-US" w:eastAsia="zh-CN" w:bidi="ar-SA"/>
        </w:rPr>
        <w:t>》（GB</w:t>
      </w:r>
      <w:r>
        <w:rPr>
          <w:rFonts w:hint="eastAsia" w:ascii="Times New Roman" w:hAnsi="Times New Roman" w:eastAsia="宋体" w:cs="Times New Roman"/>
          <w:snapToGrid w:val="0"/>
          <w:color w:val="auto"/>
          <w:kern w:val="2"/>
          <w:sz w:val="24"/>
          <w:szCs w:val="20"/>
          <w:highlight w:val="none"/>
          <w:u w:val="none"/>
          <w:lang w:val="en-US" w:eastAsia="zh-CN" w:bidi="ar-SA"/>
        </w:rPr>
        <w:t>39728</w:t>
      </w:r>
      <w:r>
        <w:rPr>
          <w:rFonts w:ascii="Times New Roman" w:hAnsi="Times New Roman" w:eastAsia="宋体" w:cs="Times New Roman"/>
          <w:snapToGrid w:val="0"/>
          <w:color w:val="auto"/>
          <w:kern w:val="2"/>
          <w:sz w:val="24"/>
          <w:szCs w:val="20"/>
          <w:highlight w:val="none"/>
          <w:u w:val="none"/>
          <w:lang w:val="en-US" w:eastAsia="zh-CN" w:bidi="ar-SA"/>
        </w:rPr>
        <w:t>-</w:t>
      </w:r>
      <w:r>
        <w:rPr>
          <w:rFonts w:hint="eastAsia" w:ascii="Times New Roman" w:hAnsi="Times New Roman" w:eastAsia="宋体" w:cs="Times New Roman"/>
          <w:snapToGrid w:val="0"/>
          <w:color w:val="auto"/>
          <w:kern w:val="2"/>
          <w:sz w:val="24"/>
          <w:szCs w:val="20"/>
          <w:highlight w:val="none"/>
          <w:u w:val="none"/>
          <w:lang w:val="en-US" w:eastAsia="zh-CN" w:bidi="ar-SA"/>
        </w:rPr>
        <w:t>2020</w:t>
      </w:r>
      <w:r>
        <w:rPr>
          <w:rFonts w:ascii="Times New Roman" w:hAnsi="Times New Roman" w:eastAsia="宋体" w:cs="Times New Roman"/>
          <w:snapToGrid w:val="0"/>
          <w:color w:val="auto"/>
          <w:kern w:val="2"/>
          <w:sz w:val="24"/>
          <w:szCs w:val="20"/>
          <w:highlight w:val="none"/>
          <w:u w:val="none"/>
          <w:lang w:val="en-US" w:eastAsia="zh-CN" w:bidi="ar-SA"/>
        </w:rPr>
        <w:t>）中</w:t>
      </w:r>
      <w:r>
        <w:rPr>
          <w:rFonts w:hint="eastAsia" w:ascii="Times New Roman" w:hAnsi="Times New Roman" w:eastAsia="宋体" w:cs="Times New Roman"/>
          <w:snapToGrid w:val="0"/>
          <w:color w:val="auto"/>
          <w:kern w:val="2"/>
          <w:sz w:val="24"/>
          <w:szCs w:val="20"/>
          <w:highlight w:val="none"/>
          <w:u w:val="none"/>
          <w:lang w:val="en-US" w:eastAsia="zh-CN" w:bidi="ar-SA"/>
        </w:rPr>
        <w:t>企业边界污染物控制要求；硫化氢无组织排放满足《恶臭污染物排放标准》（GB14554-93）中改扩建项目厂界二级标准要求。</w:t>
      </w:r>
    </w:p>
    <w:p w14:paraId="67262E8F">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kern w:val="2"/>
          <w:sz w:val="24"/>
          <w:szCs w:val="20"/>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（5）定期对油气集输管线进行巡检，以便及时发现问题，消除事故隐患，防止油气泄漏进入大气环境。</w:t>
      </w:r>
    </w:p>
    <w:p w14:paraId="3A20294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6）温室气体管控：</w:t>
      </w:r>
    </w:p>
    <w:p w14:paraId="096DCFC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1）进一步开展节能减排工作，加强质量控制和技术研发，降低抽油机井工作能耗，加强油气技术管道密闭性能；</w:t>
      </w:r>
    </w:p>
    <w:p w14:paraId="10DA94A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2）大力推广应用零散天然气回收和电力系统无功补偿级新能源利用等开采技术，开发清洁能源替代现有能源；</w:t>
      </w:r>
    </w:p>
    <w:p w14:paraId="10386BA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val="en-US" w:eastAsia="zh-CN"/>
        </w:rPr>
        <w:t>3）</w:t>
      </w:r>
      <w:r>
        <w:rPr>
          <w:rFonts w:ascii="Times New Roman" w:hAnsi="Times New Roman" w:eastAsia="宋体" w:cs="Times New Roman"/>
          <w:color w:val="auto"/>
          <w:kern w:val="0"/>
          <w:sz w:val="24"/>
          <w:szCs w:val="24"/>
          <w:highlight w:val="none"/>
          <w:u w:val="none"/>
        </w:rPr>
        <w:t>选用质量可靠的设备、仪表、阀门等</w:t>
      </w:r>
      <w:r>
        <w:rPr>
          <w:rFonts w:hint="eastAsia" w:ascii="Times New Roman" w:hAnsi="Times New Roman" w:eastAsia="宋体" w:cs="Times New Roman"/>
          <w:color w:val="auto"/>
          <w:kern w:val="0"/>
          <w:sz w:val="24"/>
          <w:szCs w:val="24"/>
          <w:highlight w:val="none"/>
          <w:u w:val="none"/>
          <w:lang w:eastAsia="zh-CN"/>
        </w:rPr>
        <w:t>；</w:t>
      </w:r>
    </w:p>
    <w:p w14:paraId="30F056B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val="en-US" w:eastAsia="zh-CN"/>
        </w:rPr>
        <w:t>4）</w:t>
      </w:r>
      <w:r>
        <w:rPr>
          <w:rFonts w:ascii="Times New Roman" w:hAnsi="Times New Roman" w:eastAsia="宋体" w:cs="Times New Roman"/>
          <w:color w:val="auto"/>
          <w:kern w:val="0"/>
          <w:sz w:val="24"/>
          <w:szCs w:val="24"/>
          <w:highlight w:val="none"/>
          <w:u w:val="none"/>
        </w:rPr>
        <w:t>加强对密闭管线及密封点的巡检，一旦发生泄漏立即切断控制阀，并</w:t>
      </w:r>
      <w:r>
        <w:rPr>
          <w:rFonts w:hint="eastAsia" w:cs="Times New Roman"/>
          <w:color w:val="auto"/>
          <w:kern w:val="0"/>
          <w:sz w:val="24"/>
          <w:szCs w:val="24"/>
          <w:highlight w:val="none"/>
          <w:u w:val="none"/>
          <w:lang w:eastAsia="zh-CN"/>
        </w:rPr>
        <w:t>尽快</w:t>
      </w:r>
      <w:r>
        <w:rPr>
          <w:rFonts w:ascii="Times New Roman" w:hAnsi="Times New Roman" w:eastAsia="宋体" w:cs="Times New Roman"/>
          <w:color w:val="auto"/>
          <w:kern w:val="0"/>
          <w:sz w:val="24"/>
          <w:szCs w:val="24"/>
          <w:highlight w:val="none"/>
          <w:u w:val="none"/>
        </w:rPr>
        <w:t>完成修复；</w:t>
      </w:r>
    </w:p>
    <w:p w14:paraId="5C88D8E1">
      <w:pPr>
        <w:keepNext w:val="0"/>
        <w:keepLines w:val="0"/>
        <w:pageBreakBefore w:val="0"/>
        <w:kinsoku/>
        <w:overflowPunct/>
        <w:topLinePunct w:val="0"/>
        <w:autoSpaceDE/>
        <w:autoSpaceDN/>
        <w:bidi w:val="0"/>
        <w:adjustRightInd/>
        <w:snapToGrid/>
        <w:spacing w:after="0" w:afterAutospacing="0" w:line="480" w:lineRule="exact"/>
        <w:ind w:firstLine="480" w:firstLineChars="200"/>
        <w:jc w:val="both"/>
        <w:textAlignment w:val="auto"/>
        <w:rPr>
          <w:rFonts w:ascii="Times New Roman" w:hAnsi="Times New Roman" w:eastAsia="宋体" w:cs="Times New Roman"/>
          <w:color w:val="auto"/>
          <w:kern w:val="2"/>
          <w:sz w:val="24"/>
          <w:szCs w:val="20"/>
          <w:highlight w:val="none"/>
          <w:u w:val="none"/>
          <w:lang w:val="en-US" w:eastAsia="zh-CN" w:bidi="ar-SA"/>
        </w:rPr>
      </w:pPr>
      <w:r>
        <w:rPr>
          <w:rFonts w:hint="eastAsia" w:ascii="Times New Roman" w:hAnsi="Times New Roman" w:eastAsia="宋体" w:cs="Times New Roman"/>
          <w:color w:val="auto"/>
          <w:kern w:val="2"/>
          <w:sz w:val="24"/>
          <w:szCs w:val="20"/>
          <w:highlight w:val="none"/>
          <w:u w:val="none"/>
          <w:lang w:val="en-US" w:eastAsia="zh-CN" w:bidi="ar-SA"/>
        </w:rPr>
        <w:t>5）</w:t>
      </w:r>
      <w:r>
        <w:rPr>
          <w:rFonts w:ascii="Times New Roman" w:hAnsi="Times New Roman" w:eastAsia="宋体" w:cs="Times New Roman"/>
          <w:color w:val="auto"/>
          <w:kern w:val="2"/>
          <w:sz w:val="24"/>
          <w:szCs w:val="20"/>
          <w:highlight w:val="none"/>
          <w:u w:val="none"/>
          <w:lang w:val="en-US" w:eastAsia="zh-CN" w:bidi="ar-SA"/>
        </w:rPr>
        <w:t>加强</w:t>
      </w:r>
      <w:r>
        <w:rPr>
          <w:rFonts w:hint="eastAsia" w:ascii="Times New Roman" w:hAnsi="Times New Roman" w:eastAsia="宋体" w:cs="Times New Roman"/>
          <w:color w:val="auto"/>
          <w:kern w:val="2"/>
          <w:sz w:val="24"/>
          <w:szCs w:val="20"/>
          <w:highlight w:val="none"/>
          <w:u w:val="none"/>
          <w:lang w:val="en-US" w:eastAsia="zh-CN" w:bidi="ar-SA"/>
        </w:rPr>
        <w:t>油气井</w:t>
      </w:r>
      <w:r>
        <w:rPr>
          <w:rFonts w:ascii="Times New Roman" w:hAnsi="Times New Roman" w:eastAsia="宋体" w:cs="Times New Roman"/>
          <w:color w:val="auto"/>
          <w:kern w:val="2"/>
          <w:sz w:val="24"/>
          <w:szCs w:val="20"/>
          <w:highlight w:val="none"/>
          <w:u w:val="none"/>
          <w:lang w:val="en-US" w:eastAsia="zh-CN" w:bidi="ar-SA"/>
        </w:rPr>
        <w:t>生产管理，减少</w:t>
      </w:r>
      <w:r>
        <w:rPr>
          <w:rFonts w:hint="eastAsia" w:ascii="Times New Roman" w:hAnsi="Times New Roman" w:eastAsia="宋体" w:cs="Times New Roman"/>
          <w:color w:val="auto"/>
          <w:kern w:val="2"/>
          <w:sz w:val="24"/>
          <w:szCs w:val="20"/>
          <w:highlight w:val="none"/>
          <w:u w:val="none"/>
          <w:lang w:val="en-US" w:eastAsia="zh-CN" w:bidi="ar-SA"/>
        </w:rPr>
        <w:t>温室气体</w:t>
      </w:r>
      <w:r>
        <w:rPr>
          <w:rFonts w:ascii="Times New Roman" w:hAnsi="Times New Roman" w:eastAsia="宋体" w:cs="Times New Roman"/>
          <w:color w:val="auto"/>
          <w:kern w:val="2"/>
          <w:sz w:val="24"/>
          <w:szCs w:val="20"/>
          <w:highlight w:val="none"/>
          <w:u w:val="none"/>
          <w:lang w:val="en-US" w:eastAsia="zh-CN" w:bidi="ar-SA"/>
        </w:rPr>
        <w:t>的跑、冒，做好</w:t>
      </w:r>
      <w:r>
        <w:rPr>
          <w:rFonts w:hint="eastAsia" w:ascii="Times New Roman" w:hAnsi="Times New Roman" w:eastAsia="宋体" w:cs="Times New Roman"/>
          <w:color w:val="auto"/>
          <w:kern w:val="2"/>
          <w:sz w:val="24"/>
          <w:szCs w:val="20"/>
          <w:highlight w:val="none"/>
          <w:u w:val="none"/>
          <w:lang w:val="en-US" w:eastAsia="zh-CN" w:bidi="ar-SA"/>
        </w:rPr>
        <w:t>气井</w:t>
      </w:r>
      <w:r>
        <w:rPr>
          <w:rFonts w:ascii="Times New Roman" w:hAnsi="Times New Roman" w:eastAsia="宋体" w:cs="Times New Roman"/>
          <w:color w:val="auto"/>
          <w:kern w:val="2"/>
          <w:sz w:val="24"/>
          <w:szCs w:val="20"/>
          <w:highlight w:val="none"/>
          <w:u w:val="none"/>
          <w:lang w:val="en-US" w:eastAsia="zh-CN" w:bidi="ar-SA"/>
        </w:rPr>
        <w:t>的压力监测，并准备应急措施</w:t>
      </w:r>
      <w:r>
        <w:rPr>
          <w:rFonts w:hint="eastAsia" w:ascii="Times New Roman" w:hAnsi="Times New Roman" w:eastAsia="宋体" w:cs="Times New Roman"/>
          <w:color w:val="auto"/>
          <w:kern w:val="2"/>
          <w:sz w:val="24"/>
          <w:szCs w:val="20"/>
          <w:highlight w:val="none"/>
          <w:u w:val="none"/>
          <w:lang w:val="en-US" w:eastAsia="zh-CN" w:bidi="ar-SA"/>
        </w:rPr>
        <w:t>，从而减少温室气体排放。</w:t>
      </w:r>
    </w:p>
    <w:p w14:paraId="2BB29378">
      <w:pPr>
        <w:keepNext w:val="0"/>
        <w:keepLines w:val="0"/>
        <w:pageBreakBefore w:val="0"/>
        <w:kinsoku/>
        <w:overflowPunct/>
        <w:topLinePunct w:val="0"/>
        <w:autoSpaceDE/>
        <w:autoSpaceDN/>
        <w:bidi w:val="0"/>
        <w:adjustRightInd/>
        <w:snapToGrid/>
        <w:spacing w:after="0" w:afterAutospacing="0" w:line="480" w:lineRule="exact"/>
        <w:ind w:firstLine="480" w:firstLineChars="200"/>
        <w:jc w:val="both"/>
        <w:textAlignment w:val="auto"/>
        <w:rPr>
          <w:rFonts w:hint="default"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综上，</w:t>
      </w:r>
      <w:r>
        <w:rPr>
          <w:rFonts w:hint="eastAsia" w:ascii="Times New Roman" w:hAnsi="Times New Roman" w:eastAsia="宋体" w:cs="Times New Roman"/>
          <w:color w:val="auto"/>
          <w:kern w:val="2"/>
          <w:sz w:val="24"/>
          <w:szCs w:val="20"/>
          <w:highlight w:val="none"/>
          <w:u w:val="none"/>
          <w:lang w:val="en-US" w:eastAsia="zh-CN" w:bidi="ar-SA"/>
        </w:rPr>
        <w:t>本工程</w:t>
      </w:r>
      <w:r>
        <w:rPr>
          <w:rFonts w:ascii="Times New Roman" w:hAnsi="Times New Roman" w:eastAsia="宋体" w:cs="Times New Roman"/>
          <w:color w:val="auto"/>
          <w:kern w:val="2"/>
          <w:sz w:val="24"/>
          <w:szCs w:val="20"/>
          <w:highlight w:val="none"/>
          <w:u w:val="none"/>
          <w:lang w:val="en-US" w:eastAsia="zh-CN" w:bidi="ar-SA"/>
        </w:rPr>
        <w:t>采取的废气污染防治措施可行。</w:t>
      </w:r>
    </w:p>
    <w:p w14:paraId="713706DA">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5.3退役期大气</w:t>
      </w:r>
      <w:r>
        <w:rPr>
          <w:rFonts w:hint="default" w:ascii="黑体" w:hAnsi="黑体" w:eastAsia="黑体" w:cs="黑体"/>
          <w:b/>
          <w:color w:val="auto"/>
          <w:kern w:val="0"/>
          <w:sz w:val="24"/>
          <w:szCs w:val="24"/>
          <w:highlight w:val="none"/>
          <w:u w:val="none"/>
          <w:lang w:val="en-US" w:eastAsia="zh-CN"/>
        </w:rPr>
        <w:t>环境保护措施可行性论证</w:t>
      </w:r>
    </w:p>
    <w:p w14:paraId="3215EFFA">
      <w:pPr>
        <w:keepNext w:val="0"/>
        <w:keepLines w:val="0"/>
        <w:pageBreakBefore w:val="0"/>
        <w:kinsoku/>
        <w:overflowPunct/>
        <w:topLinePunct w:val="0"/>
        <w:autoSpaceDE/>
        <w:autoSpaceDN/>
        <w:bidi w:val="0"/>
        <w:adjustRightInd/>
        <w:snapToGrid/>
        <w:spacing w:after="0" w:afterAutospacing="0" w:line="480" w:lineRule="exact"/>
        <w:ind w:firstLine="480" w:firstLineChars="200"/>
        <w:textAlignment w:val="auto"/>
        <w:rPr>
          <w:rFonts w:hint="default" w:ascii="Times New Roman" w:hAnsi="Times New Roman" w:eastAsia="宋体" w:cs="Times New Roman"/>
          <w:color w:val="auto"/>
          <w:kern w:val="2"/>
          <w:sz w:val="24"/>
          <w:szCs w:val="20"/>
          <w:highlight w:val="none"/>
          <w:u w:val="none"/>
          <w:lang w:val="en-US" w:eastAsia="zh-CN" w:bidi="ar-SA"/>
        </w:rPr>
      </w:pPr>
      <w:r>
        <w:rPr>
          <w:rFonts w:hint="default" w:ascii="Times New Roman" w:hAnsi="Times New Roman" w:eastAsia="宋体" w:cs="Times New Roman"/>
          <w:color w:val="auto"/>
          <w:kern w:val="2"/>
          <w:sz w:val="24"/>
          <w:szCs w:val="20"/>
          <w:highlight w:val="none"/>
          <w:u w:val="none"/>
          <w:lang w:val="en-US" w:eastAsia="zh-CN" w:bidi="ar-SA"/>
        </w:rPr>
        <w:t>（1）运输车辆使用符合国家标准的油品。</w:t>
      </w:r>
    </w:p>
    <w:p w14:paraId="20231B5F">
      <w:pPr>
        <w:keepNext w:val="0"/>
        <w:keepLines w:val="0"/>
        <w:pageBreakBefore w:val="0"/>
        <w:kinsoku/>
        <w:overflowPunct/>
        <w:topLinePunct w:val="0"/>
        <w:autoSpaceDE/>
        <w:autoSpaceDN/>
        <w:bidi w:val="0"/>
        <w:adjustRightInd/>
        <w:snapToGrid/>
        <w:spacing w:after="0" w:afterAutospacing="0" w:line="480" w:lineRule="exact"/>
        <w:ind w:firstLine="480" w:firstLineChars="200"/>
        <w:textAlignment w:val="auto"/>
        <w:rPr>
          <w:rFonts w:hint="default" w:ascii="Times New Roman" w:hAnsi="Times New Roman" w:eastAsia="宋体" w:cs="Times New Roman"/>
          <w:color w:val="auto"/>
          <w:kern w:val="2"/>
          <w:sz w:val="24"/>
          <w:szCs w:val="20"/>
          <w:highlight w:val="none"/>
          <w:u w:val="none"/>
          <w:lang w:val="en-US" w:eastAsia="zh-CN" w:bidi="ar-SA"/>
        </w:rPr>
      </w:pPr>
      <w:r>
        <w:rPr>
          <w:rFonts w:hint="default" w:ascii="Times New Roman" w:hAnsi="Times New Roman" w:eastAsia="宋体" w:cs="Times New Roman"/>
          <w:color w:val="auto"/>
          <w:kern w:val="2"/>
          <w:sz w:val="24"/>
          <w:szCs w:val="20"/>
          <w:highlight w:val="none"/>
          <w:u w:val="none"/>
          <w:lang w:val="en-US" w:eastAsia="zh-CN" w:bidi="ar-SA"/>
        </w:rPr>
        <w:t>（2）在闭井施工操作中应做到文明施工，防止水泥等的洒落与飘散；尽量避开大风天气进行作业。</w:t>
      </w:r>
    </w:p>
    <w:p w14:paraId="19F21AA9">
      <w:pPr>
        <w:keepNext w:val="0"/>
        <w:keepLines w:val="0"/>
        <w:pageBreakBefore w:val="0"/>
        <w:kinsoku/>
        <w:overflowPunct/>
        <w:topLinePunct w:val="0"/>
        <w:autoSpaceDE/>
        <w:autoSpaceDN/>
        <w:bidi w:val="0"/>
        <w:adjustRightInd/>
        <w:snapToGrid/>
        <w:spacing w:after="0" w:afterAutospacing="0" w:line="480" w:lineRule="exact"/>
        <w:ind w:firstLine="480" w:firstLineChars="200"/>
        <w:textAlignment w:val="auto"/>
        <w:rPr>
          <w:rFonts w:hint="default" w:ascii="Times New Roman" w:hAnsi="Times New Roman" w:eastAsia="宋体" w:cs="Times New Roman"/>
          <w:color w:val="auto"/>
          <w:kern w:val="2"/>
          <w:sz w:val="24"/>
          <w:szCs w:val="20"/>
          <w:highlight w:val="none"/>
          <w:u w:val="none"/>
          <w:lang w:val="en-US" w:eastAsia="zh-CN" w:bidi="ar-SA"/>
        </w:rPr>
      </w:pPr>
      <w:r>
        <w:rPr>
          <w:rFonts w:hint="default" w:ascii="Times New Roman" w:hAnsi="Times New Roman" w:eastAsia="宋体"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退役期</w:t>
      </w:r>
      <w:r>
        <w:rPr>
          <w:rFonts w:hint="default" w:ascii="Times New Roman" w:hAnsi="Times New Roman" w:eastAsia="宋体" w:cs="Times New Roman"/>
          <w:color w:val="auto"/>
          <w:kern w:val="2"/>
          <w:sz w:val="24"/>
          <w:szCs w:val="20"/>
          <w:highlight w:val="none"/>
          <w:u w:val="none"/>
          <w:lang w:val="en-US" w:eastAsia="zh-CN" w:bidi="ar-SA"/>
        </w:rPr>
        <w:t>封井施工过程中，应加强</w:t>
      </w:r>
      <w:r>
        <w:rPr>
          <w:rFonts w:hint="eastAsia" w:ascii="Times New Roman" w:hAnsi="Times New Roman" w:eastAsia="宋体" w:cs="Times New Roman"/>
          <w:color w:val="auto"/>
          <w:kern w:val="2"/>
          <w:sz w:val="24"/>
          <w:szCs w:val="20"/>
          <w:highlight w:val="none"/>
          <w:u w:val="none"/>
          <w:lang w:val="en-US" w:eastAsia="zh-CN" w:bidi="ar-SA"/>
        </w:rPr>
        <w:t>施工质量管理，避免出现封井不严等非正常工况的烃类泄漏。</w:t>
      </w:r>
    </w:p>
    <w:p w14:paraId="78A5713C">
      <w:pPr>
        <w:pStyle w:val="50"/>
        <w:keepNext/>
        <w:keepLines/>
        <w:pageBreakBefore w:val="0"/>
        <w:widowControl w:val="0"/>
        <w:kinsoku/>
        <w:wordWrap/>
        <w:overflowPunct/>
        <w:topLinePunct w:val="0"/>
        <w:autoSpaceDE/>
        <w:autoSpaceDN/>
        <w:bidi w:val="0"/>
        <w:adjustRightInd/>
        <w:snapToGrid/>
        <w:spacing w:before="164" w:beforeLines="50" w:after="0" w:line="360" w:lineRule="auto"/>
        <w:textAlignment w:val="auto"/>
        <w:outlineLvl w:val="1"/>
        <w:rPr>
          <w:rFonts w:hint="eastAsia" w:ascii="黑体" w:hAnsi="黑体" w:eastAsia="黑体" w:cs="黑体"/>
          <w:color w:val="auto"/>
          <w:sz w:val="28"/>
          <w:szCs w:val="28"/>
          <w:u w:val="none"/>
          <w:lang w:val="en-US" w:eastAsia="zh-CN"/>
        </w:rPr>
      </w:pPr>
      <w:bookmarkStart w:id="511" w:name="_Toc1059"/>
      <w:r>
        <w:rPr>
          <w:rFonts w:hint="default" w:ascii="黑体" w:hAnsi="黑体" w:eastAsia="黑体" w:cs="黑体"/>
          <w:color w:val="auto"/>
          <w:sz w:val="28"/>
          <w:szCs w:val="28"/>
          <w:u w:val="none"/>
          <w:lang w:val="en-US" w:eastAsia="zh-CN"/>
        </w:rPr>
        <w:t>6.</w:t>
      </w:r>
      <w:r>
        <w:rPr>
          <w:rFonts w:hint="eastAsia" w:ascii="黑体" w:hAnsi="黑体" w:eastAsia="黑体" w:cs="黑体"/>
          <w:color w:val="auto"/>
          <w:sz w:val="28"/>
          <w:szCs w:val="28"/>
          <w:u w:val="none"/>
          <w:lang w:val="en-US" w:eastAsia="zh-CN"/>
        </w:rPr>
        <w:t xml:space="preserve">6 </w:t>
      </w:r>
      <w:r>
        <w:rPr>
          <w:rFonts w:hint="default" w:ascii="黑体" w:hAnsi="黑体" w:eastAsia="黑体" w:cs="黑体"/>
          <w:color w:val="auto"/>
          <w:sz w:val="28"/>
          <w:szCs w:val="28"/>
          <w:u w:val="none"/>
          <w:lang w:val="en-US" w:eastAsia="zh-CN"/>
        </w:rPr>
        <w:t>声环境保护措施可行性论证</w:t>
      </w:r>
      <w:bookmarkEnd w:id="511"/>
    </w:p>
    <w:p w14:paraId="69BF289E">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6.1施工期声</w:t>
      </w:r>
      <w:r>
        <w:rPr>
          <w:rFonts w:hint="default" w:ascii="黑体" w:hAnsi="黑体" w:eastAsia="黑体" w:cs="黑体"/>
          <w:b/>
          <w:color w:val="auto"/>
          <w:kern w:val="0"/>
          <w:sz w:val="24"/>
          <w:szCs w:val="24"/>
          <w:highlight w:val="none"/>
          <w:u w:val="none"/>
          <w:lang w:val="en-US" w:eastAsia="zh-CN"/>
        </w:rPr>
        <w:t>环境保护措施可行性论证</w:t>
      </w:r>
    </w:p>
    <w:p w14:paraId="78B79613">
      <w:pPr>
        <w:keepNext w:val="0"/>
        <w:keepLines w:val="0"/>
        <w:pageBreakBefore w:val="0"/>
        <w:kinsoku/>
        <w:overflowPunct/>
        <w:topLinePunct w:val="0"/>
        <w:autoSpaceDE/>
        <w:autoSpaceDN/>
        <w:bidi w:val="0"/>
        <w:adjustRightInd/>
        <w:snapToGrid/>
        <w:spacing w:after="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hint="eastAsia" w:ascii="Times New Roman" w:hAnsi="Times New Roman" w:eastAsia="宋体" w:cs="Times New Roman"/>
          <w:color w:val="auto"/>
          <w:kern w:val="2"/>
          <w:sz w:val="24"/>
          <w:szCs w:val="20"/>
          <w:highlight w:val="none"/>
          <w:u w:val="none"/>
          <w:lang w:val="en-US" w:eastAsia="zh-CN" w:bidi="ar-SA"/>
        </w:rPr>
        <w:t>本工程施工期噪声源主要是各类施工机械和运输车辆。为最大限度避免和减轻施工及运输噪声对周围声环境的不利影响，本评价对施工期噪声控制提出以下要求和建议：</w:t>
      </w:r>
    </w:p>
    <w:p w14:paraId="42FD4E04">
      <w:pPr>
        <w:keepNext w:val="0"/>
        <w:keepLines w:val="0"/>
        <w:pageBreakBefore w:val="0"/>
        <w:kinsoku/>
        <w:overflowPunct/>
        <w:topLinePunct w:val="0"/>
        <w:autoSpaceDE/>
        <w:autoSpaceDN/>
        <w:bidi w:val="0"/>
        <w:adjustRightInd/>
        <w:snapToGrid/>
        <w:spacing w:after="0" w:afterAutospacing="0" w:line="480" w:lineRule="exact"/>
        <w:ind w:firstLine="480" w:firstLineChars="200"/>
        <w:jc w:val="both"/>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（1）施工单位可合理安排施工时间，避免长时间使用高噪声设备，使</w:t>
      </w:r>
      <w:r>
        <w:rPr>
          <w:rFonts w:hint="eastAsia" w:ascii="Times New Roman" w:hAnsi="Times New Roman" w:eastAsia="宋体" w:cs="Times New Roman"/>
          <w:color w:val="auto"/>
          <w:kern w:val="2"/>
          <w:sz w:val="24"/>
          <w:szCs w:val="20"/>
          <w:highlight w:val="none"/>
          <w:u w:val="none"/>
          <w:lang w:val="en-US" w:eastAsia="zh-CN" w:bidi="ar-SA"/>
        </w:rPr>
        <w:t>本工程</w:t>
      </w:r>
      <w:r>
        <w:rPr>
          <w:rFonts w:ascii="Times New Roman" w:hAnsi="Times New Roman" w:eastAsia="宋体" w:cs="Times New Roman"/>
          <w:color w:val="auto"/>
          <w:kern w:val="2"/>
          <w:sz w:val="24"/>
          <w:szCs w:val="20"/>
          <w:highlight w:val="none"/>
          <w:u w:val="none"/>
          <w:lang w:val="en-US" w:eastAsia="zh-CN" w:bidi="ar-SA"/>
        </w:rPr>
        <w:t>在施工期造成的噪声污染降到最低。</w:t>
      </w:r>
    </w:p>
    <w:p w14:paraId="501BF9FE">
      <w:pPr>
        <w:keepNext w:val="0"/>
        <w:keepLines w:val="0"/>
        <w:pageBreakBefore w:val="0"/>
        <w:kinsoku/>
        <w:overflowPunct/>
        <w:topLinePunct w:val="0"/>
        <w:autoSpaceDE/>
        <w:autoSpaceDN/>
        <w:bidi w:val="0"/>
        <w:adjustRightInd/>
        <w:snapToGrid/>
        <w:spacing w:after="0" w:afterAutospacing="0" w:line="480" w:lineRule="exact"/>
        <w:ind w:firstLine="480" w:firstLineChars="200"/>
        <w:jc w:val="both"/>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（2）施工设备选型时，在满足施工需要的前提下，尽可能选取噪声低、振动小、能耗小的先进设备。</w:t>
      </w:r>
    </w:p>
    <w:p w14:paraId="426C42C8">
      <w:pPr>
        <w:keepNext w:val="0"/>
        <w:keepLines w:val="0"/>
        <w:pageBreakBefore w:val="0"/>
        <w:kinsoku/>
        <w:overflowPunct/>
        <w:topLinePunct w:val="0"/>
        <w:autoSpaceDE/>
        <w:autoSpaceDN/>
        <w:bidi w:val="0"/>
        <w:adjustRightInd/>
        <w:snapToGrid/>
        <w:spacing w:after="0" w:afterAutospacing="0" w:line="480" w:lineRule="exact"/>
        <w:ind w:firstLine="480" w:firstLineChars="200"/>
        <w:jc w:val="both"/>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（3）加强施工机械的维护保养，避免由于设备性能差而使机械噪声增大的现象发生。</w:t>
      </w:r>
    </w:p>
    <w:p w14:paraId="4B4F305E">
      <w:pPr>
        <w:keepNext w:val="0"/>
        <w:keepLines w:val="0"/>
        <w:pageBreakBefore w:val="0"/>
        <w:kinsoku/>
        <w:overflowPunct/>
        <w:topLinePunct w:val="0"/>
        <w:autoSpaceDE/>
        <w:autoSpaceDN/>
        <w:bidi w:val="0"/>
        <w:adjustRightInd/>
        <w:snapToGrid/>
        <w:spacing w:after="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hint="eastAsia" w:ascii="Times New Roman" w:hAnsi="Times New Roman" w:eastAsia="宋体" w:cs="Times New Roman"/>
          <w:color w:val="auto"/>
          <w:kern w:val="2"/>
          <w:sz w:val="24"/>
          <w:szCs w:val="20"/>
          <w:highlight w:val="none"/>
          <w:u w:val="none"/>
          <w:lang w:val="en-US" w:eastAsia="zh-CN" w:bidi="ar-SA"/>
        </w:rPr>
        <w:t>（4）运输车辆进出工地时应低速行驶，少鸣笛或不鸣笛。</w:t>
      </w:r>
    </w:p>
    <w:p w14:paraId="54DE3FE9">
      <w:pPr>
        <w:keepNext w:val="0"/>
        <w:keepLines w:val="0"/>
        <w:pageBreakBefore w:val="0"/>
        <w:kinsoku/>
        <w:overflowPunct/>
        <w:topLinePunct w:val="0"/>
        <w:autoSpaceDE/>
        <w:autoSpaceDN/>
        <w:bidi w:val="0"/>
        <w:adjustRightInd/>
        <w:snapToGrid/>
        <w:spacing w:after="0" w:afterAutospacing="0" w:line="480" w:lineRule="exact"/>
        <w:ind w:firstLine="480" w:firstLineChars="200"/>
        <w:jc w:val="both"/>
        <w:textAlignment w:val="auto"/>
        <w:rPr>
          <w:rFonts w:ascii="Times New Roman" w:hAnsi="Times New Roman" w:eastAsia="宋体" w:cs="Times New Roman"/>
          <w:color w:val="auto"/>
          <w:kern w:val="2"/>
          <w:sz w:val="24"/>
          <w:szCs w:val="20"/>
          <w:highlight w:val="none"/>
          <w:u w:val="none"/>
          <w:lang w:val="en-US" w:eastAsia="zh-CN" w:bidi="ar-SA"/>
        </w:rPr>
      </w:pPr>
      <w:r>
        <w:rPr>
          <w:rFonts w:hint="eastAsia" w:ascii="Times New Roman" w:hAnsi="Times New Roman" w:eastAsia="宋体" w:cs="Times New Roman"/>
          <w:color w:val="auto"/>
          <w:kern w:val="2"/>
          <w:sz w:val="24"/>
          <w:szCs w:val="20"/>
          <w:highlight w:val="none"/>
          <w:u w:val="none"/>
          <w:lang w:val="en-US" w:eastAsia="zh-CN" w:bidi="ar-SA"/>
        </w:rPr>
        <w:t>项目区200m范围内没有声环境敏感点，采取的噪声污染防治措施是可行的</w:t>
      </w:r>
      <w:r>
        <w:rPr>
          <w:rFonts w:ascii="Times New Roman" w:hAnsi="Times New Roman" w:eastAsia="宋体" w:cs="Times New Roman"/>
          <w:color w:val="auto"/>
          <w:kern w:val="2"/>
          <w:sz w:val="24"/>
          <w:szCs w:val="20"/>
          <w:highlight w:val="none"/>
          <w:u w:val="none"/>
          <w:lang w:val="en-US" w:eastAsia="zh-CN" w:bidi="ar-SA"/>
        </w:rPr>
        <w:t>。</w:t>
      </w:r>
    </w:p>
    <w:p w14:paraId="510F30FB">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6.2运营期声</w:t>
      </w:r>
      <w:r>
        <w:rPr>
          <w:rFonts w:hint="default" w:ascii="黑体" w:hAnsi="黑体" w:eastAsia="黑体" w:cs="黑体"/>
          <w:b/>
          <w:color w:val="auto"/>
          <w:kern w:val="0"/>
          <w:sz w:val="24"/>
          <w:szCs w:val="24"/>
          <w:highlight w:val="none"/>
          <w:u w:val="none"/>
          <w:lang w:val="en-US" w:eastAsia="zh-CN"/>
        </w:rPr>
        <w:t>环境保护措施可行性论证</w:t>
      </w:r>
    </w:p>
    <w:p w14:paraId="2CA94A2C">
      <w:pPr>
        <w:keepNext w:val="0"/>
        <w:keepLines w:val="0"/>
        <w:pageBreakBefore w:val="0"/>
        <w:kinsoku/>
        <w:overflowPunct/>
        <w:topLinePunct w:val="0"/>
        <w:autoSpaceDE/>
        <w:autoSpaceDN/>
        <w:bidi w:val="0"/>
        <w:adjustRightInd/>
        <w:snapToGrid/>
        <w:spacing w:after="0" w:afterAutospacing="0" w:line="480" w:lineRule="exact"/>
        <w:ind w:firstLine="480" w:firstLineChars="200"/>
        <w:jc w:val="both"/>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（1）对声源强度较大的设备进行减噪处理，根据各种设备类型所产生噪声的特性，采用不同的控制手段。</w:t>
      </w:r>
    </w:p>
    <w:p w14:paraId="06A4A487">
      <w:pPr>
        <w:keepNext w:val="0"/>
        <w:keepLines w:val="0"/>
        <w:pageBreakBefore w:val="0"/>
        <w:kinsoku/>
        <w:overflowPunct/>
        <w:topLinePunct w:val="0"/>
        <w:autoSpaceDE/>
        <w:autoSpaceDN/>
        <w:bidi w:val="0"/>
        <w:adjustRightInd/>
        <w:snapToGrid/>
        <w:spacing w:after="0" w:afterAutospacing="0" w:line="480" w:lineRule="exact"/>
        <w:ind w:firstLine="480" w:firstLineChars="200"/>
        <w:jc w:val="both"/>
        <w:textAlignment w:val="auto"/>
        <w:rPr>
          <w:rFonts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color w:val="auto"/>
          <w:kern w:val="2"/>
          <w:sz w:val="24"/>
          <w:szCs w:val="20"/>
          <w:highlight w:val="none"/>
          <w:u w:val="none"/>
          <w:lang w:val="en-US" w:eastAsia="zh-CN" w:bidi="ar-SA"/>
        </w:rPr>
        <w:t>（2）提高工艺过程自动化水平，尽量减少操作人员在噪声源的停留时间。设备采用巡检的方式，由操作人员定期对装置区进行检查，尽量减少人员与噪声的接触时间。</w:t>
      </w:r>
    </w:p>
    <w:p w14:paraId="78F3ED07">
      <w:pPr>
        <w:keepNext w:val="0"/>
        <w:keepLines w:val="0"/>
        <w:pageBreakBefore w:val="0"/>
        <w:kinsoku/>
        <w:overflowPunct/>
        <w:topLinePunct w:val="0"/>
        <w:autoSpaceDE/>
        <w:autoSpaceDN/>
        <w:bidi w:val="0"/>
        <w:adjustRightInd/>
        <w:snapToGrid/>
        <w:spacing w:after="0" w:afterAutospacing="0" w:line="480" w:lineRule="exact"/>
        <w:ind w:firstLine="480" w:firstLineChars="200"/>
        <w:jc w:val="both"/>
        <w:textAlignment w:val="auto"/>
        <w:rPr>
          <w:rFonts w:hint="default" w:ascii="Times New Roman" w:hAnsi="Times New Roman" w:eastAsia="宋体" w:cs="Times New Roman"/>
          <w:color w:val="auto"/>
          <w:kern w:val="2"/>
          <w:sz w:val="24"/>
          <w:szCs w:val="20"/>
          <w:highlight w:val="none"/>
          <w:u w:val="none"/>
          <w:lang w:val="en-US" w:eastAsia="zh-CN" w:bidi="ar-SA"/>
        </w:rPr>
      </w:pPr>
      <w:r>
        <w:rPr>
          <w:rFonts w:hint="eastAsia" w:ascii="Times New Roman" w:hAnsi="Times New Roman" w:eastAsia="宋体" w:cs="Times New Roman"/>
          <w:color w:val="auto"/>
          <w:kern w:val="2"/>
          <w:sz w:val="24"/>
          <w:szCs w:val="20"/>
          <w:highlight w:val="none"/>
          <w:u w:val="none"/>
          <w:lang w:val="en-US" w:eastAsia="zh-CN" w:bidi="ar-SA"/>
        </w:rPr>
        <w:t>本工程</w:t>
      </w:r>
      <w:r>
        <w:rPr>
          <w:rFonts w:ascii="Times New Roman" w:hAnsi="Times New Roman" w:eastAsia="宋体" w:cs="Times New Roman"/>
          <w:color w:val="auto"/>
          <w:kern w:val="2"/>
          <w:sz w:val="24"/>
          <w:szCs w:val="20"/>
          <w:highlight w:val="none"/>
          <w:u w:val="none"/>
          <w:lang w:val="en-US" w:eastAsia="zh-CN" w:bidi="ar-SA"/>
        </w:rPr>
        <w:t>采取的噪声污染防治措施可行。</w:t>
      </w:r>
    </w:p>
    <w:p w14:paraId="6499F981">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6.3退役期声</w:t>
      </w:r>
      <w:r>
        <w:rPr>
          <w:rFonts w:hint="default" w:ascii="黑体" w:hAnsi="黑体" w:eastAsia="黑体" w:cs="黑体"/>
          <w:b/>
          <w:color w:val="auto"/>
          <w:kern w:val="0"/>
          <w:sz w:val="24"/>
          <w:szCs w:val="24"/>
          <w:highlight w:val="none"/>
          <w:u w:val="none"/>
          <w:lang w:val="en-US" w:eastAsia="zh-CN"/>
        </w:rPr>
        <w:t>环境保护措施可行性论证</w:t>
      </w:r>
    </w:p>
    <w:p w14:paraId="15D840F7">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kern w:val="2"/>
          <w:sz w:val="24"/>
          <w:szCs w:val="22"/>
          <w:highlight w:val="none"/>
          <w:u w:val="none"/>
          <w:lang w:val="en-US" w:eastAsia="zh-CN" w:bidi="ar-SA"/>
        </w:rPr>
      </w:pPr>
      <w:r>
        <w:rPr>
          <w:rFonts w:hint="default" w:ascii="Times New Roman" w:hAnsi="Times New Roman" w:eastAsia="宋体" w:cs="Times New Roman"/>
          <w:bCs/>
          <w:color w:val="auto"/>
          <w:kern w:val="2"/>
          <w:sz w:val="24"/>
          <w:szCs w:val="22"/>
          <w:highlight w:val="none"/>
          <w:u w:val="none"/>
          <w:lang w:val="en-US" w:eastAsia="zh-CN" w:bidi="ar-SA"/>
        </w:rPr>
        <w:t>（1）选用低噪声机械和车辆。</w:t>
      </w:r>
    </w:p>
    <w:p w14:paraId="7E047912">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kern w:val="2"/>
          <w:sz w:val="24"/>
          <w:szCs w:val="22"/>
          <w:highlight w:val="none"/>
          <w:u w:val="none"/>
          <w:lang w:val="en-US" w:eastAsia="zh-CN" w:bidi="ar-SA"/>
        </w:rPr>
      </w:pPr>
      <w:r>
        <w:rPr>
          <w:rFonts w:hint="default" w:ascii="Times New Roman" w:hAnsi="Times New Roman" w:eastAsia="宋体" w:cs="Times New Roman"/>
          <w:bCs/>
          <w:color w:val="auto"/>
          <w:kern w:val="2"/>
          <w:sz w:val="24"/>
          <w:szCs w:val="22"/>
          <w:highlight w:val="none"/>
          <w:u w:val="none"/>
          <w:lang w:val="en-US" w:eastAsia="zh-CN" w:bidi="ar-SA"/>
        </w:rPr>
        <w:t>（2）加强设备检查维修，保证其正常运行。</w:t>
      </w:r>
    </w:p>
    <w:p w14:paraId="5DCBF011">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kern w:val="2"/>
          <w:sz w:val="24"/>
          <w:szCs w:val="22"/>
          <w:highlight w:val="none"/>
          <w:u w:val="none"/>
          <w:lang w:val="en-US" w:eastAsia="zh-CN" w:bidi="ar-SA"/>
        </w:rPr>
      </w:pPr>
      <w:r>
        <w:rPr>
          <w:rFonts w:hint="default" w:ascii="Times New Roman" w:hAnsi="Times New Roman" w:eastAsia="宋体" w:cs="Times New Roman"/>
          <w:bCs/>
          <w:color w:val="auto"/>
          <w:kern w:val="2"/>
          <w:sz w:val="24"/>
          <w:szCs w:val="22"/>
          <w:highlight w:val="none"/>
          <w:u w:val="none"/>
          <w:lang w:val="en-US" w:eastAsia="zh-CN" w:bidi="ar-SA"/>
        </w:rPr>
        <w:t>（3）加强运输车辆管理，合理规划运输路线，禁止运输车辆随意高声鸣笛。</w:t>
      </w:r>
    </w:p>
    <w:p w14:paraId="6D21705F">
      <w:pPr>
        <w:pStyle w:val="50"/>
        <w:keepNext/>
        <w:keepLines/>
        <w:pageBreakBefore w:val="0"/>
        <w:widowControl w:val="0"/>
        <w:kinsoku/>
        <w:wordWrap/>
        <w:overflowPunct/>
        <w:topLinePunct w:val="0"/>
        <w:autoSpaceDE/>
        <w:autoSpaceDN/>
        <w:bidi w:val="0"/>
        <w:adjustRightInd/>
        <w:snapToGrid/>
        <w:spacing w:before="164" w:beforeLines="50" w:after="0" w:line="360" w:lineRule="auto"/>
        <w:textAlignment w:val="auto"/>
        <w:outlineLvl w:val="1"/>
        <w:rPr>
          <w:rFonts w:hint="eastAsia" w:ascii="黑体" w:hAnsi="黑体" w:eastAsia="黑体" w:cs="黑体"/>
          <w:color w:val="auto"/>
          <w:sz w:val="28"/>
          <w:szCs w:val="28"/>
          <w:u w:val="none"/>
          <w:lang w:val="en-US" w:eastAsia="zh-CN"/>
        </w:rPr>
      </w:pPr>
      <w:bookmarkStart w:id="512" w:name="_Toc15794"/>
      <w:r>
        <w:rPr>
          <w:rFonts w:hint="default" w:ascii="黑体" w:hAnsi="黑体" w:eastAsia="黑体" w:cs="黑体"/>
          <w:color w:val="auto"/>
          <w:sz w:val="28"/>
          <w:szCs w:val="28"/>
          <w:u w:val="none"/>
          <w:lang w:val="en-US" w:eastAsia="zh-CN"/>
        </w:rPr>
        <w:t>6.</w:t>
      </w:r>
      <w:r>
        <w:rPr>
          <w:rFonts w:hint="eastAsia" w:ascii="黑体" w:hAnsi="黑体" w:eastAsia="黑体" w:cs="黑体"/>
          <w:color w:val="auto"/>
          <w:sz w:val="28"/>
          <w:szCs w:val="28"/>
          <w:u w:val="none"/>
          <w:lang w:val="en-US" w:eastAsia="zh-CN"/>
        </w:rPr>
        <w:t xml:space="preserve">7 </w:t>
      </w:r>
      <w:r>
        <w:rPr>
          <w:rFonts w:hint="default" w:ascii="黑体" w:hAnsi="黑体" w:eastAsia="黑体" w:cs="黑体"/>
          <w:color w:val="auto"/>
          <w:sz w:val="28"/>
          <w:szCs w:val="28"/>
          <w:u w:val="none"/>
          <w:lang w:val="en-US" w:eastAsia="zh-CN"/>
        </w:rPr>
        <w:t>固体废物处理措施可行性论证</w:t>
      </w:r>
      <w:bookmarkEnd w:id="512"/>
    </w:p>
    <w:p w14:paraId="7A45B151">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7.1施工期固体废物处理措施可行性论证</w:t>
      </w:r>
    </w:p>
    <w:p w14:paraId="004D51F3">
      <w:pPr>
        <w:keepNext w:val="0"/>
        <w:keepLines w:val="0"/>
        <w:pageBreakBefore w:val="0"/>
        <w:widowControl/>
        <w:kinsoku/>
        <w:wordWrap/>
        <w:overflowPunct/>
        <w:topLinePunct w:val="0"/>
        <w:autoSpaceDE/>
        <w:autoSpaceDN/>
        <w:bidi w:val="0"/>
        <w:adjustRightInd/>
        <w:snapToGrid/>
        <w:spacing w:after="0" w:afterAutospacing="0" w:line="480" w:lineRule="exact"/>
        <w:ind w:firstLine="480" w:firstLineChars="200"/>
        <w:textAlignment w:val="auto"/>
        <w:rPr>
          <w:rFonts w:ascii="Times New Roman" w:hAnsi="Times New Roman" w:eastAsia="宋体" w:cs="Times New Roman"/>
          <w:color w:val="auto"/>
          <w:kern w:val="2"/>
          <w:sz w:val="24"/>
          <w:szCs w:val="20"/>
          <w:highlight w:val="none"/>
          <w:u w:val="none"/>
          <w:lang w:val="en-US" w:eastAsia="zh-CN" w:bidi="ar-SA"/>
        </w:rPr>
      </w:pPr>
      <w:r>
        <w:rPr>
          <w:rFonts w:hint="eastAsia" w:ascii="Times New Roman" w:hAnsi="Times New Roman" w:eastAsia="宋体" w:cs="Times New Roman"/>
          <w:color w:val="auto"/>
          <w:kern w:val="2"/>
          <w:sz w:val="24"/>
          <w:szCs w:val="20"/>
          <w:highlight w:val="none"/>
          <w:u w:val="none"/>
          <w:lang w:val="en-US" w:eastAsia="zh-CN" w:bidi="ar-SA"/>
        </w:rPr>
        <w:t>本次油田建设在施工期产生的固体废物主要包括钻井泥浆、岩屑、施工废料、生活垃圾、施工机械废油、废烧碱包装袋等。</w:t>
      </w:r>
    </w:p>
    <w:p w14:paraId="00A5234A">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6.</w:t>
      </w:r>
      <w:r>
        <w:rPr>
          <w:rFonts w:hint="eastAsia" w:ascii="宋体" w:hAnsi="宋体" w:cs="宋体"/>
          <w:color w:val="auto"/>
          <w:u w:val="none"/>
          <w:lang w:val="en-US" w:eastAsia="zh-CN"/>
        </w:rPr>
        <w:t>7.1</w:t>
      </w:r>
      <w:r>
        <w:rPr>
          <w:rFonts w:hint="eastAsia" w:ascii="宋体" w:hAnsi="宋体" w:eastAsia="宋体" w:cs="宋体"/>
          <w:color w:val="auto"/>
          <w:u w:val="none"/>
          <w:lang w:val="en-US" w:eastAsia="zh-CN"/>
        </w:rPr>
        <w:t>.1 固体废物处置方式</w:t>
      </w:r>
    </w:p>
    <w:p w14:paraId="3BDCF92A">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本项目钻井过程中一开、二开采用水基非磺化钻井液体系，三开采用油基钻井液体系，采用经不落地系统进行处理，在井场进行固液分离，分离后的液相回用于钻井液配备，分离后的水基钻井液产生的岩屑满足《油气田钻井固体废物综合利用污染控制要求》（DB65/T3997-2017）后</w:t>
      </w:r>
      <w:r>
        <w:rPr>
          <w:rFonts w:hint="eastAsia" w:cs="Times New Roman"/>
          <w:bCs/>
          <w:color w:val="auto"/>
          <w:kern w:val="2"/>
          <w:sz w:val="24"/>
          <w:szCs w:val="22"/>
          <w:highlight w:val="none"/>
          <w:u w:val="none"/>
          <w:lang w:val="en-US" w:eastAsia="zh-CN" w:bidi="ar-SA"/>
        </w:rPr>
        <w:t>综合利用</w:t>
      </w:r>
      <w:r>
        <w:rPr>
          <w:rFonts w:hint="eastAsia" w:ascii="Times New Roman" w:hAnsi="Times New Roman" w:eastAsia="宋体" w:cs="Times New Roman"/>
          <w:bCs/>
          <w:color w:val="auto"/>
          <w:kern w:val="2"/>
          <w:sz w:val="24"/>
          <w:szCs w:val="22"/>
          <w:highlight w:val="none"/>
          <w:u w:val="none"/>
          <w:lang w:val="zh-CN" w:eastAsia="zh-CN" w:bidi="ar-SA"/>
        </w:rPr>
        <w:t>；油基钻井液产生的岩屑为HW08含油危废（废物代码：072-001-08），在井场方罐暂存，定期委托具有相应危废处置资质的单位处置。</w:t>
      </w:r>
    </w:p>
    <w:p w14:paraId="745BDEC6">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施工废料主要包括管材边角料、焊接作业中产生的废焊渣等，首先考虑回收利用，不可回收利用部分拉运至</w:t>
      </w:r>
      <w:r>
        <w:rPr>
          <w:rFonts w:hint="eastAsia" w:cs="Times New Roman"/>
          <w:bCs/>
          <w:color w:val="auto"/>
          <w:kern w:val="2"/>
          <w:sz w:val="24"/>
          <w:szCs w:val="22"/>
          <w:highlight w:val="none"/>
          <w:u w:val="none"/>
          <w:lang w:val="en-US" w:eastAsia="zh-CN" w:bidi="ar-SA"/>
        </w:rPr>
        <w:t>当地</w:t>
      </w:r>
      <w:r>
        <w:rPr>
          <w:rFonts w:hint="eastAsia" w:ascii="Times New Roman" w:hAnsi="Times New Roman" w:eastAsia="宋体" w:cs="Times New Roman"/>
          <w:bCs/>
          <w:color w:val="auto"/>
          <w:kern w:val="2"/>
          <w:sz w:val="24"/>
          <w:szCs w:val="22"/>
          <w:highlight w:val="none"/>
          <w:u w:val="none"/>
          <w:lang w:val="zh-CN" w:eastAsia="zh-CN" w:bidi="ar-SA"/>
        </w:rPr>
        <w:t>建筑垃圾填埋场填埋处置。</w:t>
      </w:r>
    </w:p>
    <w:p w14:paraId="500171FF">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施工期间施工人员生活垃圾集中收集至垃圾箱中，定期拉运至乌尔禾区生活垃圾填埋场。</w:t>
      </w:r>
    </w:p>
    <w:p w14:paraId="097E855F">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钻井施工过程中配制钻井泥浆时会产生少量烧碱废包装袋，属于危险废物HW49（废物代码：900-041-49），施工单位及时回收烧碱废包装袋，暂存于危废贮存点，委托具有相关危废处置资质的公司接收处置。</w:t>
      </w:r>
    </w:p>
    <w:p w14:paraId="4A3BCC2C">
      <w:pPr>
        <w:keepNext w:val="0"/>
        <w:keepLines w:val="0"/>
        <w:pageBreakBefore w:val="0"/>
        <w:kinsoku/>
        <w:overflowPunct/>
        <w:topLinePunct w:val="0"/>
        <w:autoSpaceDE/>
        <w:autoSpaceDN/>
        <w:bidi w:val="0"/>
        <w:adjustRightInd/>
        <w:snapToGrid/>
        <w:spacing w:after="0" w:afterAutospacing="0" w:line="480" w:lineRule="exact"/>
        <w:ind w:firstLine="480" w:firstLineChars="200"/>
        <w:textAlignment w:val="auto"/>
        <w:rPr>
          <w:rFonts w:hint="eastAsia" w:ascii="Times New Roman" w:hAnsi="Times New Roman" w:eastAsia="宋体" w:cs="Times New Roman"/>
          <w:color w:val="auto"/>
          <w:kern w:val="2"/>
          <w:sz w:val="24"/>
          <w:szCs w:val="20"/>
          <w:highlight w:val="none"/>
          <w:u w:val="none"/>
          <w:lang w:val="en-US"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本工程施工期产生</w:t>
      </w:r>
      <w:r>
        <w:rPr>
          <w:rFonts w:hint="eastAsia" w:ascii="Times New Roman" w:hAnsi="Times New Roman" w:eastAsia="宋体" w:cs="Times New Roman"/>
          <w:bCs/>
          <w:color w:val="auto"/>
          <w:kern w:val="2"/>
          <w:sz w:val="24"/>
          <w:szCs w:val="22"/>
          <w:highlight w:val="none"/>
          <w:u w:val="none"/>
          <w:lang w:val="en-US" w:eastAsia="zh-CN" w:bidi="ar-SA"/>
        </w:rPr>
        <w:t>的</w:t>
      </w:r>
      <w:r>
        <w:rPr>
          <w:rFonts w:hint="eastAsia" w:ascii="Times New Roman" w:hAnsi="Times New Roman" w:eastAsia="宋体" w:cs="Times New Roman"/>
          <w:bCs/>
          <w:color w:val="auto"/>
          <w:kern w:val="2"/>
          <w:sz w:val="24"/>
          <w:szCs w:val="22"/>
          <w:highlight w:val="none"/>
          <w:u w:val="none"/>
          <w:lang w:val="zh-CN" w:eastAsia="zh-CN" w:bidi="ar-SA"/>
        </w:rPr>
        <w:t>机械设备废油和含油废弃物采用专用罐集中收集后暂存于危废贮存点，作业施工结束后，委托具有相关危废处置资质的单位处置。</w:t>
      </w:r>
    </w:p>
    <w:p w14:paraId="3ED5F97F">
      <w:pPr>
        <w:pStyle w:val="56"/>
        <w:keepNext w:val="0"/>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ascii="宋体" w:hAnsi="宋体" w:eastAsia="宋体" w:cs="宋体"/>
          <w:color w:val="auto"/>
          <w:u w:val="none"/>
          <w:lang w:val="en-US" w:eastAsia="zh-CN"/>
        </w:rPr>
      </w:pPr>
      <w:r>
        <w:rPr>
          <w:rFonts w:hint="eastAsia" w:ascii="宋体" w:hAnsi="宋体" w:eastAsia="宋体" w:cs="宋体"/>
          <w:color w:val="auto"/>
          <w:u w:val="none"/>
          <w:lang w:val="en-US" w:eastAsia="zh-CN"/>
        </w:rPr>
        <w:t>6.</w:t>
      </w:r>
      <w:r>
        <w:rPr>
          <w:rFonts w:hint="eastAsia" w:ascii="宋体" w:hAnsi="宋体" w:cs="宋体"/>
          <w:color w:val="auto"/>
          <w:u w:val="none"/>
          <w:lang w:val="en-US" w:eastAsia="zh-CN"/>
        </w:rPr>
        <w:t>7.1</w:t>
      </w:r>
      <w:r>
        <w:rPr>
          <w:rFonts w:hint="eastAsia" w:ascii="宋体" w:hAnsi="宋体" w:eastAsia="宋体" w:cs="宋体"/>
          <w:color w:val="auto"/>
          <w:u w:val="none"/>
          <w:lang w:val="en-US" w:eastAsia="zh-CN"/>
        </w:rPr>
        <w:t>.2 危险废物管理要求</w:t>
      </w:r>
    </w:p>
    <w:p w14:paraId="39DC2779">
      <w:pPr>
        <w:keepNext w:val="0"/>
        <w:keepLines w:val="0"/>
        <w:pageBreakBefore w:val="0"/>
        <w:widowControl w:val="0"/>
        <w:kinsoku/>
        <w:wordWrap/>
        <w:overflowPunct/>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本工程产生的危险废物送至危险废物</w:t>
      </w:r>
      <w:r>
        <w:rPr>
          <w:rFonts w:hint="eastAsia" w:ascii="Times New Roman" w:hAnsi="Times New Roman" w:eastAsia="宋体" w:cs="Times New Roman"/>
          <w:snapToGrid w:val="0"/>
          <w:color w:val="auto"/>
          <w:kern w:val="2"/>
          <w:sz w:val="24"/>
          <w:szCs w:val="20"/>
          <w:highlight w:val="none"/>
          <w:u w:val="none"/>
          <w:lang w:val="en-US" w:eastAsia="zh-CN" w:bidi="ar-SA"/>
        </w:rPr>
        <w:t>贮存点</w:t>
      </w:r>
      <w:r>
        <w:rPr>
          <w:rFonts w:ascii="Times New Roman" w:hAnsi="Times New Roman" w:eastAsia="宋体" w:cs="Times New Roman"/>
          <w:snapToGrid w:val="0"/>
          <w:color w:val="auto"/>
          <w:kern w:val="2"/>
          <w:sz w:val="24"/>
          <w:szCs w:val="20"/>
          <w:highlight w:val="none"/>
          <w:u w:val="none"/>
          <w:lang w:val="en-US" w:eastAsia="zh-CN" w:bidi="ar-SA"/>
        </w:rPr>
        <w:t>暂存，暂存后交由</w:t>
      </w:r>
      <w:r>
        <w:rPr>
          <w:rFonts w:hint="eastAsia" w:ascii="Times New Roman" w:hAnsi="Times New Roman" w:eastAsia="宋体" w:cs="Times New Roman"/>
          <w:snapToGrid w:val="0"/>
          <w:color w:val="auto"/>
          <w:kern w:val="2"/>
          <w:sz w:val="24"/>
          <w:szCs w:val="24"/>
          <w:highlight w:val="none"/>
          <w:u w:val="none"/>
          <w:lang w:val="en-US" w:eastAsia="zh-CN" w:bidi="ar-SA"/>
        </w:rPr>
        <w:t>有危废处置资质单位转运处置</w:t>
      </w:r>
      <w:r>
        <w:rPr>
          <w:rFonts w:ascii="Times New Roman" w:hAnsi="Times New Roman" w:eastAsia="宋体" w:cs="Times New Roman"/>
          <w:snapToGrid w:val="0"/>
          <w:color w:val="auto"/>
          <w:kern w:val="2"/>
          <w:sz w:val="24"/>
          <w:szCs w:val="20"/>
          <w:highlight w:val="none"/>
          <w:u w:val="none"/>
          <w:lang w:val="en-US" w:eastAsia="zh-CN" w:bidi="ar-SA"/>
        </w:rPr>
        <w:t>，转运过程</w:t>
      </w:r>
      <w:r>
        <w:rPr>
          <w:rFonts w:hint="eastAsia" w:ascii="Times New Roman" w:hAnsi="Times New Roman" w:eastAsia="宋体" w:cs="Times New Roman"/>
          <w:snapToGrid w:val="0"/>
          <w:color w:val="auto"/>
          <w:kern w:val="2"/>
          <w:sz w:val="24"/>
          <w:szCs w:val="20"/>
          <w:highlight w:val="none"/>
          <w:u w:val="none"/>
          <w:lang w:val="en-US" w:eastAsia="zh-CN" w:bidi="ar-SA"/>
        </w:rPr>
        <w:t>中危险废物由专用运输车辆进行运输、转移，并严格按照《危险废物转移管理办法》，对危险废物实行全过程管理</w:t>
      </w:r>
      <w:r>
        <w:rPr>
          <w:rFonts w:ascii="Times New Roman" w:hAnsi="Times New Roman" w:eastAsia="宋体" w:cs="Times New Roman"/>
          <w:snapToGrid w:val="0"/>
          <w:color w:val="auto"/>
          <w:kern w:val="2"/>
          <w:sz w:val="24"/>
          <w:szCs w:val="20"/>
          <w:highlight w:val="none"/>
          <w:u w:val="none"/>
          <w:lang w:val="en-US" w:eastAsia="zh-CN" w:bidi="ar-SA"/>
        </w:rPr>
        <w:t>。</w:t>
      </w:r>
    </w:p>
    <w:p w14:paraId="4AED2FC3">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参照《危险废物管理计划和管理台账制定技术导则》（HJ 1259-2022）中附表A.</w:t>
      </w:r>
      <w:r>
        <w:rPr>
          <w:rFonts w:hint="eastAsia" w:ascii="Times New Roman" w:hAnsi="Times New Roman" w:eastAsia="宋体" w:cs="Times New Roman"/>
          <w:color w:val="auto"/>
          <w:kern w:val="0"/>
          <w:sz w:val="24"/>
          <w:szCs w:val="24"/>
          <w:highlight w:val="none"/>
          <w:u w:val="none"/>
          <w:lang w:val="en-US" w:eastAsia="zh-CN" w:bidi="ar-SA"/>
        </w:rPr>
        <w:t>7</w:t>
      </w:r>
      <w:r>
        <w:rPr>
          <w:rFonts w:hint="default" w:ascii="Times New Roman" w:hAnsi="Times New Roman" w:eastAsia="宋体" w:cs="Times New Roman"/>
          <w:color w:val="auto"/>
          <w:kern w:val="0"/>
          <w:sz w:val="24"/>
          <w:szCs w:val="24"/>
          <w:highlight w:val="none"/>
          <w:u w:val="none"/>
          <w:lang w:val="en-US" w:eastAsia="zh-CN" w:bidi="ar-SA"/>
        </w:rPr>
        <w:t>详细记录危险废物</w:t>
      </w:r>
      <w:r>
        <w:rPr>
          <w:rFonts w:hint="eastAsia" w:ascii="Times New Roman" w:hAnsi="Times New Roman" w:eastAsia="宋体" w:cs="Times New Roman"/>
          <w:color w:val="auto"/>
          <w:kern w:val="0"/>
          <w:sz w:val="24"/>
          <w:szCs w:val="24"/>
          <w:highlight w:val="none"/>
          <w:u w:val="none"/>
          <w:lang w:val="en-US" w:eastAsia="zh-CN" w:bidi="ar-SA"/>
        </w:rPr>
        <w:t>转移情况。同时，根据国务院令第344号《危险化学品安全管理条例》《危险废物收集 贮存 运输技术规范》（HJ2025-2012）和《危险废物转移管理办法》的有关规定，在危险废物外运至处置单位时必须严格遵守以下要求：</w:t>
      </w:r>
    </w:p>
    <w:p w14:paraId="6D26C375">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56"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cs="Times New Roman"/>
          <w:color w:val="auto"/>
          <w:spacing w:val="-6"/>
          <w:kern w:val="0"/>
          <w:sz w:val="24"/>
          <w:szCs w:val="24"/>
          <w:highlight w:val="none"/>
          <w:u w:val="none"/>
          <w:lang w:val="en-US" w:eastAsia="zh-CN" w:bidi="ar-SA"/>
        </w:rPr>
        <w:t>（1）</w:t>
      </w:r>
      <w:r>
        <w:rPr>
          <w:rFonts w:ascii="宋体" w:hAnsi="宋体" w:eastAsia="宋体" w:cs="宋体"/>
          <w:color w:val="auto"/>
          <w:spacing w:val="-6"/>
          <w:kern w:val="0"/>
          <w:sz w:val="24"/>
          <w:szCs w:val="24"/>
          <w:highlight w:val="none"/>
          <w:u w:val="none"/>
          <w:lang w:val="en-US" w:eastAsia="zh-CN" w:bidi="ar-SA"/>
        </w:rPr>
        <w:t>危险废物由专用运输车辆进行运输、转移，并严格按照《危险废物转移管理办法》填写、运行危险废物电子转移</w:t>
      </w:r>
      <w:r>
        <w:rPr>
          <w:rFonts w:hint="eastAsia" w:ascii="宋体" w:hAnsi="宋体" w:eastAsia="宋体" w:cs="宋体"/>
          <w:color w:val="auto"/>
          <w:spacing w:val="-6"/>
          <w:kern w:val="0"/>
          <w:sz w:val="24"/>
          <w:szCs w:val="24"/>
          <w:highlight w:val="none"/>
          <w:u w:val="none"/>
          <w:lang w:val="en-US" w:eastAsia="zh-CN" w:bidi="ar-SA"/>
        </w:rPr>
        <w:t>电子</w:t>
      </w:r>
      <w:r>
        <w:rPr>
          <w:rFonts w:ascii="宋体" w:hAnsi="宋体" w:eastAsia="宋体" w:cs="宋体"/>
          <w:color w:val="auto"/>
          <w:spacing w:val="-6"/>
          <w:kern w:val="0"/>
          <w:sz w:val="24"/>
          <w:szCs w:val="24"/>
          <w:highlight w:val="none"/>
          <w:u w:val="none"/>
          <w:lang w:val="en-US" w:eastAsia="zh-CN" w:bidi="ar-SA"/>
        </w:rPr>
        <w:t>联单，实施危险废物转移全过程控制。</w:t>
      </w:r>
    </w:p>
    <w:p w14:paraId="1BAB8246">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cs="Times New Roman"/>
          <w:color w:val="auto"/>
          <w:kern w:val="0"/>
          <w:sz w:val="24"/>
          <w:szCs w:val="24"/>
          <w:highlight w:val="none"/>
          <w:u w:val="none"/>
          <w:lang w:val="en-US" w:eastAsia="zh-CN" w:bidi="ar-SA"/>
        </w:rPr>
        <w:t>（2）</w:t>
      </w:r>
      <w:r>
        <w:rPr>
          <w:rFonts w:hint="eastAsia" w:ascii="Times New Roman" w:hAnsi="Times New Roman" w:eastAsia="宋体" w:cs="Times New Roman"/>
          <w:color w:val="auto"/>
          <w:kern w:val="0"/>
          <w:sz w:val="24"/>
          <w:szCs w:val="24"/>
          <w:highlight w:val="none"/>
          <w:u w:val="none"/>
          <w:lang w:val="en-US" w:eastAsia="zh-CN" w:bidi="ar-SA"/>
        </w:rPr>
        <w:t>废弃物处置单位的运输人员必须掌握危险化学品运输的安全知识，化学品的性质、危害特性、包装容器的使用特性和发生意外时的应急措施了解所运载的危险。运输车辆必须具有车辆危险货物运输许可证。驾驶人员必须由取得驾驶执照的熟练人员担任。</w:t>
      </w:r>
    </w:p>
    <w:p w14:paraId="39F647A3">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cs="Times New Roman"/>
          <w:color w:val="auto"/>
          <w:kern w:val="0"/>
          <w:sz w:val="24"/>
          <w:szCs w:val="24"/>
          <w:highlight w:val="none"/>
          <w:u w:val="none"/>
          <w:lang w:val="en-US" w:eastAsia="zh-CN" w:bidi="ar-SA"/>
        </w:rPr>
        <w:t>（3）</w:t>
      </w:r>
      <w:r>
        <w:rPr>
          <w:rFonts w:hint="eastAsia" w:ascii="Times New Roman" w:hAnsi="Times New Roman" w:eastAsia="宋体" w:cs="Times New Roman"/>
          <w:color w:val="auto"/>
          <w:kern w:val="0"/>
          <w:sz w:val="24"/>
          <w:szCs w:val="24"/>
          <w:highlight w:val="none"/>
          <w:u w:val="none"/>
          <w:lang w:val="en-US" w:eastAsia="zh-CN" w:bidi="ar-SA"/>
        </w:rPr>
        <w:t>处置单位在运输危险废物时必须配备押运人员，并随时处于押运人员的监管之下，不得超装、超载，严格按照所在城市规定的行车时间和行车路线行驶，不得进入危险化学品运输车辆禁止通行的区域。</w:t>
      </w:r>
    </w:p>
    <w:p w14:paraId="319998A6">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ascii="宋体" w:hAnsi="宋体" w:cs="宋体"/>
          <w:color w:val="auto"/>
          <w:kern w:val="0"/>
          <w:sz w:val="24"/>
          <w:szCs w:val="24"/>
          <w:highlight w:val="none"/>
          <w:u w:val="none"/>
          <w:lang w:val="en-US" w:eastAsia="zh-CN" w:bidi="ar-SA"/>
        </w:rPr>
        <w:t>（4）</w:t>
      </w:r>
      <w:r>
        <w:rPr>
          <w:rFonts w:ascii="Times New Roman" w:hAnsi="Times New Roman" w:eastAsia="宋体" w:cs="Times New Roman"/>
          <w:color w:val="auto"/>
          <w:kern w:val="0"/>
          <w:sz w:val="24"/>
          <w:szCs w:val="24"/>
          <w:highlight w:val="none"/>
          <w:u w:val="none"/>
          <w:lang w:val="en-US" w:eastAsia="zh-CN" w:bidi="ar-SA"/>
        </w:rPr>
        <w:t>危险废物在运输途中若发生被盗、丢失、流散、泄漏等情况时，公司及押运人员必须立即向当地公安部门报告，并采取一切可能的警示措施。</w:t>
      </w:r>
    </w:p>
    <w:p w14:paraId="0C250F7E">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36" w:firstLineChars="200"/>
        <w:jc w:val="both"/>
        <w:textAlignment w:val="auto"/>
        <w:rPr>
          <w:rFonts w:ascii="宋体" w:hAnsi="宋体" w:eastAsia="宋体" w:cs="宋体"/>
          <w:color w:val="auto"/>
          <w:kern w:val="0"/>
          <w:sz w:val="24"/>
          <w:szCs w:val="24"/>
          <w:highlight w:val="none"/>
          <w:u w:val="none"/>
          <w:lang w:val="en-US" w:eastAsia="zh-CN" w:bidi="ar-SA"/>
        </w:rPr>
      </w:pPr>
      <w:r>
        <w:rPr>
          <w:rFonts w:hint="eastAsia" w:ascii="宋体" w:hAnsi="宋体" w:cs="宋体"/>
          <w:color w:val="auto"/>
          <w:spacing w:val="-11"/>
          <w:kern w:val="0"/>
          <w:sz w:val="24"/>
          <w:szCs w:val="24"/>
          <w:highlight w:val="none"/>
          <w:u w:val="none"/>
          <w:lang w:val="en-US" w:eastAsia="zh-CN" w:bidi="ar-SA"/>
        </w:rPr>
        <w:t>（5）</w:t>
      </w:r>
      <w:r>
        <w:rPr>
          <w:rFonts w:ascii="Times New Roman" w:hAnsi="Times New Roman" w:eastAsia="宋体" w:cs="Times New Roman"/>
          <w:color w:val="auto"/>
          <w:spacing w:val="0"/>
          <w:kern w:val="0"/>
          <w:sz w:val="24"/>
          <w:szCs w:val="24"/>
          <w:highlight w:val="none"/>
          <w:u w:val="none"/>
          <w:lang w:val="en-US" w:eastAsia="zh-CN" w:bidi="ar-SA"/>
        </w:rPr>
        <w:t>一旦发生废弃物泄漏事故，公司和废弃物处置单位都应积极协助有关部门采取必要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2DDBF171">
      <w:pPr>
        <w:keepNext w:val="0"/>
        <w:keepLines w:val="0"/>
        <w:pageBreakBefore w:val="0"/>
        <w:widowControl w:val="0"/>
        <w:numPr>
          <w:ilvl w:val="0"/>
          <w:numId w:val="0"/>
        </w:numPr>
        <w:kinsoku/>
        <w:wordWrap/>
        <w:overflowPunct/>
        <w:autoSpaceDE/>
        <w:autoSpaceDN/>
        <w:bidi w:val="0"/>
        <w:adjustRightInd/>
        <w:snapToGrid/>
        <w:spacing w:after="0" w:afterAutospacing="0" w:line="480" w:lineRule="exact"/>
        <w:ind w:firstLine="480" w:firstLineChars="200"/>
        <w:textAlignment w:val="auto"/>
        <w:rPr>
          <w:rFonts w:hint="eastAsia" w:ascii="Times New Roman" w:hAnsi="Times New Roman" w:eastAsia="宋体" w:cs="Times New Roman"/>
          <w:color w:val="auto"/>
          <w:kern w:val="2"/>
          <w:sz w:val="24"/>
          <w:szCs w:val="20"/>
          <w:highlight w:val="none"/>
          <w:u w:val="none"/>
          <w:lang w:val="en-US" w:eastAsia="zh-CN" w:bidi="ar-SA"/>
        </w:rPr>
      </w:pPr>
      <w:r>
        <w:rPr>
          <w:rFonts w:ascii="Times New Roman" w:hAnsi="Times New Roman" w:eastAsia="宋体" w:cs="Times New Roman"/>
          <w:snapToGrid w:val="0"/>
          <w:color w:val="auto"/>
          <w:kern w:val="2"/>
          <w:sz w:val="24"/>
          <w:szCs w:val="20"/>
          <w:highlight w:val="none"/>
          <w:u w:val="none"/>
          <w:lang w:val="en-US" w:eastAsia="zh-CN" w:bidi="ar-SA"/>
        </w:rPr>
        <w:t>综上，本工程</w:t>
      </w:r>
      <w:r>
        <w:rPr>
          <w:rFonts w:hint="eastAsia" w:ascii="Times New Roman" w:hAnsi="Times New Roman" w:eastAsia="宋体" w:cs="Times New Roman"/>
          <w:snapToGrid w:val="0"/>
          <w:color w:val="auto"/>
          <w:kern w:val="2"/>
          <w:sz w:val="24"/>
          <w:szCs w:val="20"/>
          <w:highlight w:val="none"/>
          <w:u w:val="none"/>
          <w:lang w:val="en-US" w:eastAsia="zh-CN" w:bidi="ar-SA"/>
        </w:rPr>
        <w:t>施工期</w:t>
      </w:r>
      <w:r>
        <w:rPr>
          <w:rFonts w:ascii="Times New Roman" w:hAnsi="Times New Roman" w:eastAsia="宋体" w:cs="Times New Roman"/>
          <w:snapToGrid w:val="0"/>
          <w:color w:val="auto"/>
          <w:kern w:val="2"/>
          <w:sz w:val="24"/>
          <w:szCs w:val="20"/>
          <w:highlight w:val="none"/>
          <w:u w:val="none"/>
          <w:lang w:val="en-US" w:eastAsia="zh-CN" w:bidi="ar-SA"/>
        </w:rPr>
        <w:t>采取的固体废物污染防治措施可行。</w:t>
      </w:r>
    </w:p>
    <w:p w14:paraId="069F6CC3">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bookmarkStart w:id="513" w:name="_Toc173942708"/>
      <w:bookmarkStart w:id="514" w:name="_Toc173941973"/>
      <w:bookmarkStart w:id="515" w:name="_Toc3717"/>
      <w:bookmarkStart w:id="516" w:name="_Toc173941754"/>
      <w:bookmarkStart w:id="517" w:name="_Toc17846"/>
      <w:bookmarkStart w:id="518" w:name="_Toc20757"/>
      <w:bookmarkStart w:id="519" w:name="_Toc30313"/>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7.2运营期固体废物处理措施可行性论证</w:t>
      </w:r>
    </w:p>
    <w:p w14:paraId="4C217C7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本工程运营期主要产生的固体废物主要有油泥（砂）、清管废渣、落地原油、废弃含油抹布、劳保用品、废防渗材料。</w:t>
      </w:r>
    </w:p>
    <w:p w14:paraId="0A9CD482">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default" w:ascii="宋体" w:hAnsi="宋体" w:eastAsia="宋体" w:cs="宋体"/>
          <w:b/>
          <w:color w:val="auto"/>
          <w:kern w:val="2"/>
          <w:sz w:val="24"/>
          <w:szCs w:val="22"/>
          <w:u w:val="none"/>
          <w:lang w:val="en-US" w:eastAsia="zh-CN" w:bidi="ar-SA"/>
        </w:rPr>
      </w:pPr>
      <w:r>
        <w:rPr>
          <w:rFonts w:hint="default" w:ascii="宋体" w:hAnsi="宋体" w:eastAsia="宋体" w:cs="宋体"/>
          <w:b/>
          <w:color w:val="auto"/>
          <w:kern w:val="2"/>
          <w:sz w:val="24"/>
          <w:szCs w:val="22"/>
          <w:u w:val="none"/>
          <w:lang w:val="en-US" w:eastAsia="zh-CN" w:bidi="ar-SA"/>
        </w:rPr>
        <w:t>6.</w:t>
      </w:r>
      <w:r>
        <w:rPr>
          <w:rFonts w:hint="eastAsia" w:ascii="宋体" w:hAnsi="宋体" w:cs="宋体"/>
          <w:b/>
          <w:color w:val="auto"/>
          <w:kern w:val="2"/>
          <w:sz w:val="24"/>
          <w:szCs w:val="22"/>
          <w:u w:val="none"/>
          <w:lang w:val="en-US" w:eastAsia="zh-CN" w:bidi="ar-SA"/>
        </w:rPr>
        <w:t>7.2</w:t>
      </w:r>
      <w:r>
        <w:rPr>
          <w:rFonts w:hint="default" w:ascii="宋体" w:hAnsi="宋体" w:eastAsia="宋体" w:cs="宋体"/>
          <w:b/>
          <w:color w:val="auto"/>
          <w:kern w:val="2"/>
          <w:sz w:val="24"/>
          <w:szCs w:val="22"/>
          <w:u w:val="none"/>
          <w:lang w:val="en-US" w:eastAsia="zh-CN" w:bidi="ar-SA"/>
        </w:rPr>
        <w:t>.1</w:t>
      </w:r>
      <w:r>
        <w:rPr>
          <w:rFonts w:hint="eastAsia" w:ascii="宋体" w:hAnsi="宋体" w:eastAsia="宋体" w:cs="宋体"/>
          <w:b/>
          <w:color w:val="auto"/>
          <w:kern w:val="2"/>
          <w:sz w:val="24"/>
          <w:szCs w:val="22"/>
          <w:u w:val="none"/>
          <w:lang w:val="en-US" w:eastAsia="zh-CN" w:bidi="ar-SA"/>
        </w:rPr>
        <w:t xml:space="preserve"> </w:t>
      </w:r>
      <w:r>
        <w:rPr>
          <w:rFonts w:hint="default" w:ascii="宋体" w:hAnsi="宋体" w:eastAsia="宋体" w:cs="宋体"/>
          <w:b/>
          <w:color w:val="auto"/>
          <w:kern w:val="2"/>
          <w:sz w:val="24"/>
          <w:szCs w:val="22"/>
          <w:u w:val="none"/>
          <w:lang w:val="en-US" w:eastAsia="zh-CN" w:bidi="ar-SA"/>
        </w:rPr>
        <w:t>运营期固体废物污染防治措施</w:t>
      </w:r>
    </w:p>
    <w:p w14:paraId="1450CB3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（1）</w:t>
      </w:r>
      <w:r>
        <w:rPr>
          <w:rFonts w:hint="eastAsia" w:ascii="Times New Roman" w:hAnsi="Times New Roman" w:eastAsia="宋体" w:cs="Times New Roman"/>
          <w:color w:val="auto"/>
          <w:kern w:val="0"/>
          <w:sz w:val="24"/>
          <w:szCs w:val="24"/>
          <w:highlight w:val="none"/>
          <w:u w:val="none"/>
          <w:lang w:val="en-US" w:eastAsia="zh-CN"/>
        </w:rPr>
        <w:t>运营期产生的</w:t>
      </w:r>
      <w:r>
        <w:rPr>
          <w:rFonts w:hint="default" w:ascii="Times New Roman" w:hAnsi="Times New Roman" w:eastAsia="宋体" w:cs="Times New Roman"/>
          <w:color w:val="auto"/>
          <w:kern w:val="0"/>
          <w:sz w:val="24"/>
          <w:szCs w:val="24"/>
          <w:highlight w:val="none"/>
          <w:u w:val="none"/>
        </w:rPr>
        <w:t>油泥（砂）</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清管废渣</w:t>
      </w:r>
      <w:r>
        <w:rPr>
          <w:rFonts w:hint="eastAsia" w:ascii="Times New Roman" w:hAnsi="Times New Roman" w:eastAsia="宋体" w:cs="Times New Roman"/>
          <w:color w:val="auto"/>
          <w:kern w:val="0"/>
          <w:sz w:val="24"/>
          <w:szCs w:val="24"/>
          <w:highlight w:val="none"/>
          <w:u w:val="none"/>
          <w:lang w:val="en-US" w:eastAsia="zh-CN"/>
        </w:rPr>
        <w:t>以及</w:t>
      </w:r>
      <w:r>
        <w:rPr>
          <w:rFonts w:hint="default" w:ascii="Times New Roman" w:hAnsi="Times New Roman" w:eastAsia="宋体" w:cs="Times New Roman"/>
          <w:color w:val="auto"/>
          <w:kern w:val="0"/>
          <w:sz w:val="24"/>
          <w:szCs w:val="24"/>
          <w:highlight w:val="none"/>
          <w:u w:val="none"/>
        </w:rPr>
        <w:t>含油废防渗材料，属于危险废物，委托具有相关危废处置资质的单位处置。</w:t>
      </w:r>
    </w:p>
    <w:p w14:paraId="7E31D65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（2）落地原油主要产生于阀门、法兰等处事故状态下的泄漏以及管线破损，属于危险废物HW08（废物代码：071-001-08），落地油100%回收，回收后的落地原油运至石西集中处理站原油处理系统进行处理。</w:t>
      </w:r>
    </w:p>
    <w:p w14:paraId="5E17498C">
      <w:pPr>
        <w:keepNext w:val="0"/>
        <w:keepLines w:val="0"/>
        <w:pageBreakBefore w:val="0"/>
        <w:widowControl/>
        <w:kinsoku/>
        <w:wordWrap/>
        <w:overflowPunct/>
        <w:topLinePunct w:val="0"/>
        <w:autoSpaceDE/>
        <w:autoSpaceDN/>
        <w:bidi w:val="0"/>
        <w:adjustRightInd/>
        <w:snapToGrid/>
        <w:spacing w:line="480" w:lineRule="exact"/>
        <w:ind w:firstLine="456" w:firstLineChars="200"/>
        <w:jc w:val="left"/>
        <w:textAlignment w:val="auto"/>
        <w:rPr>
          <w:rFonts w:hint="eastAsia" w:ascii="Times New Roman" w:hAnsi="Times New Roman" w:eastAsia="宋体" w:cs="Times New Roman"/>
          <w:color w:val="auto"/>
          <w:spacing w:val="-6"/>
          <w:kern w:val="0"/>
          <w:sz w:val="24"/>
          <w:szCs w:val="24"/>
          <w:highlight w:val="none"/>
          <w:u w:val="none"/>
          <w:lang w:eastAsia="zh-CN"/>
        </w:rPr>
      </w:pPr>
      <w:r>
        <w:rPr>
          <w:rFonts w:hint="eastAsia" w:ascii="Times New Roman" w:hAnsi="Times New Roman" w:eastAsia="宋体" w:cs="Times New Roman"/>
          <w:color w:val="auto"/>
          <w:spacing w:val="-6"/>
          <w:kern w:val="0"/>
          <w:sz w:val="24"/>
          <w:szCs w:val="24"/>
          <w:highlight w:val="none"/>
          <w:u w:val="none"/>
          <w:lang w:eastAsia="zh-CN"/>
        </w:rPr>
        <w:t>（</w:t>
      </w:r>
      <w:r>
        <w:rPr>
          <w:rFonts w:hint="eastAsia" w:ascii="Times New Roman" w:hAnsi="Times New Roman" w:eastAsia="宋体" w:cs="Times New Roman"/>
          <w:color w:val="auto"/>
          <w:spacing w:val="-6"/>
          <w:kern w:val="0"/>
          <w:sz w:val="24"/>
          <w:szCs w:val="24"/>
          <w:highlight w:val="none"/>
          <w:u w:val="none"/>
          <w:lang w:val="en-US" w:eastAsia="zh-CN"/>
        </w:rPr>
        <w:t>3</w:t>
      </w:r>
      <w:r>
        <w:rPr>
          <w:rFonts w:hint="eastAsia" w:ascii="Times New Roman" w:hAnsi="Times New Roman" w:eastAsia="宋体" w:cs="Times New Roman"/>
          <w:color w:val="auto"/>
          <w:spacing w:val="-6"/>
          <w:kern w:val="0"/>
          <w:sz w:val="24"/>
          <w:szCs w:val="24"/>
          <w:highlight w:val="none"/>
          <w:u w:val="none"/>
          <w:lang w:eastAsia="zh-CN"/>
        </w:rPr>
        <w:t>）本项目生产过程中产生的废弃的含油抹布、劳保用品，类别为HW49 其他废物，代码为 900-041-49。经分类收集后，严格按危险废物相关技术要求和管理规定进行收集与贮存，委托具有相关危废处置资质的单位处置。</w:t>
      </w:r>
    </w:p>
    <w:p w14:paraId="38DFDA67">
      <w:pPr>
        <w:keepNext w:val="0"/>
        <w:keepLines w:val="0"/>
        <w:pageBreakBefore w:val="0"/>
        <w:widowControl/>
        <w:kinsoku/>
        <w:wordWrap/>
        <w:overflowPunct/>
        <w:topLinePunct w:val="0"/>
        <w:autoSpaceDE/>
        <w:autoSpaceDN/>
        <w:bidi w:val="0"/>
        <w:adjustRightInd/>
        <w:snapToGrid/>
        <w:spacing w:line="480" w:lineRule="exact"/>
        <w:ind w:firstLine="456"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spacing w:val="-6"/>
          <w:kern w:val="0"/>
          <w:sz w:val="24"/>
          <w:szCs w:val="24"/>
          <w:highlight w:val="none"/>
          <w:u w:val="none"/>
        </w:rPr>
        <w:t>（</w:t>
      </w:r>
      <w:r>
        <w:rPr>
          <w:rFonts w:hint="eastAsia" w:ascii="Times New Roman" w:hAnsi="Times New Roman" w:eastAsia="宋体" w:cs="Times New Roman"/>
          <w:color w:val="auto"/>
          <w:spacing w:val="-6"/>
          <w:kern w:val="0"/>
          <w:sz w:val="24"/>
          <w:szCs w:val="24"/>
          <w:highlight w:val="none"/>
          <w:u w:val="none"/>
          <w:lang w:val="en-US" w:eastAsia="zh-CN"/>
        </w:rPr>
        <w:t>4</w:t>
      </w:r>
      <w:r>
        <w:rPr>
          <w:rFonts w:hint="default" w:ascii="Times New Roman" w:hAnsi="Times New Roman" w:eastAsia="宋体" w:cs="Times New Roman"/>
          <w:color w:val="auto"/>
          <w:spacing w:val="-6"/>
          <w:kern w:val="0"/>
          <w:sz w:val="24"/>
          <w:szCs w:val="24"/>
          <w:highlight w:val="none"/>
          <w:u w:val="none"/>
        </w:rPr>
        <w:t>）加强巡检频率，尽量杜绝管线、阀门“跑、冒、滴、漏”及人为破坏现象。</w:t>
      </w:r>
    </w:p>
    <w:p w14:paraId="04DDA47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w:t>
      </w:r>
      <w:r>
        <w:rPr>
          <w:rFonts w:hint="eastAsia" w:ascii="Times New Roman" w:hAnsi="Times New Roman" w:eastAsia="宋体" w:cs="Times New Roman"/>
          <w:color w:val="auto"/>
          <w:kern w:val="0"/>
          <w:sz w:val="24"/>
          <w:szCs w:val="24"/>
          <w:highlight w:val="none"/>
          <w:u w:val="none"/>
          <w:lang w:val="en-US" w:eastAsia="zh-CN"/>
        </w:rPr>
        <w:t>5</w:t>
      </w:r>
      <w:r>
        <w:rPr>
          <w:rFonts w:hint="default" w:ascii="Times New Roman" w:hAnsi="Times New Roman" w:eastAsia="宋体" w:cs="Times New Roman"/>
          <w:color w:val="auto"/>
          <w:kern w:val="0"/>
          <w:sz w:val="24"/>
          <w:szCs w:val="24"/>
          <w:highlight w:val="none"/>
          <w:u w:val="none"/>
        </w:rPr>
        <w:t>）</w:t>
      </w:r>
      <w:r>
        <w:rPr>
          <w:rFonts w:hint="eastAsia" w:ascii="Times New Roman" w:hAnsi="Times New Roman" w:eastAsia="宋体" w:cs="Times New Roman"/>
          <w:color w:val="auto"/>
          <w:kern w:val="0"/>
          <w:sz w:val="24"/>
          <w:szCs w:val="24"/>
          <w:highlight w:val="none"/>
          <w:u w:val="none"/>
          <w:lang w:val="en-US" w:eastAsia="zh-CN"/>
        </w:rPr>
        <w:t>石西油田作业区</w:t>
      </w:r>
      <w:r>
        <w:rPr>
          <w:rFonts w:hint="default" w:ascii="Times New Roman" w:hAnsi="Times New Roman" w:eastAsia="宋体" w:cs="Times New Roman"/>
          <w:color w:val="auto"/>
          <w:kern w:val="0"/>
          <w:sz w:val="24"/>
          <w:szCs w:val="24"/>
          <w:highlight w:val="none"/>
          <w:u w:val="none"/>
        </w:rPr>
        <w:t>已建立了完善的危废管理计划，并定期向生态环境主管部门上报备案，项目建成后总体按照即定计划进行危废管理。</w:t>
      </w:r>
    </w:p>
    <w:p w14:paraId="5AE7033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w:t>
      </w:r>
      <w:r>
        <w:rPr>
          <w:rFonts w:hint="eastAsia" w:ascii="Times New Roman" w:hAnsi="Times New Roman" w:eastAsia="宋体" w:cs="Times New Roman"/>
          <w:color w:val="auto"/>
          <w:kern w:val="0"/>
          <w:sz w:val="24"/>
          <w:szCs w:val="24"/>
          <w:highlight w:val="none"/>
          <w:u w:val="none"/>
          <w:lang w:val="en-US" w:eastAsia="zh-CN"/>
        </w:rPr>
        <w:t>6</w:t>
      </w:r>
      <w:r>
        <w:rPr>
          <w:rFonts w:hint="default" w:ascii="Times New Roman" w:hAnsi="Times New Roman" w:eastAsia="宋体" w:cs="Times New Roman"/>
          <w:color w:val="auto"/>
          <w:kern w:val="0"/>
          <w:sz w:val="24"/>
          <w:szCs w:val="24"/>
          <w:highlight w:val="none"/>
          <w:u w:val="none"/>
        </w:rPr>
        <w:t>）及时清理回收因管线破损产生的油污，定期委托具有含油污泥处置资质的单位处置。</w:t>
      </w:r>
    </w:p>
    <w:p w14:paraId="7CCFC4D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w:t>
      </w:r>
      <w:r>
        <w:rPr>
          <w:rFonts w:hint="eastAsia" w:ascii="Times New Roman" w:hAnsi="Times New Roman" w:eastAsia="宋体" w:cs="Times New Roman"/>
          <w:color w:val="auto"/>
          <w:kern w:val="0"/>
          <w:sz w:val="24"/>
          <w:szCs w:val="24"/>
          <w:highlight w:val="none"/>
          <w:u w:val="none"/>
          <w:lang w:val="en-US" w:eastAsia="zh-CN"/>
        </w:rPr>
        <w:t>7</w:t>
      </w:r>
      <w:r>
        <w:rPr>
          <w:rFonts w:hint="default" w:ascii="Times New Roman" w:hAnsi="Times New Roman" w:eastAsia="宋体" w:cs="Times New Roman"/>
          <w:color w:val="auto"/>
          <w:kern w:val="0"/>
          <w:sz w:val="24"/>
          <w:szCs w:val="24"/>
          <w:highlight w:val="none"/>
          <w:u w:val="none"/>
        </w:rPr>
        <w:t>）加强管线的日常巡检工作，在原有基础上增加巡检频次和密度，巡检的内容包括定期对管线进行</w:t>
      </w:r>
      <w:r>
        <w:rPr>
          <w:rFonts w:hint="eastAsia" w:ascii="Times New Roman" w:hAnsi="Times New Roman" w:eastAsia="宋体" w:cs="Times New Roman"/>
          <w:color w:val="auto"/>
          <w:kern w:val="0"/>
          <w:sz w:val="24"/>
          <w:szCs w:val="24"/>
          <w:highlight w:val="none"/>
          <w:u w:val="none"/>
          <w:lang w:val="en-US" w:eastAsia="zh-CN"/>
        </w:rPr>
        <w:t>检测</w:t>
      </w:r>
      <w:r>
        <w:rPr>
          <w:rFonts w:hint="default" w:ascii="Times New Roman" w:hAnsi="Times New Roman" w:eastAsia="宋体" w:cs="Times New Roman"/>
          <w:color w:val="auto"/>
          <w:kern w:val="0"/>
          <w:sz w:val="24"/>
          <w:szCs w:val="24"/>
          <w:highlight w:val="none"/>
          <w:u w:val="none"/>
        </w:rPr>
        <w:t>，对壁厚低于规定要求的管段及时更换，消除爆管的隐患。</w:t>
      </w:r>
    </w:p>
    <w:p w14:paraId="1E5E787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w:t>
      </w:r>
      <w:r>
        <w:rPr>
          <w:rFonts w:hint="eastAsia" w:ascii="Times New Roman" w:hAnsi="Times New Roman" w:eastAsia="宋体" w:cs="Times New Roman"/>
          <w:color w:val="auto"/>
          <w:kern w:val="0"/>
          <w:sz w:val="24"/>
          <w:szCs w:val="24"/>
          <w:highlight w:val="none"/>
          <w:u w:val="none"/>
          <w:lang w:val="en-US" w:eastAsia="zh-CN"/>
        </w:rPr>
        <w:t>8</w:t>
      </w:r>
      <w:r>
        <w:rPr>
          <w:rFonts w:hint="default" w:ascii="Times New Roman" w:hAnsi="Times New Roman" w:eastAsia="宋体" w:cs="Times New Roman"/>
          <w:color w:val="auto"/>
          <w:kern w:val="0"/>
          <w:sz w:val="24"/>
          <w:szCs w:val="24"/>
          <w:highlight w:val="none"/>
          <w:u w:val="none"/>
        </w:rPr>
        <w:t>）加强员工危险废物知识培训，增强员工的危险废物安全管理及处置意识；加强原油落地。</w:t>
      </w:r>
    </w:p>
    <w:p w14:paraId="5812EBA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w:t>
      </w:r>
      <w:r>
        <w:rPr>
          <w:rFonts w:hint="eastAsia" w:ascii="Times New Roman" w:hAnsi="Times New Roman" w:eastAsia="宋体" w:cs="Times New Roman"/>
          <w:color w:val="auto"/>
          <w:kern w:val="0"/>
          <w:sz w:val="24"/>
          <w:szCs w:val="24"/>
          <w:highlight w:val="none"/>
          <w:u w:val="none"/>
          <w:lang w:val="en-US" w:eastAsia="zh-CN"/>
        </w:rPr>
        <w:t>9</w:t>
      </w:r>
      <w:r>
        <w:rPr>
          <w:rFonts w:hint="default" w:ascii="Times New Roman" w:hAnsi="Times New Roman" w:eastAsia="宋体" w:cs="Times New Roman"/>
          <w:color w:val="auto"/>
          <w:kern w:val="0"/>
          <w:sz w:val="24"/>
          <w:szCs w:val="24"/>
          <w:highlight w:val="none"/>
          <w:u w:val="none"/>
        </w:rPr>
        <w:t xml:space="preserve">）事故应急培训，能够在第一时间对原油落地做出反应和处理。 </w:t>
      </w:r>
    </w:p>
    <w:p w14:paraId="336A328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以上措施符合固体废物处置“减量化、资源化、无害化”原则，不会对周围环境产生不利影响。</w:t>
      </w:r>
    </w:p>
    <w:p w14:paraId="72ACB8C2">
      <w:pPr>
        <w:keepNext w:val="0"/>
        <w:keepLines/>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3"/>
        <w:rPr>
          <w:rFonts w:hint="default" w:ascii="宋体" w:hAnsi="宋体" w:eastAsia="宋体" w:cs="宋体"/>
          <w:b/>
          <w:color w:val="auto"/>
          <w:kern w:val="2"/>
          <w:sz w:val="24"/>
          <w:szCs w:val="22"/>
          <w:u w:val="none"/>
          <w:lang w:val="en-US" w:eastAsia="zh-CN" w:bidi="ar-SA"/>
        </w:rPr>
      </w:pPr>
      <w:r>
        <w:rPr>
          <w:rFonts w:hint="default" w:ascii="宋体" w:hAnsi="宋体" w:eastAsia="宋体" w:cs="宋体"/>
          <w:b/>
          <w:color w:val="auto"/>
          <w:kern w:val="2"/>
          <w:sz w:val="24"/>
          <w:szCs w:val="22"/>
          <w:u w:val="none"/>
          <w:lang w:val="en-US" w:eastAsia="zh-CN" w:bidi="ar-SA"/>
        </w:rPr>
        <w:t>6.</w:t>
      </w:r>
      <w:r>
        <w:rPr>
          <w:rFonts w:hint="eastAsia" w:ascii="宋体" w:hAnsi="宋体" w:cs="宋体"/>
          <w:b/>
          <w:color w:val="auto"/>
          <w:kern w:val="2"/>
          <w:sz w:val="24"/>
          <w:szCs w:val="22"/>
          <w:u w:val="none"/>
          <w:lang w:val="en-US" w:eastAsia="zh-CN" w:bidi="ar-SA"/>
        </w:rPr>
        <w:t>7.2</w:t>
      </w:r>
      <w:r>
        <w:rPr>
          <w:rFonts w:hint="default" w:ascii="宋体" w:hAnsi="宋体" w:eastAsia="宋体" w:cs="宋体"/>
          <w:b/>
          <w:color w:val="auto"/>
          <w:kern w:val="2"/>
          <w:sz w:val="24"/>
          <w:szCs w:val="22"/>
          <w:u w:val="none"/>
          <w:lang w:val="en-US" w:eastAsia="zh-CN" w:bidi="ar-SA"/>
        </w:rPr>
        <w:t>.2</w:t>
      </w:r>
      <w:r>
        <w:rPr>
          <w:rFonts w:hint="eastAsia" w:ascii="宋体" w:hAnsi="宋体" w:eastAsia="宋体" w:cs="宋体"/>
          <w:b/>
          <w:color w:val="auto"/>
          <w:kern w:val="2"/>
          <w:sz w:val="24"/>
          <w:szCs w:val="22"/>
          <w:u w:val="none"/>
          <w:lang w:val="en-US" w:eastAsia="zh-CN" w:bidi="ar-SA"/>
        </w:rPr>
        <w:t xml:space="preserve"> </w:t>
      </w:r>
      <w:r>
        <w:rPr>
          <w:rFonts w:hint="default" w:ascii="宋体" w:hAnsi="宋体" w:eastAsia="宋体" w:cs="宋体"/>
          <w:b/>
          <w:color w:val="auto"/>
          <w:kern w:val="2"/>
          <w:sz w:val="24"/>
          <w:szCs w:val="22"/>
          <w:u w:val="none"/>
          <w:lang w:val="en-US" w:eastAsia="zh-CN" w:bidi="ar-SA"/>
        </w:rPr>
        <w:t>危废废物具体管理要求</w:t>
      </w:r>
    </w:p>
    <w:p w14:paraId="4E3A38B9">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2" w:firstLineChars="200"/>
        <w:jc w:val="both"/>
        <w:textAlignment w:val="auto"/>
        <w:rPr>
          <w:rFonts w:ascii="Times New Roman" w:hAnsi="Times New Roman" w:eastAsia="宋体" w:cs="Times New Roman"/>
          <w:b/>
          <w:bCs/>
          <w:color w:val="auto"/>
          <w:kern w:val="0"/>
          <w:sz w:val="24"/>
          <w:szCs w:val="24"/>
          <w:highlight w:val="none"/>
          <w:u w:val="none"/>
          <w:lang w:val="en-US" w:eastAsia="zh-CN" w:bidi="ar-SA"/>
        </w:rPr>
      </w:pPr>
      <w:r>
        <w:rPr>
          <w:rFonts w:hint="eastAsia" w:ascii="Times New Roman" w:hAnsi="Times New Roman" w:eastAsia="宋体" w:cs="Times New Roman"/>
          <w:b/>
          <w:bCs/>
          <w:color w:val="auto"/>
          <w:kern w:val="0"/>
          <w:sz w:val="24"/>
          <w:szCs w:val="24"/>
          <w:highlight w:val="none"/>
          <w:u w:val="none"/>
          <w:lang w:val="en-US" w:eastAsia="zh-CN" w:bidi="ar-SA"/>
        </w:rPr>
        <w:t>（1）危险废物暂存环境管理要求</w:t>
      </w:r>
    </w:p>
    <w:p w14:paraId="43DA5CC7">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ascii="宋体" w:hAnsi="宋体" w:eastAsia="宋体" w:cs="宋体"/>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1）</w:t>
      </w:r>
      <w:r>
        <w:rPr>
          <w:rFonts w:ascii="宋体" w:hAnsi="宋体" w:eastAsia="宋体" w:cs="宋体"/>
          <w:color w:val="auto"/>
          <w:kern w:val="0"/>
          <w:sz w:val="24"/>
          <w:szCs w:val="24"/>
          <w:highlight w:val="none"/>
          <w:u w:val="none"/>
          <w:lang w:val="en-US" w:eastAsia="zh-CN" w:bidi="ar-SA"/>
        </w:rPr>
        <w:t xml:space="preserve">危险废物存入贮存设施前应对危险废物类别和特性与危险废物标签等危险废物识别标志的一致性进行核验，不一致的或类别、特性不明的不应存入。 </w:t>
      </w:r>
    </w:p>
    <w:p w14:paraId="11D27573">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2）</w:t>
      </w:r>
      <w:r>
        <w:rPr>
          <w:rFonts w:ascii="宋体" w:hAnsi="宋体" w:eastAsia="宋体" w:cs="宋体"/>
          <w:color w:val="auto"/>
          <w:kern w:val="0"/>
          <w:sz w:val="24"/>
          <w:szCs w:val="24"/>
          <w:highlight w:val="none"/>
          <w:u w:val="none"/>
          <w:lang w:val="en-US" w:eastAsia="zh-CN" w:bidi="ar-SA"/>
        </w:rPr>
        <w:t>应定期检查危险废物的贮存状况，及时清理贮存设施地面，更换破损泄漏的危险废物贮存容器和包装物，保证堆存危险废物的防雨、防风、防扬尘等设施功能完好。</w:t>
      </w:r>
    </w:p>
    <w:p w14:paraId="516FB640">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3）</w:t>
      </w:r>
      <w:r>
        <w:rPr>
          <w:rFonts w:ascii="宋体" w:hAnsi="宋体" w:eastAsia="宋体" w:cs="宋体"/>
          <w:color w:val="auto"/>
          <w:kern w:val="0"/>
          <w:sz w:val="24"/>
          <w:szCs w:val="24"/>
          <w:highlight w:val="none"/>
          <w:u w:val="none"/>
          <w:lang w:val="en-US" w:eastAsia="zh-CN" w:bidi="ar-SA"/>
        </w:rPr>
        <w:t xml:space="preserve">作业设备及车辆等结束作业离开贮存设施时，应对其残留的危险废物进行清理，清理的废物或清洗废水应收集处理。 </w:t>
      </w:r>
    </w:p>
    <w:p w14:paraId="4E3DDE67">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56"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spacing w:val="-6"/>
          <w:kern w:val="0"/>
          <w:sz w:val="24"/>
          <w:szCs w:val="24"/>
          <w:highlight w:val="none"/>
          <w:u w:val="none"/>
          <w:lang w:val="en-US" w:eastAsia="zh-CN" w:bidi="ar-SA"/>
        </w:rPr>
        <w:t>4）</w:t>
      </w:r>
      <w:r>
        <w:rPr>
          <w:rFonts w:ascii="宋体" w:hAnsi="宋体" w:eastAsia="宋体" w:cs="宋体"/>
          <w:color w:val="auto"/>
          <w:spacing w:val="-6"/>
          <w:kern w:val="0"/>
          <w:sz w:val="24"/>
          <w:szCs w:val="24"/>
          <w:highlight w:val="none"/>
          <w:u w:val="none"/>
          <w:lang w:val="en-US" w:eastAsia="zh-CN" w:bidi="ar-SA"/>
        </w:rPr>
        <w:t>贮存设施</w:t>
      </w:r>
      <w:r>
        <w:rPr>
          <w:rFonts w:hint="eastAsia" w:ascii="宋体" w:hAnsi="宋体" w:eastAsia="宋体" w:cs="宋体"/>
          <w:color w:val="auto"/>
          <w:spacing w:val="-6"/>
          <w:kern w:val="0"/>
          <w:sz w:val="24"/>
          <w:szCs w:val="24"/>
          <w:highlight w:val="none"/>
          <w:u w:val="none"/>
          <w:lang w:val="en-US" w:eastAsia="zh-CN" w:bidi="ar-SA"/>
        </w:rPr>
        <w:t>运营期</w:t>
      </w:r>
      <w:r>
        <w:rPr>
          <w:rFonts w:ascii="宋体" w:hAnsi="宋体" w:eastAsia="宋体" w:cs="宋体"/>
          <w:color w:val="auto"/>
          <w:spacing w:val="-6"/>
          <w:kern w:val="0"/>
          <w:sz w:val="24"/>
          <w:szCs w:val="24"/>
          <w:highlight w:val="none"/>
          <w:u w:val="none"/>
          <w:lang w:val="en-US" w:eastAsia="zh-CN" w:bidi="ar-SA"/>
        </w:rPr>
        <w:t>间，应按国家有关标准和规定建立危险废物管理台账并保存。</w:t>
      </w:r>
    </w:p>
    <w:p w14:paraId="5DD724B8">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5）</w:t>
      </w:r>
      <w:r>
        <w:rPr>
          <w:rFonts w:hint="eastAsia" w:ascii="Times New Roman" w:hAnsi="Times New Roman" w:eastAsia="宋体" w:cs="Times New Roman"/>
          <w:color w:val="auto"/>
          <w:kern w:val="0"/>
          <w:sz w:val="24"/>
          <w:szCs w:val="24"/>
          <w:highlight w:val="none"/>
          <w:u w:val="none"/>
          <w:lang w:val="en-US" w:eastAsia="zh-CN"/>
        </w:rPr>
        <w:t>石西油田作业区</w:t>
      </w:r>
      <w:r>
        <w:rPr>
          <w:rFonts w:ascii="宋体" w:hAnsi="宋体" w:eastAsia="宋体" w:cs="宋体"/>
          <w:color w:val="auto"/>
          <w:kern w:val="0"/>
          <w:sz w:val="24"/>
          <w:szCs w:val="24"/>
          <w:highlight w:val="none"/>
          <w:u w:val="none"/>
          <w:lang w:val="en-US" w:eastAsia="zh-CN" w:bidi="ar-SA"/>
        </w:rPr>
        <w:t>应建立贮存设施环境管理制度、管理人员岗位职责制度、设施运行操作制度、人员岗位培训制度等。</w:t>
      </w:r>
    </w:p>
    <w:p w14:paraId="3BC9CE67">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6）</w:t>
      </w:r>
      <w:r>
        <w:rPr>
          <w:rFonts w:hint="eastAsia" w:ascii="Times New Roman" w:hAnsi="Times New Roman" w:eastAsia="宋体" w:cs="Times New Roman"/>
          <w:color w:val="auto"/>
          <w:kern w:val="0"/>
          <w:sz w:val="24"/>
          <w:szCs w:val="24"/>
          <w:highlight w:val="none"/>
          <w:u w:val="none"/>
          <w:lang w:val="en-US" w:eastAsia="zh-CN"/>
        </w:rPr>
        <w:t>石西油田作业区</w:t>
      </w:r>
      <w:r>
        <w:rPr>
          <w:rFonts w:ascii="宋体" w:hAnsi="宋体" w:eastAsia="宋体" w:cs="宋体"/>
          <w:color w:val="auto"/>
          <w:kern w:val="0"/>
          <w:sz w:val="24"/>
          <w:szCs w:val="24"/>
          <w:highlight w:val="none"/>
          <w:u w:val="none"/>
          <w:lang w:val="en-US" w:eastAsia="zh-CN" w:bidi="ar-SA"/>
        </w:rPr>
        <w:t>应依据国家土壤和地下水污染防治的有关规定，结合贮存设施特点建立土壤和地下水污染隐患排查制度，并定期开展隐患排查；发现隐患应及时采取措施消除隐患，并建立档案。</w:t>
      </w:r>
    </w:p>
    <w:p w14:paraId="1B478E1C">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宋体" w:hAnsi="宋体" w:eastAsia="宋体" w:cs="宋体"/>
          <w:color w:val="auto"/>
          <w:kern w:val="0"/>
          <w:sz w:val="24"/>
          <w:szCs w:val="24"/>
          <w:highlight w:val="none"/>
          <w:u w:val="none"/>
          <w:lang w:val="en-US" w:eastAsia="zh-CN" w:bidi="ar-SA"/>
        </w:rPr>
        <w:t>7）</w:t>
      </w:r>
      <w:r>
        <w:rPr>
          <w:rFonts w:hint="eastAsia" w:ascii="Times New Roman" w:hAnsi="Times New Roman" w:eastAsia="宋体" w:cs="Times New Roman"/>
          <w:color w:val="auto"/>
          <w:kern w:val="0"/>
          <w:sz w:val="24"/>
          <w:szCs w:val="24"/>
          <w:highlight w:val="none"/>
          <w:u w:val="none"/>
          <w:lang w:val="en-US" w:eastAsia="zh-CN"/>
        </w:rPr>
        <w:t>石西油田作业区</w:t>
      </w:r>
      <w:r>
        <w:rPr>
          <w:rFonts w:ascii="宋体" w:hAnsi="宋体" w:eastAsia="宋体" w:cs="宋体"/>
          <w:color w:val="auto"/>
          <w:kern w:val="0"/>
          <w:sz w:val="24"/>
          <w:szCs w:val="24"/>
          <w:highlight w:val="none"/>
          <w:u w:val="none"/>
          <w:lang w:val="en-US" w:eastAsia="zh-CN" w:bidi="ar-SA"/>
        </w:rPr>
        <w:t>应建立贮存设施全部档案，包括设计、施工、验收、运行、监测和环境应急等，应按国家有关档案管理的法律法规进行整理和归档。</w:t>
      </w:r>
    </w:p>
    <w:p w14:paraId="2E88AB8C">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2" w:firstLineChars="200"/>
        <w:jc w:val="both"/>
        <w:textAlignment w:val="auto"/>
        <w:rPr>
          <w:rFonts w:hint="eastAsia" w:ascii="Times New Roman" w:hAnsi="Times New Roman" w:eastAsia="宋体" w:cs="Times New Roman"/>
          <w:b/>
          <w:bCs/>
          <w:color w:val="auto"/>
          <w:kern w:val="0"/>
          <w:sz w:val="24"/>
          <w:szCs w:val="24"/>
          <w:highlight w:val="none"/>
          <w:u w:val="none"/>
          <w:lang w:val="en-US" w:eastAsia="zh-CN" w:bidi="ar-SA"/>
        </w:rPr>
      </w:pPr>
      <w:r>
        <w:rPr>
          <w:rFonts w:hint="eastAsia" w:ascii="Times New Roman" w:hAnsi="Times New Roman" w:eastAsia="宋体" w:cs="Times New Roman"/>
          <w:b/>
          <w:bCs/>
          <w:color w:val="auto"/>
          <w:kern w:val="0"/>
          <w:sz w:val="24"/>
          <w:szCs w:val="24"/>
          <w:highlight w:val="none"/>
          <w:u w:val="none"/>
          <w:lang w:val="en-US" w:eastAsia="zh-CN" w:bidi="ar-SA"/>
        </w:rPr>
        <w:t>（2）危险废物暂存环境监测和环境应急要求</w:t>
      </w:r>
    </w:p>
    <w:p w14:paraId="35E601AD">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default" w:ascii="宋体" w:hAnsi="宋体" w:eastAsia="宋体" w:cs="宋体"/>
          <w:color w:val="auto"/>
          <w:kern w:val="0"/>
          <w:sz w:val="24"/>
          <w:szCs w:val="24"/>
          <w:highlight w:val="none"/>
          <w:u w:val="none"/>
          <w:lang w:val="en-US" w:eastAsia="zh-CN" w:bidi="ar-SA"/>
        </w:rPr>
      </w:pPr>
      <w:r>
        <w:rPr>
          <w:rFonts w:hint="eastAsia" w:ascii="Times New Roman" w:hAnsi="Times New Roman" w:eastAsia="宋体" w:cs="Times New Roman"/>
          <w:color w:val="auto"/>
          <w:spacing w:val="0"/>
          <w:kern w:val="0"/>
          <w:sz w:val="24"/>
          <w:szCs w:val="24"/>
          <w:highlight w:val="none"/>
          <w:u w:val="none"/>
          <w:lang w:val="en-US" w:eastAsia="zh-CN" w:bidi="ar-SA"/>
        </w:rPr>
        <w:t>1）危废</w:t>
      </w:r>
      <w:r>
        <w:rPr>
          <w:rFonts w:ascii="宋体" w:hAnsi="宋体" w:eastAsia="宋体" w:cs="宋体"/>
          <w:color w:val="auto"/>
          <w:spacing w:val="0"/>
          <w:kern w:val="0"/>
          <w:sz w:val="24"/>
          <w:szCs w:val="24"/>
          <w:highlight w:val="none"/>
          <w:u w:val="none"/>
          <w:lang w:val="en-US" w:eastAsia="zh-CN" w:bidi="ar-SA"/>
        </w:rPr>
        <w:t>贮存设施的环境监测应纳入主体设施的环境监测计划。</w:t>
      </w:r>
      <w:r>
        <w:rPr>
          <w:rFonts w:hint="eastAsia" w:ascii="Times New Roman" w:hAnsi="Times New Roman" w:eastAsia="宋体" w:cs="Times New Roman"/>
          <w:color w:val="auto"/>
          <w:spacing w:val="0"/>
          <w:kern w:val="0"/>
          <w:sz w:val="24"/>
          <w:szCs w:val="24"/>
          <w:highlight w:val="none"/>
          <w:u w:val="none"/>
          <w:lang w:val="en-US" w:eastAsia="zh-CN"/>
        </w:rPr>
        <w:t>石西油田作业区</w:t>
      </w:r>
      <w:r>
        <w:rPr>
          <w:rFonts w:ascii="宋体" w:hAnsi="宋体" w:eastAsia="宋体" w:cs="宋体"/>
          <w:color w:val="auto"/>
          <w:spacing w:val="0"/>
          <w:kern w:val="0"/>
          <w:sz w:val="24"/>
          <w:szCs w:val="24"/>
          <w:highlight w:val="none"/>
          <w:u w:val="none"/>
          <w:lang w:val="en-US" w:eastAsia="zh-CN" w:bidi="ar-SA"/>
        </w:rPr>
        <w:t>应对贮存设施污染物排放状况开展自行监测，保存原始监测记录，并公布监测结果。</w:t>
      </w:r>
    </w:p>
    <w:p w14:paraId="078503C9">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2）</w:t>
      </w:r>
      <w:r>
        <w:rPr>
          <w:rFonts w:hint="eastAsia" w:ascii="Times New Roman" w:hAnsi="Times New Roman" w:eastAsia="宋体" w:cs="Times New Roman"/>
          <w:color w:val="auto"/>
          <w:kern w:val="0"/>
          <w:sz w:val="24"/>
          <w:szCs w:val="24"/>
          <w:highlight w:val="none"/>
          <w:u w:val="none"/>
          <w:lang w:val="en-US" w:eastAsia="zh-CN"/>
        </w:rPr>
        <w:t>石西油田作业区</w:t>
      </w:r>
      <w:r>
        <w:rPr>
          <w:rFonts w:hint="default" w:ascii="Times New Roman" w:hAnsi="Times New Roman" w:eastAsia="宋体" w:cs="Times New Roman"/>
          <w:color w:val="auto"/>
          <w:kern w:val="0"/>
          <w:sz w:val="24"/>
          <w:szCs w:val="24"/>
          <w:highlight w:val="none"/>
          <w:u w:val="none"/>
          <w:lang w:val="en-US" w:eastAsia="zh-CN" w:bidi="ar-SA"/>
        </w:rPr>
        <w:t>应按照国家有关规定编制突发环境事件应急预案，定期开展必要的培训和环境应急演练，并做好培训、演练记录。</w:t>
      </w:r>
    </w:p>
    <w:p w14:paraId="2EBCF5F8">
      <w:pPr>
        <w:keepNext w:val="0"/>
        <w:keepLines w:val="0"/>
        <w:pageBreakBefore w:val="0"/>
        <w:widowControl w:val="0"/>
        <w:numPr>
          <w:ilvl w:val="0"/>
          <w:numId w:val="0"/>
        </w:numPr>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default" w:ascii="宋体" w:hAnsi="宋体" w:eastAsia="宋体" w:cs="宋体"/>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3）</w:t>
      </w:r>
      <w:r>
        <w:rPr>
          <w:rFonts w:hint="eastAsia" w:ascii="Times New Roman" w:hAnsi="Times New Roman" w:eastAsia="宋体" w:cs="Times New Roman"/>
          <w:color w:val="auto"/>
          <w:kern w:val="0"/>
          <w:sz w:val="24"/>
          <w:szCs w:val="24"/>
          <w:highlight w:val="none"/>
          <w:u w:val="none"/>
          <w:lang w:val="en-US" w:eastAsia="zh-CN"/>
        </w:rPr>
        <w:t>石西油田作业区</w:t>
      </w:r>
      <w:r>
        <w:rPr>
          <w:rFonts w:ascii="宋体" w:hAnsi="宋体" w:eastAsia="宋体" w:cs="宋体"/>
          <w:color w:val="auto"/>
          <w:kern w:val="0"/>
          <w:sz w:val="24"/>
          <w:szCs w:val="24"/>
          <w:highlight w:val="none"/>
          <w:u w:val="none"/>
          <w:lang w:val="en-US" w:eastAsia="zh-CN" w:bidi="ar-SA"/>
        </w:rPr>
        <w:t>应配备满足其突发环境事件应急要求的应急人员、装备和物资，并应设置应急照明系统。</w:t>
      </w:r>
    </w:p>
    <w:p w14:paraId="09D36475">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2" w:firstLineChars="200"/>
        <w:jc w:val="both"/>
        <w:textAlignment w:val="auto"/>
        <w:rPr>
          <w:rFonts w:ascii="Times New Roman" w:hAnsi="Times New Roman" w:eastAsia="宋体" w:cs="Times New Roman"/>
          <w:b/>
          <w:color w:val="auto"/>
          <w:kern w:val="0"/>
          <w:sz w:val="24"/>
          <w:szCs w:val="24"/>
          <w:highlight w:val="none"/>
          <w:u w:val="none"/>
          <w:lang w:val="en-US" w:eastAsia="zh-CN" w:bidi="ar-SA"/>
        </w:rPr>
      </w:pPr>
      <w:r>
        <w:rPr>
          <w:rFonts w:hint="eastAsia" w:ascii="Times New Roman" w:hAnsi="Times New Roman" w:eastAsia="宋体" w:cs="Times New Roman"/>
          <w:b/>
          <w:color w:val="auto"/>
          <w:kern w:val="0"/>
          <w:sz w:val="24"/>
          <w:szCs w:val="24"/>
          <w:highlight w:val="none"/>
          <w:u w:val="none"/>
          <w:lang w:val="en-US" w:eastAsia="zh-CN" w:bidi="ar-SA"/>
        </w:rPr>
        <w:t>（3）危险废物的转运要求</w:t>
      </w:r>
    </w:p>
    <w:p w14:paraId="28DBF446">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危险废物应按照国家有关规定向当地环境保护行政主管部门申报登记，接受当地环境保护行政主管部门监督管理。</w:t>
      </w:r>
      <w:r>
        <w:rPr>
          <w:rFonts w:hint="default" w:ascii="Times New Roman" w:hAnsi="Times New Roman" w:eastAsia="宋体" w:cs="Times New Roman"/>
          <w:color w:val="auto"/>
          <w:kern w:val="0"/>
          <w:sz w:val="24"/>
          <w:szCs w:val="24"/>
          <w:highlight w:val="none"/>
          <w:u w:val="none"/>
          <w:lang w:val="en-US" w:eastAsia="zh-CN" w:bidi="ar-SA"/>
        </w:rPr>
        <w:t>参照《危险废物管理计划和管理台账制定技术导则》（HJ 1259-2022）中附表A.</w:t>
      </w:r>
      <w:r>
        <w:rPr>
          <w:rFonts w:hint="eastAsia" w:ascii="Times New Roman" w:hAnsi="Times New Roman" w:eastAsia="宋体" w:cs="Times New Roman"/>
          <w:color w:val="auto"/>
          <w:kern w:val="0"/>
          <w:sz w:val="24"/>
          <w:szCs w:val="24"/>
          <w:highlight w:val="none"/>
          <w:u w:val="none"/>
          <w:lang w:val="en-US" w:eastAsia="zh-CN" w:bidi="ar-SA"/>
        </w:rPr>
        <w:t>7</w:t>
      </w:r>
      <w:r>
        <w:rPr>
          <w:rFonts w:hint="default" w:ascii="Times New Roman" w:hAnsi="Times New Roman" w:eastAsia="宋体" w:cs="Times New Roman"/>
          <w:color w:val="auto"/>
          <w:kern w:val="0"/>
          <w:sz w:val="24"/>
          <w:szCs w:val="24"/>
          <w:highlight w:val="none"/>
          <w:u w:val="none"/>
          <w:lang w:val="en-US" w:eastAsia="zh-CN" w:bidi="ar-SA"/>
        </w:rPr>
        <w:t>详细记录危险废物</w:t>
      </w:r>
      <w:r>
        <w:rPr>
          <w:rFonts w:hint="eastAsia" w:ascii="Times New Roman" w:hAnsi="Times New Roman" w:eastAsia="宋体" w:cs="Times New Roman"/>
          <w:color w:val="auto"/>
          <w:kern w:val="0"/>
          <w:sz w:val="24"/>
          <w:szCs w:val="24"/>
          <w:highlight w:val="none"/>
          <w:u w:val="none"/>
          <w:lang w:val="en-US" w:eastAsia="zh-CN" w:bidi="ar-SA"/>
        </w:rPr>
        <w:t>转移情况。同时，根据国务院令第344号《危险化学品安全管理条例》《危险废物收集 贮存 运输技术规范》（HJ2025-2012）和《危险废物转移管理办法》的有关规定，在危险废物外运至处置单位时必须严格遵守以下要求：</w:t>
      </w:r>
    </w:p>
    <w:p w14:paraId="0C6B539B">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56"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spacing w:val="-6"/>
          <w:kern w:val="0"/>
          <w:sz w:val="24"/>
          <w:szCs w:val="24"/>
          <w:highlight w:val="none"/>
          <w:u w:val="none"/>
          <w:lang w:val="en-US" w:eastAsia="zh-CN" w:bidi="ar-SA"/>
        </w:rPr>
        <w:t>1）</w:t>
      </w:r>
      <w:r>
        <w:rPr>
          <w:rFonts w:ascii="宋体" w:hAnsi="宋体" w:eastAsia="宋体" w:cs="宋体"/>
          <w:color w:val="auto"/>
          <w:spacing w:val="-6"/>
          <w:kern w:val="0"/>
          <w:sz w:val="24"/>
          <w:szCs w:val="24"/>
          <w:highlight w:val="none"/>
          <w:u w:val="none"/>
          <w:lang w:val="en-US" w:eastAsia="zh-CN" w:bidi="ar-SA"/>
        </w:rPr>
        <w:t>危险废物由专用运输车辆进行运输、转移，并严格按照《危险废物转移管理办法》填写、运行危险废物电子转移</w:t>
      </w:r>
      <w:r>
        <w:rPr>
          <w:rFonts w:hint="eastAsia" w:ascii="宋体" w:hAnsi="宋体" w:eastAsia="宋体" w:cs="宋体"/>
          <w:color w:val="auto"/>
          <w:spacing w:val="-6"/>
          <w:kern w:val="0"/>
          <w:sz w:val="24"/>
          <w:szCs w:val="24"/>
          <w:highlight w:val="none"/>
          <w:u w:val="none"/>
          <w:lang w:val="en-US" w:eastAsia="zh-CN" w:bidi="ar-SA"/>
        </w:rPr>
        <w:t>电子</w:t>
      </w:r>
      <w:r>
        <w:rPr>
          <w:rFonts w:ascii="宋体" w:hAnsi="宋体" w:eastAsia="宋体" w:cs="宋体"/>
          <w:color w:val="auto"/>
          <w:spacing w:val="-6"/>
          <w:kern w:val="0"/>
          <w:sz w:val="24"/>
          <w:szCs w:val="24"/>
          <w:highlight w:val="none"/>
          <w:u w:val="none"/>
          <w:lang w:val="en-US" w:eastAsia="zh-CN" w:bidi="ar-SA"/>
        </w:rPr>
        <w:t>联单，实施危险废物转移全过程控制。</w:t>
      </w:r>
    </w:p>
    <w:p w14:paraId="22EA73AB">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2）废弃物处置单位的运输人员必须掌握危险化学品运输的安全知识，化学品的性质、危害特性、包装容器的使用特性和发生意外时的应急措施了解所运载的危险。运输车辆必须具有车辆危险货物运输许可证。驾驶人员必须由取得驾驶执照的熟练人员担任。</w:t>
      </w:r>
    </w:p>
    <w:p w14:paraId="14E12A46">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3）处置单位在运输危险废物时必须配备押运人员，并随时处于押运人员的监管之下，不得超装、超载，严格按照所在城市规定的行车时间和行车路线行驶，不得进入危险化学品运输车辆禁止通行的区域。</w:t>
      </w:r>
    </w:p>
    <w:p w14:paraId="3A7D271E">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ascii="宋体" w:hAnsi="宋体" w:eastAsia="宋体" w:cs="宋体"/>
          <w:color w:val="auto"/>
          <w:kern w:val="0"/>
          <w:sz w:val="24"/>
          <w:szCs w:val="24"/>
          <w:highlight w:val="none"/>
          <w:u w:val="none"/>
          <w:lang w:val="en-US" w:eastAsia="zh-CN" w:bidi="ar-SA"/>
        </w:rPr>
        <w:t>4）</w:t>
      </w:r>
      <w:r>
        <w:rPr>
          <w:rFonts w:ascii="Times New Roman" w:hAnsi="Times New Roman" w:eastAsia="宋体" w:cs="Times New Roman"/>
          <w:color w:val="auto"/>
          <w:kern w:val="0"/>
          <w:sz w:val="24"/>
          <w:szCs w:val="24"/>
          <w:highlight w:val="none"/>
          <w:u w:val="none"/>
          <w:lang w:val="en-US" w:eastAsia="zh-CN" w:bidi="ar-SA"/>
        </w:rPr>
        <w:t>危险废物在运输途中若发生被盗、丢失、流散、泄漏等情况时，公司及押运人员必须立即向当地公安部门报告，并采取一切可能的警示措施。</w:t>
      </w:r>
    </w:p>
    <w:p w14:paraId="7DC239D4">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56" w:firstLineChars="200"/>
        <w:jc w:val="both"/>
        <w:textAlignment w:val="auto"/>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color w:val="auto"/>
          <w:spacing w:val="-6"/>
          <w:kern w:val="0"/>
          <w:sz w:val="24"/>
          <w:szCs w:val="24"/>
          <w:highlight w:val="none"/>
          <w:u w:val="none"/>
          <w:lang w:val="en-US" w:eastAsia="zh-CN" w:bidi="ar-SA"/>
        </w:rPr>
        <w:t>5）</w:t>
      </w:r>
      <w:r>
        <w:rPr>
          <w:rFonts w:ascii="Times New Roman" w:hAnsi="Times New Roman" w:eastAsia="宋体" w:cs="Times New Roman"/>
          <w:color w:val="auto"/>
          <w:spacing w:val="-6"/>
          <w:kern w:val="0"/>
          <w:sz w:val="24"/>
          <w:szCs w:val="24"/>
          <w:highlight w:val="none"/>
          <w:u w:val="none"/>
          <w:lang w:val="en-US" w:eastAsia="zh-CN" w:bidi="ar-SA"/>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7C62049D">
      <w:pPr>
        <w:keepNext w:val="0"/>
        <w:keepLines w:val="0"/>
        <w:pageBreakBefore w:val="0"/>
        <w:widowControl/>
        <w:kinsoku/>
        <w:wordWrap/>
        <w:overflowPunct/>
        <w:autoSpaceDE/>
        <w:autoSpaceDN/>
        <w:bidi w:val="0"/>
        <w:adjustRightInd/>
        <w:snapToGrid/>
        <w:spacing w:line="480" w:lineRule="exact"/>
        <w:ind w:firstLine="482" w:firstLineChars="200"/>
        <w:jc w:val="left"/>
        <w:textAlignment w:val="auto"/>
        <w:rPr>
          <w:rFonts w:ascii="宋体" w:hAnsi="宋体" w:eastAsia="宋体" w:cs="宋体"/>
          <w:color w:val="auto"/>
          <w:kern w:val="0"/>
          <w:sz w:val="24"/>
          <w:szCs w:val="24"/>
          <w:highlight w:val="none"/>
          <w:u w:val="none"/>
        </w:rPr>
      </w:pPr>
      <w:r>
        <w:rPr>
          <w:rFonts w:hint="eastAsia" w:ascii="宋体" w:hAnsi="宋体" w:eastAsia="宋体" w:cs="宋体"/>
          <w:b/>
          <w:color w:val="auto"/>
          <w:kern w:val="0"/>
          <w:sz w:val="24"/>
          <w:szCs w:val="24"/>
          <w:highlight w:val="none"/>
          <w:u w:val="none"/>
        </w:rPr>
        <w:t>（</w:t>
      </w:r>
      <w:r>
        <w:rPr>
          <w:rFonts w:hint="eastAsia" w:ascii="宋体" w:hAnsi="宋体" w:eastAsia="宋体" w:cs="宋体"/>
          <w:b/>
          <w:color w:val="auto"/>
          <w:kern w:val="0"/>
          <w:sz w:val="24"/>
          <w:szCs w:val="24"/>
          <w:highlight w:val="none"/>
          <w:u w:val="none"/>
          <w:lang w:val="en-US" w:eastAsia="zh-CN"/>
        </w:rPr>
        <w:t>4</w:t>
      </w:r>
      <w:r>
        <w:rPr>
          <w:rFonts w:hint="eastAsia" w:ascii="宋体" w:hAnsi="宋体" w:eastAsia="宋体" w:cs="宋体"/>
          <w:b/>
          <w:color w:val="auto"/>
          <w:kern w:val="0"/>
          <w:sz w:val="24"/>
          <w:szCs w:val="24"/>
          <w:highlight w:val="none"/>
          <w:u w:val="none"/>
        </w:rPr>
        <w:t>）</w:t>
      </w:r>
      <w:r>
        <w:rPr>
          <w:rFonts w:ascii="宋体" w:hAnsi="宋体" w:eastAsia="宋体" w:cs="宋体"/>
          <w:b/>
          <w:bCs/>
          <w:color w:val="auto"/>
          <w:kern w:val="0"/>
          <w:sz w:val="24"/>
          <w:szCs w:val="24"/>
          <w:highlight w:val="none"/>
          <w:u w:val="none"/>
        </w:rPr>
        <w:t>运输主要管理规定</w:t>
      </w:r>
    </w:p>
    <w:p w14:paraId="5619C87A">
      <w:pPr>
        <w:keepNext w:val="0"/>
        <w:keepLines w:val="0"/>
        <w:pageBreakBefore w:val="0"/>
        <w:widowControl/>
        <w:kinsoku/>
        <w:wordWrap/>
        <w:overflowPunct/>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——根据《危险废物收集贮存运输技术规范</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HJ2025-2012</w:t>
      </w:r>
      <w:r>
        <w:rPr>
          <w:rFonts w:hint="eastAsia" w:ascii="Times New Roman" w:hAnsi="Times New Roman" w:eastAsia="宋体" w:cs="Times New Roman"/>
          <w:color w:val="auto"/>
          <w:kern w:val="0"/>
          <w:sz w:val="24"/>
          <w:szCs w:val="24"/>
          <w:highlight w:val="none"/>
          <w:u w:val="none"/>
          <w:lang w:eastAsia="zh-CN"/>
        </w:rPr>
        <w:t>）</w:t>
      </w:r>
      <w:r>
        <w:rPr>
          <w:rFonts w:hint="default" w:ascii="Times New Roman" w:hAnsi="Times New Roman" w:eastAsia="宋体" w:cs="Times New Roman"/>
          <w:color w:val="auto"/>
          <w:kern w:val="0"/>
          <w:sz w:val="24"/>
          <w:szCs w:val="24"/>
          <w:highlight w:val="none"/>
          <w:u w:val="none"/>
        </w:rPr>
        <w:t>》的要求，危险废物处置单位采用专用车辆到指定地点收集运输危险废物，运输过程中不准设置中转储存点，严禁偷排、洒落、泄漏和随意倾倒等。</w:t>
      </w:r>
    </w:p>
    <w:p w14:paraId="1DA989EF">
      <w:pPr>
        <w:keepNext w:val="0"/>
        <w:keepLines w:val="0"/>
        <w:pageBreakBefore w:val="0"/>
        <w:widowControl/>
        <w:kinsoku/>
        <w:wordWrap/>
        <w:overflowPunct/>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——产生单位向处置单位转移危险废物时，交接数量必须与生态环境局批准的转移量相符。</w:t>
      </w:r>
    </w:p>
    <w:p w14:paraId="61AE0D76">
      <w:pPr>
        <w:keepNext w:val="0"/>
        <w:keepLines w:val="0"/>
        <w:pageBreakBefore w:val="0"/>
        <w:widowControl/>
        <w:kinsoku/>
        <w:wordWrap/>
        <w:overflowPunct/>
        <w:autoSpaceDE/>
        <w:autoSpaceDN/>
        <w:bidi w:val="0"/>
        <w:adjustRightInd/>
        <w:snapToGrid/>
        <w:spacing w:line="480" w:lineRule="exact"/>
        <w:ind w:firstLine="482" w:firstLineChars="200"/>
        <w:jc w:val="left"/>
        <w:textAlignment w:val="auto"/>
        <w:rPr>
          <w:rFonts w:ascii="宋体" w:hAnsi="宋体" w:eastAsia="宋体" w:cs="宋体"/>
          <w:b/>
          <w:color w:val="auto"/>
          <w:kern w:val="0"/>
          <w:sz w:val="24"/>
          <w:szCs w:val="24"/>
          <w:highlight w:val="none"/>
          <w:u w:val="none"/>
        </w:rPr>
      </w:pPr>
      <w:r>
        <w:rPr>
          <w:rFonts w:hint="eastAsia" w:ascii="宋体" w:hAnsi="宋体" w:eastAsia="宋体" w:cs="宋体"/>
          <w:b/>
          <w:color w:val="auto"/>
          <w:kern w:val="0"/>
          <w:sz w:val="24"/>
          <w:szCs w:val="24"/>
          <w:highlight w:val="none"/>
          <w:u w:val="none"/>
        </w:rPr>
        <w:t>（</w:t>
      </w:r>
      <w:r>
        <w:rPr>
          <w:rFonts w:hint="eastAsia" w:ascii="宋体" w:hAnsi="宋体" w:eastAsia="宋体" w:cs="宋体"/>
          <w:b/>
          <w:color w:val="auto"/>
          <w:kern w:val="0"/>
          <w:sz w:val="24"/>
          <w:szCs w:val="24"/>
          <w:highlight w:val="none"/>
          <w:u w:val="none"/>
          <w:lang w:val="en-US" w:eastAsia="zh-CN"/>
        </w:rPr>
        <w:t>5</w:t>
      </w:r>
      <w:r>
        <w:rPr>
          <w:rFonts w:hint="eastAsia" w:ascii="宋体" w:hAnsi="宋体" w:eastAsia="宋体" w:cs="宋体"/>
          <w:b/>
          <w:color w:val="auto"/>
          <w:kern w:val="0"/>
          <w:sz w:val="24"/>
          <w:szCs w:val="24"/>
          <w:highlight w:val="none"/>
          <w:u w:val="none"/>
        </w:rPr>
        <w:t>）利用及处置的管理规定</w:t>
      </w:r>
    </w:p>
    <w:p w14:paraId="279EF43B">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排污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电子联单等。本工程产生的危险废物应与具有危险废物处置资质的单位签订处置协议。</w:t>
      </w:r>
    </w:p>
    <w:p w14:paraId="2F0CBFEB">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综上所述，本工程运营期采取的固体废物污染防治措施可行。</w:t>
      </w:r>
    </w:p>
    <w:p w14:paraId="64FBE0CE">
      <w:pPr>
        <w:keepNext w:val="0"/>
        <w:keepLines w:val="0"/>
        <w:pageBreakBefore w:val="0"/>
        <w:widowControl w:val="0"/>
        <w:kinsoku/>
        <w:wordWrap/>
        <w:overflowPunct/>
        <w:topLinePunct w:val="0"/>
        <w:autoSpaceDE/>
        <w:autoSpaceDN/>
        <w:bidi w:val="0"/>
        <w:adjustRightInd/>
        <w:snapToGrid w:val="0"/>
        <w:spacing w:before="164" w:beforeLines="50" w:line="360" w:lineRule="auto"/>
        <w:textAlignment w:val="auto"/>
        <w:outlineLvl w:val="2"/>
        <w:rPr>
          <w:rFonts w:hint="default" w:ascii="黑体" w:hAnsi="黑体" w:eastAsia="黑体" w:cs="黑体"/>
          <w:b/>
          <w:color w:val="auto"/>
          <w:kern w:val="0"/>
          <w:sz w:val="24"/>
          <w:szCs w:val="24"/>
          <w:highlight w:val="none"/>
          <w:u w:val="none"/>
          <w:lang w:val="en-US" w:eastAsia="zh-CN"/>
        </w:rPr>
      </w:pPr>
      <w:r>
        <w:rPr>
          <w:rFonts w:hint="default" w:ascii="黑体" w:hAnsi="黑体" w:eastAsia="黑体" w:cs="黑体"/>
          <w:b/>
          <w:color w:val="auto"/>
          <w:kern w:val="0"/>
          <w:sz w:val="24"/>
          <w:szCs w:val="24"/>
          <w:highlight w:val="none"/>
          <w:u w:val="none"/>
          <w:lang w:val="en-US" w:eastAsia="zh-CN"/>
        </w:rPr>
        <w:t>6.</w:t>
      </w:r>
      <w:r>
        <w:rPr>
          <w:rFonts w:hint="eastAsia" w:ascii="黑体" w:hAnsi="黑体" w:eastAsia="黑体" w:cs="黑体"/>
          <w:b/>
          <w:color w:val="auto"/>
          <w:kern w:val="0"/>
          <w:sz w:val="24"/>
          <w:szCs w:val="24"/>
          <w:highlight w:val="none"/>
          <w:u w:val="none"/>
          <w:lang w:val="en-US" w:eastAsia="zh-CN"/>
        </w:rPr>
        <w:t>7.3退役期固体废物处理措施可行性论证</w:t>
      </w:r>
    </w:p>
    <w:p w14:paraId="79E133A7">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（1）地面设施拆除、井场清理等工作中会产生废弃管线、废弃建筑残渣，应集中清理收集。管线外运清洗后可回收利用，废弃建筑残渣外运至环保部门指定建筑垃圾填埋场填埋处理；</w:t>
      </w:r>
    </w:p>
    <w:p w14:paraId="4D12B591">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（2）《参照废弃井封井回填技术指南（试行）》（环办土壤函〔2020〕72号）对完成采气的废弃井封堵，拆除井口装置，最后清理场地，清除各种固体废弃物，自然植被区域自然恢复。</w:t>
      </w:r>
    </w:p>
    <w:p w14:paraId="4EDD6874">
      <w:pPr>
        <w:keepNext w:val="0"/>
        <w:keepLines w:val="0"/>
        <w:pageBreakBefore w:val="0"/>
        <w:widowControl w:val="0"/>
        <w:kinsoku/>
        <w:wordWrap/>
        <w:overflowPunct/>
        <w:topLinePunct/>
        <w:autoSpaceDE/>
        <w:autoSpaceDN/>
        <w:bidi w:val="0"/>
        <w:adjustRightInd/>
        <w:snapToGrid/>
        <w:spacing w:before="0" w:beforeAutospacing="0" w:after="0" w:afterAutospacing="0"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（3）运输过程中，运输车辆均加盖篷布，以防止行驶过程中固体废物的散落。</w:t>
      </w:r>
    </w:p>
    <w:p w14:paraId="552482CB">
      <w:pPr>
        <w:rPr>
          <w:rFonts w:hint="eastAsia" w:ascii="黑体" w:hAnsi="黑体" w:eastAsia="黑体" w:cs="Times New Roman"/>
          <w:b/>
          <w:bCs w:val="0"/>
          <w:color w:val="auto"/>
          <w:kern w:val="44"/>
          <w:sz w:val="32"/>
          <w:szCs w:val="24"/>
          <w:highlight w:val="none"/>
          <w:u w:val="none"/>
          <w:lang w:val="en-US" w:eastAsia="zh-CN" w:bidi="ar-SA"/>
        </w:rPr>
      </w:pPr>
      <w:r>
        <w:rPr>
          <w:rFonts w:hint="eastAsia" w:ascii="黑体" w:hAnsi="黑体" w:eastAsia="黑体" w:cs="Times New Roman"/>
          <w:b/>
          <w:bCs w:val="0"/>
          <w:color w:val="auto"/>
          <w:kern w:val="44"/>
          <w:sz w:val="32"/>
          <w:szCs w:val="24"/>
          <w:highlight w:val="none"/>
          <w:u w:val="none"/>
          <w:lang w:val="en-US" w:eastAsia="zh-CN" w:bidi="ar-SA"/>
        </w:rPr>
        <w:br w:type="page"/>
      </w:r>
    </w:p>
    <w:p w14:paraId="70988D75">
      <w:pPr>
        <w:keepNext/>
        <w:keepLines/>
        <w:pageBreakBefore w:val="0"/>
        <w:widowControl/>
        <w:kinsoku/>
        <w:wordWrap/>
        <w:overflowPunct/>
        <w:topLinePunct w:val="0"/>
        <w:autoSpaceDE/>
        <w:autoSpaceDN/>
        <w:bidi w:val="0"/>
        <w:adjustRightInd/>
        <w:snapToGrid/>
        <w:spacing w:before="0" w:after="0" w:line="360" w:lineRule="auto"/>
        <w:jc w:val="left"/>
        <w:textAlignment w:val="auto"/>
        <w:outlineLvl w:val="0"/>
        <w:rPr>
          <w:rFonts w:ascii="黑体" w:hAnsi="黑体" w:eastAsia="黑体" w:cs="Times New Roman"/>
          <w:b/>
          <w:bCs w:val="0"/>
          <w:color w:val="auto"/>
          <w:kern w:val="44"/>
          <w:sz w:val="32"/>
          <w:szCs w:val="24"/>
          <w:highlight w:val="none"/>
          <w:u w:val="none"/>
          <w:lang w:val="en-US" w:eastAsia="zh-CN" w:bidi="ar-SA"/>
        </w:rPr>
      </w:pPr>
      <w:bookmarkStart w:id="520" w:name="_Toc23823"/>
      <w:r>
        <w:rPr>
          <w:rFonts w:hint="eastAsia" w:ascii="黑体" w:hAnsi="黑体" w:eastAsia="黑体" w:cs="Times New Roman"/>
          <w:b/>
          <w:bCs w:val="0"/>
          <w:color w:val="auto"/>
          <w:kern w:val="44"/>
          <w:sz w:val="32"/>
          <w:szCs w:val="24"/>
          <w:highlight w:val="none"/>
          <w:u w:val="none"/>
          <w:lang w:val="en-US" w:eastAsia="zh-CN" w:bidi="ar-SA"/>
        </w:rPr>
        <w:t>7 温室气体排放影响评价</w:t>
      </w:r>
      <w:bookmarkEnd w:id="513"/>
      <w:bookmarkEnd w:id="514"/>
      <w:bookmarkEnd w:id="515"/>
      <w:bookmarkEnd w:id="516"/>
      <w:bookmarkEnd w:id="517"/>
      <w:bookmarkEnd w:id="518"/>
      <w:bookmarkEnd w:id="520"/>
    </w:p>
    <w:p w14:paraId="6B49262C">
      <w:pPr>
        <w:keepNext w:val="0"/>
        <w:keepLines w:val="0"/>
        <w:pageBreakBefore w:val="0"/>
        <w:widowControl/>
        <w:kinsoku/>
        <w:wordWrap/>
        <w:overflowPunct/>
        <w:topLinePunct w:val="0"/>
        <w:autoSpaceDE/>
        <w:autoSpaceDN/>
        <w:bidi w:val="0"/>
        <w:adjustRightInd/>
        <w:snapToGrid/>
        <w:spacing w:before="164" w:beforeLines="50" w:line="360" w:lineRule="auto"/>
        <w:ind w:firstLine="480"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为贯彻落实中央和生态环境部关于“碳达峰、碳中和”相关决策部署和文件精神，充分发挥环境影响评价的源头防控、过程管理中的基础性作用，本评价按照相关政策及文件要求，根据《中国石油天然气生产企业 温室气体排放核算方法与报告指南（试行）》核算方法，计算本</w:t>
      </w:r>
      <w:r>
        <w:rPr>
          <w:rFonts w:hint="eastAsia" w:cs="Times New Roman"/>
          <w:color w:val="auto"/>
          <w:kern w:val="0"/>
          <w:sz w:val="24"/>
          <w:szCs w:val="24"/>
          <w:highlight w:val="none"/>
          <w:u w:val="none"/>
          <w:lang w:val="en-US" w:eastAsia="zh-CN" w:bidi="ar-SA"/>
        </w:rPr>
        <w:t>项目</w:t>
      </w:r>
      <w:r>
        <w:rPr>
          <w:rFonts w:hint="eastAsia" w:ascii="Times New Roman" w:hAnsi="Times New Roman" w:eastAsia="宋体" w:cs="Times New Roman"/>
          <w:color w:val="auto"/>
          <w:kern w:val="0"/>
          <w:sz w:val="24"/>
          <w:szCs w:val="24"/>
          <w:highlight w:val="none"/>
          <w:u w:val="none"/>
          <w:lang w:val="en-US" w:eastAsia="zh-CN" w:bidi="ar-SA"/>
        </w:rPr>
        <w:t>实施后碳排放量及碳排放强度，提出碳减排建议，并分析减污降碳措施可行性及碳排放水平。</w:t>
      </w:r>
    </w:p>
    <w:p w14:paraId="10199F29">
      <w:pPr>
        <w:keepNext/>
        <w:keepLines/>
        <w:pageBreakBefore w:val="0"/>
        <w:widowControl/>
        <w:kinsoku/>
        <w:wordWrap/>
        <w:overflowPunct/>
        <w:topLinePunct w:val="0"/>
        <w:autoSpaceDE/>
        <w:autoSpaceDN/>
        <w:bidi w:val="0"/>
        <w:adjustRightInd/>
        <w:snapToGrid/>
        <w:spacing w:before="164" w:beforeLines="50" w:after="0" w:line="360" w:lineRule="auto"/>
        <w:jc w:val="left"/>
        <w:textAlignment w:val="auto"/>
        <w:outlineLvl w:val="1"/>
        <w:rPr>
          <w:rFonts w:ascii="黑体" w:hAnsi="黑体" w:eastAsia="黑体" w:cs="Times New Roman"/>
          <w:b/>
          <w:bCs w:val="0"/>
          <w:color w:val="auto"/>
          <w:kern w:val="44"/>
          <w:sz w:val="28"/>
          <w:szCs w:val="24"/>
          <w:highlight w:val="none"/>
          <w:u w:val="none"/>
          <w:lang w:val="en-US" w:eastAsia="zh-CN" w:bidi="ar-SA"/>
        </w:rPr>
      </w:pPr>
      <w:bookmarkStart w:id="521" w:name="_Toc173941974"/>
      <w:bookmarkStart w:id="522" w:name="_Toc153807749"/>
      <w:bookmarkStart w:id="523" w:name="_Toc12109"/>
      <w:bookmarkStart w:id="524" w:name="_Toc28491"/>
      <w:bookmarkStart w:id="525" w:name="_Toc151643467"/>
      <w:bookmarkStart w:id="526" w:name="_Toc173941755"/>
      <w:bookmarkStart w:id="527" w:name="_Toc16025"/>
      <w:bookmarkStart w:id="528" w:name="_Toc173942709"/>
      <w:bookmarkStart w:id="529" w:name="_Toc6302"/>
      <w:bookmarkStart w:id="530" w:name="_Toc24666"/>
      <w:r>
        <w:rPr>
          <w:rFonts w:hint="eastAsia" w:ascii="黑体" w:hAnsi="黑体" w:eastAsia="黑体" w:cs="Times New Roman"/>
          <w:b/>
          <w:bCs w:val="0"/>
          <w:color w:val="auto"/>
          <w:kern w:val="44"/>
          <w:sz w:val="28"/>
          <w:szCs w:val="24"/>
          <w:highlight w:val="none"/>
          <w:u w:val="none"/>
          <w:lang w:val="en-US" w:eastAsia="zh-CN" w:bidi="ar-SA"/>
        </w:rPr>
        <w:t>7.1 温室气体排放分析</w:t>
      </w:r>
      <w:bookmarkEnd w:id="521"/>
      <w:bookmarkEnd w:id="522"/>
      <w:bookmarkEnd w:id="523"/>
      <w:bookmarkEnd w:id="524"/>
      <w:bookmarkEnd w:id="525"/>
      <w:bookmarkEnd w:id="526"/>
      <w:bookmarkEnd w:id="527"/>
      <w:bookmarkEnd w:id="528"/>
      <w:bookmarkEnd w:id="529"/>
      <w:bookmarkEnd w:id="530"/>
    </w:p>
    <w:p w14:paraId="7B3940EF">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2"/>
        <w:rPr>
          <w:rFonts w:ascii="黑体" w:hAnsi="黑体" w:eastAsia="黑体" w:cs="Times New Roman"/>
          <w:b/>
          <w:bCs w:val="0"/>
          <w:color w:val="auto"/>
          <w:sz w:val="24"/>
          <w:szCs w:val="20"/>
          <w:highlight w:val="none"/>
          <w:u w:val="none"/>
          <w:lang w:val="en-US" w:eastAsia="zh-CN" w:bidi="ar-SA"/>
        </w:rPr>
      </w:pPr>
      <w:bookmarkStart w:id="531" w:name="_Toc173941975"/>
      <w:r>
        <w:rPr>
          <w:rFonts w:hint="eastAsia" w:ascii="黑体" w:hAnsi="黑体" w:eastAsia="黑体" w:cs="Times New Roman"/>
          <w:b/>
          <w:bCs w:val="0"/>
          <w:color w:val="auto"/>
          <w:sz w:val="24"/>
          <w:szCs w:val="20"/>
          <w:highlight w:val="none"/>
          <w:u w:val="none"/>
          <w:lang w:val="en-US" w:eastAsia="zh-CN" w:bidi="ar-SA"/>
        </w:rPr>
        <w:t>7.1.1温室气体排放影响因素分析</w:t>
      </w:r>
      <w:bookmarkEnd w:id="531"/>
    </w:p>
    <w:p w14:paraId="384CFEF9">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3"/>
        <w:rPr>
          <w:rFonts w:ascii="Times New Roman" w:hAnsi="Times New Roman" w:eastAsia="宋体" w:cs="Times New Roman"/>
          <w:b/>
          <w:bCs/>
          <w:color w:val="auto"/>
          <w:sz w:val="24"/>
          <w:szCs w:val="28"/>
          <w:highlight w:val="none"/>
          <w:u w:val="none"/>
          <w:lang w:val="en-US" w:eastAsia="zh-CN" w:bidi="ar-SA"/>
        </w:rPr>
      </w:pPr>
      <w:r>
        <w:rPr>
          <w:rFonts w:hint="eastAsia" w:ascii="Times New Roman" w:hAnsi="Times New Roman" w:eastAsia="宋体" w:cs="Times New Roman"/>
          <w:b/>
          <w:bCs/>
          <w:color w:val="auto"/>
          <w:sz w:val="24"/>
          <w:szCs w:val="28"/>
          <w:highlight w:val="none"/>
          <w:u w:val="none"/>
          <w:lang w:val="en-US" w:eastAsia="zh-CN" w:bidi="ar-SA"/>
        </w:rPr>
        <w:t>7.1.1.1 碳排放源分析</w:t>
      </w:r>
    </w:p>
    <w:p w14:paraId="09D36BB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根据《中国石油天然气生产企业 温室气体排放核算方法与报告指南（试行）》，石油天然气开采企业碳排放源主要包括：燃料燃烧</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排放、火炬燃烧排放、工艺放空排放、</w:t>
      </w:r>
      <w:r>
        <w:rPr>
          <w:rFonts w:hint="eastAsia" w:ascii="Times New Roman" w:hAnsi="Times New Roman" w:eastAsia="宋体" w:cs="Times New Roman"/>
          <w:color w:val="auto"/>
          <w:spacing w:val="4"/>
          <w:kern w:val="24"/>
          <w:sz w:val="24"/>
          <w:szCs w:val="28"/>
          <w:highlight w:val="none"/>
          <w:u w:val="none"/>
          <w:lang w:val="en-US" w:eastAsia="zh-CN" w:bidi="ar-SA"/>
        </w:rPr>
        <w:t>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逃逸排放、</w:t>
      </w:r>
      <w:r>
        <w:rPr>
          <w:rFonts w:hint="eastAsia" w:ascii="Times New Roman" w:hAnsi="Times New Roman" w:eastAsia="宋体" w:cs="Times New Roman"/>
          <w:color w:val="auto"/>
          <w:spacing w:val="4"/>
          <w:kern w:val="24"/>
          <w:sz w:val="24"/>
          <w:szCs w:val="28"/>
          <w:highlight w:val="none"/>
          <w:u w:val="none"/>
          <w:lang w:val="en-US" w:eastAsia="zh-CN" w:bidi="ar-SA"/>
        </w:rPr>
        <w:t>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回收利用量、</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回收利用量、净购入电力和热力隐含的</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pacing w:val="4"/>
          <w:kern w:val="24"/>
          <w:sz w:val="24"/>
          <w:szCs w:val="28"/>
          <w:highlight w:val="none"/>
          <w:u w:val="none"/>
          <w:lang w:val="en-US" w:eastAsia="zh-CN" w:bidi="ar-SA"/>
        </w:rPr>
        <w:t>排放。</w:t>
      </w:r>
    </w:p>
    <w:p w14:paraId="4E921AB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（1）燃料燃烧CO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w:t>
      </w:r>
    </w:p>
    <w:p w14:paraId="15EBEC8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主要指石油天然气生产各个业务环节化石燃料用于动力或热力供应的燃烧过程产生的</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pacing w:val="4"/>
          <w:kern w:val="24"/>
          <w:sz w:val="24"/>
          <w:szCs w:val="28"/>
          <w:highlight w:val="none"/>
          <w:u w:val="none"/>
          <w:lang w:val="en-US" w:eastAsia="zh-CN" w:bidi="ar-SA"/>
        </w:rPr>
        <w:t>排放。</w:t>
      </w:r>
    </w:p>
    <w:p w14:paraId="4CC0478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w:t>
      </w:r>
      <w:r>
        <w:rPr>
          <w:rFonts w:hint="eastAsia" w:cs="Times New Roman"/>
          <w:color w:val="auto"/>
          <w:sz w:val="24"/>
          <w:szCs w:val="21"/>
          <w:highlight w:val="none"/>
          <w:u w:val="none"/>
          <w:lang w:val="en-US" w:eastAsia="zh-CN" w:bidi="ar-SA"/>
        </w:rPr>
        <w:t>项目井口采用电加热节流，</w:t>
      </w:r>
      <w:r>
        <w:rPr>
          <w:rFonts w:hint="eastAsia" w:ascii="Times New Roman" w:hAnsi="Times New Roman" w:eastAsia="宋体" w:cs="Times New Roman"/>
          <w:color w:val="auto"/>
          <w:sz w:val="24"/>
          <w:szCs w:val="21"/>
          <w:highlight w:val="none"/>
          <w:u w:val="none"/>
          <w:lang w:val="en-US" w:eastAsia="zh-CN" w:bidi="ar-SA"/>
        </w:rPr>
        <w:t>不涉及</w:t>
      </w:r>
      <w:r>
        <w:rPr>
          <w:rFonts w:hint="eastAsia" w:cs="Times New Roman"/>
          <w:color w:val="auto"/>
          <w:sz w:val="24"/>
          <w:szCs w:val="21"/>
          <w:highlight w:val="none"/>
          <w:u w:val="none"/>
          <w:lang w:val="en-US" w:eastAsia="zh-CN" w:bidi="ar-SA"/>
        </w:rPr>
        <w:t>燃料燃烧</w:t>
      </w:r>
      <w:r>
        <w:rPr>
          <w:rFonts w:hint="eastAsia" w:ascii="Times New Roman" w:hAnsi="Times New Roman" w:eastAsia="宋体" w:cs="Times New Roman"/>
          <w:color w:val="auto"/>
          <w:spacing w:val="4"/>
          <w:kern w:val="24"/>
          <w:sz w:val="24"/>
          <w:szCs w:val="28"/>
          <w:highlight w:val="none"/>
          <w:u w:val="none"/>
          <w:lang w:val="en-US" w:eastAsia="zh-CN" w:bidi="ar-SA"/>
        </w:rPr>
        <w:t>。</w:t>
      </w:r>
    </w:p>
    <w:p w14:paraId="1CBD45F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（2）火炬燃烧排放</w:t>
      </w:r>
    </w:p>
    <w:p w14:paraId="5EF1805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出于安全等目的，石油天然气生产企业通常将各生产活动产生的可燃废气集中到一至数只火炬系统中进行排放前的燃烧处理。火炬燃烧除了</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排放外，还可能产生少量的</w:t>
      </w:r>
      <w:r>
        <w:rPr>
          <w:rFonts w:hint="eastAsia" w:ascii="Times New Roman" w:hAnsi="Times New Roman" w:eastAsia="宋体" w:cs="Times New Roman"/>
          <w:color w:val="auto"/>
          <w:spacing w:val="4"/>
          <w:kern w:val="24"/>
          <w:sz w:val="24"/>
          <w:szCs w:val="28"/>
          <w:highlight w:val="none"/>
          <w:u w:val="none"/>
          <w:lang w:val="en-US" w:eastAsia="zh-CN" w:bidi="ar-SA"/>
        </w:rPr>
        <w:t>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pacing w:val="4"/>
          <w:kern w:val="24"/>
          <w:sz w:val="24"/>
          <w:szCs w:val="28"/>
          <w:highlight w:val="none"/>
          <w:u w:val="none"/>
          <w:lang w:val="en-US" w:eastAsia="zh-CN" w:bidi="ar-SA"/>
        </w:rPr>
        <w:t>排</w:t>
      </w:r>
      <w:r>
        <w:rPr>
          <w:rFonts w:hint="eastAsia" w:ascii="Times New Roman" w:hAnsi="Times New Roman" w:eastAsia="宋体" w:cs="Times New Roman"/>
          <w:color w:val="auto"/>
          <w:sz w:val="24"/>
          <w:szCs w:val="21"/>
          <w:highlight w:val="none"/>
          <w:u w:val="none"/>
          <w:lang w:val="en-US" w:eastAsia="zh-CN" w:bidi="ar-SA"/>
        </w:rPr>
        <w:t>放，石油天然气生产的火炬系统需同时核算</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和</w:t>
      </w:r>
      <w:r>
        <w:rPr>
          <w:rFonts w:hint="eastAsia" w:ascii="Times New Roman" w:hAnsi="Times New Roman" w:eastAsia="宋体" w:cs="Times New Roman"/>
          <w:color w:val="auto"/>
          <w:spacing w:val="4"/>
          <w:kern w:val="24"/>
          <w:sz w:val="24"/>
          <w:szCs w:val="28"/>
          <w:highlight w:val="none"/>
          <w:u w:val="none"/>
          <w:lang w:val="en-US" w:eastAsia="zh-CN" w:bidi="ar-SA"/>
        </w:rPr>
        <w:t>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排放。</w:t>
      </w:r>
    </w:p>
    <w:p w14:paraId="0A9E194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本项目井场测试放喷过程中产生的天然气通过井场临时火炬点燃，需核算该部分产生的CO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和CH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排放量。</w:t>
      </w:r>
    </w:p>
    <w:p w14:paraId="31BE921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（3）工艺放空排放</w:t>
      </w:r>
    </w:p>
    <w:p w14:paraId="05894B7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主要指石油天然气生产各业务环节通过工艺装置泄放口或安全阀门有意释放到大气中的</w:t>
      </w:r>
      <w:r>
        <w:rPr>
          <w:rFonts w:hint="eastAsia" w:ascii="Times New Roman" w:hAnsi="Times New Roman" w:eastAsia="宋体" w:cs="Times New Roman"/>
          <w:color w:val="auto"/>
          <w:spacing w:val="4"/>
          <w:kern w:val="24"/>
          <w:sz w:val="24"/>
          <w:szCs w:val="28"/>
          <w:highlight w:val="none"/>
          <w:u w:val="none"/>
          <w:lang w:val="en-US" w:eastAsia="zh-CN" w:bidi="ar-SA"/>
        </w:rPr>
        <w:t>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pacing w:val="4"/>
          <w:kern w:val="24"/>
          <w:sz w:val="24"/>
          <w:szCs w:val="28"/>
          <w:highlight w:val="none"/>
          <w:u w:val="none"/>
          <w:lang w:val="en-US" w:eastAsia="zh-CN" w:bidi="ar-SA"/>
        </w:rPr>
        <w:t>或CO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pacing w:val="4"/>
          <w:kern w:val="24"/>
          <w:sz w:val="24"/>
          <w:szCs w:val="28"/>
          <w:highlight w:val="none"/>
          <w:u w:val="none"/>
          <w:lang w:val="en-US" w:eastAsia="zh-CN" w:bidi="ar-SA"/>
        </w:rPr>
        <w:t>气体，</w:t>
      </w:r>
      <w:r>
        <w:rPr>
          <w:rFonts w:hint="eastAsia" w:ascii="Times New Roman" w:hAnsi="Times New Roman" w:eastAsia="宋体" w:cs="Times New Roman"/>
          <w:color w:val="auto"/>
          <w:sz w:val="24"/>
          <w:szCs w:val="21"/>
          <w:highlight w:val="none"/>
          <w:u w:val="none"/>
          <w:lang w:val="en-US" w:eastAsia="zh-CN" w:bidi="ar-SA"/>
        </w:rPr>
        <w:t>如驱动气动装置运转的天然气排放、泄压排放、设备吹扫排放、工艺过程尾气排放、储罐溶解气排放等。石油天然气生产企业业务环节较多且各具特色，其工艺放空排放应区分不同业务环节分开核算。</w:t>
      </w:r>
    </w:p>
    <w:p w14:paraId="75E5360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本工程不涉及工艺部分放空排放。</w:t>
      </w:r>
    </w:p>
    <w:p w14:paraId="5A03AED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（4）CH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逃逸排放</w:t>
      </w:r>
    </w:p>
    <w:p w14:paraId="229CF5C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主要是指石油天然气生产各业务环节由于设备泄漏产生的无组织CH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排放，如阀门、法兰、泵轮密封、压缩机密封、减压阀、取样接口、工艺排水、开口管路、套管、储罐泄漏及未被定义为工艺放空的其他压力设备泄漏；石油天然气生产企业业务环节较多且各具特色，其逃逸排放应区分不同业务环节分开核算。</w:t>
      </w:r>
    </w:p>
    <w:p w14:paraId="7DA33B5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本工程井场法兰、阀门等处产生的无组织废气中涉及甲烷排放，需核算该部分气体排放量。</w:t>
      </w:r>
    </w:p>
    <w:p w14:paraId="774A9ED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（5）CH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回收利用量</w:t>
      </w:r>
    </w:p>
    <w:p w14:paraId="64D3856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主要指企业通过节能减排技术回收工艺放空废气流中携带的CH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从而免于排放到大气中的那部分</w:t>
      </w:r>
      <w:r>
        <w:rPr>
          <w:rFonts w:hint="eastAsia" w:ascii="Times New Roman" w:hAnsi="Times New Roman" w:eastAsia="宋体" w:cs="Times New Roman"/>
          <w:color w:val="auto"/>
          <w:spacing w:val="4"/>
          <w:kern w:val="24"/>
          <w:sz w:val="24"/>
          <w:szCs w:val="28"/>
          <w:highlight w:val="none"/>
          <w:u w:val="none"/>
          <w:lang w:val="en-US" w:eastAsia="zh-CN" w:bidi="ar-SA"/>
        </w:rPr>
        <w:t>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pacing w:val="4"/>
          <w:kern w:val="24"/>
          <w:sz w:val="24"/>
          <w:szCs w:val="28"/>
          <w:highlight w:val="none"/>
          <w:u w:val="none"/>
          <w:lang w:val="en-US" w:eastAsia="zh-CN" w:bidi="ar-SA"/>
        </w:rPr>
        <w:t>。CH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回收利用量可从企业总排放量中予以扣除。</w:t>
      </w:r>
    </w:p>
    <w:p w14:paraId="405FF84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本工程未实施甲烷回收利用。</w:t>
      </w:r>
    </w:p>
    <w:p w14:paraId="5258D85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（6）CO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回收利用量</w:t>
      </w:r>
    </w:p>
    <w:p w14:paraId="520F21F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主要指企业回收燃料燃烧或工艺放空过程产生的</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作为生产原料或外供产品从而免于排放到大气中的那部分</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回收利用量可从企业总排放量中予以扣除。因缺乏适当的核算方法暂不考虑</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地质埋存或驱油的减排问题。</w:t>
      </w:r>
    </w:p>
    <w:p w14:paraId="4312536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本项目实施后未回收燃料燃烧或工艺放空过程中产生的CO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，因此该部分回收利用量均为0。</w:t>
      </w:r>
    </w:p>
    <w:p w14:paraId="2D7B2EA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（7）净购入电力和热力隐含的</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排放量</w:t>
      </w:r>
    </w:p>
    <w:p w14:paraId="7717B8C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该部分排放实际上发生在生产这些电力或热力的企业，但由报告主体的消费活动引起，依照约定也计入报告主体名下。</w:t>
      </w:r>
    </w:p>
    <w:p w14:paraId="12716BD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本工程实施后，需消耗电量，不涉及蒸汽用量。</w:t>
      </w:r>
    </w:p>
    <w:p w14:paraId="3D4FA3B0">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3"/>
        <w:rPr>
          <w:rFonts w:hint="eastAsia" w:ascii="Times New Roman" w:hAnsi="Times New Roman" w:eastAsia="宋体" w:cs="Times New Roman"/>
          <w:b/>
          <w:bCs/>
          <w:color w:val="auto"/>
          <w:sz w:val="24"/>
          <w:szCs w:val="28"/>
          <w:highlight w:val="none"/>
          <w:u w:val="none"/>
          <w:lang w:val="en-US" w:eastAsia="zh-CN" w:bidi="ar-SA"/>
        </w:rPr>
      </w:pPr>
      <w:r>
        <w:rPr>
          <w:rFonts w:hint="eastAsia" w:ascii="Times New Roman" w:hAnsi="Times New Roman" w:eastAsia="宋体" w:cs="Times New Roman"/>
          <w:b/>
          <w:bCs/>
          <w:color w:val="auto"/>
          <w:sz w:val="24"/>
          <w:szCs w:val="28"/>
          <w:highlight w:val="none"/>
          <w:u w:val="none"/>
          <w:lang w:val="en-US" w:eastAsia="zh-CN" w:bidi="ar-SA"/>
        </w:rPr>
        <w:t>7.1.1.2二氧化碳产排节点</w:t>
      </w:r>
    </w:p>
    <w:p w14:paraId="1785F4D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本工程生产工艺流程中涉及二氧化碳的产排节点</w:t>
      </w:r>
      <w:r>
        <w:rPr>
          <w:rFonts w:hint="eastAsia" w:cs="Times New Roman"/>
          <w:color w:val="auto"/>
          <w:sz w:val="24"/>
          <w:szCs w:val="21"/>
          <w:highlight w:val="none"/>
          <w:u w:val="none"/>
          <w:lang w:val="en-US" w:eastAsia="zh-CN" w:bidi="ar-SA"/>
        </w:rPr>
        <w:t>，见</w:t>
      </w:r>
      <w:r>
        <w:rPr>
          <w:rFonts w:hint="eastAsia" w:ascii="Times New Roman" w:hAnsi="Times New Roman" w:eastAsia="宋体" w:cs="Times New Roman"/>
          <w:color w:val="auto"/>
          <w:sz w:val="24"/>
          <w:szCs w:val="21"/>
          <w:highlight w:val="none"/>
          <w:u w:val="none"/>
          <w:lang w:val="en-US" w:eastAsia="zh-CN" w:bidi="ar-SA"/>
        </w:rPr>
        <w:t>表7.1-1。</w:t>
      </w:r>
    </w:p>
    <w:p w14:paraId="6F5805AB">
      <w:pPr>
        <w:widowControl/>
        <w:adjustRightInd w:val="0"/>
        <w:snapToGrid w:val="0"/>
        <w:spacing w:line="0" w:lineRule="atLeast"/>
        <w:jc w:val="center"/>
        <w:rPr>
          <w:rFonts w:hint="eastAsia" w:ascii="Times New Roman" w:hAnsi="Times New Roman" w:eastAsia="宋体" w:cs="Times New Roman"/>
          <w:color w:val="auto"/>
          <w:kern w:val="0"/>
          <w:szCs w:val="21"/>
          <w:highlight w:val="none"/>
          <w:u w:val="none"/>
        </w:rPr>
      </w:pPr>
      <w:r>
        <w:rPr>
          <w:rFonts w:hint="eastAsia" w:ascii="Times New Roman" w:hAnsi="Times New Roman" w:eastAsia="宋体" w:cs="Times New Roman"/>
          <w:color w:val="auto"/>
          <w:kern w:val="0"/>
          <w:szCs w:val="21"/>
          <w:highlight w:val="none"/>
          <w:u w:val="none"/>
        </w:rPr>
        <w:br w:type="page"/>
      </w:r>
    </w:p>
    <w:p w14:paraId="71938A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表7.1-1  二氧化碳产排污节点汇总一览表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52"/>
        <w:gridCol w:w="2045"/>
        <w:gridCol w:w="2933"/>
        <w:gridCol w:w="1423"/>
        <w:gridCol w:w="1017"/>
      </w:tblGrid>
      <w:tr w14:paraId="560A0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2" w:type="pct"/>
            <w:tcBorders>
              <w:tl2br w:val="nil"/>
              <w:tr2bl w:val="nil"/>
            </w:tcBorders>
            <w:vAlign w:val="center"/>
          </w:tcPr>
          <w:p w14:paraId="16CB36F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序号</w:t>
            </w:r>
          </w:p>
        </w:tc>
        <w:tc>
          <w:tcPr>
            <w:tcW w:w="1179" w:type="pct"/>
            <w:tcBorders>
              <w:tl2br w:val="nil"/>
              <w:tr2bl w:val="nil"/>
            </w:tcBorders>
            <w:vAlign w:val="center"/>
          </w:tcPr>
          <w:p w14:paraId="720ED2E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类别</w:t>
            </w:r>
          </w:p>
        </w:tc>
        <w:tc>
          <w:tcPr>
            <w:tcW w:w="1691" w:type="pct"/>
            <w:tcBorders>
              <w:tl2br w:val="nil"/>
              <w:tr2bl w:val="nil"/>
            </w:tcBorders>
            <w:vAlign w:val="center"/>
          </w:tcPr>
          <w:p w14:paraId="3DD95EBB">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产污环节</w:t>
            </w:r>
          </w:p>
        </w:tc>
        <w:tc>
          <w:tcPr>
            <w:tcW w:w="820" w:type="pct"/>
            <w:tcBorders>
              <w:tl2br w:val="nil"/>
              <w:tr2bl w:val="nil"/>
            </w:tcBorders>
            <w:vAlign w:val="center"/>
          </w:tcPr>
          <w:p w14:paraId="08FCFC5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碳排放因子</w:t>
            </w:r>
          </w:p>
        </w:tc>
        <w:tc>
          <w:tcPr>
            <w:tcW w:w="586" w:type="pct"/>
            <w:tcBorders>
              <w:tl2br w:val="nil"/>
              <w:tr2bl w:val="nil"/>
            </w:tcBorders>
            <w:vAlign w:val="center"/>
          </w:tcPr>
          <w:p w14:paraId="6EBB5C3A">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排放形式</w:t>
            </w:r>
          </w:p>
        </w:tc>
      </w:tr>
      <w:tr w14:paraId="08652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2" w:type="pct"/>
            <w:tcBorders>
              <w:tl2br w:val="nil"/>
              <w:tr2bl w:val="nil"/>
            </w:tcBorders>
            <w:vAlign w:val="center"/>
          </w:tcPr>
          <w:p w14:paraId="6C74BB9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w:t>
            </w:r>
          </w:p>
        </w:tc>
        <w:tc>
          <w:tcPr>
            <w:tcW w:w="1179" w:type="pct"/>
            <w:tcBorders>
              <w:tl2br w:val="nil"/>
              <w:tr2bl w:val="nil"/>
            </w:tcBorders>
            <w:shd w:val="clear" w:color="auto" w:fill="auto"/>
            <w:vAlign w:val="center"/>
          </w:tcPr>
          <w:p w14:paraId="58D0E88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火炬燃烧排放</w:t>
            </w:r>
          </w:p>
        </w:tc>
        <w:tc>
          <w:tcPr>
            <w:tcW w:w="1691" w:type="pct"/>
            <w:tcBorders>
              <w:tl2br w:val="nil"/>
              <w:tr2bl w:val="nil"/>
            </w:tcBorders>
            <w:shd w:val="clear" w:color="auto" w:fill="auto"/>
            <w:vAlign w:val="center"/>
          </w:tcPr>
          <w:p w14:paraId="4A74428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井场事故状态下的燃烧</w:t>
            </w:r>
          </w:p>
        </w:tc>
        <w:tc>
          <w:tcPr>
            <w:tcW w:w="820" w:type="pct"/>
            <w:tcBorders>
              <w:tl2br w:val="nil"/>
              <w:tr2bl w:val="nil"/>
            </w:tcBorders>
            <w:shd w:val="clear" w:color="auto" w:fill="auto"/>
            <w:vAlign w:val="center"/>
          </w:tcPr>
          <w:p w14:paraId="56A4F95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CO</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rPr>
              <w:t>和CH</w:t>
            </w:r>
            <w:r>
              <w:rPr>
                <w:rFonts w:hint="eastAsia" w:ascii="宋体" w:hAnsi="宋体" w:eastAsia="宋体" w:cs="宋体"/>
                <w:color w:val="auto"/>
                <w:sz w:val="21"/>
                <w:szCs w:val="21"/>
                <w:highlight w:val="none"/>
                <w:u w:val="none"/>
                <w:vertAlign w:val="subscript"/>
              </w:rPr>
              <w:t>4</w:t>
            </w:r>
          </w:p>
        </w:tc>
        <w:tc>
          <w:tcPr>
            <w:tcW w:w="586" w:type="pct"/>
            <w:tcBorders>
              <w:tl2br w:val="nil"/>
              <w:tr2bl w:val="nil"/>
            </w:tcBorders>
            <w:shd w:val="clear" w:color="auto" w:fill="auto"/>
            <w:vAlign w:val="center"/>
          </w:tcPr>
          <w:p w14:paraId="2C7CFBD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无组织</w:t>
            </w:r>
          </w:p>
        </w:tc>
      </w:tr>
      <w:tr w14:paraId="2EACE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2" w:type="pct"/>
            <w:tcBorders>
              <w:tl2br w:val="nil"/>
              <w:tr2bl w:val="nil"/>
            </w:tcBorders>
            <w:vAlign w:val="center"/>
          </w:tcPr>
          <w:p w14:paraId="70EA5E7A">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w:t>
            </w:r>
          </w:p>
        </w:tc>
        <w:tc>
          <w:tcPr>
            <w:tcW w:w="1179" w:type="pct"/>
            <w:tcBorders>
              <w:tl2br w:val="nil"/>
              <w:tr2bl w:val="nil"/>
            </w:tcBorders>
            <w:shd w:val="clear" w:color="auto" w:fill="auto"/>
            <w:vAlign w:val="center"/>
          </w:tcPr>
          <w:p w14:paraId="4E62423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CH</w:t>
            </w:r>
            <w:r>
              <w:rPr>
                <w:rFonts w:hint="eastAsia" w:ascii="宋体" w:hAnsi="宋体" w:eastAsia="宋体" w:cs="宋体"/>
                <w:color w:val="auto"/>
                <w:sz w:val="21"/>
                <w:szCs w:val="21"/>
                <w:highlight w:val="none"/>
                <w:u w:val="none"/>
                <w:vertAlign w:val="subscript"/>
              </w:rPr>
              <w:t>4</w:t>
            </w:r>
            <w:r>
              <w:rPr>
                <w:rFonts w:hint="eastAsia" w:ascii="宋体" w:hAnsi="宋体" w:eastAsia="宋体" w:cs="宋体"/>
                <w:color w:val="auto"/>
                <w:sz w:val="21"/>
                <w:szCs w:val="21"/>
                <w:highlight w:val="none"/>
                <w:u w:val="none"/>
              </w:rPr>
              <w:t>逃逸排放</w:t>
            </w:r>
          </w:p>
        </w:tc>
        <w:tc>
          <w:tcPr>
            <w:tcW w:w="1691" w:type="pct"/>
            <w:tcBorders>
              <w:tl2br w:val="nil"/>
              <w:tr2bl w:val="nil"/>
            </w:tcBorders>
            <w:shd w:val="clear" w:color="auto" w:fill="auto"/>
            <w:vAlign w:val="center"/>
          </w:tcPr>
          <w:p w14:paraId="525F3A7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井场法兰、阀门等处逸散的废气</w:t>
            </w:r>
          </w:p>
        </w:tc>
        <w:tc>
          <w:tcPr>
            <w:tcW w:w="820" w:type="pct"/>
            <w:tcBorders>
              <w:tl2br w:val="nil"/>
              <w:tr2bl w:val="nil"/>
            </w:tcBorders>
            <w:shd w:val="clear" w:color="auto" w:fill="auto"/>
            <w:vAlign w:val="center"/>
          </w:tcPr>
          <w:p w14:paraId="183FEC1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CH</w:t>
            </w:r>
            <w:r>
              <w:rPr>
                <w:rFonts w:hint="eastAsia" w:ascii="宋体" w:hAnsi="宋体" w:eastAsia="宋体" w:cs="宋体"/>
                <w:color w:val="auto"/>
                <w:sz w:val="21"/>
                <w:szCs w:val="21"/>
                <w:highlight w:val="none"/>
                <w:u w:val="none"/>
                <w:vertAlign w:val="subscript"/>
              </w:rPr>
              <w:t>4</w:t>
            </w:r>
          </w:p>
        </w:tc>
        <w:tc>
          <w:tcPr>
            <w:tcW w:w="586" w:type="pct"/>
            <w:tcBorders>
              <w:tl2br w:val="nil"/>
              <w:tr2bl w:val="nil"/>
            </w:tcBorders>
            <w:shd w:val="clear" w:color="auto" w:fill="auto"/>
            <w:vAlign w:val="center"/>
          </w:tcPr>
          <w:p w14:paraId="1EE755F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无组织</w:t>
            </w:r>
          </w:p>
        </w:tc>
      </w:tr>
      <w:tr w14:paraId="5877A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2" w:type="pct"/>
            <w:tcBorders>
              <w:tl2br w:val="nil"/>
              <w:tr2bl w:val="nil"/>
            </w:tcBorders>
            <w:vAlign w:val="center"/>
          </w:tcPr>
          <w:p w14:paraId="35B4942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w:t>
            </w:r>
          </w:p>
        </w:tc>
        <w:tc>
          <w:tcPr>
            <w:tcW w:w="1179" w:type="pct"/>
            <w:tcBorders>
              <w:tl2br w:val="nil"/>
              <w:tr2bl w:val="nil"/>
            </w:tcBorders>
            <w:shd w:val="clear" w:color="auto" w:fill="auto"/>
            <w:vAlign w:val="center"/>
          </w:tcPr>
          <w:p w14:paraId="6962B5B1">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净购入电力和热力隐含的CO</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rPr>
              <w:t>排放量</w:t>
            </w:r>
          </w:p>
        </w:tc>
        <w:tc>
          <w:tcPr>
            <w:tcW w:w="1691" w:type="pct"/>
            <w:tcBorders>
              <w:tl2br w:val="nil"/>
              <w:tr2bl w:val="nil"/>
            </w:tcBorders>
            <w:shd w:val="clear" w:color="auto" w:fill="auto"/>
            <w:vAlign w:val="center"/>
          </w:tcPr>
          <w:p w14:paraId="2B95C3C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电力隐含排放</w:t>
            </w:r>
          </w:p>
        </w:tc>
        <w:tc>
          <w:tcPr>
            <w:tcW w:w="820" w:type="pct"/>
            <w:tcBorders>
              <w:tl2br w:val="nil"/>
              <w:tr2bl w:val="nil"/>
            </w:tcBorders>
            <w:shd w:val="clear" w:color="auto" w:fill="auto"/>
            <w:vAlign w:val="center"/>
          </w:tcPr>
          <w:p w14:paraId="05D94F2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CO</w:t>
            </w:r>
            <w:r>
              <w:rPr>
                <w:rFonts w:hint="eastAsia" w:ascii="宋体" w:hAnsi="宋体" w:eastAsia="宋体" w:cs="宋体"/>
                <w:color w:val="auto"/>
                <w:sz w:val="21"/>
                <w:szCs w:val="21"/>
                <w:highlight w:val="none"/>
                <w:u w:val="none"/>
                <w:vertAlign w:val="subscript"/>
              </w:rPr>
              <w:t>2</w:t>
            </w:r>
          </w:p>
        </w:tc>
        <w:tc>
          <w:tcPr>
            <w:tcW w:w="586" w:type="pct"/>
            <w:tcBorders>
              <w:tl2br w:val="nil"/>
              <w:tr2bl w:val="nil"/>
            </w:tcBorders>
            <w:shd w:val="clear" w:color="auto" w:fill="auto"/>
            <w:vAlign w:val="center"/>
          </w:tcPr>
          <w:p w14:paraId="11FFEA8A">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w:t>
            </w:r>
          </w:p>
        </w:tc>
      </w:tr>
    </w:tbl>
    <w:p w14:paraId="57CA70D0">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bookmarkStart w:id="532" w:name="_Toc173941976"/>
      <w:r>
        <w:rPr>
          <w:rFonts w:hint="eastAsia" w:ascii="黑体" w:hAnsi="黑体" w:eastAsia="黑体" w:cs="Times New Roman"/>
          <w:b/>
          <w:bCs w:val="0"/>
          <w:color w:val="auto"/>
          <w:sz w:val="24"/>
          <w:szCs w:val="20"/>
          <w:highlight w:val="none"/>
          <w:u w:val="none"/>
          <w:lang w:val="en-US" w:eastAsia="zh-CN" w:bidi="ar-SA"/>
        </w:rPr>
        <w:t>7.1.2 温室气体排放量核算</w:t>
      </w:r>
      <w:bookmarkEnd w:id="532"/>
    </w:p>
    <w:p w14:paraId="0DA2897B">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3"/>
        <w:rPr>
          <w:rFonts w:hint="eastAsia" w:ascii="Times New Roman" w:hAnsi="Times New Roman" w:eastAsia="宋体" w:cs="Times New Roman"/>
          <w:b/>
          <w:bCs/>
          <w:color w:val="auto"/>
          <w:sz w:val="24"/>
          <w:szCs w:val="28"/>
          <w:highlight w:val="none"/>
          <w:u w:val="none"/>
          <w:lang w:val="en-US" w:eastAsia="zh-CN" w:bidi="ar-SA"/>
        </w:rPr>
      </w:pPr>
      <w:r>
        <w:rPr>
          <w:rFonts w:hint="eastAsia" w:ascii="Times New Roman" w:hAnsi="Times New Roman" w:eastAsia="宋体" w:cs="Times New Roman"/>
          <w:b/>
          <w:bCs/>
          <w:color w:val="auto"/>
          <w:sz w:val="24"/>
          <w:szCs w:val="28"/>
          <w:highlight w:val="none"/>
          <w:u w:val="none"/>
          <w:lang w:val="en-US" w:eastAsia="zh-CN" w:bidi="ar-SA"/>
        </w:rPr>
        <w:t>7.1.2.1 碳排放核算边界</w:t>
      </w:r>
    </w:p>
    <w:p w14:paraId="17653FD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本工程碳排放核算边界及核算内容</w:t>
      </w:r>
      <w:r>
        <w:rPr>
          <w:rFonts w:hint="eastAsia"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见表7.1-2。</w:t>
      </w:r>
    </w:p>
    <w:p w14:paraId="169D5F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表7.1-2  核算边界及核算内容一览表</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204"/>
        <w:gridCol w:w="6467"/>
      </w:tblGrid>
      <w:tr w14:paraId="4E654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71" w:type="pct"/>
            <w:tcBorders>
              <w:tl2br w:val="nil"/>
              <w:tr2bl w:val="nil"/>
            </w:tcBorders>
            <w:vAlign w:val="center"/>
          </w:tcPr>
          <w:p w14:paraId="4E77E98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核算主体/核算边界</w:t>
            </w:r>
          </w:p>
        </w:tc>
        <w:tc>
          <w:tcPr>
            <w:tcW w:w="3728" w:type="pct"/>
            <w:tcBorders>
              <w:tl2br w:val="nil"/>
              <w:tr2bl w:val="nil"/>
            </w:tcBorders>
            <w:vAlign w:val="center"/>
          </w:tcPr>
          <w:p w14:paraId="1F8F3F0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碳排放核算内容</w:t>
            </w:r>
          </w:p>
        </w:tc>
      </w:tr>
      <w:tr w14:paraId="5A876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71" w:type="pct"/>
            <w:tcBorders>
              <w:tl2br w:val="nil"/>
              <w:tr2bl w:val="nil"/>
            </w:tcBorders>
            <w:vAlign w:val="center"/>
          </w:tcPr>
          <w:p w14:paraId="3842539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莫北油田莫116井区侏罗系三工河组气藏产能建设项目</w:t>
            </w:r>
          </w:p>
        </w:tc>
        <w:tc>
          <w:tcPr>
            <w:tcW w:w="3728" w:type="pct"/>
            <w:tcBorders>
              <w:tl2br w:val="nil"/>
              <w:tr2bl w:val="nil"/>
            </w:tcBorders>
            <w:vAlign w:val="center"/>
          </w:tcPr>
          <w:p w14:paraId="15BEFEE6">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包括油气开采、油气处理及油气</w:t>
            </w:r>
            <w:r>
              <w:rPr>
                <w:rFonts w:hint="eastAsia" w:ascii="宋体" w:hAnsi="宋体" w:cs="宋体"/>
                <w:color w:val="auto"/>
                <w:sz w:val="21"/>
                <w:szCs w:val="21"/>
                <w:highlight w:val="none"/>
                <w:u w:val="none"/>
                <w:lang w:val="en-US" w:eastAsia="zh-CN"/>
              </w:rPr>
              <w:t>集输</w:t>
            </w:r>
            <w:r>
              <w:rPr>
                <w:rFonts w:hint="eastAsia" w:ascii="宋体" w:hAnsi="宋体" w:eastAsia="宋体" w:cs="宋体"/>
                <w:color w:val="auto"/>
                <w:sz w:val="21"/>
                <w:szCs w:val="21"/>
                <w:highlight w:val="none"/>
                <w:u w:val="none"/>
              </w:rPr>
              <w:t>各个业务环节的基本生产系统、辅助生产系统，以及直接为生产服务的附属生产系统。排放量核算内容包括：（1）火炬燃烧排放</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（2）CH</w:t>
            </w:r>
            <w:r>
              <w:rPr>
                <w:rFonts w:hint="eastAsia" w:ascii="宋体" w:hAnsi="宋体" w:eastAsia="宋体" w:cs="宋体"/>
                <w:color w:val="auto"/>
                <w:sz w:val="21"/>
                <w:szCs w:val="21"/>
                <w:highlight w:val="none"/>
                <w:u w:val="none"/>
                <w:vertAlign w:val="subscript"/>
              </w:rPr>
              <w:t>4</w:t>
            </w:r>
            <w:r>
              <w:rPr>
                <w:rFonts w:hint="eastAsia" w:ascii="宋体" w:hAnsi="宋体" w:eastAsia="宋体" w:cs="宋体"/>
                <w:color w:val="auto"/>
                <w:sz w:val="21"/>
                <w:szCs w:val="21"/>
                <w:highlight w:val="none"/>
                <w:u w:val="none"/>
              </w:rPr>
              <w:t>逃逸排放</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（3）净购入电力和热力隐含的CO</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rPr>
              <w:t>排放量</w:t>
            </w:r>
            <w:r>
              <w:rPr>
                <w:rFonts w:hint="eastAsia" w:ascii="宋体" w:hAnsi="宋体" w:eastAsia="宋体" w:cs="宋体"/>
                <w:color w:val="auto"/>
                <w:sz w:val="21"/>
                <w:szCs w:val="21"/>
                <w:highlight w:val="none"/>
                <w:u w:val="none"/>
                <w:lang w:eastAsia="zh-CN"/>
              </w:rPr>
              <w:t>。</w:t>
            </w:r>
          </w:p>
        </w:tc>
      </w:tr>
    </w:tbl>
    <w:p w14:paraId="5610A108">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3"/>
        <w:rPr>
          <w:rFonts w:hint="eastAsia" w:ascii="Times New Roman" w:hAnsi="Times New Roman" w:eastAsia="宋体" w:cs="Times New Roman"/>
          <w:b/>
          <w:bCs/>
          <w:color w:val="auto"/>
          <w:sz w:val="24"/>
          <w:szCs w:val="28"/>
          <w:highlight w:val="none"/>
          <w:u w:val="none"/>
          <w:lang w:val="en-US" w:eastAsia="zh-CN" w:bidi="ar-SA"/>
        </w:rPr>
      </w:pPr>
      <w:r>
        <w:rPr>
          <w:rFonts w:hint="eastAsia" w:ascii="Times New Roman" w:hAnsi="Times New Roman" w:eastAsia="宋体" w:cs="Times New Roman"/>
          <w:b/>
          <w:bCs/>
          <w:color w:val="auto"/>
          <w:sz w:val="24"/>
          <w:szCs w:val="28"/>
          <w:highlight w:val="none"/>
          <w:u w:val="none"/>
          <w:lang w:val="en-US" w:eastAsia="zh-CN" w:bidi="ar-SA"/>
        </w:rPr>
        <w:t>7.1.2.2 碳排放量核算过程</w:t>
      </w:r>
    </w:p>
    <w:p w14:paraId="1C58322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本工程涉及火炬燃烧排放、</w:t>
      </w:r>
      <w:r>
        <w:rPr>
          <w:rFonts w:hint="eastAsia" w:ascii="Times New Roman" w:hAnsi="Times New Roman" w:eastAsia="宋体" w:cs="Times New Roman"/>
          <w:color w:val="auto"/>
          <w:spacing w:val="4"/>
          <w:kern w:val="24"/>
          <w:sz w:val="24"/>
          <w:szCs w:val="28"/>
          <w:highlight w:val="none"/>
          <w:u w:val="none"/>
          <w:lang w:val="en-US" w:eastAsia="zh-CN" w:bidi="ar-SA"/>
        </w:rPr>
        <w:t>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逃逸排放、净购入电力和热力隐含的</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pacing w:val="4"/>
          <w:kern w:val="24"/>
          <w:sz w:val="24"/>
          <w:szCs w:val="28"/>
          <w:highlight w:val="none"/>
          <w:u w:val="none"/>
          <w:lang w:val="en-US" w:eastAsia="zh-CN" w:bidi="ar-SA"/>
        </w:rPr>
        <w:t>排</w:t>
      </w:r>
      <w:r>
        <w:rPr>
          <w:rFonts w:hint="eastAsia" w:ascii="Times New Roman" w:hAnsi="Times New Roman" w:eastAsia="宋体" w:cs="Times New Roman"/>
          <w:color w:val="auto"/>
          <w:sz w:val="24"/>
          <w:szCs w:val="21"/>
          <w:highlight w:val="none"/>
          <w:u w:val="none"/>
          <w:lang w:val="en-US" w:eastAsia="zh-CN" w:bidi="ar-SA"/>
        </w:rPr>
        <w:t>放量。具体核算过程如下：</w:t>
      </w:r>
    </w:p>
    <w:p w14:paraId="585F3E8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（1）火炬燃烧排放</w:t>
      </w:r>
    </w:p>
    <w:p w14:paraId="74A85D0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pacing w:val="4"/>
          <w:kern w:val="24"/>
          <w:sz w:val="24"/>
          <w:szCs w:val="28"/>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石油天然气生产企业火炬燃烧可分为正常工况下的火炬气燃烧及由于事故导致的火炬气燃烧两种，本项目主要核算</w:t>
      </w:r>
      <w:r>
        <w:rPr>
          <w:rFonts w:hint="eastAsia" w:cs="Times New Roman"/>
          <w:color w:val="auto"/>
          <w:sz w:val="24"/>
          <w:szCs w:val="21"/>
          <w:highlight w:val="none"/>
          <w:u w:val="none"/>
          <w:lang w:val="en-US" w:eastAsia="zh-CN" w:bidi="ar-SA"/>
        </w:rPr>
        <w:t>非</w:t>
      </w:r>
      <w:r>
        <w:rPr>
          <w:rFonts w:hint="eastAsia" w:ascii="Times New Roman" w:hAnsi="Times New Roman" w:eastAsia="宋体" w:cs="Times New Roman"/>
          <w:color w:val="auto"/>
          <w:sz w:val="24"/>
          <w:szCs w:val="21"/>
          <w:highlight w:val="none"/>
          <w:u w:val="none"/>
          <w:lang w:val="en-US" w:eastAsia="zh-CN" w:bidi="ar-SA"/>
        </w:rPr>
        <w:t>正常工况下的火炬气燃烧（主要为井场测试放喷阶段的火炬燃烧碳排放量）。另外，考虑到石油天然气生产企业火炬气</w:t>
      </w:r>
      <w:r>
        <w:rPr>
          <w:rFonts w:hint="eastAsia" w:ascii="Times New Roman" w:hAnsi="Times New Roman" w:eastAsia="宋体" w:cs="Times New Roman"/>
          <w:color w:val="auto"/>
          <w:spacing w:val="4"/>
          <w:kern w:val="24"/>
          <w:sz w:val="24"/>
          <w:szCs w:val="28"/>
          <w:highlight w:val="none"/>
          <w:u w:val="none"/>
          <w:lang w:val="en-US" w:eastAsia="zh-CN" w:bidi="ar-SA"/>
        </w:rPr>
        <w:t>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含量较高且火炬气燃烧不充分，因此石油天然气生产企业的火炬燃烧排放同时考虑</w:t>
      </w:r>
      <w:r>
        <w:rPr>
          <w:rFonts w:hint="eastAsia" w:ascii="Times New Roman" w:hAnsi="Times New Roman" w:eastAsia="宋体" w:cs="Times New Roman"/>
          <w:color w:val="auto"/>
          <w:spacing w:val="4"/>
          <w:kern w:val="24"/>
          <w:sz w:val="24"/>
          <w:szCs w:val="28"/>
          <w:highlight w:val="none"/>
          <w:u w:val="none"/>
          <w:lang w:val="en-US" w:eastAsia="zh-CN" w:bidi="ar-SA"/>
        </w:rPr>
        <w:t>CO</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2</w:t>
      </w:r>
      <w:r>
        <w:rPr>
          <w:rFonts w:hint="eastAsia" w:ascii="Times New Roman" w:hAnsi="Times New Roman" w:eastAsia="宋体" w:cs="Times New Roman"/>
          <w:color w:val="auto"/>
          <w:spacing w:val="4"/>
          <w:kern w:val="24"/>
          <w:sz w:val="24"/>
          <w:szCs w:val="28"/>
          <w:highlight w:val="none"/>
          <w:u w:val="none"/>
          <w:lang w:val="en-US" w:eastAsia="zh-CN" w:bidi="ar-SA"/>
        </w:rPr>
        <w:t>及CH</w:t>
      </w:r>
      <w:r>
        <w:rPr>
          <w:rFonts w:hint="eastAsia" w:ascii="Times New Roman" w:hAnsi="Times New Roman" w:eastAsia="宋体" w:cs="Times New Roman"/>
          <w:color w:val="auto"/>
          <w:spacing w:val="4"/>
          <w:kern w:val="24"/>
          <w:sz w:val="24"/>
          <w:szCs w:val="28"/>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排放。</w:t>
      </w:r>
    </w:p>
    <w:p w14:paraId="1EE7C5D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①计算公式</w:t>
      </w:r>
    </w:p>
    <w:p w14:paraId="6C4B33A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a.火炬燃烧排放计算公式：</w:t>
      </w:r>
    </w:p>
    <w:p w14:paraId="09F0F5E6">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drawing>
          <wp:inline distT="0" distB="0" distL="114300" distR="114300">
            <wp:extent cx="4993640" cy="516255"/>
            <wp:effectExtent l="0" t="0" r="16510" b="17145"/>
            <wp:docPr id="2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5"/>
                    <pic:cNvPicPr>
                      <a:picLocks noChangeAspect="1"/>
                    </pic:cNvPicPr>
                  </pic:nvPicPr>
                  <pic:blipFill>
                    <a:blip r:embed="rId70"/>
                    <a:stretch>
                      <a:fillRect/>
                    </a:stretch>
                  </pic:blipFill>
                  <pic:spPr>
                    <a:xfrm>
                      <a:off x="0" y="0"/>
                      <a:ext cx="4993640" cy="516255"/>
                    </a:xfrm>
                    <a:prstGeom prst="rect">
                      <a:avLst/>
                    </a:prstGeom>
                    <a:noFill/>
                    <a:ln>
                      <a:noFill/>
                    </a:ln>
                  </pic:spPr>
                </pic:pic>
              </a:graphicData>
            </a:graphic>
          </wp:inline>
        </w:drawing>
      </w:r>
    </w:p>
    <w:p w14:paraId="714C4EA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式中：</w:t>
      </w:r>
    </w:p>
    <w:p w14:paraId="71B9041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color w:val="auto"/>
          <w:sz w:val="24"/>
          <w:szCs w:val="21"/>
          <w:highlight w:val="none"/>
          <w:u w:val="none"/>
          <w:vertAlign w:val="subscript"/>
          <w:lang w:val="en-US" w:eastAsia="zh-CN" w:bidi="ar-SA"/>
        </w:rPr>
        <w:t>GHG</w:t>
      </w:r>
      <w:r>
        <w:rPr>
          <w:rFonts w:hint="eastAsia" w:ascii="Times New Roman" w:hAnsi="Times New Roman" w:eastAsia="宋体" w:cs="Times New Roman"/>
          <w:color w:val="auto"/>
          <w:sz w:val="24"/>
          <w:szCs w:val="21"/>
          <w:highlight w:val="none"/>
          <w:u w:val="none"/>
          <w:lang w:val="en-US" w:eastAsia="zh-CN" w:bidi="ar-SA"/>
        </w:rPr>
        <w:t>-火炬-火炬燃烧产生的CO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排放量，单位为吨CO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 xml:space="preserve">； </w:t>
      </w:r>
    </w:p>
    <w:p w14:paraId="15D6170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color w:val="auto"/>
          <w:sz w:val="24"/>
          <w:szCs w:val="21"/>
          <w:highlight w:val="none"/>
          <w:u w:val="none"/>
          <w:vertAlign w:val="subscript"/>
          <w:lang w:val="en-US" w:eastAsia="zh-CN" w:bidi="ar-SA"/>
        </w:rPr>
        <w:t>CO2</w:t>
      </w:r>
      <w:r>
        <w:rPr>
          <w:rFonts w:hint="eastAsia" w:ascii="Times New Roman" w:hAnsi="Times New Roman" w:eastAsia="宋体" w:cs="Times New Roman"/>
          <w:color w:val="auto"/>
          <w:sz w:val="24"/>
          <w:szCs w:val="21"/>
          <w:highlight w:val="none"/>
          <w:u w:val="none"/>
          <w:lang w:val="en-US" w:eastAsia="zh-CN" w:bidi="ar-SA"/>
        </w:rPr>
        <w:t>-正常火炬-正常工况下火炬系统产生的CO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w:t>
      </w:r>
    </w:p>
    <w:p w14:paraId="0559649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color w:val="auto"/>
          <w:sz w:val="24"/>
          <w:szCs w:val="21"/>
          <w:highlight w:val="none"/>
          <w:u w:val="none"/>
          <w:vertAlign w:val="subscript"/>
          <w:lang w:val="en-US" w:eastAsia="zh-CN" w:bidi="ar-SA"/>
        </w:rPr>
        <w:t>CO2</w:t>
      </w:r>
      <w:r>
        <w:rPr>
          <w:rFonts w:hint="eastAsia" w:ascii="Times New Roman" w:hAnsi="Times New Roman" w:eastAsia="宋体" w:cs="Times New Roman"/>
          <w:color w:val="auto"/>
          <w:sz w:val="24"/>
          <w:szCs w:val="21"/>
          <w:highlight w:val="none"/>
          <w:u w:val="none"/>
          <w:lang w:val="en-US" w:eastAsia="zh-CN" w:bidi="ar-SA"/>
        </w:rPr>
        <w:t>-事故火炬-由于事故火炬产生的CO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 xml:space="preserve">； </w:t>
      </w:r>
    </w:p>
    <w:p w14:paraId="4C8E806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color w:val="auto"/>
          <w:sz w:val="24"/>
          <w:szCs w:val="21"/>
          <w:highlight w:val="none"/>
          <w:u w:val="none"/>
          <w:vertAlign w:val="subscript"/>
          <w:lang w:val="en-US" w:eastAsia="zh-CN" w:bidi="ar-SA"/>
        </w:rPr>
        <w:t>CH4</w:t>
      </w:r>
      <w:r>
        <w:rPr>
          <w:rFonts w:hint="eastAsia" w:ascii="Times New Roman" w:hAnsi="Times New Roman" w:eastAsia="宋体" w:cs="Times New Roman"/>
          <w:color w:val="auto"/>
          <w:sz w:val="24"/>
          <w:szCs w:val="21"/>
          <w:highlight w:val="none"/>
          <w:u w:val="none"/>
          <w:lang w:val="en-US" w:eastAsia="zh-CN" w:bidi="ar-SA"/>
        </w:rPr>
        <w:t>-正常火炬-正常工况下火炬系统产生的CH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排放，单位为吨CH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 xml:space="preserve">； </w:t>
      </w:r>
    </w:p>
    <w:p w14:paraId="4E5CF32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color w:val="auto"/>
          <w:sz w:val="24"/>
          <w:szCs w:val="21"/>
          <w:highlight w:val="none"/>
          <w:u w:val="none"/>
          <w:vertAlign w:val="subscript"/>
          <w:lang w:val="en-US" w:eastAsia="zh-CN" w:bidi="ar-SA"/>
        </w:rPr>
        <w:t>CH4</w:t>
      </w:r>
      <w:r>
        <w:rPr>
          <w:rFonts w:hint="eastAsia" w:ascii="Times New Roman" w:hAnsi="Times New Roman" w:eastAsia="宋体" w:cs="Times New Roman"/>
          <w:color w:val="auto"/>
          <w:sz w:val="24"/>
          <w:szCs w:val="21"/>
          <w:highlight w:val="none"/>
          <w:u w:val="none"/>
          <w:lang w:val="en-US" w:eastAsia="zh-CN" w:bidi="ar-SA"/>
        </w:rPr>
        <w:t>-事故火炬-事故火炬产生的CH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排放，单位为吨CH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w:t>
      </w:r>
    </w:p>
    <w:p w14:paraId="6AFDEE0C">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GWP</w:t>
      </w:r>
      <w:r>
        <w:rPr>
          <w:rFonts w:hint="eastAsia" w:ascii="Times New Roman" w:hAnsi="Times New Roman" w:eastAsia="宋体" w:cs="Times New Roman"/>
          <w:color w:val="auto"/>
          <w:sz w:val="24"/>
          <w:szCs w:val="21"/>
          <w:highlight w:val="none"/>
          <w:u w:val="none"/>
          <w:vertAlign w:val="subscript"/>
          <w:lang w:val="en-US" w:eastAsia="zh-CN" w:bidi="ar-SA"/>
        </w:rPr>
        <w:t>CH4</w:t>
      </w:r>
      <w:r>
        <w:rPr>
          <w:rFonts w:hint="eastAsia" w:ascii="Times New Roman" w:hAnsi="Times New Roman" w:eastAsia="宋体" w:cs="Times New Roman"/>
          <w:color w:val="auto"/>
          <w:sz w:val="24"/>
          <w:szCs w:val="21"/>
          <w:highlight w:val="none"/>
          <w:u w:val="none"/>
          <w:lang w:val="en-US" w:eastAsia="zh-CN" w:bidi="ar-SA"/>
        </w:rPr>
        <w:t>-CH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相比CO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的全球变暖潜势值。根据IPCC第二次评估报告，100年时间尺度内1吨CH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相当于21吨CO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的增温能力，因此</w:t>
      </w:r>
      <w:r>
        <w:rPr>
          <w:rFonts w:hint="eastAsia" w:ascii="Times New Roman" w:hAnsi="Times New Roman" w:eastAsia="宋体" w:cs="Times New Roman"/>
          <w:i/>
          <w:iCs/>
          <w:color w:val="auto"/>
          <w:sz w:val="24"/>
          <w:szCs w:val="21"/>
          <w:highlight w:val="none"/>
          <w:u w:val="none"/>
          <w:lang w:val="en-US" w:eastAsia="zh-CN" w:bidi="ar-SA"/>
        </w:rPr>
        <w:t>GWP</w:t>
      </w:r>
      <w:r>
        <w:rPr>
          <w:rFonts w:hint="eastAsia" w:ascii="Times New Roman" w:hAnsi="Times New Roman" w:eastAsia="宋体" w:cs="Times New Roman"/>
          <w:color w:val="auto"/>
          <w:sz w:val="24"/>
          <w:szCs w:val="21"/>
          <w:highlight w:val="none"/>
          <w:u w:val="none"/>
          <w:vertAlign w:val="subscript"/>
          <w:lang w:val="en-US" w:eastAsia="zh-CN" w:bidi="ar-SA"/>
        </w:rPr>
        <w:t>CH4</w:t>
      </w:r>
      <w:r>
        <w:rPr>
          <w:rFonts w:hint="eastAsia" w:ascii="Times New Roman" w:hAnsi="Times New Roman" w:eastAsia="宋体" w:cs="Times New Roman"/>
          <w:color w:val="auto"/>
          <w:sz w:val="24"/>
          <w:szCs w:val="21"/>
          <w:highlight w:val="none"/>
          <w:u w:val="none"/>
          <w:lang w:val="en-US" w:eastAsia="zh-CN" w:bidi="ar-SA"/>
        </w:rPr>
        <w:t>等于21。</w:t>
      </w:r>
    </w:p>
    <w:p w14:paraId="16240AB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b.正常工况火炬温室气体排放公式：</w:t>
      </w:r>
    </w:p>
    <w:p w14:paraId="08851BB4">
      <w:pPr>
        <w:adjustRightInd/>
        <w:snapToGrid/>
        <w:spacing w:line="360" w:lineRule="auto"/>
        <w:ind w:firstLine="480" w:firstLineChars="200"/>
        <w:jc w:val="both"/>
        <w:rPr>
          <w:rFonts w:ascii="Times New Roman" w:hAnsi="Calibri"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drawing>
          <wp:inline distT="0" distB="0" distL="114300" distR="114300">
            <wp:extent cx="3936365" cy="437515"/>
            <wp:effectExtent l="0" t="0" r="6985" b="635"/>
            <wp:docPr id="2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
                    <pic:cNvPicPr>
                      <a:picLocks noChangeAspect="1"/>
                    </pic:cNvPicPr>
                  </pic:nvPicPr>
                  <pic:blipFill>
                    <a:blip r:embed="rId71"/>
                    <a:stretch>
                      <a:fillRect/>
                    </a:stretch>
                  </pic:blipFill>
                  <pic:spPr>
                    <a:xfrm>
                      <a:off x="0" y="0"/>
                      <a:ext cx="3936365" cy="437515"/>
                    </a:xfrm>
                    <a:prstGeom prst="rect">
                      <a:avLst/>
                    </a:prstGeom>
                    <a:noFill/>
                    <a:ln>
                      <a:noFill/>
                    </a:ln>
                  </pic:spPr>
                </pic:pic>
              </a:graphicData>
            </a:graphic>
          </wp:inline>
        </w:drawing>
      </w:r>
    </w:p>
    <w:p w14:paraId="3F8E17F0">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drawing>
          <wp:inline distT="0" distB="0" distL="114300" distR="114300">
            <wp:extent cx="3419475" cy="464185"/>
            <wp:effectExtent l="0" t="0" r="9525" b="12065"/>
            <wp:docPr id="2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7"/>
                    <pic:cNvPicPr>
                      <a:picLocks noChangeAspect="1"/>
                    </pic:cNvPicPr>
                  </pic:nvPicPr>
                  <pic:blipFill>
                    <a:blip r:embed="rId72"/>
                    <a:stretch>
                      <a:fillRect/>
                    </a:stretch>
                  </pic:blipFill>
                  <pic:spPr>
                    <a:xfrm>
                      <a:off x="0" y="0"/>
                      <a:ext cx="3419475" cy="464185"/>
                    </a:xfrm>
                    <a:prstGeom prst="rect">
                      <a:avLst/>
                    </a:prstGeom>
                    <a:noFill/>
                    <a:ln>
                      <a:noFill/>
                    </a:ln>
                  </pic:spPr>
                </pic:pic>
              </a:graphicData>
            </a:graphic>
          </wp:inline>
        </w:drawing>
      </w:r>
    </w:p>
    <w:p w14:paraId="40177B0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式中：</w:t>
      </w:r>
    </w:p>
    <w:p w14:paraId="21F8447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i</w:t>
      </w:r>
      <w:r>
        <w:rPr>
          <w:rFonts w:hint="eastAsia" w:ascii="Times New Roman" w:hAnsi="Times New Roman" w:eastAsia="宋体" w:cs="Times New Roman"/>
          <w:color w:val="auto"/>
          <w:sz w:val="24"/>
          <w:szCs w:val="21"/>
          <w:highlight w:val="none"/>
          <w:u w:val="none"/>
          <w:lang w:val="en-US" w:eastAsia="zh-CN" w:bidi="ar-SA"/>
        </w:rPr>
        <w:t xml:space="preserve">-火炬系统序号； </w:t>
      </w:r>
    </w:p>
    <w:p w14:paraId="4C82EBC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i/>
          <w:iCs/>
          <w:color w:val="auto"/>
          <w:sz w:val="24"/>
          <w:szCs w:val="21"/>
          <w:highlight w:val="none"/>
          <w:u w:val="none"/>
          <w:lang w:val="en-US" w:eastAsia="zh-CN" w:bidi="ar-SA"/>
        </w:rPr>
        <w:t>Q</w:t>
      </w:r>
      <w:r>
        <w:rPr>
          <w:rFonts w:hint="eastAsia" w:ascii="Times New Roman" w:hAnsi="Times New Roman" w:eastAsia="宋体" w:cs="Times New Roman"/>
          <w:color w:val="auto"/>
          <w:sz w:val="24"/>
          <w:szCs w:val="21"/>
          <w:highlight w:val="none"/>
          <w:u w:val="none"/>
          <w:lang w:val="en-US" w:eastAsia="zh-CN" w:bidi="ar-SA"/>
        </w:rPr>
        <w:t>正常火炬-正常生产状态下第</w:t>
      </w:r>
      <w:r>
        <w:rPr>
          <w:rFonts w:hint="eastAsia" w:ascii="Times New Roman" w:hAnsi="Times New Roman" w:eastAsia="宋体" w:cs="Times New Roman"/>
          <w:i/>
          <w:iCs/>
          <w:color w:val="auto"/>
          <w:sz w:val="24"/>
          <w:szCs w:val="21"/>
          <w:highlight w:val="none"/>
          <w:u w:val="none"/>
          <w:lang w:val="en-US" w:eastAsia="zh-CN" w:bidi="ar-SA"/>
        </w:rPr>
        <w:t>i</w:t>
      </w:r>
      <w:r>
        <w:rPr>
          <w:rFonts w:hint="eastAsia" w:ascii="Times New Roman" w:hAnsi="Times New Roman" w:eastAsia="宋体" w:cs="Times New Roman"/>
          <w:color w:val="auto"/>
          <w:sz w:val="24"/>
          <w:szCs w:val="21"/>
          <w:highlight w:val="none"/>
          <w:u w:val="none"/>
          <w:lang w:val="en-US" w:eastAsia="zh-CN" w:bidi="ar-SA"/>
        </w:rPr>
        <w:t>号火炬系统的火炬气流量，单位为万</w:t>
      </w:r>
      <w:r>
        <w:rPr>
          <w:rFonts w:ascii="Times New Roman" w:hAnsi="Times New Roman" w:eastAsia="宋体" w:cs="Times New Roman"/>
          <w:color w:val="auto"/>
          <w:sz w:val="24"/>
          <w:szCs w:val="21"/>
          <w:highlight w:val="none"/>
          <w:u w:val="none"/>
          <w:lang w:val="en-US" w:eastAsia="zh-CN" w:bidi="ar-SA"/>
        </w:rPr>
        <w:t>Nm</w:t>
      </w:r>
      <w:r>
        <w:rPr>
          <w:rFonts w:ascii="Times New Roman" w:hAnsi="Times New Roman" w:eastAsia="宋体" w:cs="Times New Roman"/>
          <w:color w:val="auto"/>
          <w:sz w:val="24"/>
          <w:szCs w:val="21"/>
          <w:highlight w:val="none"/>
          <w:u w:val="none"/>
          <w:vertAlign w:val="superscript"/>
          <w:lang w:val="en-US" w:eastAsia="zh-CN" w:bidi="ar-SA"/>
        </w:rPr>
        <w:t>3</w:t>
      </w:r>
      <w:r>
        <w:rPr>
          <w:rFonts w:hint="eastAsia" w:ascii="Times New Roman" w:hAnsi="Times New Roman" w:eastAsia="宋体" w:cs="Times New Roman"/>
          <w:color w:val="auto"/>
          <w:sz w:val="24"/>
          <w:szCs w:val="21"/>
          <w:highlight w:val="none"/>
          <w:u w:val="none"/>
          <w:lang w:val="en-US" w:eastAsia="zh-CN" w:bidi="ar-SA"/>
        </w:rPr>
        <w:t xml:space="preserve">； </w:t>
      </w:r>
    </w:p>
    <w:p w14:paraId="21FC806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CC非CO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-火炬气中除</w:t>
      </w:r>
      <w:r>
        <w:rPr>
          <w:rFonts w:ascii="Times New Roman" w:hAnsi="Times New Roman" w:eastAsia="宋体" w:cs="Times New Roman"/>
          <w:color w:val="auto"/>
          <w:sz w:val="24"/>
          <w:szCs w:val="21"/>
          <w:highlight w:val="none"/>
          <w:u w:val="none"/>
          <w:lang w:val="en-US" w:eastAsia="zh-CN" w:bidi="ar-SA"/>
        </w:rPr>
        <w:t>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外其他含碳化合物的总含碳量，单位为吨碳</w:t>
      </w:r>
      <w:r>
        <w:rPr>
          <w:rFonts w:ascii="Times New Roman" w:hAnsi="Times New Roman" w:eastAsia="宋体"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万</w:t>
      </w:r>
      <w:r>
        <w:rPr>
          <w:rFonts w:ascii="Times New Roman" w:hAnsi="Times New Roman" w:eastAsia="宋体" w:cs="Times New Roman"/>
          <w:color w:val="auto"/>
          <w:sz w:val="24"/>
          <w:szCs w:val="21"/>
          <w:highlight w:val="none"/>
          <w:u w:val="none"/>
          <w:lang w:val="en-US" w:eastAsia="zh-CN" w:bidi="ar-SA"/>
        </w:rPr>
        <w:t>Nm</w:t>
      </w:r>
      <w:r>
        <w:rPr>
          <w:rFonts w:ascii="Times New Roman" w:hAnsi="Times New Roman" w:eastAsia="宋体" w:cs="Times New Roman"/>
          <w:color w:val="auto"/>
          <w:sz w:val="24"/>
          <w:szCs w:val="21"/>
          <w:highlight w:val="none"/>
          <w:u w:val="none"/>
          <w:vertAlign w:val="superscript"/>
          <w:lang w:val="en-US" w:eastAsia="zh-CN" w:bidi="ar-SA"/>
        </w:rPr>
        <w:t>3</w:t>
      </w:r>
      <w:r>
        <w:rPr>
          <w:rFonts w:hint="eastAsia" w:ascii="Times New Roman" w:hAnsi="Times New Roman" w:eastAsia="宋体" w:cs="Times New Roman"/>
          <w:color w:val="auto"/>
          <w:sz w:val="24"/>
          <w:szCs w:val="21"/>
          <w:highlight w:val="none"/>
          <w:u w:val="none"/>
          <w:lang w:val="en-US" w:eastAsia="zh-CN" w:bidi="ar-SA"/>
        </w:rPr>
        <w:t xml:space="preserve">； </w:t>
      </w:r>
    </w:p>
    <w:p w14:paraId="2DBD868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OF</w:t>
      </w:r>
      <w:r>
        <w:rPr>
          <w:rFonts w:hint="eastAsia" w:ascii="Times New Roman" w:hAnsi="Times New Roman" w:eastAsia="宋体" w:cs="Times New Roman"/>
          <w:color w:val="auto"/>
          <w:sz w:val="24"/>
          <w:szCs w:val="21"/>
          <w:highlight w:val="none"/>
          <w:u w:val="none"/>
          <w:lang w:val="en-US" w:eastAsia="zh-CN" w:bidi="ar-SA"/>
        </w:rPr>
        <w:t>-第i号火炬系统的碳氧化率，如无实测数据可采用缺省值</w:t>
      </w:r>
      <w:r>
        <w:rPr>
          <w:rFonts w:ascii="Times New Roman" w:hAnsi="Times New Roman" w:eastAsia="宋体" w:cs="Times New Roman"/>
          <w:color w:val="auto"/>
          <w:sz w:val="24"/>
          <w:szCs w:val="21"/>
          <w:highlight w:val="none"/>
          <w:u w:val="none"/>
          <w:lang w:val="en-US" w:eastAsia="zh-CN" w:bidi="ar-SA"/>
        </w:rPr>
        <w:t>0.98</w:t>
      </w:r>
      <w:r>
        <w:rPr>
          <w:rFonts w:hint="eastAsia" w:ascii="Times New Roman" w:hAnsi="Times New Roman" w:eastAsia="宋体" w:cs="Times New Roman"/>
          <w:color w:val="auto"/>
          <w:sz w:val="24"/>
          <w:szCs w:val="21"/>
          <w:highlight w:val="none"/>
          <w:u w:val="none"/>
          <w:lang w:val="en-US" w:eastAsia="zh-CN" w:bidi="ar-SA"/>
        </w:rPr>
        <w:t xml:space="preserve">； </w:t>
      </w:r>
    </w:p>
    <w:p w14:paraId="40831C4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VCO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-火炬气中</w:t>
      </w:r>
      <w:r>
        <w:rPr>
          <w:rFonts w:ascii="Times New Roman" w:hAnsi="Times New Roman" w:eastAsia="宋体" w:cs="Times New Roman"/>
          <w:color w:val="auto"/>
          <w:sz w:val="24"/>
          <w:szCs w:val="21"/>
          <w:highlight w:val="none"/>
          <w:u w:val="none"/>
          <w:lang w:val="en-US" w:eastAsia="zh-CN" w:bidi="ar-SA"/>
        </w:rPr>
        <w:t>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的体积浓度，取值范围为</w:t>
      </w:r>
      <w:r>
        <w:rPr>
          <w:rFonts w:ascii="Times New Roman" w:hAnsi="Times New Roman" w:eastAsia="宋体" w:cs="Times New Roman"/>
          <w:color w:val="auto"/>
          <w:sz w:val="24"/>
          <w:szCs w:val="21"/>
          <w:highlight w:val="none"/>
          <w:u w:val="none"/>
          <w:lang w:val="en-US" w:eastAsia="zh-CN" w:bidi="ar-SA"/>
        </w:rPr>
        <w:t>0</w:t>
      </w:r>
      <w:r>
        <w:rPr>
          <w:rFonts w:hint="eastAsia" w:ascii="Times New Roman" w:hAnsi="Times New Roman" w:eastAsia="宋体" w:cs="Times New Roman"/>
          <w:color w:val="auto"/>
          <w:sz w:val="24"/>
          <w:szCs w:val="21"/>
          <w:highlight w:val="none"/>
          <w:u w:val="none"/>
          <w:lang w:val="en-US" w:eastAsia="zh-CN" w:bidi="ar-SA"/>
        </w:rPr>
        <w:t>～</w:t>
      </w:r>
      <w:r>
        <w:rPr>
          <w:rFonts w:ascii="Times New Roman" w:hAnsi="Times New Roman" w:eastAsia="宋体" w:cs="Times New Roman"/>
          <w:color w:val="auto"/>
          <w:sz w:val="24"/>
          <w:szCs w:val="21"/>
          <w:highlight w:val="none"/>
          <w:u w:val="none"/>
          <w:lang w:val="en-US" w:eastAsia="zh-CN" w:bidi="ar-SA"/>
        </w:rPr>
        <w:t>1</w:t>
      </w:r>
      <w:r>
        <w:rPr>
          <w:rFonts w:hint="eastAsia" w:ascii="Times New Roman" w:hAnsi="Times New Roman" w:eastAsia="宋体" w:cs="Times New Roman"/>
          <w:color w:val="auto"/>
          <w:sz w:val="24"/>
          <w:szCs w:val="21"/>
          <w:highlight w:val="none"/>
          <w:u w:val="none"/>
          <w:lang w:val="en-US" w:eastAsia="zh-CN" w:bidi="ar-SA"/>
        </w:rPr>
        <w:t xml:space="preserve">； </w:t>
      </w:r>
    </w:p>
    <w:p w14:paraId="048A80F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VCH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-为火炬气中</w:t>
      </w:r>
      <w:r>
        <w:rPr>
          <w:rFonts w:ascii="Times New Roman" w:hAnsi="Times New Roman" w:eastAsia="宋体" w:cs="Times New Roman"/>
          <w:color w:val="auto"/>
          <w:sz w:val="24"/>
          <w:szCs w:val="21"/>
          <w:highlight w:val="none"/>
          <w:u w:val="none"/>
          <w:lang w:val="en-US" w:eastAsia="zh-CN" w:bidi="ar-SA"/>
        </w:rPr>
        <w:t>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的体积浓度；</w:t>
      </w:r>
    </w:p>
    <w:p w14:paraId="2F8034D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c.事故火炬温室气体排放公式：</w:t>
      </w:r>
    </w:p>
    <w:p w14:paraId="70E311C2">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drawing>
          <wp:inline distT="0" distB="0" distL="114300" distR="114300">
            <wp:extent cx="4161790" cy="528955"/>
            <wp:effectExtent l="0" t="0" r="10160" b="4445"/>
            <wp:docPr id="2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8"/>
                    <pic:cNvPicPr>
                      <a:picLocks noChangeAspect="1"/>
                    </pic:cNvPicPr>
                  </pic:nvPicPr>
                  <pic:blipFill>
                    <a:blip r:embed="rId73"/>
                    <a:stretch>
                      <a:fillRect/>
                    </a:stretch>
                  </pic:blipFill>
                  <pic:spPr>
                    <a:xfrm>
                      <a:off x="0" y="0"/>
                      <a:ext cx="4161790" cy="528955"/>
                    </a:xfrm>
                    <a:prstGeom prst="rect">
                      <a:avLst/>
                    </a:prstGeom>
                    <a:noFill/>
                    <a:ln>
                      <a:noFill/>
                    </a:ln>
                  </pic:spPr>
                </pic:pic>
              </a:graphicData>
            </a:graphic>
          </wp:inline>
        </w:drawing>
      </w:r>
    </w:p>
    <w:p w14:paraId="31A2C190">
      <w:pPr>
        <w:adjustRightInd/>
        <w:snapToGrid/>
        <w:spacing w:line="360" w:lineRule="auto"/>
        <w:ind w:firstLine="480" w:firstLineChars="200"/>
        <w:jc w:val="both"/>
        <w:rPr>
          <w:rFonts w:ascii="Times New Roman" w:hAnsi="Times New Roman" w:eastAsia="宋体" w:cs="Times New Roman"/>
          <w:color w:val="auto"/>
          <w:kern w:val="44"/>
          <w:sz w:val="4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drawing>
          <wp:inline distT="0" distB="0" distL="114300" distR="114300">
            <wp:extent cx="3770630" cy="497840"/>
            <wp:effectExtent l="0" t="0" r="1270" b="16510"/>
            <wp:docPr id="2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9"/>
                    <pic:cNvPicPr>
                      <a:picLocks noChangeAspect="1"/>
                    </pic:cNvPicPr>
                  </pic:nvPicPr>
                  <pic:blipFill>
                    <a:blip r:embed="rId74"/>
                    <a:stretch>
                      <a:fillRect/>
                    </a:stretch>
                  </pic:blipFill>
                  <pic:spPr>
                    <a:xfrm>
                      <a:off x="0" y="0"/>
                      <a:ext cx="3770630" cy="497840"/>
                    </a:xfrm>
                    <a:prstGeom prst="rect">
                      <a:avLst/>
                    </a:prstGeom>
                    <a:noFill/>
                    <a:ln>
                      <a:noFill/>
                    </a:ln>
                  </pic:spPr>
                </pic:pic>
              </a:graphicData>
            </a:graphic>
          </wp:inline>
        </w:drawing>
      </w:r>
    </w:p>
    <w:p w14:paraId="1DE17BC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式中</w:t>
      </w:r>
      <w:r>
        <w:rPr>
          <w:rFonts w:hint="eastAsia" w:ascii="Times New Roman" w:hAnsi="Times New Roman" w:eastAsia="宋体" w:cs="Times New Roman"/>
          <w:color w:val="auto"/>
          <w:sz w:val="24"/>
          <w:szCs w:val="21"/>
          <w:highlight w:val="none"/>
          <w:u w:val="none"/>
          <w:lang w:val="en-US" w:eastAsia="zh-CN" w:bidi="ar-SA"/>
        </w:rPr>
        <w:t>：</w:t>
      </w:r>
    </w:p>
    <w:p w14:paraId="506BBFF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J</w:t>
      </w:r>
      <w:r>
        <w:rPr>
          <w:rFonts w:hint="eastAsia" w:ascii="Times New Roman" w:hAnsi="Times New Roman" w:eastAsia="宋体" w:cs="Times New Roman"/>
          <w:color w:val="auto"/>
          <w:sz w:val="24"/>
          <w:szCs w:val="21"/>
          <w:highlight w:val="none"/>
          <w:u w:val="none"/>
          <w:lang w:val="en-US" w:eastAsia="zh-CN" w:bidi="ar-SA"/>
        </w:rPr>
        <w:t xml:space="preserve">-事故次数； </w:t>
      </w:r>
    </w:p>
    <w:p w14:paraId="5ED4562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GF事故，j-报告期内第</w:t>
      </w:r>
      <w:r>
        <w:rPr>
          <w:rFonts w:ascii="Times New Roman" w:hAnsi="Times New Roman" w:eastAsia="宋体" w:cs="Times New Roman"/>
          <w:color w:val="auto"/>
          <w:sz w:val="24"/>
          <w:szCs w:val="21"/>
          <w:highlight w:val="none"/>
          <w:u w:val="none"/>
          <w:lang w:val="en-US" w:eastAsia="zh-CN" w:bidi="ar-SA"/>
        </w:rPr>
        <w:t>j</w:t>
      </w:r>
      <w:r>
        <w:rPr>
          <w:rFonts w:hint="eastAsia" w:ascii="Times New Roman" w:hAnsi="Times New Roman" w:eastAsia="宋体" w:cs="Times New Roman"/>
          <w:color w:val="auto"/>
          <w:sz w:val="24"/>
          <w:szCs w:val="21"/>
          <w:highlight w:val="none"/>
          <w:u w:val="none"/>
          <w:lang w:val="en-US" w:eastAsia="zh-CN" w:bidi="ar-SA"/>
        </w:rPr>
        <w:t>次事故状态时的火炬气流速度，单位为万</w:t>
      </w:r>
      <w:r>
        <w:rPr>
          <w:rFonts w:ascii="Times New Roman" w:hAnsi="Times New Roman" w:eastAsia="宋体" w:cs="Times New Roman"/>
          <w:color w:val="auto"/>
          <w:sz w:val="24"/>
          <w:szCs w:val="21"/>
          <w:highlight w:val="none"/>
          <w:u w:val="none"/>
          <w:lang w:val="en-US" w:eastAsia="zh-CN" w:bidi="ar-SA"/>
        </w:rPr>
        <w:t>Nm</w:t>
      </w:r>
      <w:r>
        <w:rPr>
          <w:rFonts w:ascii="Times New Roman" w:hAnsi="Times New Roman" w:eastAsia="宋体" w:cs="Times New Roman"/>
          <w:color w:val="auto"/>
          <w:sz w:val="24"/>
          <w:szCs w:val="21"/>
          <w:highlight w:val="none"/>
          <w:u w:val="none"/>
          <w:vertAlign w:val="superscript"/>
          <w:lang w:val="en-US" w:eastAsia="zh-CN" w:bidi="ar-SA"/>
        </w:rPr>
        <w:t>3</w:t>
      </w:r>
      <w:r>
        <w:rPr>
          <w:rFonts w:ascii="Times New Roman" w:hAnsi="Times New Roman" w:eastAsia="宋体"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 xml:space="preserve">小时； </w:t>
      </w:r>
    </w:p>
    <w:p w14:paraId="32CC078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T事故，j-报告期内第</w:t>
      </w:r>
      <w:r>
        <w:rPr>
          <w:rFonts w:ascii="Times New Roman" w:hAnsi="Times New Roman" w:eastAsia="宋体" w:cs="Times New Roman"/>
          <w:color w:val="auto"/>
          <w:sz w:val="24"/>
          <w:szCs w:val="21"/>
          <w:highlight w:val="none"/>
          <w:u w:val="none"/>
          <w:lang w:val="en-US" w:eastAsia="zh-CN" w:bidi="ar-SA"/>
        </w:rPr>
        <w:t>j</w:t>
      </w:r>
      <w:r>
        <w:rPr>
          <w:rFonts w:hint="eastAsia" w:ascii="Times New Roman" w:hAnsi="Times New Roman" w:eastAsia="宋体" w:cs="Times New Roman"/>
          <w:color w:val="auto"/>
          <w:sz w:val="24"/>
          <w:szCs w:val="21"/>
          <w:highlight w:val="none"/>
          <w:u w:val="none"/>
          <w:lang w:val="en-US" w:eastAsia="zh-CN" w:bidi="ar-SA"/>
        </w:rPr>
        <w:t xml:space="preserve">次事故的持续时间，单位为小时； </w:t>
      </w:r>
    </w:p>
    <w:p w14:paraId="76A30BD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CC（非CO</w:t>
      </w:r>
      <w:r>
        <w:rPr>
          <w:rFonts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）j-第</w:t>
      </w:r>
      <w:r>
        <w:rPr>
          <w:rFonts w:ascii="Times New Roman" w:hAnsi="Times New Roman" w:eastAsia="宋体" w:cs="Times New Roman"/>
          <w:color w:val="auto"/>
          <w:sz w:val="24"/>
          <w:szCs w:val="21"/>
          <w:highlight w:val="none"/>
          <w:u w:val="none"/>
          <w:lang w:val="en-US" w:eastAsia="zh-CN" w:bidi="ar-SA"/>
        </w:rPr>
        <w:t>j</w:t>
      </w:r>
      <w:r>
        <w:rPr>
          <w:rFonts w:hint="eastAsia" w:ascii="Times New Roman" w:hAnsi="Times New Roman" w:eastAsia="宋体" w:cs="Times New Roman"/>
          <w:color w:val="auto"/>
          <w:sz w:val="24"/>
          <w:szCs w:val="21"/>
          <w:highlight w:val="none"/>
          <w:u w:val="none"/>
          <w:lang w:val="en-US" w:eastAsia="zh-CN" w:bidi="ar-SA"/>
        </w:rPr>
        <w:t>次事故火炬气中除</w:t>
      </w:r>
      <w:r>
        <w:rPr>
          <w:rFonts w:ascii="Times New Roman" w:hAnsi="Times New Roman" w:eastAsia="宋体" w:cs="Times New Roman"/>
          <w:color w:val="auto"/>
          <w:sz w:val="24"/>
          <w:szCs w:val="21"/>
          <w:highlight w:val="none"/>
          <w:u w:val="none"/>
          <w:lang w:val="en-US" w:eastAsia="zh-CN" w:bidi="ar-SA"/>
        </w:rPr>
        <w:t>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外其他含碳化合物的总含碳量，单位为吨碳</w:t>
      </w:r>
      <w:r>
        <w:rPr>
          <w:rFonts w:ascii="Times New Roman" w:hAnsi="Times New Roman" w:eastAsia="宋体"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万</w:t>
      </w:r>
      <w:r>
        <w:rPr>
          <w:rFonts w:ascii="Times New Roman" w:hAnsi="Times New Roman" w:eastAsia="宋体" w:cs="Times New Roman"/>
          <w:color w:val="auto"/>
          <w:sz w:val="24"/>
          <w:szCs w:val="21"/>
          <w:highlight w:val="none"/>
          <w:u w:val="none"/>
          <w:lang w:val="en-US" w:eastAsia="zh-CN" w:bidi="ar-SA"/>
        </w:rPr>
        <w:t>Nm</w:t>
      </w:r>
      <w:r>
        <w:rPr>
          <w:rFonts w:ascii="Times New Roman" w:hAnsi="Times New Roman" w:eastAsia="宋体" w:cs="Times New Roman"/>
          <w:color w:val="auto"/>
          <w:sz w:val="24"/>
          <w:szCs w:val="21"/>
          <w:highlight w:val="none"/>
          <w:u w:val="none"/>
          <w:vertAlign w:val="superscript"/>
          <w:lang w:val="en-US" w:eastAsia="zh-CN" w:bidi="ar-SA"/>
        </w:rPr>
        <w:t>3</w:t>
      </w:r>
      <w:r>
        <w:rPr>
          <w:rFonts w:hint="eastAsia" w:ascii="Times New Roman" w:hAnsi="Times New Roman" w:eastAsia="宋体" w:cs="Times New Roman"/>
          <w:color w:val="auto"/>
          <w:sz w:val="24"/>
          <w:szCs w:val="21"/>
          <w:highlight w:val="none"/>
          <w:u w:val="none"/>
          <w:lang w:val="en-US" w:eastAsia="zh-CN" w:bidi="ar-SA"/>
        </w:rPr>
        <w:t xml:space="preserve">； </w:t>
      </w:r>
    </w:p>
    <w:p w14:paraId="13450AD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OF</w:t>
      </w:r>
      <w:r>
        <w:rPr>
          <w:rFonts w:hint="eastAsia" w:ascii="Times New Roman" w:hAnsi="Times New Roman" w:eastAsia="宋体" w:cs="Times New Roman"/>
          <w:color w:val="auto"/>
          <w:sz w:val="24"/>
          <w:szCs w:val="21"/>
          <w:highlight w:val="none"/>
          <w:u w:val="none"/>
          <w:lang w:val="en-US" w:eastAsia="zh-CN" w:bidi="ar-SA"/>
        </w:rPr>
        <w:t>-火炬燃烧的碳氧化率，如无实测数据可采用缺省值</w:t>
      </w:r>
      <w:r>
        <w:rPr>
          <w:rFonts w:ascii="Times New Roman" w:hAnsi="Times New Roman" w:eastAsia="宋体" w:cs="Times New Roman"/>
          <w:color w:val="auto"/>
          <w:sz w:val="24"/>
          <w:szCs w:val="21"/>
          <w:highlight w:val="none"/>
          <w:u w:val="none"/>
          <w:lang w:val="en-US" w:eastAsia="zh-CN" w:bidi="ar-SA"/>
        </w:rPr>
        <w:t>0.98</w:t>
      </w:r>
      <w:r>
        <w:rPr>
          <w:rFonts w:hint="eastAsia" w:ascii="Times New Roman" w:hAnsi="Times New Roman" w:eastAsia="宋体" w:cs="Times New Roman"/>
          <w:color w:val="auto"/>
          <w:sz w:val="24"/>
          <w:szCs w:val="21"/>
          <w:highlight w:val="none"/>
          <w:u w:val="none"/>
          <w:lang w:val="en-US" w:eastAsia="zh-CN" w:bidi="ar-SA"/>
        </w:rPr>
        <w:t xml:space="preserve">； </w:t>
      </w:r>
    </w:p>
    <w:p w14:paraId="26B65A2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V</w:t>
      </w:r>
      <w:r>
        <w:rPr>
          <w:rFonts w:ascii="Times New Roman" w:hAnsi="Times New Roman" w:eastAsia="宋体"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CO</w:t>
      </w:r>
      <w:r>
        <w:rPr>
          <w:rFonts w:ascii="Times New Roman" w:hAnsi="Times New Roman" w:eastAsia="宋体" w:cs="Times New Roman"/>
          <w:color w:val="auto"/>
          <w:sz w:val="24"/>
          <w:szCs w:val="21"/>
          <w:highlight w:val="none"/>
          <w:u w:val="none"/>
          <w:vertAlign w:val="subscript"/>
          <w:lang w:val="en-US" w:eastAsia="zh-CN" w:bidi="ar-SA"/>
        </w:rPr>
        <w:t>2</w:t>
      </w:r>
      <w:r>
        <w:rPr>
          <w:rFonts w:ascii="Times New Roman" w:hAnsi="Times New Roman" w:eastAsia="宋体"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j-第</w:t>
      </w:r>
      <w:r>
        <w:rPr>
          <w:rFonts w:ascii="Times New Roman" w:hAnsi="Times New Roman" w:eastAsia="宋体" w:cs="Times New Roman"/>
          <w:color w:val="auto"/>
          <w:sz w:val="24"/>
          <w:szCs w:val="21"/>
          <w:highlight w:val="none"/>
          <w:u w:val="none"/>
          <w:lang w:val="en-US" w:eastAsia="zh-CN" w:bidi="ar-SA"/>
        </w:rPr>
        <w:t>j</w:t>
      </w:r>
      <w:r>
        <w:rPr>
          <w:rFonts w:hint="eastAsia" w:ascii="Times New Roman" w:hAnsi="Times New Roman" w:eastAsia="宋体" w:cs="Times New Roman"/>
          <w:color w:val="auto"/>
          <w:sz w:val="24"/>
          <w:szCs w:val="21"/>
          <w:highlight w:val="none"/>
          <w:u w:val="none"/>
          <w:lang w:val="en-US" w:eastAsia="zh-CN" w:bidi="ar-SA"/>
        </w:rPr>
        <w:t>次事故火炬气中</w:t>
      </w:r>
      <w:r>
        <w:rPr>
          <w:rFonts w:ascii="Times New Roman" w:hAnsi="Times New Roman" w:eastAsia="宋体" w:cs="Times New Roman"/>
          <w:color w:val="auto"/>
          <w:sz w:val="24"/>
          <w:szCs w:val="21"/>
          <w:highlight w:val="none"/>
          <w:u w:val="none"/>
          <w:lang w:val="en-US" w:eastAsia="zh-CN" w:bidi="ar-SA"/>
        </w:rPr>
        <w:t>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的体积浓度；</w:t>
      </w:r>
    </w:p>
    <w:p w14:paraId="06DB99C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VCH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-事故火炬气中</w:t>
      </w:r>
      <w:r>
        <w:rPr>
          <w:rFonts w:ascii="Times New Roman" w:hAnsi="Times New Roman" w:eastAsia="宋体" w:cs="Times New Roman"/>
          <w:color w:val="auto"/>
          <w:sz w:val="24"/>
          <w:szCs w:val="21"/>
          <w:highlight w:val="none"/>
          <w:u w:val="none"/>
          <w:lang w:val="en-US" w:eastAsia="zh-CN" w:bidi="ar-SA"/>
        </w:rPr>
        <w:t>C</w:t>
      </w:r>
      <w:r>
        <w:rPr>
          <w:rFonts w:hint="eastAsia" w:ascii="Times New Roman" w:hAnsi="Times New Roman" w:eastAsia="宋体" w:cs="Times New Roman"/>
          <w:color w:val="auto"/>
          <w:sz w:val="24"/>
          <w:szCs w:val="21"/>
          <w:highlight w:val="none"/>
          <w:u w:val="none"/>
          <w:lang w:val="en-US" w:eastAsia="zh-CN" w:bidi="ar-SA"/>
        </w:rPr>
        <w:t>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的体积浓度；</w:t>
      </w:r>
    </w:p>
    <w:p w14:paraId="0BDA4B9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②计算结果</w:t>
      </w:r>
    </w:p>
    <w:p w14:paraId="15DE667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本项目核算火炬气温室气体排放主要为井场</w:t>
      </w:r>
      <w:r>
        <w:rPr>
          <w:rFonts w:hint="eastAsia" w:cs="Times New Roman"/>
          <w:color w:val="auto"/>
          <w:sz w:val="24"/>
          <w:szCs w:val="21"/>
          <w:highlight w:val="none"/>
          <w:u w:val="none"/>
          <w:lang w:val="en-US" w:eastAsia="zh-CN" w:bidi="ar-SA"/>
        </w:rPr>
        <w:t>测试放喷</w:t>
      </w:r>
      <w:r>
        <w:rPr>
          <w:rFonts w:hint="eastAsia" w:ascii="Times New Roman" w:hAnsi="Times New Roman" w:eastAsia="宋体" w:cs="Times New Roman"/>
          <w:color w:val="auto"/>
          <w:sz w:val="24"/>
          <w:szCs w:val="21"/>
          <w:highlight w:val="none"/>
          <w:u w:val="none"/>
          <w:lang w:val="en-US" w:eastAsia="zh-CN" w:bidi="ar-SA"/>
        </w:rPr>
        <w:t>过程中火炬气排放量。相关参数如下表。</w:t>
      </w:r>
    </w:p>
    <w:p w14:paraId="7EC4E2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r>
        <w:rPr>
          <w:rFonts w:hint="eastAsia" w:ascii="黑体" w:hAnsi="黑体" w:eastAsia="黑体" w:cs="黑体"/>
          <w:b w:val="0"/>
          <w:bCs/>
          <w:color w:val="auto"/>
          <w:kern w:val="2"/>
          <w:sz w:val="24"/>
          <w:szCs w:val="24"/>
          <w:u w:val="none"/>
          <w:lang w:val="en-US" w:eastAsia="zh-CN" w:bidi="ar-SA"/>
        </w:rPr>
        <w:t>表7.1-3  火炬燃烧排放活动相关参数一览表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41"/>
        <w:gridCol w:w="593"/>
        <w:gridCol w:w="946"/>
        <w:gridCol w:w="796"/>
        <w:gridCol w:w="1671"/>
        <w:gridCol w:w="831"/>
        <w:gridCol w:w="913"/>
        <w:gridCol w:w="913"/>
        <w:gridCol w:w="701"/>
        <w:gridCol w:w="763"/>
      </w:tblGrid>
      <w:tr w14:paraId="280E2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2" w:type="pct"/>
            <w:tcBorders>
              <w:tl2br w:val="nil"/>
              <w:tr2bl w:val="nil"/>
            </w:tcBorders>
            <w:vAlign w:val="center"/>
          </w:tcPr>
          <w:p w14:paraId="2E202804">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场所</w:t>
            </w:r>
          </w:p>
        </w:tc>
        <w:tc>
          <w:tcPr>
            <w:tcW w:w="342" w:type="pct"/>
            <w:tcBorders>
              <w:tl2br w:val="nil"/>
              <w:tr2bl w:val="nil"/>
            </w:tcBorders>
            <w:vAlign w:val="center"/>
          </w:tcPr>
          <w:p w14:paraId="79444AAD">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工况</w:t>
            </w:r>
          </w:p>
        </w:tc>
        <w:tc>
          <w:tcPr>
            <w:tcW w:w="545" w:type="pct"/>
            <w:tcBorders>
              <w:tl2br w:val="nil"/>
              <w:tr2bl w:val="nil"/>
            </w:tcBorders>
            <w:vAlign w:val="center"/>
          </w:tcPr>
          <w:p w14:paraId="0E6C5F7D">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火炬气流速（</w:t>
            </w:r>
            <w:r>
              <w:rPr>
                <w:rFonts w:hint="eastAsia" w:ascii="宋体" w:hAnsi="宋体" w:eastAsia="宋体" w:cs="宋体"/>
                <w:color w:val="auto"/>
                <w:sz w:val="21"/>
                <w:szCs w:val="21"/>
                <w:highlight w:val="none"/>
                <w:u w:val="none"/>
                <w:lang w:bidi="ar"/>
              </w:rPr>
              <w:t>万Nm</w:t>
            </w:r>
            <w:r>
              <w:rPr>
                <w:rFonts w:hint="eastAsia" w:ascii="宋体" w:hAnsi="宋体" w:eastAsia="宋体" w:cs="宋体"/>
                <w:color w:val="auto"/>
                <w:sz w:val="21"/>
                <w:szCs w:val="21"/>
                <w:highlight w:val="none"/>
                <w:u w:val="none"/>
                <w:vertAlign w:val="superscript"/>
                <w:lang w:bidi="ar"/>
              </w:rPr>
              <w:t>3</w:t>
            </w:r>
            <w:r>
              <w:rPr>
                <w:rFonts w:hint="eastAsia" w:ascii="宋体" w:hAnsi="宋体" w:eastAsia="宋体" w:cs="宋体"/>
                <w:color w:val="auto"/>
                <w:sz w:val="21"/>
                <w:szCs w:val="21"/>
                <w:highlight w:val="none"/>
                <w:u w:val="none"/>
                <w:lang w:bidi="ar"/>
              </w:rPr>
              <w:t>/h）</w:t>
            </w:r>
          </w:p>
        </w:tc>
        <w:tc>
          <w:tcPr>
            <w:tcW w:w="459" w:type="pct"/>
            <w:tcBorders>
              <w:tl2br w:val="nil"/>
              <w:tr2bl w:val="nil"/>
            </w:tcBorders>
            <w:vAlign w:val="center"/>
          </w:tcPr>
          <w:p w14:paraId="34D1682E">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持续时间（h）</w:t>
            </w:r>
          </w:p>
        </w:tc>
        <w:tc>
          <w:tcPr>
            <w:tcW w:w="963" w:type="pct"/>
            <w:tcBorders>
              <w:tl2br w:val="nil"/>
              <w:tr2bl w:val="nil"/>
            </w:tcBorders>
            <w:vAlign w:val="center"/>
          </w:tcPr>
          <w:p w14:paraId="1C68116D">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火炬气中除CO</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rPr>
              <w:t>外其他含碳化合物的总含碳量（吨碳/</w:t>
            </w:r>
            <w:r>
              <w:rPr>
                <w:rFonts w:hint="eastAsia" w:ascii="宋体" w:hAnsi="宋体" w:eastAsia="宋体" w:cs="宋体"/>
                <w:color w:val="auto"/>
                <w:sz w:val="21"/>
                <w:szCs w:val="21"/>
                <w:highlight w:val="none"/>
                <w:u w:val="none"/>
                <w:lang w:bidi="ar"/>
              </w:rPr>
              <w:t>万Nm</w:t>
            </w:r>
            <w:r>
              <w:rPr>
                <w:rFonts w:hint="eastAsia" w:ascii="宋体" w:hAnsi="宋体" w:eastAsia="宋体" w:cs="宋体"/>
                <w:color w:val="auto"/>
                <w:sz w:val="21"/>
                <w:szCs w:val="21"/>
                <w:highlight w:val="none"/>
                <w:u w:val="none"/>
                <w:vertAlign w:val="superscript"/>
                <w:lang w:bidi="ar"/>
              </w:rPr>
              <w:t>3</w:t>
            </w:r>
            <w:r>
              <w:rPr>
                <w:rFonts w:hint="eastAsia" w:ascii="宋体" w:hAnsi="宋体" w:eastAsia="宋体" w:cs="宋体"/>
                <w:color w:val="auto"/>
                <w:sz w:val="21"/>
                <w:szCs w:val="21"/>
                <w:highlight w:val="none"/>
                <w:u w:val="none"/>
                <w:vertAlign w:val="baseline"/>
                <w:lang w:bidi="ar"/>
              </w:rPr>
              <w:t>）</w:t>
            </w:r>
          </w:p>
        </w:tc>
        <w:tc>
          <w:tcPr>
            <w:tcW w:w="479" w:type="pct"/>
            <w:tcBorders>
              <w:tl2br w:val="nil"/>
              <w:tr2bl w:val="nil"/>
            </w:tcBorders>
            <w:vAlign w:val="center"/>
          </w:tcPr>
          <w:p w14:paraId="7EAB0A89">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bidi="ar"/>
              </w:rPr>
              <w:t>火炬燃烧的碳氧化率</w:t>
            </w:r>
          </w:p>
        </w:tc>
        <w:tc>
          <w:tcPr>
            <w:tcW w:w="526" w:type="pct"/>
            <w:tcBorders>
              <w:tl2br w:val="nil"/>
              <w:tr2bl w:val="nil"/>
            </w:tcBorders>
            <w:vAlign w:val="center"/>
          </w:tcPr>
          <w:p w14:paraId="5FDA09CB">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bidi="ar"/>
              </w:rPr>
              <w:t>火炬气中CO</w:t>
            </w:r>
            <w:r>
              <w:rPr>
                <w:rFonts w:hint="eastAsia" w:ascii="宋体" w:hAnsi="宋体" w:eastAsia="宋体" w:cs="宋体"/>
                <w:color w:val="auto"/>
                <w:sz w:val="21"/>
                <w:szCs w:val="21"/>
                <w:highlight w:val="none"/>
                <w:u w:val="none"/>
                <w:vertAlign w:val="subscript"/>
                <w:lang w:bidi="ar"/>
              </w:rPr>
              <w:t>2</w:t>
            </w:r>
            <w:r>
              <w:rPr>
                <w:rFonts w:hint="eastAsia" w:ascii="宋体" w:hAnsi="宋体" w:eastAsia="宋体" w:cs="宋体"/>
                <w:color w:val="auto"/>
                <w:sz w:val="21"/>
                <w:szCs w:val="21"/>
                <w:highlight w:val="none"/>
                <w:u w:val="none"/>
                <w:lang w:bidi="ar"/>
              </w:rPr>
              <w:t>的体积浓度</w:t>
            </w:r>
          </w:p>
        </w:tc>
        <w:tc>
          <w:tcPr>
            <w:tcW w:w="526" w:type="pct"/>
            <w:tcBorders>
              <w:tl2br w:val="nil"/>
              <w:tr2bl w:val="nil"/>
            </w:tcBorders>
            <w:vAlign w:val="center"/>
          </w:tcPr>
          <w:p w14:paraId="2445A69B">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bidi="ar"/>
              </w:rPr>
              <w:t>火炬气中CH</w:t>
            </w:r>
            <w:r>
              <w:rPr>
                <w:rFonts w:hint="eastAsia" w:ascii="宋体" w:hAnsi="宋体" w:eastAsia="宋体" w:cs="宋体"/>
                <w:color w:val="auto"/>
                <w:sz w:val="21"/>
                <w:szCs w:val="21"/>
                <w:highlight w:val="none"/>
                <w:u w:val="none"/>
                <w:vertAlign w:val="subscript"/>
                <w:lang w:bidi="ar"/>
              </w:rPr>
              <w:t>4</w:t>
            </w:r>
            <w:r>
              <w:rPr>
                <w:rFonts w:hint="eastAsia" w:ascii="宋体" w:hAnsi="宋体" w:eastAsia="宋体" w:cs="宋体"/>
                <w:color w:val="auto"/>
                <w:sz w:val="21"/>
                <w:szCs w:val="21"/>
                <w:highlight w:val="none"/>
                <w:u w:val="none"/>
                <w:lang w:bidi="ar"/>
              </w:rPr>
              <w:t>的体积浓度</w:t>
            </w:r>
          </w:p>
        </w:tc>
        <w:tc>
          <w:tcPr>
            <w:tcW w:w="404" w:type="pct"/>
            <w:tcBorders>
              <w:tl2br w:val="nil"/>
              <w:tr2bl w:val="nil"/>
            </w:tcBorders>
            <w:shd w:val="clear" w:color="auto" w:fill="auto"/>
          </w:tcPr>
          <w:p w14:paraId="63B745A8">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vertAlign w:val="subscript"/>
                <w:lang w:bidi="ar"/>
              </w:rPr>
            </w:pPr>
            <w:r>
              <w:rPr>
                <w:rFonts w:hint="eastAsia" w:ascii="宋体" w:hAnsi="宋体" w:eastAsia="宋体" w:cs="宋体"/>
                <w:color w:val="auto"/>
                <w:sz w:val="21"/>
                <w:szCs w:val="21"/>
                <w:highlight w:val="none"/>
                <w:u w:val="none"/>
                <w:lang w:bidi="ar"/>
              </w:rPr>
              <w:t>E</w:t>
            </w:r>
            <w:r>
              <w:rPr>
                <w:rFonts w:hint="eastAsia" w:ascii="宋体" w:hAnsi="宋体" w:eastAsia="宋体" w:cs="宋体"/>
                <w:color w:val="auto"/>
                <w:sz w:val="21"/>
                <w:szCs w:val="21"/>
                <w:highlight w:val="none"/>
                <w:u w:val="none"/>
                <w:vertAlign w:val="subscript"/>
                <w:lang w:bidi="ar"/>
              </w:rPr>
              <w:t>CO2</w:t>
            </w:r>
          </w:p>
          <w:p w14:paraId="2B6EB88B">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rPr>
              <w:t>（吨CO</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lang w:bidi="ar"/>
              </w:rPr>
              <w:t>）</w:t>
            </w:r>
          </w:p>
        </w:tc>
        <w:tc>
          <w:tcPr>
            <w:tcW w:w="440" w:type="pct"/>
            <w:tcBorders>
              <w:tl2br w:val="nil"/>
              <w:tr2bl w:val="nil"/>
            </w:tcBorders>
            <w:shd w:val="clear" w:color="auto" w:fill="auto"/>
          </w:tcPr>
          <w:p w14:paraId="65F09095">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E</w:t>
            </w:r>
            <w:r>
              <w:rPr>
                <w:rFonts w:hint="eastAsia" w:ascii="宋体" w:hAnsi="宋体" w:eastAsia="宋体" w:cs="宋体"/>
                <w:color w:val="auto"/>
                <w:sz w:val="21"/>
                <w:szCs w:val="21"/>
                <w:highlight w:val="none"/>
                <w:u w:val="none"/>
                <w:vertAlign w:val="subscript"/>
                <w:lang w:bidi="ar"/>
              </w:rPr>
              <w:t>CH4</w:t>
            </w:r>
            <w:r>
              <w:rPr>
                <w:rFonts w:hint="eastAsia" w:ascii="宋体" w:hAnsi="宋体" w:eastAsia="宋体" w:cs="宋体"/>
                <w:color w:val="auto"/>
                <w:sz w:val="21"/>
                <w:szCs w:val="21"/>
                <w:highlight w:val="none"/>
                <w:u w:val="none"/>
              </w:rPr>
              <w:t>（吨CO</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lang w:bidi="ar"/>
              </w:rPr>
              <w:t>）</w:t>
            </w:r>
          </w:p>
        </w:tc>
      </w:tr>
      <w:tr w14:paraId="3E515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2" w:type="pct"/>
            <w:tcBorders>
              <w:tl2br w:val="nil"/>
              <w:tr2bl w:val="nil"/>
            </w:tcBorders>
            <w:vAlign w:val="center"/>
          </w:tcPr>
          <w:p w14:paraId="0EFE054C">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井场</w:t>
            </w:r>
          </w:p>
        </w:tc>
        <w:tc>
          <w:tcPr>
            <w:tcW w:w="342" w:type="pct"/>
            <w:tcBorders>
              <w:tl2br w:val="nil"/>
              <w:tr2bl w:val="nil"/>
            </w:tcBorders>
            <w:vAlign w:val="center"/>
          </w:tcPr>
          <w:p w14:paraId="45DDAC50">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事故工况</w:t>
            </w:r>
          </w:p>
        </w:tc>
        <w:tc>
          <w:tcPr>
            <w:tcW w:w="545" w:type="pct"/>
            <w:tcBorders>
              <w:tl2br w:val="nil"/>
              <w:tr2bl w:val="nil"/>
            </w:tcBorders>
            <w:vAlign w:val="center"/>
          </w:tcPr>
          <w:p w14:paraId="377EA79F">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0.</w:t>
            </w:r>
            <w:r>
              <w:rPr>
                <w:rFonts w:hint="eastAsia" w:ascii="宋体" w:hAnsi="宋体" w:cs="宋体"/>
                <w:color w:val="auto"/>
                <w:sz w:val="21"/>
                <w:szCs w:val="21"/>
                <w:highlight w:val="none"/>
                <w:u w:val="none"/>
                <w:lang w:val="en-US" w:eastAsia="zh-CN"/>
              </w:rPr>
              <w:t>18</w:t>
            </w:r>
          </w:p>
        </w:tc>
        <w:tc>
          <w:tcPr>
            <w:tcW w:w="459" w:type="pct"/>
            <w:tcBorders>
              <w:tl2br w:val="nil"/>
              <w:tr2bl w:val="nil"/>
            </w:tcBorders>
            <w:vAlign w:val="center"/>
          </w:tcPr>
          <w:p w14:paraId="3DDD0A30">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48</w:t>
            </w:r>
          </w:p>
        </w:tc>
        <w:tc>
          <w:tcPr>
            <w:tcW w:w="963" w:type="pct"/>
            <w:tcBorders>
              <w:tl2br w:val="nil"/>
              <w:tr2bl w:val="nil"/>
            </w:tcBorders>
            <w:vAlign w:val="center"/>
          </w:tcPr>
          <w:p w14:paraId="024FA529">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5.8</w:t>
            </w:r>
          </w:p>
        </w:tc>
        <w:tc>
          <w:tcPr>
            <w:tcW w:w="479" w:type="pct"/>
            <w:tcBorders>
              <w:tl2br w:val="nil"/>
              <w:tr2bl w:val="nil"/>
            </w:tcBorders>
            <w:vAlign w:val="center"/>
          </w:tcPr>
          <w:p w14:paraId="30E2998A">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0.98</w:t>
            </w:r>
          </w:p>
        </w:tc>
        <w:tc>
          <w:tcPr>
            <w:tcW w:w="526" w:type="pct"/>
            <w:tcBorders>
              <w:tl2br w:val="nil"/>
              <w:tr2bl w:val="nil"/>
            </w:tcBorders>
            <w:vAlign w:val="center"/>
          </w:tcPr>
          <w:p w14:paraId="1E35977A">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0.0397</w:t>
            </w:r>
          </w:p>
        </w:tc>
        <w:tc>
          <w:tcPr>
            <w:tcW w:w="526" w:type="pct"/>
            <w:tcBorders>
              <w:tl2br w:val="nil"/>
              <w:tr2bl w:val="nil"/>
            </w:tcBorders>
            <w:vAlign w:val="center"/>
          </w:tcPr>
          <w:p w14:paraId="5347EC1C">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0.8662</w:t>
            </w:r>
          </w:p>
        </w:tc>
        <w:tc>
          <w:tcPr>
            <w:tcW w:w="404" w:type="pct"/>
            <w:tcBorders>
              <w:tl2br w:val="nil"/>
              <w:tr2bl w:val="nil"/>
            </w:tcBorders>
            <w:vAlign w:val="center"/>
          </w:tcPr>
          <w:p w14:paraId="0117AB65">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186.80</w:t>
            </w:r>
          </w:p>
        </w:tc>
        <w:tc>
          <w:tcPr>
            <w:tcW w:w="440" w:type="pct"/>
            <w:tcBorders>
              <w:tl2br w:val="nil"/>
              <w:tr2bl w:val="nil"/>
            </w:tcBorders>
            <w:vAlign w:val="center"/>
          </w:tcPr>
          <w:p w14:paraId="4F26276B">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1.07</w:t>
            </w:r>
          </w:p>
        </w:tc>
      </w:tr>
    </w:tbl>
    <w:p w14:paraId="1D23AF6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根据表中参数，结合公式计算可知，</w:t>
      </w:r>
      <w:r>
        <w:rPr>
          <w:rFonts w:hint="eastAsia" w:cs="Times New Roman"/>
          <w:color w:val="auto"/>
          <w:sz w:val="24"/>
          <w:szCs w:val="21"/>
          <w:highlight w:val="none"/>
          <w:u w:val="none"/>
          <w:lang w:val="en-US" w:eastAsia="zh-CN" w:bidi="ar-SA"/>
        </w:rPr>
        <w:t>单座井场</w:t>
      </w:r>
      <w:r>
        <w:rPr>
          <w:rFonts w:ascii="Times New Roman" w:hAnsi="Times New Roman" w:eastAsia="宋体" w:cs="Times New Roman"/>
          <w:color w:val="auto"/>
          <w:sz w:val="24"/>
          <w:szCs w:val="21"/>
          <w:highlight w:val="none"/>
          <w:u w:val="none"/>
          <w:lang w:val="en-US" w:eastAsia="zh-CN" w:bidi="ar-SA"/>
        </w:rPr>
        <w:t>火炬燃烧排放温室气体</w:t>
      </w:r>
      <w:r>
        <w:rPr>
          <w:rFonts w:hint="eastAsia" w:ascii="Times New Roman" w:hAnsi="Times New Roman" w:eastAsia="宋体" w:cs="Times New Roman"/>
          <w:color w:val="auto"/>
          <w:sz w:val="24"/>
          <w:szCs w:val="21"/>
          <w:highlight w:val="none"/>
          <w:u w:val="none"/>
          <w:lang w:val="en-US" w:eastAsia="zh-CN" w:bidi="ar-SA"/>
        </w:rPr>
        <w:t>总</w:t>
      </w:r>
      <w:r>
        <w:rPr>
          <w:rFonts w:ascii="Times New Roman" w:hAnsi="Times New Roman" w:eastAsia="宋体" w:cs="Times New Roman"/>
          <w:color w:val="auto"/>
          <w:sz w:val="24"/>
          <w:szCs w:val="21"/>
          <w:highlight w:val="none"/>
          <w:u w:val="none"/>
          <w:lang w:val="en-US" w:eastAsia="zh-CN" w:bidi="ar-SA"/>
        </w:rPr>
        <w:t>量为</w:t>
      </w:r>
      <w:r>
        <w:rPr>
          <w:rFonts w:hint="eastAsia" w:cs="Times New Roman"/>
          <w:color w:val="auto"/>
          <w:sz w:val="24"/>
          <w:szCs w:val="21"/>
          <w:highlight w:val="none"/>
          <w:u w:val="none"/>
          <w:lang w:val="en-US" w:eastAsia="zh-CN" w:bidi="ar-SA"/>
        </w:rPr>
        <w:t>209.27</w:t>
      </w:r>
      <w:r>
        <w:rPr>
          <w:rFonts w:hint="eastAsia" w:ascii="Times New Roman" w:hAnsi="Times New Roman" w:eastAsia="宋体" w:cs="Times New Roman"/>
          <w:color w:val="auto"/>
          <w:sz w:val="24"/>
          <w:szCs w:val="21"/>
          <w:highlight w:val="none"/>
          <w:u w:val="none"/>
          <w:lang w:val="en-US" w:eastAsia="zh-CN" w:bidi="ar-SA"/>
        </w:rPr>
        <w:t>吨</w:t>
      </w:r>
      <w:r>
        <w:rPr>
          <w:rFonts w:ascii="Times New Roman" w:hAnsi="Times New Roman" w:eastAsia="宋体" w:cs="Times New Roman"/>
          <w:color w:val="auto"/>
          <w:sz w:val="24"/>
          <w:szCs w:val="21"/>
          <w:highlight w:val="none"/>
          <w:u w:val="none"/>
          <w:lang w:val="en-US" w:eastAsia="zh-CN" w:bidi="ar-SA"/>
        </w:rPr>
        <w:t>CO</w:t>
      </w:r>
      <w:r>
        <w:rPr>
          <w:rFonts w:ascii="Times New Roman" w:hAnsi="Times New Roman" w:eastAsia="宋体" w:cs="Times New Roman"/>
          <w:color w:val="auto"/>
          <w:sz w:val="24"/>
          <w:szCs w:val="21"/>
          <w:highlight w:val="none"/>
          <w:u w:val="none"/>
          <w:vertAlign w:val="subscript"/>
          <w:lang w:val="en-US" w:eastAsia="zh-CN" w:bidi="ar-SA"/>
        </w:rPr>
        <w:t>2</w:t>
      </w:r>
      <w:r>
        <w:rPr>
          <w:rFonts w:ascii="Times New Roman" w:hAnsi="Times New Roman" w:eastAsia="宋体"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本工程</w:t>
      </w:r>
      <w:r>
        <w:rPr>
          <w:rFonts w:hint="eastAsia" w:cs="Times New Roman"/>
          <w:color w:val="auto"/>
          <w:sz w:val="24"/>
          <w:szCs w:val="21"/>
          <w:highlight w:val="none"/>
          <w:u w:val="none"/>
          <w:lang w:val="en-US" w:eastAsia="zh-CN" w:bidi="ar-SA"/>
        </w:rPr>
        <w:t>3</w:t>
      </w:r>
      <w:r>
        <w:rPr>
          <w:rFonts w:hint="eastAsia" w:ascii="Times New Roman" w:hAnsi="Times New Roman" w:eastAsia="宋体" w:cs="Times New Roman"/>
          <w:color w:val="auto"/>
          <w:sz w:val="24"/>
          <w:szCs w:val="21"/>
          <w:highlight w:val="none"/>
          <w:u w:val="none"/>
          <w:lang w:val="en-US" w:eastAsia="zh-CN" w:bidi="ar-SA"/>
        </w:rPr>
        <w:t>座井场</w:t>
      </w:r>
      <w:r>
        <w:rPr>
          <w:rFonts w:hint="eastAsia" w:cs="Times New Roman"/>
          <w:color w:val="auto"/>
          <w:sz w:val="24"/>
          <w:szCs w:val="21"/>
          <w:highlight w:val="none"/>
          <w:u w:val="none"/>
          <w:lang w:val="en-US" w:eastAsia="zh-CN" w:bidi="ar-SA"/>
        </w:rPr>
        <w:t>合计</w:t>
      </w:r>
      <w:r>
        <w:rPr>
          <w:rFonts w:ascii="Times New Roman" w:hAnsi="Times New Roman" w:eastAsia="宋体" w:cs="Times New Roman"/>
          <w:color w:val="auto"/>
          <w:sz w:val="24"/>
          <w:szCs w:val="21"/>
          <w:highlight w:val="none"/>
          <w:u w:val="none"/>
          <w:lang w:val="en-US" w:eastAsia="zh-CN" w:bidi="ar-SA"/>
        </w:rPr>
        <w:t>排放温室气体</w:t>
      </w:r>
      <w:r>
        <w:rPr>
          <w:rFonts w:hint="eastAsia" w:ascii="Times New Roman" w:hAnsi="Times New Roman" w:eastAsia="宋体" w:cs="Times New Roman"/>
          <w:color w:val="auto"/>
          <w:sz w:val="24"/>
          <w:szCs w:val="21"/>
          <w:highlight w:val="none"/>
          <w:u w:val="none"/>
          <w:lang w:val="en-US" w:eastAsia="zh-CN" w:bidi="ar-SA"/>
        </w:rPr>
        <w:t>总</w:t>
      </w:r>
      <w:r>
        <w:rPr>
          <w:rFonts w:ascii="Times New Roman" w:hAnsi="Times New Roman" w:eastAsia="宋体" w:cs="Times New Roman"/>
          <w:color w:val="auto"/>
          <w:sz w:val="24"/>
          <w:szCs w:val="21"/>
          <w:highlight w:val="none"/>
          <w:u w:val="none"/>
          <w:lang w:val="en-US" w:eastAsia="zh-CN" w:bidi="ar-SA"/>
        </w:rPr>
        <w:t>量为</w:t>
      </w:r>
      <w:r>
        <w:rPr>
          <w:rFonts w:hint="eastAsia" w:cs="Times New Roman"/>
          <w:color w:val="auto"/>
          <w:sz w:val="24"/>
          <w:szCs w:val="21"/>
          <w:highlight w:val="none"/>
          <w:u w:val="none"/>
          <w:lang w:val="en-US" w:eastAsia="zh-CN" w:bidi="ar-SA"/>
        </w:rPr>
        <w:t>627.81</w:t>
      </w:r>
      <w:r>
        <w:rPr>
          <w:rFonts w:hint="eastAsia" w:ascii="Times New Roman" w:hAnsi="Times New Roman" w:eastAsia="宋体" w:cs="Times New Roman"/>
          <w:color w:val="auto"/>
          <w:sz w:val="24"/>
          <w:szCs w:val="21"/>
          <w:highlight w:val="none"/>
          <w:u w:val="none"/>
          <w:lang w:val="en-US" w:eastAsia="zh-CN" w:bidi="ar-SA"/>
        </w:rPr>
        <w:t>吨</w:t>
      </w:r>
      <w:r>
        <w:rPr>
          <w:rFonts w:ascii="Times New Roman" w:hAnsi="Times New Roman" w:eastAsia="宋体" w:cs="Times New Roman"/>
          <w:color w:val="auto"/>
          <w:sz w:val="24"/>
          <w:szCs w:val="21"/>
          <w:highlight w:val="none"/>
          <w:u w:val="none"/>
          <w:lang w:val="en-US" w:eastAsia="zh-CN" w:bidi="ar-SA"/>
        </w:rPr>
        <w:t>CO</w:t>
      </w:r>
      <w:r>
        <w:rPr>
          <w:rFonts w:ascii="Times New Roman" w:hAnsi="Times New Roman" w:eastAsia="宋体" w:cs="Times New Roman"/>
          <w:color w:val="auto"/>
          <w:sz w:val="24"/>
          <w:szCs w:val="21"/>
          <w:highlight w:val="none"/>
          <w:u w:val="none"/>
          <w:vertAlign w:val="subscript"/>
          <w:lang w:val="en-US" w:eastAsia="zh-CN" w:bidi="ar-SA"/>
        </w:rPr>
        <w:t>2</w:t>
      </w:r>
      <w:r>
        <w:rPr>
          <w:rFonts w:ascii="Times New Roman" w:hAnsi="Times New Roman" w:eastAsia="宋体" w:cs="Times New Roman"/>
          <w:color w:val="auto"/>
          <w:sz w:val="24"/>
          <w:szCs w:val="21"/>
          <w:highlight w:val="none"/>
          <w:u w:val="none"/>
          <w:lang w:val="en-US" w:eastAsia="zh-CN" w:bidi="ar-SA"/>
        </w:rPr>
        <w:t>。</w:t>
      </w:r>
    </w:p>
    <w:p w14:paraId="0586BD0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w:t>
      </w:r>
      <w:r>
        <w:rPr>
          <w:rFonts w:ascii="Times New Roman" w:hAnsi="Times New Roman" w:eastAsia="宋体" w:cs="Times New Roman"/>
          <w:color w:val="auto"/>
          <w:sz w:val="24"/>
          <w:szCs w:val="21"/>
          <w:highlight w:val="none"/>
          <w:u w:val="none"/>
          <w:lang w:val="en-US" w:eastAsia="zh-CN" w:bidi="ar-SA"/>
        </w:rPr>
        <w:t>2）CH</w:t>
      </w:r>
      <w:r>
        <w:rPr>
          <w:rFonts w:ascii="Times New Roman" w:hAnsi="Times New Roman" w:eastAsia="宋体" w:cs="Times New Roman"/>
          <w:color w:val="auto"/>
          <w:sz w:val="24"/>
          <w:szCs w:val="21"/>
          <w:highlight w:val="none"/>
          <w:u w:val="none"/>
          <w:vertAlign w:val="subscript"/>
          <w:lang w:val="en-US" w:eastAsia="zh-CN" w:bidi="ar-SA"/>
        </w:rPr>
        <w:t>4</w:t>
      </w:r>
      <w:r>
        <w:rPr>
          <w:rFonts w:ascii="Times New Roman" w:hAnsi="Times New Roman" w:eastAsia="宋体" w:cs="Times New Roman"/>
          <w:color w:val="auto"/>
          <w:sz w:val="24"/>
          <w:szCs w:val="21"/>
          <w:highlight w:val="none"/>
          <w:u w:val="none"/>
          <w:lang w:val="en-US" w:eastAsia="zh-CN" w:bidi="ar-SA"/>
        </w:rPr>
        <w:t>逃逸排放</w:t>
      </w:r>
    </w:p>
    <w:p w14:paraId="45A6267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本工程运营期</w:t>
      </w:r>
      <w:r>
        <w:rPr>
          <w:rFonts w:ascii="Times New Roman" w:hAnsi="Times New Roman" w:eastAsia="宋体" w:cs="Times New Roman"/>
          <w:color w:val="auto"/>
          <w:sz w:val="24"/>
          <w:szCs w:val="21"/>
          <w:highlight w:val="none"/>
          <w:u w:val="none"/>
          <w:lang w:val="en-US" w:eastAsia="zh-CN" w:bidi="ar-SA"/>
        </w:rPr>
        <w:t>CH</w:t>
      </w:r>
      <w:r>
        <w:rPr>
          <w:rFonts w:ascii="Times New Roman" w:hAnsi="Times New Roman" w:eastAsia="宋体" w:cs="Times New Roman"/>
          <w:color w:val="auto"/>
          <w:sz w:val="24"/>
          <w:szCs w:val="21"/>
          <w:highlight w:val="none"/>
          <w:u w:val="none"/>
          <w:vertAlign w:val="subscript"/>
          <w:lang w:val="en-US" w:eastAsia="zh-CN" w:bidi="ar-SA"/>
        </w:rPr>
        <w:t>4</w:t>
      </w:r>
      <w:r>
        <w:rPr>
          <w:rFonts w:ascii="Times New Roman" w:hAnsi="Times New Roman" w:eastAsia="宋体" w:cs="Times New Roman"/>
          <w:color w:val="auto"/>
          <w:sz w:val="24"/>
          <w:szCs w:val="21"/>
          <w:highlight w:val="none"/>
          <w:u w:val="none"/>
          <w:lang w:val="en-US" w:eastAsia="zh-CN" w:bidi="ar-SA"/>
        </w:rPr>
        <w:t>逃逸排放</w:t>
      </w:r>
      <w:r>
        <w:rPr>
          <w:rFonts w:hint="eastAsia" w:ascii="Times New Roman" w:hAnsi="Times New Roman" w:eastAsia="宋体" w:cs="Times New Roman"/>
          <w:color w:val="auto"/>
          <w:sz w:val="24"/>
          <w:szCs w:val="21"/>
          <w:highlight w:val="none"/>
          <w:u w:val="none"/>
          <w:lang w:val="en-US" w:eastAsia="zh-CN" w:bidi="ar-SA"/>
        </w:rPr>
        <w:t>主要来自天然气开采过程中井口装置和站场逃逸排放的CH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。《中国石油和天然气生产企业温室气体排放核算方法与报告指南（试行）》（发改办气候〔2014〕2920号）中“油气开采业务CH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逃逸排放”计算公式进行计算：</w:t>
      </w:r>
    </w:p>
    <w:p w14:paraId="2C3AC8E4">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drawing>
          <wp:inline distT="0" distB="0" distL="114300" distR="114300">
            <wp:extent cx="3825240" cy="516255"/>
            <wp:effectExtent l="0" t="0" r="3810" b="17145"/>
            <wp:docPr id="2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6"/>
                    <pic:cNvPicPr>
                      <a:picLocks noChangeAspect="1"/>
                    </pic:cNvPicPr>
                  </pic:nvPicPr>
                  <pic:blipFill>
                    <a:blip r:embed="rId75"/>
                    <a:stretch>
                      <a:fillRect/>
                    </a:stretch>
                  </pic:blipFill>
                  <pic:spPr>
                    <a:xfrm>
                      <a:off x="0" y="0"/>
                      <a:ext cx="3825240" cy="516255"/>
                    </a:xfrm>
                    <a:prstGeom prst="rect">
                      <a:avLst/>
                    </a:prstGeom>
                    <a:noFill/>
                    <a:ln>
                      <a:noFill/>
                    </a:ln>
                  </pic:spPr>
                </pic:pic>
              </a:graphicData>
            </a:graphic>
          </wp:inline>
        </w:drawing>
      </w:r>
    </w:p>
    <w:p w14:paraId="7504277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zh-CN" w:eastAsia="zh-CN" w:bidi="ar-SA"/>
        </w:rPr>
        <w:t>式中：</w:t>
      </w:r>
      <w:r>
        <w:rPr>
          <w:rFonts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i/>
          <w:iCs/>
          <w:color w:val="auto"/>
          <w:sz w:val="24"/>
          <w:szCs w:val="21"/>
          <w:highlight w:val="none"/>
          <w:u w:val="none"/>
          <w:vertAlign w:val="subscript"/>
          <w:lang w:val="en-US" w:eastAsia="zh-CN" w:bidi="ar-SA"/>
        </w:rPr>
        <w:t>CH4_</w:t>
      </w:r>
      <w:r>
        <w:rPr>
          <w:rFonts w:hint="eastAsia" w:ascii="Times New Roman" w:hAnsi="Times New Roman" w:eastAsia="宋体" w:cs="Times New Roman"/>
          <w:color w:val="auto"/>
          <w:sz w:val="24"/>
          <w:szCs w:val="21"/>
          <w:highlight w:val="none"/>
          <w:u w:val="none"/>
          <w:vertAlign w:val="subscript"/>
          <w:lang w:val="en-US" w:eastAsia="zh-CN" w:bidi="ar-SA"/>
        </w:rPr>
        <w:t>开采逃逸</w:t>
      </w:r>
      <w:r>
        <w:rPr>
          <w:rFonts w:ascii="Times New Roman" w:hAnsi="Times New Roman" w:eastAsia="宋体" w:cs="Times New Roman"/>
          <w:color w:val="auto"/>
          <w:sz w:val="24"/>
          <w:szCs w:val="21"/>
          <w:highlight w:val="none"/>
          <w:u w:val="none"/>
          <w:lang w:val="en-US" w:eastAsia="zh-CN" w:bidi="ar-SA"/>
        </w:rPr>
        <w:t>——原油开采或天然气开采中所有设施类型</w:t>
      </w:r>
      <w:r>
        <w:rPr>
          <w:rFonts w:hint="eastAsia" w:ascii="Times New Roman" w:hAnsi="Times New Roman" w:eastAsia="宋体" w:cs="Times New Roman"/>
          <w:color w:val="auto"/>
          <w:sz w:val="24"/>
          <w:szCs w:val="21"/>
          <w:highlight w:val="none"/>
          <w:u w:val="none"/>
          <w:lang w:val="en-US" w:eastAsia="zh-CN" w:bidi="ar-SA"/>
        </w:rPr>
        <w:t>（</w:t>
      </w:r>
      <w:r>
        <w:rPr>
          <w:rFonts w:ascii="Times New Roman" w:hAnsi="Times New Roman" w:eastAsia="宋体" w:cs="Times New Roman"/>
          <w:color w:val="auto"/>
          <w:sz w:val="24"/>
          <w:szCs w:val="21"/>
          <w:highlight w:val="none"/>
          <w:u w:val="none"/>
          <w:lang w:val="en-US" w:eastAsia="zh-CN" w:bidi="ar-SA"/>
        </w:rPr>
        <w:t>包括原油开采的井口装置、单井储油装置、接转站、联合站及天然气开采中的井口装置、集气站、计量/配气站、储气站等</w:t>
      </w:r>
      <w:r>
        <w:rPr>
          <w:rFonts w:hint="eastAsia" w:ascii="Times New Roman" w:hAnsi="Times New Roman" w:eastAsia="宋体" w:cs="Times New Roman"/>
          <w:color w:val="auto"/>
          <w:sz w:val="24"/>
          <w:szCs w:val="21"/>
          <w:highlight w:val="none"/>
          <w:u w:val="none"/>
          <w:lang w:val="en-US" w:eastAsia="zh-CN" w:bidi="ar-SA"/>
        </w:rPr>
        <w:t>）</w:t>
      </w:r>
      <w:r>
        <w:rPr>
          <w:rFonts w:ascii="Times New Roman" w:hAnsi="Times New Roman" w:eastAsia="宋体" w:cs="Times New Roman"/>
          <w:color w:val="auto"/>
          <w:sz w:val="24"/>
          <w:szCs w:val="21"/>
          <w:highlight w:val="none"/>
          <w:u w:val="none"/>
          <w:lang w:val="en-US" w:eastAsia="zh-CN" w:bidi="ar-SA"/>
        </w:rPr>
        <w:t>产生的CH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ascii="Times New Roman" w:hAnsi="Times New Roman" w:eastAsia="宋体" w:cs="Times New Roman"/>
          <w:color w:val="auto"/>
          <w:sz w:val="24"/>
          <w:szCs w:val="21"/>
          <w:highlight w:val="none"/>
          <w:u w:val="none"/>
          <w:lang w:val="en-US" w:eastAsia="zh-CN" w:bidi="ar-SA"/>
        </w:rPr>
        <w:t>逃逸排放</w:t>
      </w:r>
      <w:r>
        <w:rPr>
          <w:rFonts w:hint="eastAsia" w:ascii="Times New Roman" w:hAnsi="Times New Roman" w:eastAsia="宋体" w:cs="Times New Roman"/>
          <w:color w:val="auto"/>
          <w:sz w:val="24"/>
          <w:szCs w:val="21"/>
          <w:highlight w:val="none"/>
          <w:u w:val="none"/>
          <w:lang w:val="en-US" w:eastAsia="zh-CN" w:bidi="ar-SA"/>
        </w:rPr>
        <w:t>，</w:t>
      </w:r>
      <w:r>
        <w:rPr>
          <w:rFonts w:ascii="Times New Roman" w:hAnsi="Times New Roman" w:eastAsia="宋体" w:cs="Times New Roman"/>
          <w:color w:val="auto"/>
          <w:sz w:val="24"/>
          <w:szCs w:val="21"/>
          <w:highlight w:val="none"/>
          <w:u w:val="none"/>
          <w:lang w:val="en-US" w:eastAsia="zh-CN" w:bidi="ar-SA"/>
        </w:rPr>
        <w:t>单位为吨</w:t>
      </w:r>
      <w:r>
        <w:rPr>
          <w:rFonts w:hint="eastAsia" w:ascii="Times New Roman" w:hAnsi="Times New Roman" w:eastAsia="宋体" w:cs="Times New Roman"/>
          <w:color w:val="auto"/>
          <w:sz w:val="24"/>
          <w:szCs w:val="21"/>
          <w:highlight w:val="none"/>
          <w:u w:val="none"/>
          <w:lang w:val="en-US" w:eastAsia="zh-CN" w:bidi="ar-SA"/>
        </w:rPr>
        <w:t>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ascii="Times New Roman" w:hAnsi="Times New Roman" w:eastAsia="宋体" w:cs="Times New Roman"/>
          <w:color w:val="auto"/>
          <w:sz w:val="24"/>
          <w:szCs w:val="21"/>
          <w:highlight w:val="none"/>
          <w:u w:val="none"/>
          <w:lang w:val="en-US" w:eastAsia="zh-CN" w:bidi="ar-SA"/>
        </w:rPr>
        <w:t>；</w:t>
      </w:r>
    </w:p>
    <w:p w14:paraId="2383F94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j</w:t>
      </w:r>
      <w:r>
        <w:rPr>
          <w:rFonts w:ascii="Times New Roman" w:hAnsi="Times New Roman" w:eastAsia="宋体" w:cs="Times New Roman"/>
          <w:color w:val="auto"/>
          <w:sz w:val="24"/>
          <w:szCs w:val="21"/>
          <w:highlight w:val="none"/>
          <w:u w:val="none"/>
          <w:lang w:val="en-US" w:eastAsia="zh-CN" w:bidi="ar-SA"/>
        </w:rPr>
        <w:t>——不同的设施类型；</w:t>
      </w:r>
    </w:p>
    <w:p w14:paraId="5DA95D1C">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Num</w:t>
      </w:r>
      <w:r>
        <w:rPr>
          <w:rFonts w:hint="eastAsia" w:ascii="Times New Roman" w:hAnsi="Times New Roman" w:eastAsia="宋体" w:cs="Times New Roman"/>
          <w:i/>
          <w:iCs/>
          <w:color w:val="auto"/>
          <w:sz w:val="24"/>
          <w:szCs w:val="21"/>
          <w:highlight w:val="none"/>
          <w:u w:val="none"/>
          <w:vertAlign w:val="subscript"/>
          <w:lang w:val="en-US" w:eastAsia="zh-CN" w:bidi="ar-SA"/>
        </w:rPr>
        <w:t>oil,j</w:t>
      </w:r>
      <w:r>
        <w:rPr>
          <w:rFonts w:ascii="Times New Roman" w:hAnsi="Times New Roman" w:eastAsia="宋体" w:cs="Times New Roman"/>
          <w:color w:val="auto"/>
          <w:sz w:val="24"/>
          <w:szCs w:val="21"/>
          <w:highlight w:val="none"/>
          <w:u w:val="none"/>
          <w:lang w:val="en-US" w:eastAsia="zh-CN" w:bidi="ar-SA"/>
        </w:rPr>
        <w:t>——原油开采业务所涉及的泄漏设施类型数量</w:t>
      </w:r>
      <w:r>
        <w:rPr>
          <w:rFonts w:hint="eastAsia" w:ascii="Times New Roman" w:hAnsi="Times New Roman" w:eastAsia="宋体" w:cs="Times New Roman"/>
          <w:color w:val="auto"/>
          <w:sz w:val="24"/>
          <w:szCs w:val="21"/>
          <w:highlight w:val="none"/>
          <w:u w:val="none"/>
          <w:lang w:val="en-US" w:eastAsia="zh-CN" w:bidi="ar-SA"/>
        </w:rPr>
        <w:t>，</w:t>
      </w:r>
      <w:r>
        <w:rPr>
          <w:rFonts w:ascii="Times New Roman" w:hAnsi="Times New Roman" w:eastAsia="宋体" w:cs="Times New Roman"/>
          <w:color w:val="auto"/>
          <w:sz w:val="24"/>
          <w:szCs w:val="21"/>
          <w:highlight w:val="none"/>
          <w:u w:val="none"/>
          <w:lang w:val="en-US" w:eastAsia="zh-CN" w:bidi="ar-SA"/>
        </w:rPr>
        <w:t>单位为个；</w:t>
      </w:r>
    </w:p>
    <w:p w14:paraId="5D7677D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ascii="Times New Roman" w:hAnsi="Times New Roman" w:eastAsia="宋体" w:cs="Times New Roman"/>
          <w:i/>
          <w:iCs/>
          <w:color w:val="auto"/>
          <w:sz w:val="24"/>
          <w:szCs w:val="21"/>
          <w:highlight w:val="none"/>
          <w:u w:val="none"/>
          <w:lang w:val="en-US" w:eastAsia="zh-CN" w:bidi="ar-SA"/>
        </w:rPr>
        <w:t>F</w:t>
      </w:r>
      <w:r>
        <w:rPr>
          <w:rFonts w:hint="eastAsia" w:ascii="Times New Roman" w:hAnsi="Times New Roman" w:eastAsia="宋体" w:cs="Times New Roman"/>
          <w:i/>
          <w:iCs/>
          <w:color w:val="auto"/>
          <w:sz w:val="24"/>
          <w:szCs w:val="21"/>
          <w:highlight w:val="none"/>
          <w:u w:val="none"/>
          <w:vertAlign w:val="subscript"/>
          <w:lang w:val="en-US" w:eastAsia="zh-CN" w:bidi="ar-SA"/>
        </w:rPr>
        <w:t>oil</w:t>
      </w:r>
      <w:r>
        <w:rPr>
          <w:rFonts w:ascii="Times New Roman" w:hAnsi="Times New Roman" w:eastAsia="宋体" w:cs="Times New Roman"/>
          <w:i/>
          <w:iCs/>
          <w:color w:val="auto"/>
          <w:sz w:val="24"/>
          <w:szCs w:val="21"/>
          <w:highlight w:val="none"/>
          <w:u w:val="none"/>
          <w:vertAlign w:val="subscript"/>
          <w:lang w:val="en-US" w:eastAsia="zh-CN" w:bidi="ar-SA"/>
        </w:rPr>
        <w:t>,</w:t>
      </w:r>
      <w:r>
        <w:rPr>
          <w:rFonts w:hint="eastAsia" w:ascii="Times New Roman" w:hAnsi="Times New Roman" w:eastAsia="宋体" w:cs="Times New Roman"/>
          <w:i/>
          <w:iCs/>
          <w:color w:val="auto"/>
          <w:sz w:val="24"/>
          <w:szCs w:val="21"/>
          <w:highlight w:val="none"/>
          <w:u w:val="none"/>
          <w:vertAlign w:val="subscript"/>
          <w:lang w:val="en-US" w:eastAsia="zh-CN" w:bidi="ar-SA"/>
        </w:rPr>
        <w:t>j</w:t>
      </w:r>
      <w:r>
        <w:rPr>
          <w:rFonts w:ascii="Times New Roman" w:hAnsi="Times New Roman" w:eastAsia="宋体" w:cs="Times New Roman"/>
          <w:color w:val="auto"/>
          <w:sz w:val="24"/>
          <w:szCs w:val="21"/>
          <w:highlight w:val="none"/>
          <w:u w:val="none"/>
          <w:lang w:val="en-US" w:eastAsia="zh-CN" w:bidi="ar-SA"/>
        </w:rPr>
        <w:t>——原油开采业务中</w:t>
      </w:r>
      <w:r>
        <w:rPr>
          <w:rFonts w:hint="eastAsia" w:ascii="Times New Roman" w:hAnsi="Times New Roman" w:eastAsia="宋体" w:cs="Times New Roman"/>
          <w:color w:val="auto"/>
          <w:sz w:val="24"/>
          <w:szCs w:val="21"/>
          <w:highlight w:val="none"/>
          <w:u w:val="none"/>
          <w:lang w:val="en-US" w:eastAsia="zh-CN" w:bidi="ar-SA"/>
        </w:rPr>
        <w:t>涉及的</w:t>
      </w:r>
      <w:r>
        <w:rPr>
          <w:rFonts w:ascii="Times New Roman" w:hAnsi="Times New Roman" w:eastAsia="宋体" w:cs="Times New Roman"/>
          <w:color w:val="auto"/>
          <w:sz w:val="24"/>
          <w:szCs w:val="21"/>
          <w:highlight w:val="none"/>
          <w:u w:val="none"/>
          <w:lang w:val="en-US" w:eastAsia="zh-CN" w:bidi="ar-SA"/>
        </w:rPr>
        <w:t>每种设施类型j的CH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ascii="Times New Roman" w:hAnsi="Times New Roman" w:eastAsia="宋体" w:cs="Times New Roman"/>
          <w:color w:val="auto"/>
          <w:sz w:val="24"/>
          <w:szCs w:val="21"/>
          <w:highlight w:val="none"/>
          <w:u w:val="none"/>
          <w:lang w:val="en-US" w:eastAsia="zh-CN" w:bidi="ar-SA"/>
        </w:rPr>
        <w:t>逃逸排放因子，单位为吨CH</w:t>
      </w:r>
      <w:r>
        <w:rPr>
          <w:rFonts w:ascii="Times New Roman" w:hAnsi="Times New Roman" w:eastAsia="宋体" w:cs="Times New Roman"/>
          <w:color w:val="auto"/>
          <w:sz w:val="24"/>
          <w:szCs w:val="21"/>
          <w:highlight w:val="none"/>
          <w:u w:val="none"/>
          <w:vertAlign w:val="subscript"/>
          <w:lang w:val="en-US" w:eastAsia="zh-CN" w:bidi="ar-SA"/>
        </w:rPr>
        <w:t>4</w:t>
      </w:r>
      <w:r>
        <w:rPr>
          <w:rFonts w:ascii="Times New Roman" w:hAnsi="Times New Roman" w:eastAsia="宋体"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w:t>
      </w:r>
      <w:r>
        <w:rPr>
          <w:rFonts w:ascii="Times New Roman" w:hAnsi="Times New Roman" w:eastAsia="宋体" w:cs="Times New Roman"/>
          <w:color w:val="auto"/>
          <w:sz w:val="24"/>
          <w:szCs w:val="21"/>
          <w:highlight w:val="none"/>
          <w:u w:val="none"/>
          <w:lang w:val="en-US" w:eastAsia="zh-CN" w:bidi="ar-SA"/>
        </w:rPr>
        <w:t>年·个</w:t>
      </w:r>
      <w:r>
        <w:rPr>
          <w:rFonts w:hint="eastAsia" w:ascii="Times New Roman" w:hAnsi="Times New Roman" w:eastAsia="宋体" w:cs="Times New Roman"/>
          <w:color w:val="auto"/>
          <w:sz w:val="24"/>
          <w:szCs w:val="21"/>
          <w:highlight w:val="none"/>
          <w:u w:val="none"/>
          <w:lang w:val="en-US" w:eastAsia="zh-CN" w:bidi="ar-SA"/>
        </w:rPr>
        <w:t>）；井口装置为0.23</w:t>
      </w:r>
      <w:r>
        <w:rPr>
          <w:rFonts w:ascii="Times New Roman" w:hAnsi="Times New Roman" w:eastAsia="宋体" w:cs="Times New Roman"/>
          <w:color w:val="auto"/>
          <w:sz w:val="24"/>
          <w:szCs w:val="21"/>
          <w:highlight w:val="none"/>
          <w:u w:val="none"/>
          <w:lang w:val="en-US" w:eastAsia="zh-CN" w:bidi="ar-SA"/>
        </w:rPr>
        <w:t>；</w:t>
      </w:r>
    </w:p>
    <w:p w14:paraId="58EACB23">
      <w:pPr>
        <w:keepNext w:val="0"/>
        <w:keepLines w:val="0"/>
        <w:pageBreakBefore w:val="0"/>
        <w:widowControl/>
        <w:kinsoku/>
        <w:wordWrap/>
        <w:overflowPunct/>
        <w:topLinePunct w:val="0"/>
        <w:autoSpaceDE/>
        <w:autoSpaceDN/>
        <w:bidi w:val="0"/>
        <w:adjustRightInd/>
        <w:snapToGrid/>
        <w:spacing w:line="480" w:lineRule="exact"/>
        <w:ind w:left="479" w:leftChars="228" w:firstLine="0" w:firstLineChars="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Num</w:t>
      </w:r>
      <w:r>
        <w:rPr>
          <w:rFonts w:hint="eastAsia" w:ascii="Times New Roman" w:hAnsi="Times New Roman" w:eastAsia="宋体" w:cs="Times New Roman"/>
          <w:i/>
          <w:iCs/>
          <w:color w:val="auto"/>
          <w:sz w:val="24"/>
          <w:szCs w:val="21"/>
          <w:highlight w:val="none"/>
          <w:u w:val="none"/>
          <w:vertAlign w:val="subscript"/>
          <w:lang w:val="en-US" w:eastAsia="zh-CN" w:bidi="ar-SA"/>
        </w:rPr>
        <w:t>gas,j</w:t>
      </w:r>
      <w:r>
        <w:rPr>
          <w:rFonts w:ascii="Times New Roman" w:hAnsi="Times New Roman" w:eastAsia="宋体" w:cs="Times New Roman"/>
          <w:color w:val="auto"/>
          <w:sz w:val="24"/>
          <w:szCs w:val="21"/>
          <w:highlight w:val="none"/>
          <w:u w:val="none"/>
          <w:lang w:val="en-US" w:eastAsia="zh-CN" w:bidi="ar-SA"/>
        </w:rPr>
        <w:t>——天然气开采业务所涉及的泄漏设施类型数量，单位为个；</w:t>
      </w:r>
    </w:p>
    <w:p w14:paraId="16292112">
      <w:pPr>
        <w:keepNext w:val="0"/>
        <w:keepLines w:val="0"/>
        <w:pageBreakBefore w:val="0"/>
        <w:widowControl/>
        <w:kinsoku/>
        <w:wordWrap/>
        <w:overflowPunct/>
        <w:topLinePunct w:val="0"/>
        <w:autoSpaceDE/>
        <w:autoSpaceDN/>
        <w:bidi w:val="0"/>
        <w:adjustRightInd/>
        <w:snapToGrid/>
        <w:spacing w:line="480" w:lineRule="exact"/>
        <w:ind w:left="479" w:leftChars="228" w:firstLine="0" w:firstLineChars="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ascii="Times New Roman" w:hAnsi="Times New Roman" w:eastAsia="宋体" w:cs="Times New Roman"/>
          <w:i/>
          <w:iCs/>
          <w:color w:val="auto"/>
          <w:sz w:val="24"/>
          <w:szCs w:val="21"/>
          <w:highlight w:val="none"/>
          <w:u w:val="none"/>
          <w:lang w:val="en-US" w:eastAsia="zh-CN" w:bidi="ar-SA"/>
        </w:rPr>
        <w:t>F</w:t>
      </w:r>
      <w:r>
        <w:rPr>
          <w:rFonts w:hint="eastAsia" w:ascii="Times New Roman" w:hAnsi="Times New Roman" w:eastAsia="宋体" w:cs="Times New Roman"/>
          <w:i/>
          <w:iCs/>
          <w:color w:val="auto"/>
          <w:sz w:val="24"/>
          <w:szCs w:val="21"/>
          <w:highlight w:val="none"/>
          <w:u w:val="none"/>
          <w:vertAlign w:val="subscript"/>
          <w:lang w:val="en-US" w:eastAsia="zh-CN" w:bidi="ar-SA"/>
        </w:rPr>
        <w:t>gas,j</w:t>
      </w:r>
      <w:r>
        <w:rPr>
          <w:rFonts w:ascii="Times New Roman" w:hAnsi="Times New Roman" w:eastAsia="宋体" w:cs="Times New Roman"/>
          <w:color w:val="auto"/>
          <w:sz w:val="24"/>
          <w:szCs w:val="21"/>
          <w:highlight w:val="none"/>
          <w:u w:val="none"/>
          <w:lang w:val="en-US" w:eastAsia="zh-CN" w:bidi="ar-SA"/>
        </w:rPr>
        <w:t>——天然气开采业务中</w:t>
      </w:r>
      <w:r>
        <w:rPr>
          <w:rFonts w:hint="eastAsia" w:ascii="Times New Roman" w:hAnsi="Times New Roman" w:eastAsia="宋体" w:cs="Times New Roman"/>
          <w:color w:val="auto"/>
          <w:sz w:val="24"/>
          <w:szCs w:val="21"/>
          <w:highlight w:val="none"/>
          <w:u w:val="none"/>
          <w:lang w:val="en-US" w:eastAsia="zh-CN" w:bidi="ar-SA"/>
        </w:rPr>
        <w:t>涉及的</w:t>
      </w:r>
      <w:r>
        <w:rPr>
          <w:rFonts w:ascii="Times New Roman" w:hAnsi="Times New Roman" w:eastAsia="宋体" w:cs="Times New Roman"/>
          <w:color w:val="auto"/>
          <w:sz w:val="24"/>
          <w:szCs w:val="21"/>
          <w:highlight w:val="none"/>
          <w:u w:val="none"/>
          <w:lang w:val="en-US" w:eastAsia="zh-CN" w:bidi="ar-SA"/>
        </w:rPr>
        <w:t>每种设施类型j的CH</w:t>
      </w:r>
      <w:r>
        <w:rPr>
          <w:rFonts w:ascii="Times New Roman" w:hAnsi="Times New Roman" w:eastAsia="宋体" w:cs="Times New Roman"/>
          <w:color w:val="auto"/>
          <w:sz w:val="24"/>
          <w:szCs w:val="21"/>
          <w:highlight w:val="none"/>
          <w:u w:val="none"/>
          <w:vertAlign w:val="subscript"/>
          <w:lang w:val="en-US" w:eastAsia="zh-CN" w:bidi="ar-SA"/>
        </w:rPr>
        <w:t>4</w:t>
      </w:r>
      <w:r>
        <w:rPr>
          <w:rFonts w:ascii="Times New Roman" w:hAnsi="Times New Roman" w:eastAsia="宋体" w:cs="Times New Roman"/>
          <w:color w:val="auto"/>
          <w:sz w:val="24"/>
          <w:szCs w:val="21"/>
          <w:highlight w:val="none"/>
          <w:u w:val="none"/>
          <w:lang w:val="en-US" w:eastAsia="zh-CN" w:bidi="ar-SA"/>
        </w:rPr>
        <w:t>逃逸排放因子，单位为吨CH</w:t>
      </w:r>
      <w:r>
        <w:rPr>
          <w:rFonts w:ascii="Times New Roman" w:hAnsi="Times New Roman" w:eastAsia="宋体" w:cs="Times New Roman"/>
          <w:color w:val="auto"/>
          <w:sz w:val="24"/>
          <w:szCs w:val="21"/>
          <w:highlight w:val="none"/>
          <w:u w:val="none"/>
          <w:vertAlign w:val="subscript"/>
          <w:lang w:val="en-US" w:eastAsia="zh-CN" w:bidi="ar-SA"/>
        </w:rPr>
        <w:t>4</w:t>
      </w:r>
      <w:r>
        <w:rPr>
          <w:rFonts w:ascii="Times New Roman" w:hAnsi="Times New Roman" w:eastAsia="宋体"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w:t>
      </w:r>
      <w:r>
        <w:rPr>
          <w:rFonts w:ascii="Times New Roman" w:hAnsi="Times New Roman" w:eastAsia="宋体" w:cs="Times New Roman"/>
          <w:color w:val="auto"/>
          <w:sz w:val="24"/>
          <w:szCs w:val="21"/>
          <w:highlight w:val="none"/>
          <w:u w:val="none"/>
          <w:lang w:val="en-US" w:eastAsia="zh-CN" w:bidi="ar-SA"/>
        </w:rPr>
        <w:t>年·个</w:t>
      </w:r>
      <w:r>
        <w:rPr>
          <w:rFonts w:hint="eastAsia" w:ascii="Times New Roman" w:hAnsi="Times New Roman" w:eastAsia="宋体" w:cs="Times New Roman"/>
          <w:color w:val="auto"/>
          <w:sz w:val="24"/>
          <w:szCs w:val="21"/>
          <w:highlight w:val="none"/>
          <w:u w:val="none"/>
          <w:lang w:val="en-US" w:eastAsia="zh-CN" w:bidi="ar-SA"/>
        </w:rPr>
        <w:t>）；井口装置为2.5。</w:t>
      </w:r>
    </w:p>
    <w:p w14:paraId="454EE86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本项目</w:t>
      </w:r>
      <w:r>
        <w:rPr>
          <w:rFonts w:hint="eastAsia" w:cs="Times New Roman"/>
          <w:color w:val="auto"/>
          <w:sz w:val="24"/>
          <w:szCs w:val="21"/>
          <w:highlight w:val="none"/>
          <w:u w:val="none"/>
          <w:lang w:val="en-US" w:eastAsia="zh-CN" w:bidi="ar-SA"/>
        </w:rPr>
        <w:t>部署3口采气井，</w:t>
      </w:r>
      <w:r>
        <w:rPr>
          <w:rFonts w:hint="eastAsia" w:ascii="Times New Roman" w:hAnsi="Times New Roman" w:eastAsia="宋体" w:cs="Times New Roman"/>
          <w:color w:val="auto"/>
          <w:sz w:val="24"/>
          <w:szCs w:val="21"/>
          <w:highlight w:val="none"/>
          <w:u w:val="none"/>
          <w:lang w:val="en-US" w:eastAsia="zh-CN" w:bidi="ar-SA"/>
        </w:rPr>
        <w:t>开采逃逸的CH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为：</w:t>
      </w:r>
    </w:p>
    <w:p w14:paraId="2A8E8B2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Calibri" w:hAnsi="Calibri" w:eastAsia="宋体" w:cs="Times New Roman"/>
          <w:color w:val="auto"/>
          <w:sz w:val="24"/>
          <w:szCs w:val="21"/>
          <w:highlight w:val="none"/>
          <w:u w:val="none"/>
          <w:lang w:val="en-US" w:eastAsia="zh-CN" w:bidi="ar-SA"/>
        </w:rPr>
        <w:t>E</w:t>
      </w:r>
      <w:r>
        <w:rPr>
          <w:rFonts w:hint="eastAsia" w:ascii="Calibri" w:hAnsi="Calibri" w:eastAsia="宋体" w:cs="Times New Roman"/>
          <w:color w:val="auto"/>
          <w:sz w:val="24"/>
          <w:szCs w:val="21"/>
          <w:highlight w:val="none"/>
          <w:u w:val="none"/>
          <w:vertAlign w:val="subscript"/>
          <w:lang w:val="en-US" w:eastAsia="zh-CN" w:bidi="ar-SA"/>
        </w:rPr>
        <w:t>CH4-开采逃逸</w:t>
      </w:r>
      <w:r>
        <w:rPr>
          <w:rFonts w:hint="eastAsia" w:ascii="Calibri" w:hAnsi="Calibri" w:eastAsia="宋体" w:cs="Times New Roman"/>
          <w:color w:val="auto"/>
          <w:sz w:val="24"/>
          <w:szCs w:val="21"/>
          <w:highlight w:val="none"/>
          <w:u w:val="none"/>
          <w:lang w:val="en-US" w:eastAsia="zh-CN" w:bidi="ar-SA"/>
        </w:rPr>
        <w:t>=</w:t>
      </w:r>
      <w:r>
        <w:rPr>
          <w:rFonts w:hint="eastAsia" w:cs="Times New Roman"/>
          <w:color w:val="auto"/>
          <w:sz w:val="24"/>
          <w:szCs w:val="21"/>
          <w:highlight w:val="none"/>
          <w:u w:val="none"/>
          <w:lang w:val="en-US" w:eastAsia="zh-CN" w:bidi="ar-SA"/>
        </w:rPr>
        <w:t>3</w:t>
      </w:r>
      <w:r>
        <w:rPr>
          <w:rFonts w:ascii="Times New Roman" w:hAnsi="Times New Roman" w:eastAsia="宋体" w:cs="Times New Roman"/>
          <w:color w:val="auto"/>
          <w:sz w:val="24"/>
          <w:szCs w:val="21"/>
          <w:highlight w:val="none"/>
          <w:u w:val="none"/>
          <w:lang w:val="en-US" w:eastAsia="zh-CN" w:bidi="ar-SA"/>
        </w:rPr>
        <w:t>×</w:t>
      </w:r>
      <w:r>
        <w:rPr>
          <w:rFonts w:hint="eastAsia" w:cs="Times New Roman"/>
          <w:color w:val="auto"/>
          <w:sz w:val="24"/>
          <w:szCs w:val="21"/>
          <w:highlight w:val="none"/>
          <w:u w:val="none"/>
          <w:lang w:val="en-US" w:eastAsia="zh-CN" w:bidi="ar-SA"/>
        </w:rPr>
        <w:t>2.5</w:t>
      </w:r>
      <w:r>
        <w:rPr>
          <w:rFonts w:ascii="Times New Roman" w:hAnsi="Times New Roman" w:eastAsia="宋体" w:cs="Times New Roman"/>
          <w:color w:val="auto"/>
          <w:sz w:val="24"/>
          <w:szCs w:val="21"/>
          <w:highlight w:val="none"/>
          <w:u w:val="none"/>
          <w:lang w:val="en-US" w:eastAsia="zh-CN" w:bidi="ar-SA"/>
        </w:rPr>
        <w:t>tCH</w:t>
      </w:r>
      <w:r>
        <w:rPr>
          <w:rFonts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w:t>
      </w:r>
      <w:r>
        <w:rPr>
          <w:rFonts w:hint="eastAsia" w:cs="Times New Roman"/>
          <w:color w:val="auto"/>
          <w:sz w:val="24"/>
          <w:szCs w:val="21"/>
          <w:highlight w:val="none"/>
          <w:u w:val="none"/>
          <w:lang w:val="en-US" w:eastAsia="zh-CN" w:bidi="ar-SA"/>
        </w:rPr>
        <w:t>7.5</w:t>
      </w:r>
      <w:r>
        <w:rPr>
          <w:rFonts w:ascii="Times New Roman" w:hAnsi="Times New Roman" w:eastAsia="宋体" w:cs="Times New Roman"/>
          <w:color w:val="auto"/>
          <w:sz w:val="24"/>
          <w:szCs w:val="21"/>
          <w:highlight w:val="none"/>
          <w:u w:val="none"/>
          <w:lang w:val="en-US" w:eastAsia="zh-CN" w:bidi="ar-SA"/>
        </w:rPr>
        <w:t>tCH</w:t>
      </w:r>
      <w:r>
        <w:rPr>
          <w:rFonts w:ascii="Times New Roman" w:hAnsi="Times New Roman" w:eastAsia="宋体" w:cs="Times New Roman"/>
          <w:color w:val="auto"/>
          <w:sz w:val="24"/>
          <w:szCs w:val="21"/>
          <w:highlight w:val="none"/>
          <w:u w:val="none"/>
          <w:vertAlign w:val="subscript"/>
          <w:lang w:val="en-US" w:eastAsia="zh-CN" w:bidi="ar-SA"/>
        </w:rPr>
        <w:t>4</w:t>
      </w:r>
    </w:p>
    <w:p w14:paraId="1ABD613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GWPCH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相比CO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的全球变暖潜势值。根据IPCC第二次评估报告，100年时间尺度内1吨CH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相当于21吨CO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的增温能力，因此GWPCH4等于21。</w:t>
      </w:r>
    </w:p>
    <w:p w14:paraId="2C9081B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根据上述公式计算可得本项目开采逃逸的CH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为</w:t>
      </w:r>
      <w:r>
        <w:rPr>
          <w:rFonts w:hint="eastAsia" w:cs="Times New Roman"/>
          <w:color w:val="auto"/>
          <w:sz w:val="24"/>
          <w:szCs w:val="21"/>
          <w:highlight w:val="none"/>
          <w:u w:val="none"/>
          <w:lang w:val="en-US" w:eastAsia="zh-CN" w:bidi="ar-SA"/>
        </w:rPr>
        <w:t>7.5</w:t>
      </w:r>
      <w:r>
        <w:rPr>
          <w:rFonts w:hint="eastAsia" w:ascii="Times New Roman" w:hAnsi="Times New Roman" w:eastAsia="宋体" w:cs="Times New Roman"/>
          <w:color w:val="auto"/>
          <w:sz w:val="24"/>
          <w:szCs w:val="21"/>
          <w:highlight w:val="none"/>
          <w:u w:val="none"/>
          <w:lang w:val="en-US" w:eastAsia="zh-CN" w:bidi="ar-SA"/>
        </w:rPr>
        <w:t>t，折算成CO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排放量为</w:t>
      </w:r>
      <w:r>
        <w:rPr>
          <w:rFonts w:hint="eastAsia" w:cs="Times New Roman"/>
          <w:color w:val="auto"/>
          <w:sz w:val="24"/>
          <w:szCs w:val="21"/>
          <w:highlight w:val="none"/>
          <w:u w:val="none"/>
          <w:lang w:val="en-US" w:eastAsia="zh-CN" w:bidi="ar-SA"/>
        </w:rPr>
        <w:t>157.5</w:t>
      </w:r>
      <w:r>
        <w:rPr>
          <w:rFonts w:hint="eastAsia" w:ascii="Times New Roman" w:hAnsi="Times New Roman" w:eastAsia="宋体" w:cs="Times New Roman"/>
          <w:color w:val="auto"/>
          <w:sz w:val="24"/>
          <w:szCs w:val="21"/>
          <w:highlight w:val="none"/>
          <w:u w:val="none"/>
          <w:lang w:val="en-US" w:eastAsia="zh-CN" w:bidi="ar-SA"/>
        </w:rPr>
        <w:t>t。</w:t>
      </w:r>
    </w:p>
    <w:p w14:paraId="27E36FA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（3）净购入电力和热力隐含的CO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w:t>
      </w:r>
    </w:p>
    <w:p w14:paraId="051A8C6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①计算公式</w:t>
      </w:r>
    </w:p>
    <w:p w14:paraId="2A6EED3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a.净购入电力的CO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排放计算公式</w:t>
      </w:r>
    </w:p>
    <w:p w14:paraId="13C78E2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drawing>
          <wp:inline distT="0" distB="0" distL="114300" distR="114300">
            <wp:extent cx="1610360" cy="180975"/>
            <wp:effectExtent l="0" t="0" r="8890" b="8890"/>
            <wp:docPr id="24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59"/>
                    <pic:cNvPicPr>
                      <a:picLocks noChangeAspect="1"/>
                    </pic:cNvPicPr>
                  </pic:nvPicPr>
                  <pic:blipFill>
                    <a:blip r:embed="rId76"/>
                    <a:stretch>
                      <a:fillRect/>
                    </a:stretch>
                  </pic:blipFill>
                  <pic:spPr>
                    <a:xfrm>
                      <a:off x="0" y="0"/>
                      <a:ext cx="1610360" cy="180975"/>
                    </a:xfrm>
                    <a:prstGeom prst="rect">
                      <a:avLst/>
                    </a:prstGeom>
                    <a:noFill/>
                    <a:ln>
                      <a:noFill/>
                    </a:ln>
                  </pic:spPr>
                </pic:pic>
              </a:graphicData>
            </a:graphic>
          </wp:inline>
        </w:drawing>
      </w:r>
    </w:p>
    <w:p w14:paraId="2CF048C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式中：</w:t>
      </w:r>
    </w:p>
    <w:p w14:paraId="2A8C84A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ECO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-净电为报告主体净购入电力隐含的CO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排放量，单位为吨CO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w:t>
      </w:r>
    </w:p>
    <w:p w14:paraId="3B9B3CD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AD电力为企业净购入的电力消费量，单位为兆瓦时（MWh）；</w:t>
      </w:r>
    </w:p>
    <w:p w14:paraId="2B52ADE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EF电力为电力供应的CO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排放因子，单位为吨CO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/MWh。</w:t>
      </w:r>
    </w:p>
    <w:p w14:paraId="13C5C0B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b.净购入热力的CO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排放计算公式</w:t>
      </w:r>
    </w:p>
    <w:p w14:paraId="2B6E249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drawing>
          <wp:inline distT="0" distB="0" distL="114300" distR="114300">
            <wp:extent cx="1610360" cy="180975"/>
            <wp:effectExtent l="0" t="0" r="8890" b="8890"/>
            <wp:docPr id="24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0"/>
                    <pic:cNvPicPr>
                      <a:picLocks noChangeAspect="1"/>
                    </pic:cNvPicPr>
                  </pic:nvPicPr>
                  <pic:blipFill>
                    <a:blip r:embed="rId77"/>
                    <a:stretch>
                      <a:fillRect/>
                    </a:stretch>
                  </pic:blipFill>
                  <pic:spPr>
                    <a:xfrm>
                      <a:off x="0" y="0"/>
                      <a:ext cx="1610360" cy="180975"/>
                    </a:xfrm>
                    <a:prstGeom prst="rect">
                      <a:avLst/>
                    </a:prstGeom>
                    <a:noFill/>
                    <a:ln>
                      <a:noFill/>
                    </a:ln>
                  </pic:spPr>
                </pic:pic>
              </a:graphicData>
            </a:graphic>
          </wp:inline>
        </w:drawing>
      </w:r>
    </w:p>
    <w:p w14:paraId="283464F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式中：</w:t>
      </w:r>
    </w:p>
    <w:p w14:paraId="6B7DC63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ECO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-净热为报告主体净购入热力隐含的CO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排放量，单位为吨CO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w:t>
      </w:r>
    </w:p>
    <w:p w14:paraId="28FF615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AD热力为企业净购入的热力消费量，单位为GJ；</w:t>
      </w:r>
    </w:p>
    <w:p w14:paraId="7C06F70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EF热力为热力供应的CO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排放因子，单位为吨CO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/GJ。</w:t>
      </w:r>
    </w:p>
    <w:p w14:paraId="1ABB1E5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fldChar w:fldCharType="begin"/>
      </w:r>
      <w:r>
        <w:rPr>
          <w:rFonts w:ascii="Times New Roman" w:hAnsi="Times New Roman" w:eastAsia="宋体" w:cs="Times New Roman"/>
          <w:color w:val="auto"/>
          <w:sz w:val="24"/>
          <w:szCs w:val="21"/>
          <w:highlight w:val="none"/>
          <w:u w:val="none"/>
          <w:lang w:val="en-US" w:eastAsia="zh-CN" w:bidi="ar-SA"/>
        </w:rPr>
        <w:instrText xml:space="preserve"> = 2 \* GB3 \* MERGEFORMAT </w:instrText>
      </w:r>
      <w:r>
        <w:rPr>
          <w:rFonts w:hint="eastAsia" w:ascii="Times New Roman" w:hAnsi="Times New Roman" w:eastAsia="宋体" w:cs="Times New Roman"/>
          <w:color w:val="auto"/>
          <w:sz w:val="24"/>
          <w:szCs w:val="21"/>
          <w:highlight w:val="none"/>
          <w:u w:val="none"/>
          <w:lang w:val="en-US" w:eastAsia="zh-CN" w:bidi="ar-SA"/>
        </w:rPr>
        <w:fldChar w:fldCharType="separate"/>
      </w:r>
      <w:r>
        <w:rPr>
          <w:rFonts w:hint="eastAsia" w:ascii="Times New Roman" w:hAnsi="Times New Roman" w:eastAsia="宋体" w:cs="Times New Roman"/>
          <w:color w:val="auto"/>
          <w:sz w:val="24"/>
          <w:szCs w:val="21"/>
          <w:highlight w:val="none"/>
          <w:u w:val="none"/>
          <w:lang w:val="en-US" w:eastAsia="zh-CN" w:bidi="ar-SA"/>
        </w:rPr>
        <w:t>②</w:t>
      </w:r>
      <w:r>
        <w:rPr>
          <w:rFonts w:hint="eastAsia" w:ascii="Times New Roman" w:hAnsi="Times New Roman" w:eastAsia="宋体" w:cs="Times New Roman"/>
          <w:color w:val="auto"/>
          <w:sz w:val="24"/>
          <w:szCs w:val="21"/>
          <w:highlight w:val="none"/>
          <w:u w:val="none"/>
          <w:lang w:val="en-US" w:eastAsia="zh-CN" w:bidi="ar-SA"/>
        </w:rPr>
        <w:fldChar w:fldCharType="end"/>
      </w:r>
      <w:r>
        <w:rPr>
          <w:rFonts w:hint="eastAsia" w:ascii="Times New Roman" w:hAnsi="Times New Roman" w:eastAsia="宋体" w:cs="Times New Roman"/>
          <w:color w:val="auto"/>
          <w:sz w:val="24"/>
          <w:szCs w:val="21"/>
          <w:highlight w:val="none"/>
          <w:u w:val="none"/>
          <w:lang w:val="en-US" w:eastAsia="zh-CN" w:bidi="ar-SA"/>
        </w:rPr>
        <w:t>计算结果</w:t>
      </w:r>
    </w:p>
    <w:p w14:paraId="2B341A1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w:t>
      </w:r>
      <w:r>
        <w:rPr>
          <w:rFonts w:ascii="Times New Roman" w:hAnsi="Times New Roman" w:eastAsia="宋体" w:cs="Times New Roman"/>
          <w:color w:val="auto"/>
          <w:sz w:val="24"/>
          <w:szCs w:val="21"/>
          <w:highlight w:val="none"/>
          <w:u w:val="none"/>
          <w:lang w:val="en-US" w:eastAsia="zh-CN" w:bidi="ar-SA"/>
        </w:rPr>
        <w:t>生产过程中不涉及使用蒸汽，不涉及发电内容，使用的电力消耗量为</w:t>
      </w:r>
      <w:r>
        <w:rPr>
          <w:rFonts w:hint="eastAsia" w:cs="Times New Roman"/>
          <w:color w:val="auto"/>
          <w:sz w:val="24"/>
          <w:szCs w:val="21"/>
          <w:highlight w:val="none"/>
          <w:u w:val="none"/>
          <w:lang w:val="en-US" w:eastAsia="zh-CN" w:bidi="ar-SA"/>
        </w:rPr>
        <w:t>1548.5</w:t>
      </w:r>
      <w:r>
        <w:rPr>
          <w:rFonts w:ascii="Times New Roman" w:hAnsi="Times New Roman" w:eastAsia="宋体" w:cs="Times New Roman"/>
          <w:color w:val="auto"/>
          <w:sz w:val="24"/>
          <w:szCs w:val="21"/>
          <w:highlight w:val="none"/>
          <w:u w:val="none"/>
          <w:lang w:val="en-US" w:eastAsia="zh-CN" w:bidi="ar-SA"/>
        </w:rPr>
        <w:t>MWh，电力排放因子按照西北地区电力排放因子0.6671吨CO</w:t>
      </w:r>
      <w:r>
        <w:rPr>
          <w:rFonts w:ascii="Times New Roman" w:hAnsi="Times New Roman" w:eastAsia="宋体" w:cs="Times New Roman"/>
          <w:color w:val="auto"/>
          <w:sz w:val="24"/>
          <w:szCs w:val="21"/>
          <w:highlight w:val="none"/>
          <w:u w:val="none"/>
          <w:vertAlign w:val="subscript"/>
          <w:lang w:val="en-US" w:eastAsia="zh-CN" w:bidi="ar-SA"/>
        </w:rPr>
        <w:t>2</w:t>
      </w:r>
      <w:r>
        <w:rPr>
          <w:rFonts w:ascii="Times New Roman" w:hAnsi="Times New Roman" w:eastAsia="宋体" w:cs="Times New Roman"/>
          <w:color w:val="auto"/>
          <w:sz w:val="24"/>
          <w:szCs w:val="21"/>
          <w:highlight w:val="none"/>
          <w:u w:val="none"/>
          <w:lang w:val="en-US" w:eastAsia="zh-CN" w:bidi="ar-SA"/>
        </w:rPr>
        <w:t>/MWh。根据前述公式计算可知，核算净购入电力和热力隐含的CO</w:t>
      </w:r>
      <w:r>
        <w:rPr>
          <w:rFonts w:ascii="Times New Roman" w:hAnsi="Times New Roman" w:eastAsia="宋体" w:cs="Times New Roman"/>
          <w:color w:val="auto"/>
          <w:sz w:val="24"/>
          <w:szCs w:val="21"/>
          <w:highlight w:val="none"/>
          <w:u w:val="none"/>
          <w:vertAlign w:val="subscript"/>
          <w:lang w:val="en-US" w:eastAsia="zh-CN" w:bidi="ar-SA"/>
        </w:rPr>
        <w:t>2</w:t>
      </w:r>
      <w:r>
        <w:rPr>
          <w:rFonts w:ascii="Times New Roman" w:hAnsi="Times New Roman" w:eastAsia="宋体" w:cs="Times New Roman"/>
          <w:color w:val="auto"/>
          <w:sz w:val="24"/>
          <w:szCs w:val="21"/>
          <w:highlight w:val="none"/>
          <w:u w:val="none"/>
          <w:lang w:val="en-US" w:eastAsia="zh-CN" w:bidi="ar-SA"/>
        </w:rPr>
        <w:t>排放量为</w:t>
      </w:r>
      <w:r>
        <w:rPr>
          <w:rFonts w:hint="eastAsia" w:cs="Times New Roman"/>
          <w:color w:val="auto"/>
          <w:sz w:val="24"/>
          <w:szCs w:val="21"/>
          <w:highlight w:val="none"/>
          <w:u w:val="none"/>
          <w:lang w:val="en-US" w:eastAsia="zh-CN" w:bidi="ar-SA"/>
        </w:rPr>
        <w:t>1033</w:t>
      </w:r>
      <w:r>
        <w:rPr>
          <w:rFonts w:ascii="Times New Roman" w:hAnsi="Times New Roman" w:eastAsia="宋体" w:cs="Times New Roman"/>
          <w:color w:val="auto"/>
          <w:sz w:val="24"/>
          <w:szCs w:val="21"/>
          <w:highlight w:val="none"/>
          <w:u w:val="none"/>
          <w:lang w:val="en-US" w:eastAsia="zh-CN" w:bidi="ar-SA"/>
        </w:rPr>
        <w:t>t。</w:t>
      </w:r>
    </w:p>
    <w:p w14:paraId="5E3564B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（4）碳排放核算结果汇总</w:t>
      </w:r>
    </w:p>
    <w:p w14:paraId="564C4A4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根据《中国石油天然气生产企业 温室气体排放核算方法与报告指南（试行）》，化工企业的CO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排放总量计算公式为：</w:t>
      </w:r>
    </w:p>
    <w:p w14:paraId="227B3E66">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drawing>
          <wp:inline distT="0" distB="0" distL="114300" distR="114300">
            <wp:extent cx="4010660" cy="739775"/>
            <wp:effectExtent l="0" t="0" r="8890" b="3175"/>
            <wp:docPr id="2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1"/>
                    <pic:cNvPicPr>
                      <a:picLocks noChangeAspect="1"/>
                    </pic:cNvPicPr>
                  </pic:nvPicPr>
                  <pic:blipFill>
                    <a:blip r:embed="rId78"/>
                    <a:stretch>
                      <a:fillRect/>
                    </a:stretch>
                  </pic:blipFill>
                  <pic:spPr>
                    <a:xfrm>
                      <a:off x="0" y="0"/>
                      <a:ext cx="4010660" cy="739775"/>
                    </a:xfrm>
                    <a:prstGeom prst="rect">
                      <a:avLst/>
                    </a:prstGeom>
                    <a:noFill/>
                    <a:ln>
                      <a:noFill/>
                    </a:ln>
                  </pic:spPr>
                </pic:pic>
              </a:graphicData>
            </a:graphic>
          </wp:inline>
        </w:drawing>
      </w:r>
    </w:p>
    <w:p w14:paraId="45B8DE0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式中：</w:t>
      </w:r>
    </w:p>
    <w:p w14:paraId="59A1B45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i/>
          <w:iCs/>
          <w:color w:val="auto"/>
          <w:sz w:val="24"/>
          <w:szCs w:val="21"/>
          <w:highlight w:val="none"/>
          <w:u w:val="none"/>
          <w:vertAlign w:val="subscript"/>
          <w:lang w:val="en-US" w:eastAsia="zh-CN" w:bidi="ar-SA"/>
        </w:rPr>
        <w:t>GHG</w:t>
      </w:r>
      <w:r>
        <w:rPr>
          <w:rFonts w:hint="eastAsia" w:ascii="Times New Roman" w:hAnsi="Times New Roman" w:eastAsia="宋体" w:cs="Times New Roman"/>
          <w:color w:val="auto"/>
          <w:sz w:val="24"/>
          <w:szCs w:val="21"/>
          <w:highlight w:val="none"/>
          <w:u w:val="none"/>
          <w:lang w:val="en-US" w:eastAsia="zh-CN" w:bidi="ar-SA"/>
        </w:rPr>
        <w:t>-温室气体排放总量，单位为吨CO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w:t>
      </w:r>
    </w:p>
    <w:p w14:paraId="1540030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i/>
          <w:iCs/>
          <w:color w:val="auto"/>
          <w:sz w:val="24"/>
          <w:szCs w:val="21"/>
          <w:highlight w:val="none"/>
          <w:u w:val="none"/>
          <w:vertAlign w:val="subscript"/>
          <w:lang w:val="en-US" w:eastAsia="zh-CN" w:bidi="ar-SA"/>
        </w:rPr>
        <w:t>CO2</w:t>
      </w:r>
      <w:r>
        <w:rPr>
          <w:rFonts w:hint="eastAsia" w:ascii="Times New Roman" w:hAnsi="Times New Roman" w:eastAsia="宋体" w:cs="Times New Roman"/>
          <w:color w:val="auto"/>
          <w:sz w:val="24"/>
          <w:szCs w:val="21"/>
          <w:highlight w:val="none"/>
          <w:u w:val="none"/>
          <w:lang w:val="en-US" w:eastAsia="zh-CN" w:bidi="ar-SA"/>
        </w:rPr>
        <w:t>-燃烧-核算边界内由于化石燃料燃烧活动产生的CO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排放量，单位为吨CO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w:t>
      </w:r>
    </w:p>
    <w:p w14:paraId="0960684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i/>
          <w:iCs/>
          <w:color w:val="auto"/>
          <w:sz w:val="24"/>
          <w:szCs w:val="21"/>
          <w:highlight w:val="none"/>
          <w:u w:val="none"/>
          <w:vertAlign w:val="subscript"/>
          <w:lang w:val="en-US" w:eastAsia="zh-CN" w:bidi="ar-SA"/>
        </w:rPr>
        <w:t>GHG</w:t>
      </w:r>
      <w:r>
        <w:rPr>
          <w:rFonts w:hint="eastAsia" w:ascii="Times New Roman" w:hAnsi="Times New Roman" w:eastAsia="宋体" w:cs="Times New Roman"/>
          <w:color w:val="auto"/>
          <w:sz w:val="24"/>
          <w:szCs w:val="21"/>
          <w:highlight w:val="none"/>
          <w:u w:val="none"/>
          <w:lang w:val="en-US" w:eastAsia="zh-CN" w:bidi="ar-SA"/>
        </w:rPr>
        <w:t>-火炬-企业因火炬燃烧导致的温室气体排放，单位为吨CO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当量；</w:t>
      </w:r>
    </w:p>
    <w:p w14:paraId="1EB83D3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i/>
          <w:iCs/>
          <w:color w:val="auto"/>
          <w:sz w:val="24"/>
          <w:szCs w:val="21"/>
          <w:highlight w:val="none"/>
          <w:u w:val="none"/>
          <w:vertAlign w:val="subscript"/>
          <w:lang w:val="en-US" w:eastAsia="zh-CN" w:bidi="ar-SA"/>
        </w:rPr>
        <w:t>GHG</w:t>
      </w:r>
      <w:r>
        <w:rPr>
          <w:rFonts w:hint="eastAsia" w:ascii="Times New Roman" w:hAnsi="Times New Roman" w:eastAsia="宋体" w:cs="Times New Roman"/>
          <w:color w:val="auto"/>
          <w:sz w:val="24"/>
          <w:szCs w:val="21"/>
          <w:highlight w:val="none"/>
          <w:u w:val="none"/>
          <w:lang w:val="en-US" w:eastAsia="zh-CN" w:bidi="ar-SA"/>
        </w:rPr>
        <w:t>-工艺-企业各业务类型的工艺放空排放，单位为吨CO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当量；</w:t>
      </w:r>
    </w:p>
    <w:p w14:paraId="3EF99A16">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i/>
          <w:iCs/>
          <w:color w:val="auto"/>
          <w:sz w:val="24"/>
          <w:szCs w:val="21"/>
          <w:highlight w:val="none"/>
          <w:u w:val="none"/>
          <w:vertAlign w:val="subscript"/>
          <w:lang w:val="en-US" w:eastAsia="zh-CN" w:bidi="ar-SA"/>
        </w:rPr>
        <w:t>GHG</w:t>
      </w:r>
      <w:r>
        <w:rPr>
          <w:rFonts w:hint="eastAsia" w:ascii="Times New Roman" w:hAnsi="Times New Roman" w:eastAsia="宋体" w:cs="Times New Roman"/>
          <w:color w:val="auto"/>
          <w:sz w:val="24"/>
          <w:szCs w:val="21"/>
          <w:highlight w:val="none"/>
          <w:u w:val="none"/>
          <w:lang w:val="en-US" w:eastAsia="zh-CN" w:bidi="ar-SA"/>
        </w:rPr>
        <w:t>-逃逸-企业各业务类型的设备逃逸排放，单位为吨CO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当量；</w:t>
      </w:r>
    </w:p>
    <w:p w14:paraId="7AE25DD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S</w:t>
      </w:r>
      <w:r>
        <w:rPr>
          <w:rFonts w:hint="eastAsia" w:ascii="Times New Roman" w:hAnsi="Times New Roman" w:eastAsia="宋体" w:cs="Times New Roman"/>
          <w:color w:val="auto"/>
          <w:sz w:val="24"/>
          <w:szCs w:val="21"/>
          <w:highlight w:val="none"/>
          <w:u w:val="none"/>
          <w:lang w:val="en-US" w:eastAsia="zh-CN" w:bidi="ar-SA"/>
        </w:rPr>
        <w:t>-企业涉及的业务类型，包括油气勘探、油气开采、油气处理、油气储运业务；</w:t>
      </w:r>
    </w:p>
    <w:p w14:paraId="2D40564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R</w:t>
      </w:r>
      <w:r>
        <w:rPr>
          <w:rFonts w:hint="eastAsia" w:ascii="Times New Roman" w:hAnsi="Times New Roman" w:eastAsia="宋体" w:cs="Times New Roman"/>
          <w:i/>
          <w:iCs/>
          <w:color w:val="auto"/>
          <w:sz w:val="24"/>
          <w:szCs w:val="21"/>
          <w:highlight w:val="none"/>
          <w:u w:val="none"/>
          <w:vertAlign w:val="subscript"/>
          <w:lang w:val="en-US" w:eastAsia="zh-CN" w:bidi="ar-SA"/>
        </w:rPr>
        <w:t>CH4</w:t>
      </w:r>
      <w:r>
        <w:rPr>
          <w:rFonts w:hint="eastAsia" w:ascii="Times New Roman" w:hAnsi="Times New Roman" w:eastAsia="宋体" w:cs="Times New Roman"/>
          <w:color w:val="auto"/>
          <w:sz w:val="24"/>
          <w:szCs w:val="21"/>
          <w:highlight w:val="none"/>
          <w:u w:val="none"/>
          <w:lang w:val="en-US" w:eastAsia="zh-CN" w:bidi="ar-SA"/>
        </w:rPr>
        <w:t>-回收-企业的CH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回收利用量，单位为吨CH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w:t>
      </w:r>
    </w:p>
    <w:p w14:paraId="45F3666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GWP</w:t>
      </w:r>
      <w:r>
        <w:rPr>
          <w:rFonts w:hint="eastAsia" w:ascii="Times New Roman" w:hAnsi="Times New Roman" w:eastAsia="宋体" w:cs="Times New Roman"/>
          <w:i/>
          <w:iCs/>
          <w:color w:val="auto"/>
          <w:sz w:val="24"/>
          <w:szCs w:val="21"/>
          <w:highlight w:val="none"/>
          <w:u w:val="none"/>
          <w:vertAlign w:val="subscript"/>
          <w:lang w:val="en-US" w:eastAsia="zh-CN" w:bidi="ar-SA"/>
        </w:rPr>
        <w:t>CH4</w:t>
      </w:r>
      <w:r>
        <w:rPr>
          <w:rFonts w:hint="eastAsia" w:ascii="Times New Roman" w:hAnsi="Times New Roman" w:eastAsia="宋体" w:cs="Times New Roman"/>
          <w:color w:val="auto"/>
          <w:sz w:val="24"/>
          <w:szCs w:val="21"/>
          <w:highlight w:val="none"/>
          <w:u w:val="none"/>
          <w:lang w:val="en-US" w:eastAsia="zh-CN" w:bidi="ar-SA"/>
        </w:rPr>
        <w:t>-CH</w:t>
      </w:r>
      <w:r>
        <w:rPr>
          <w:rFonts w:hint="eastAsia" w:ascii="Times New Roman" w:hAnsi="Times New Roman" w:eastAsia="宋体" w:cs="Times New Roman"/>
          <w:color w:val="auto"/>
          <w:sz w:val="24"/>
          <w:szCs w:val="21"/>
          <w:highlight w:val="none"/>
          <w:u w:val="none"/>
          <w:vertAlign w:val="subscript"/>
          <w:lang w:val="en-US" w:eastAsia="zh-CN" w:bidi="ar-SA"/>
        </w:rPr>
        <w:t>4</w:t>
      </w:r>
      <w:r>
        <w:rPr>
          <w:rFonts w:hint="eastAsia" w:ascii="Times New Roman" w:hAnsi="Times New Roman" w:eastAsia="宋体" w:cs="Times New Roman"/>
          <w:color w:val="auto"/>
          <w:sz w:val="24"/>
          <w:szCs w:val="21"/>
          <w:highlight w:val="none"/>
          <w:u w:val="none"/>
          <w:lang w:val="en-US" w:eastAsia="zh-CN" w:bidi="ar-SA"/>
        </w:rPr>
        <w:t>相比CO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的全球变暖潜势值。取值21；</w:t>
      </w:r>
    </w:p>
    <w:p w14:paraId="6FB13A5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R</w:t>
      </w:r>
      <w:r>
        <w:rPr>
          <w:rFonts w:hint="eastAsia" w:ascii="Times New Roman" w:hAnsi="Times New Roman" w:eastAsia="宋体" w:cs="Times New Roman"/>
          <w:i/>
          <w:iCs/>
          <w:color w:val="auto"/>
          <w:sz w:val="24"/>
          <w:szCs w:val="21"/>
          <w:highlight w:val="none"/>
          <w:u w:val="none"/>
          <w:vertAlign w:val="subscript"/>
          <w:lang w:val="en-US" w:eastAsia="zh-CN" w:bidi="ar-SA"/>
        </w:rPr>
        <w:t>CO2</w:t>
      </w:r>
      <w:r>
        <w:rPr>
          <w:rFonts w:hint="eastAsia" w:ascii="Times New Roman" w:hAnsi="Times New Roman" w:eastAsia="宋体" w:cs="Times New Roman"/>
          <w:color w:val="auto"/>
          <w:sz w:val="24"/>
          <w:szCs w:val="21"/>
          <w:highlight w:val="none"/>
          <w:u w:val="none"/>
          <w:lang w:val="en-US" w:eastAsia="zh-CN" w:bidi="ar-SA"/>
        </w:rPr>
        <w:t>-回收-企业的CO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回收利用量，单位为吨CO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w:t>
      </w:r>
    </w:p>
    <w:p w14:paraId="750B1CA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i/>
          <w:iCs/>
          <w:color w:val="auto"/>
          <w:sz w:val="24"/>
          <w:szCs w:val="21"/>
          <w:highlight w:val="none"/>
          <w:u w:val="none"/>
          <w:vertAlign w:val="subscript"/>
          <w:lang w:val="en-US" w:eastAsia="zh-CN" w:bidi="ar-SA"/>
        </w:rPr>
        <w:t>CO2</w:t>
      </w:r>
      <w:r>
        <w:rPr>
          <w:rFonts w:hint="eastAsia" w:ascii="Times New Roman" w:hAnsi="Times New Roman" w:eastAsia="宋体" w:cs="Times New Roman"/>
          <w:color w:val="auto"/>
          <w:sz w:val="24"/>
          <w:szCs w:val="21"/>
          <w:highlight w:val="none"/>
          <w:u w:val="none"/>
          <w:lang w:val="en-US" w:eastAsia="zh-CN" w:bidi="ar-SA"/>
        </w:rPr>
        <w:t>-净电-报告主体净购入电力隐含的CO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排放量，单位为吨CO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w:t>
      </w:r>
    </w:p>
    <w:p w14:paraId="5B895B7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i/>
          <w:iCs/>
          <w:color w:val="auto"/>
          <w:sz w:val="24"/>
          <w:szCs w:val="21"/>
          <w:highlight w:val="none"/>
          <w:u w:val="none"/>
          <w:lang w:val="en-US" w:eastAsia="zh-CN" w:bidi="ar-SA"/>
        </w:rPr>
        <w:t>E</w:t>
      </w:r>
      <w:r>
        <w:rPr>
          <w:rFonts w:hint="eastAsia" w:ascii="Times New Roman" w:hAnsi="Times New Roman" w:eastAsia="宋体" w:cs="Times New Roman"/>
          <w:i/>
          <w:iCs/>
          <w:color w:val="auto"/>
          <w:sz w:val="24"/>
          <w:szCs w:val="21"/>
          <w:highlight w:val="none"/>
          <w:u w:val="none"/>
          <w:vertAlign w:val="subscript"/>
          <w:lang w:val="en-US" w:eastAsia="zh-CN" w:bidi="ar-SA"/>
        </w:rPr>
        <w:t>CO2</w:t>
      </w:r>
      <w:r>
        <w:rPr>
          <w:rFonts w:hint="eastAsia" w:ascii="Times New Roman" w:hAnsi="Times New Roman" w:eastAsia="宋体" w:cs="Times New Roman"/>
          <w:color w:val="auto"/>
          <w:sz w:val="24"/>
          <w:szCs w:val="21"/>
          <w:highlight w:val="none"/>
          <w:u w:val="none"/>
          <w:lang w:val="en-US" w:eastAsia="zh-CN" w:bidi="ar-SA"/>
        </w:rPr>
        <w:t>-净热为报告主体净购入热力隐含的CO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排放量，单位为吨CO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w:t>
      </w:r>
    </w:p>
    <w:p w14:paraId="7719D62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按照</w:t>
      </w:r>
      <w:r>
        <w:rPr>
          <w:rFonts w:ascii="Times New Roman" w:hAnsi="Times New Roman" w:eastAsia="宋体" w:cs="Times New Roman"/>
          <w:color w:val="auto"/>
          <w:sz w:val="24"/>
          <w:szCs w:val="21"/>
          <w:highlight w:val="none"/>
          <w:u w:val="none"/>
          <w:lang w:val="en-US" w:eastAsia="zh-CN" w:bidi="ar-SA"/>
        </w:rPr>
        <w:t>上述CO</w:t>
      </w:r>
      <w:r>
        <w:rPr>
          <w:rFonts w:ascii="Times New Roman" w:hAnsi="Times New Roman" w:eastAsia="宋体" w:cs="Times New Roman"/>
          <w:color w:val="auto"/>
          <w:sz w:val="24"/>
          <w:szCs w:val="21"/>
          <w:highlight w:val="none"/>
          <w:u w:val="none"/>
          <w:vertAlign w:val="subscript"/>
          <w:lang w:val="en-US" w:eastAsia="zh-CN" w:bidi="ar-SA"/>
        </w:rPr>
        <w:t>2</w:t>
      </w:r>
      <w:r>
        <w:rPr>
          <w:rFonts w:ascii="Times New Roman" w:hAnsi="Times New Roman" w:eastAsia="宋体" w:cs="Times New Roman"/>
          <w:color w:val="auto"/>
          <w:sz w:val="24"/>
          <w:szCs w:val="21"/>
          <w:highlight w:val="none"/>
          <w:u w:val="none"/>
          <w:lang w:val="en-US" w:eastAsia="zh-CN" w:bidi="ar-SA"/>
        </w:rPr>
        <w:t>排放总量计算公式，</w:t>
      </w:r>
      <w:r>
        <w:rPr>
          <w:rFonts w:hint="eastAsia" w:ascii="Times New Roman" w:hAnsi="Times New Roman" w:eastAsia="宋体" w:cs="Times New Roman"/>
          <w:color w:val="auto"/>
          <w:sz w:val="24"/>
          <w:szCs w:val="21"/>
          <w:highlight w:val="none"/>
          <w:u w:val="none"/>
          <w:lang w:val="en-US" w:eastAsia="zh-CN" w:bidi="ar-SA"/>
        </w:rPr>
        <w:t>本工程</w:t>
      </w:r>
      <w:r>
        <w:rPr>
          <w:rFonts w:ascii="Times New Roman" w:hAnsi="Times New Roman" w:eastAsia="宋体" w:cs="Times New Roman"/>
          <w:color w:val="auto"/>
          <w:sz w:val="24"/>
          <w:szCs w:val="21"/>
          <w:highlight w:val="none"/>
          <w:u w:val="none"/>
          <w:lang w:val="en-US" w:eastAsia="zh-CN" w:bidi="ar-SA"/>
        </w:rPr>
        <w:t>实施后CO</w:t>
      </w:r>
      <w:r>
        <w:rPr>
          <w:rFonts w:ascii="Times New Roman" w:hAnsi="Times New Roman" w:eastAsia="宋体" w:cs="Times New Roman"/>
          <w:color w:val="auto"/>
          <w:sz w:val="24"/>
          <w:szCs w:val="21"/>
          <w:highlight w:val="none"/>
          <w:u w:val="none"/>
          <w:vertAlign w:val="subscript"/>
          <w:lang w:val="en-US" w:eastAsia="zh-CN" w:bidi="ar-SA"/>
        </w:rPr>
        <w:t>2</w:t>
      </w:r>
      <w:r>
        <w:rPr>
          <w:rFonts w:ascii="Times New Roman" w:hAnsi="Times New Roman" w:eastAsia="宋体" w:cs="Times New Roman"/>
          <w:color w:val="auto"/>
          <w:sz w:val="24"/>
          <w:szCs w:val="21"/>
          <w:highlight w:val="none"/>
          <w:u w:val="none"/>
          <w:lang w:val="en-US" w:eastAsia="zh-CN" w:bidi="ar-SA"/>
        </w:rPr>
        <w:t>排放总量见</w:t>
      </w:r>
      <w:r>
        <w:rPr>
          <w:rFonts w:hint="eastAsia" w:cs="Times New Roman"/>
          <w:color w:val="auto"/>
          <w:sz w:val="24"/>
          <w:szCs w:val="21"/>
          <w:highlight w:val="none"/>
          <w:u w:val="none"/>
          <w:lang w:val="en-US" w:eastAsia="zh-CN" w:bidi="ar-SA"/>
        </w:rPr>
        <w:t>下</w:t>
      </w:r>
      <w:r>
        <w:rPr>
          <w:rFonts w:ascii="Times New Roman" w:hAnsi="Times New Roman" w:eastAsia="宋体" w:cs="Times New Roman"/>
          <w:color w:val="auto"/>
          <w:sz w:val="24"/>
          <w:szCs w:val="21"/>
          <w:highlight w:val="none"/>
          <w:u w:val="none"/>
          <w:lang w:val="en-US" w:eastAsia="zh-CN" w:bidi="ar-SA"/>
        </w:rPr>
        <w:t>表</w:t>
      </w:r>
      <w:r>
        <w:rPr>
          <w:rFonts w:hint="eastAsia" w:cs="Times New Roman"/>
          <w:color w:val="auto"/>
          <w:sz w:val="24"/>
          <w:szCs w:val="21"/>
          <w:highlight w:val="none"/>
          <w:u w:val="none"/>
          <w:lang w:val="en-US" w:eastAsia="zh-CN" w:bidi="ar-SA"/>
        </w:rPr>
        <w:t>：</w:t>
      </w:r>
    </w:p>
    <w:p w14:paraId="0AD16E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color w:val="auto"/>
          <w:kern w:val="2"/>
          <w:sz w:val="24"/>
          <w:szCs w:val="24"/>
          <w:u w:val="none"/>
          <w:lang w:val="en-US" w:eastAsia="zh-CN" w:bidi="ar-SA"/>
        </w:rPr>
      </w:pPr>
      <w:bookmarkStart w:id="533" w:name="_Toc24493"/>
      <w:r>
        <w:rPr>
          <w:rFonts w:hint="eastAsia" w:ascii="黑体" w:hAnsi="黑体" w:eastAsia="黑体" w:cs="黑体"/>
          <w:b w:val="0"/>
          <w:bCs/>
          <w:color w:val="auto"/>
          <w:kern w:val="2"/>
          <w:sz w:val="24"/>
          <w:szCs w:val="24"/>
          <w:u w:val="none"/>
          <w:lang w:val="en-US" w:eastAsia="zh-CN" w:bidi="ar-SA"/>
        </w:rPr>
        <w:t>表7.1-4  CO</w:t>
      </w:r>
      <w:r>
        <w:rPr>
          <w:rFonts w:hint="eastAsia" w:ascii="黑体" w:hAnsi="黑体" w:eastAsia="黑体" w:cs="黑体"/>
          <w:b w:val="0"/>
          <w:bCs/>
          <w:color w:val="auto"/>
          <w:kern w:val="2"/>
          <w:sz w:val="24"/>
          <w:szCs w:val="24"/>
          <w:u w:val="none"/>
          <w:vertAlign w:val="subscript"/>
          <w:lang w:val="en-US" w:eastAsia="zh-CN" w:bidi="ar-SA"/>
        </w:rPr>
        <w:t>2</w:t>
      </w:r>
      <w:r>
        <w:rPr>
          <w:rFonts w:hint="eastAsia" w:ascii="黑体" w:hAnsi="黑体" w:eastAsia="黑体" w:cs="黑体"/>
          <w:b w:val="0"/>
          <w:bCs/>
          <w:color w:val="auto"/>
          <w:kern w:val="2"/>
          <w:sz w:val="24"/>
          <w:szCs w:val="24"/>
          <w:u w:val="none"/>
          <w:lang w:val="en-US" w:eastAsia="zh-CN" w:bidi="ar-SA"/>
        </w:rPr>
        <w:t>排放总量汇总一览表</w:t>
      </w:r>
      <w:bookmarkEnd w:id="533"/>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97"/>
        <w:gridCol w:w="3026"/>
        <w:gridCol w:w="1796"/>
        <w:gridCol w:w="2554"/>
      </w:tblGrid>
      <w:tr w14:paraId="2FFBA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Align w:val="center"/>
          </w:tcPr>
          <w:p w14:paraId="29A6ECD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w:t>
            </w:r>
          </w:p>
        </w:tc>
        <w:tc>
          <w:tcPr>
            <w:tcW w:w="1744" w:type="pct"/>
            <w:vAlign w:val="center"/>
          </w:tcPr>
          <w:p w14:paraId="1C1C74A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源类别</w:t>
            </w:r>
          </w:p>
        </w:tc>
        <w:tc>
          <w:tcPr>
            <w:tcW w:w="1035" w:type="pct"/>
            <w:vAlign w:val="center"/>
          </w:tcPr>
          <w:p w14:paraId="4B1575C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排放量（吨CO</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rPr>
              <w:t>）</w:t>
            </w:r>
          </w:p>
        </w:tc>
        <w:tc>
          <w:tcPr>
            <w:tcW w:w="1472" w:type="pct"/>
            <w:vAlign w:val="center"/>
          </w:tcPr>
          <w:p w14:paraId="73629CE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占比（%）</w:t>
            </w:r>
          </w:p>
        </w:tc>
      </w:tr>
      <w:tr w14:paraId="75749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restart"/>
            <w:vAlign w:val="center"/>
          </w:tcPr>
          <w:p w14:paraId="603E69DA">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本工程</w:t>
            </w:r>
          </w:p>
        </w:tc>
        <w:tc>
          <w:tcPr>
            <w:tcW w:w="1744" w:type="pct"/>
            <w:vAlign w:val="center"/>
          </w:tcPr>
          <w:p w14:paraId="205027C1">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燃料燃烧CO</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rPr>
              <w:t>排放</w:t>
            </w:r>
          </w:p>
        </w:tc>
        <w:tc>
          <w:tcPr>
            <w:tcW w:w="1035" w:type="pct"/>
            <w:vAlign w:val="center"/>
          </w:tcPr>
          <w:p w14:paraId="1C62098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472" w:type="pct"/>
            <w:vAlign w:val="center"/>
          </w:tcPr>
          <w:p w14:paraId="5C4EF00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r>
      <w:tr w14:paraId="02943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18F0943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p>
        </w:tc>
        <w:tc>
          <w:tcPr>
            <w:tcW w:w="1744" w:type="pct"/>
            <w:vAlign w:val="center"/>
          </w:tcPr>
          <w:p w14:paraId="21ADA25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火炬燃烧排放</w:t>
            </w:r>
          </w:p>
        </w:tc>
        <w:tc>
          <w:tcPr>
            <w:tcW w:w="1035" w:type="pct"/>
            <w:vAlign w:val="center"/>
          </w:tcPr>
          <w:p w14:paraId="67EF2B5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627.81</w:t>
            </w:r>
          </w:p>
        </w:tc>
        <w:tc>
          <w:tcPr>
            <w:tcW w:w="1472" w:type="pct"/>
            <w:vAlign w:val="center"/>
          </w:tcPr>
          <w:p w14:paraId="78EB852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34.53</w:t>
            </w:r>
          </w:p>
        </w:tc>
      </w:tr>
      <w:tr w14:paraId="7B0E3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7FEE590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p>
        </w:tc>
        <w:tc>
          <w:tcPr>
            <w:tcW w:w="1744" w:type="pct"/>
            <w:vAlign w:val="center"/>
          </w:tcPr>
          <w:p w14:paraId="0B8D6C7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工艺放空排放</w:t>
            </w:r>
          </w:p>
        </w:tc>
        <w:tc>
          <w:tcPr>
            <w:tcW w:w="1035" w:type="pct"/>
            <w:vAlign w:val="center"/>
          </w:tcPr>
          <w:p w14:paraId="473BE16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472" w:type="pct"/>
            <w:vAlign w:val="center"/>
          </w:tcPr>
          <w:p w14:paraId="2A25FBC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r>
      <w:tr w14:paraId="18670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8" w:hRule="atLeast"/>
          <w:tblHeader/>
          <w:jc w:val="center"/>
        </w:trPr>
        <w:tc>
          <w:tcPr>
            <w:tcW w:w="748" w:type="pct"/>
            <w:vMerge w:val="continue"/>
            <w:vAlign w:val="center"/>
          </w:tcPr>
          <w:p w14:paraId="13324E1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p>
        </w:tc>
        <w:tc>
          <w:tcPr>
            <w:tcW w:w="1744" w:type="pct"/>
            <w:vAlign w:val="center"/>
          </w:tcPr>
          <w:p w14:paraId="512E1FA7">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CH</w:t>
            </w:r>
            <w:r>
              <w:rPr>
                <w:rFonts w:hint="eastAsia" w:ascii="宋体" w:hAnsi="宋体" w:eastAsia="宋体" w:cs="宋体"/>
                <w:color w:val="auto"/>
                <w:sz w:val="21"/>
                <w:szCs w:val="21"/>
                <w:highlight w:val="none"/>
                <w:u w:val="none"/>
                <w:vertAlign w:val="subscript"/>
              </w:rPr>
              <w:t>4</w:t>
            </w:r>
            <w:r>
              <w:rPr>
                <w:rFonts w:hint="eastAsia" w:ascii="宋体" w:hAnsi="宋体" w:eastAsia="宋体" w:cs="宋体"/>
                <w:color w:val="auto"/>
                <w:sz w:val="21"/>
                <w:szCs w:val="21"/>
                <w:highlight w:val="none"/>
                <w:u w:val="none"/>
              </w:rPr>
              <w:t>逃逸排放</w:t>
            </w:r>
          </w:p>
        </w:tc>
        <w:tc>
          <w:tcPr>
            <w:tcW w:w="1035" w:type="pct"/>
            <w:vAlign w:val="center"/>
          </w:tcPr>
          <w:p w14:paraId="11BE824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157.5</w:t>
            </w:r>
          </w:p>
        </w:tc>
        <w:tc>
          <w:tcPr>
            <w:tcW w:w="1472" w:type="pct"/>
            <w:vAlign w:val="center"/>
          </w:tcPr>
          <w:p w14:paraId="5C52DF3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8.66</w:t>
            </w:r>
          </w:p>
        </w:tc>
      </w:tr>
      <w:tr w14:paraId="6C45C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03D8401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p>
        </w:tc>
        <w:tc>
          <w:tcPr>
            <w:tcW w:w="1744" w:type="pct"/>
            <w:vAlign w:val="center"/>
          </w:tcPr>
          <w:p w14:paraId="75AEB3DB">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CH</w:t>
            </w:r>
            <w:r>
              <w:rPr>
                <w:rFonts w:hint="eastAsia" w:ascii="宋体" w:hAnsi="宋体" w:eastAsia="宋体" w:cs="宋体"/>
                <w:color w:val="auto"/>
                <w:sz w:val="21"/>
                <w:szCs w:val="21"/>
                <w:highlight w:val="none"/>
                <w:u w:val="none"/>
                <w:vertAlign w:val="subscript"/>
              </w:rPr>
              <w:t>4</w:t>
            </w:r>
            <w:r>
              <w:rPr>
                <w:rFonts w:hint="eastAsia" w:ascii="宋体" w:hAnsi="宋体" w:eastAsia="宋体" w:cs="宋体"/>
                <w:color w:val="auto"/>
                <w:sz w:val="21"/>
                <w:szCs w:val="21"/>
                <w:highlight w:val="none"/>
                <w:u w:val="none"/>
              </w:rPr>
              <w:t>回收利用量</w:t>
            </w:r>
          </w:p>
        </w:tc>
        <w:tc>
          <w:tcPr>
            <w:tcW w:w="1035" w:type="pct"/>
            <w:vAlign w:val="center"/>
          </w:tcPr>
          <w:p w14:paraId="5CDEC95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472" w:type="pct"/>
            <w:vAlign w:val="center"/>
          </w:tcPr>
          <w:p w14:paraId="5BAAD40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r>
      <w:tr w14:paraId="4ED1B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111FA391">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p>
        </w:tc>
        <w:tc>
          <w:tcPr>
            <w:tcW w:w="1744" w:type="pct"/>
            <w:vAlign w:val="center"/>
          </w:tcPr>
          <w:p w14:paraId="2A1A35E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C0</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rPr>
              <w:t>回收利用量</w:t>
            </w:r>
          </w:p>
        </w:tc>
        <w:tc>
          <w:tcPr>
            <w:tcW w:w="1035" w:type="pct"/>
            <w:vAlign w:val="center"/>
          </w:tcPr>
          <w:p w14:paraId="684534E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472" w:type="pct"/>
            <w:vAlign w:val="center"/>
          </w:tcPr>
          <w:p w14:paraId="5BBB767B">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r>
      <w:tr w14:paraId="264B4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57904D0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p>
        </w:tc>
        <w:tc>
          <w:tcPr>
            <w:tcW w:w="1744" w:type="pct"/>
            <w:vAlign w:val="center"/>
          </w:tcPr>
          <w:p w14:paraId="09FBA26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净购入电力、热力隐含的CO</w:t>
            </w:r>
            <w:r>
              <w:rPr>
                <w:rFonts w:hint="eastAsia" w:ascii="宋体" w:hAnsi="宋体" w:eastAsia="宋体" w:cs="宋体"/>
                <w:color w:val="auto"/>
                <w:sz w:val="21"/>
                <w:szCs w:val="21"/>
                <w:highlight w:val="none"/>
                <w:u w:val="none"/>
                <w:vertAlign w:val="subscript"/>
              </w:rPr>
              <w:t>2</w:t>
            </w:r>
            <w:r>
              <w:rPr>
                <w:rFonts w:hint="eastAsia" w:ascii="宋体" w:hAnsi="宋体" w:eastAsia="宋体" w:cs="宋体"/>
                <w:color w:val="auto"/>
                <w:sz w:val="21"/>
                <w:szCs w:val="21"/>
                <w:highlight w:val="none"/>
                <w:u w:val="none"/>
              </w:rPr>
              <w:t>排放</w:t>
            </w:r>
          </w:p>
        </w:tc>
        <w:tc>
          <w:tcPr>
            <w:tcW w:w="1035" w:type="pct"/>
            <w:vAlign w:val="center"/>
          </w:tcPr>
          <w:p w14:paraId="04527DCB">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1033</w:t>
            </w:r>
          </w:p>
        </w:tc>
        <w:tc>
          <w:tcPr>
            <w:tcW w:w="1472" w:type="pct"/>
            <w:vAlign w:val="center"/>
          </w:tcPr>
          <w:p w14:paraId="343C219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56.81</w:t>
            </w:r>
          </w:p>
        </w:tc>
      </w:tr>
      <w:tr w14:paraId="7B5D3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14:paraId="5EF4085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p>
        </w:tc>
        <w:tc>
          <w:tcPr>
            <w:tcW w:w="1744" w:type="pct"/>
            <w:vAlign w:val="center"/>
          </w:tcPr>
          <w:p w14:paraId="3E2071F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合计</w:t>
            </w:r>
          </w:p>
        </w:tc>
        <w:tc>
          <w:tcPr>
            <w:tcW w:w="1035" w:type="pct"/>
            <w:vAlign w:val="center"/>
          </w:tcPr>
          <w:p w14:paraId="2D0D9C37">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1818.31</w:t>
            </w:r>
          </w:p>
        </w:tc>
        <w:tc>
          <w:tcPr>
            <w:tcW w:w="1472" w:type="pct"/>
            <w:vAlign w:val="center"/>
          </w:tcPr>
          <w:p w14:paraId="4B410501">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100</w:t>
            </w:r>
          </w:p>
        </w:tc>
      </w:tr>
    </w:tbl>
    <w:p w14:paraId="6B7BC146">
      <w:pPr>
        <w:keepNext/>
        <w:keepLines/>
        <w:pageBreakBefore w:val="0"/>
        <w:widowControl/>
        <w:kinsoku/>
        <w:wordWrap/>
        <w:overflowPunct/>
        <w:topLinePunct w:val="0"/>
        <w:autoSpaceDE/>
        <w:autoSpaceDN/>
        <w:bidi w:val="0"/>
        <w:adjustRightInd/>
        <w:snapToGrid/>
        <w:spacing w:before="164" w:beforeLines="50" w:after="0" w:line="360" w:lineRule="auto"/>
        <w:jc w:val="left"/>
        <w:textAlignment w:val="auto"/>
        <w:outlineLvl w:val="1"/>
        <w:rPr>
          <w:rFonts w:hint="eastAsia" w:ascii="黑体" w:hAnsi="黑体" w:eastAsia="黑体" w:cs="Times New Roman"/>
          <w:b/>
          <w:bCs w:val="0"/>
          <w:color w:val="auto"/>
          <w:kern w:val="44"/>
          <w:sz w:val="28"/>
          <w:szCs w:val="24"/>
          <w:highlight w:val="none"/>
          <w:u w:val="none"/>
          <w:lang w:val="en-US" w:eastAsia="zh-CN" w:bidi="ar-SA"/>
        </w:rPr>
      </w:pPr>
      <w:bookmarkStart w:id="534" w:name="_Toc4418"/>
      <w:bookmarkStart w:id="535" w:name="_Toc17977"/>
      <w:bookmarkStart w:id="536" w:name="_Toc153807750"/>
      <w:bookmarkStart w:id="537" w:name="_Toc151643468"/>
      <w:bookmarkStart w:id="538" w:name="_Toc173941977"/>
      <w:bookmarkStart w:id="539" w:name="_Toc4262"/>
      <w:bookmarkStart w:id="540" w:name="_Toc173941756"/>
      <w:bookmarkStart w:id="541" w:name="_Toc10835"/>
      <w:bookmarkStart w:id="542" w:name="_Toc25983"/>
      <w:bookmarkStart w:id="543" w:name="_Toc74874409"/>
      <w:bookmarkStart w:id="544" w:name="_Toc173942710"/>
      <w:r>
        <w:rPr>
          <w:rFonts w:hint="eastAsia" w:ascii="黑体" w:hAnsi="黑体" w:eastAsia="黑体" w:cs="Times New Roman"/>
          <w:b/>
          <w:bCs w:val="0"/>
          <w:color w:val="auto"/>
          <w:kern w:val="44"/>
          <w:sz w:val="28"/>
          <w:szCs w:val="24"/>
          <w:highlight w:val="none"/>
          <w:u w:val="none"/>
          <w:lang w:val="en-US" w:eastAsia="zh-CN" w:bidi="ar-SA"/>
        </w:rPr>
        <w:t>7.2 减污降碳措施</w:t>
      </w:r>
      <w:bookmarkEnd w:id="534"/>
      <w:bookmarkEnd w:id="535"/>
      <w:bookmarkEnd w:id="536"/>
      <w:bookmarkEnd w:id="537"/>
      <w:bookmarkEnd w:id="538"/>
      <w:bookmarkEnd w:id="539"/>
      <w:bookmarkEnd w:id="540"/>
      <w:bookmarkEnd w:id="541"/>
      <w:bookmarkEnd w:id="542"/>
      <w:bookmarkEnd w:id="543"/>
      <w:bookmarkEnd w:id="544"/>
    </w:p>
    <w:p w14:paraId="068BD5A7">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2"/>
        <w:rPr>
          <w:rFonts w:hint="default" w:ascii="黑体" w:hAnsi="黑体" w:eastAsia="黑体" w:cs="Times New Roman"/>
          <w:b/>
          <w:bCs w:val="0"/>
          <w:color w:val="auto"/>
          <w:sz w:val="24"/>
          <w:szCs w:val="20"/>
          <w:highlight w:val="none"/>
          <w:u w:val="none"/>
          <w:lang w:val="en-US" w:eastAsia="zh-CN" w:bidi="ar-SA"/>
        </w:rPr>
      </w:pPr>
      <w:bookmarkStart w:id="545" w:name="_Toc173941978"/>
      <w:r>
        <w:rPr>
          <w:rFonts w:hint="eastAsia" w:ascii="黑体" w:hAnsi="黑体" w:eastAsia="黑体" w:cs="Times New Roman"/>
          <w:b/>
          <w:bCs w:val="0"/>
          <w:color w:val="auto"/>
          <w:sz w:val="24"/>
          <w:szCs w:val="20"/>
          <w:highlight w:val="none"/>
          <w:u w:val="none"/>
          <w:lang w:val="en-US" w:eastAsia="zh-CN" w:bidi="ar-SA"/>
        </w:rPr>
        <w:t>7.2.1 节能降耗措施</w:t>
      </w:r>
    </w:p>
    <w:p w14:paraId="572E076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在工艺流程设计中尽量利用井口压力能，合理确定压力级制，油气集输与处理不增压，或少加压，尽量不用或少用转动设备</w:t>
      </w:r>
      <w:r>
        <w:rPr>
          <w:rFonts w:hint="eastAsia"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天然气集输工艺采用密闭集输工艺，减少资源排放，在正常情况下，无天然气放空损耗。井口设置紧急切断阀，减少天然气在事故状态下的损失；制定合理的检修方案和检修时间，尽可能减少天然气的放空损失</w:t>
      </w:r>
      <w:r>
        <w:rPr>
          <w:rFonts w:hint="eastAsia"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选择操作灵活、密封性能好的阀门产品，减少天然气的泄漏</w:t>
      </w:r>
      <w:r>
        <w:rPr>
          <w:rFonts w:hint="eastAsia" w:cs="Times New Roman"/>
          <w:color w:val="auto"/>
          <w:sz w:val="24"/>
          <w:szCs w:val="21"/>
          <w:highlight w:val="none"/>
          <w:u w:val="none"/>
          <w:lang w:val="en-US" w:eastAsia="zh-CN" w:bidi="ar-SA"/>
        </w:rPr>
        <w:t>；</w:t>
      </w:r>
      <w:r>
        <w:rPr>
          <w:rFonts w:hint="eastAsia" w:ascii="Times New Roman" w:hAnsi="Times New Roman" w:eastAsia="宋体" w:cs="Times New Roman"/>
          <w:color w:val="auto"/>
          <w:sz w:val="24"/>
          <w:szCs w:val="21"/>
          <w:highlight w:val="none"/>
          <w:u w:val="none"/>
          <w:lang w:val="en-US" w:eastAsia="zh-CN" w:bidi="ar-SA"/>
        </w:rPr>
        <w:t>合理选择节能型电气设备，使功率损耗最小；电缆按经济电流选择截面，合理确定供配电线路导线和电缆的截面，降低线路损耗；选用节能型低损耗变压器，合理选择变压器容量，降低损耗；合理选用加热设备型号，力求在满足天然气集输条件的加热温度下，使加热设备的能耗最低。</w:t>
      </w:r>
    </w:p>
    <w:p w14:paraId="335BA72F">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r>
        <w:rPr>
          <w:rFonts w:hint="eastAsia" w:ascii="黑体" w:hAnsi="黑体" w:eastAsia="黑体" w:cs="Times New Roman"/>
          <w:b/>
          <w:bCs w:val="0"/>
          <w:color w:val="auto"/>
          <w:sz w:val="24"/>
          <w:szCs w:val="20"/>
          <w:highlight w:val="none"/>
          <w:u w:val="none"/>
          <w:lang w:val="en-US" w:eastAsia="zh-CN" w:bidi="ar-SA"/>
        </w:rPr>
        <w:t>7.2.2清洁运输</w:t>
      </w:r>
    </w:p>
    <w:p w14:paraId="2330C7F8">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油气</w:t>
      </w:r>
      <w:r>
        <w:rPr>
          <w:rFonts w:hint="eastAsia" w:cs="Times New Roman"/>
          <w:color w:val="auto"/>
          <w:sz w:val="24"/>
          <w:szCs w:val="21"/>
          <w:highlight w:val="none"/>
          <w:u w:val="none"/>
          <w:lang w:val="en-US" w:eastAsia="zh-CN" w:bidi="ar-SA"/>
        </w:rPr>
        <w:t>集输及处理</w:t>
      </w:r>
      <w:r>
        <w:rPr>
          <w:rFonts w:hint="eastAsia" w:ascii="Times New Roman" w:hAnsi="Times New Roman" w:eastAsia="宋体" w:cs="Times New Roman"/>
          <w:color w:val="auto"/>
          <w:sz w:val="24"/>
          <w:szCs w:val="21"/>
          <w:highlight w:val="none"/>
          <w:u w:val="none"/>
          <w:lang w:val="en-US" w:eastAsia="zh-CN" w:bidi="ar-SA"/>
        </w:rPr>
        <w:t>全过程采用密闭工艺流程，定期对井场的设备、阀门等检查、检修，以防止跑、冒、漏现象的发生；加强对密闭管线及密封点的巡检，一旦发生泄漏立即切断控制阀，并尽快完成修复，有效提升温室气体泄漏控制能力。</w:t>
      </w:r>
    </w:p>
    <w:p w14:paraId="3BC00055">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r>
        <w:rPr>
          <w:rFonts w:hint="eastAsia" w:ascii="黑体" w:hAnsi="黑体" w:eastAsia="黑体" w:cs="Times New Roman"/>
          <w:b/>
          <w:bCs w:val="0"/>
          <w:color w:val="auto"/>
          <w:sz w:val="24"/>
          <w:szCs w:val="20"/>
          <w:highlight w:val="none"/>
          <w:u w:val="none"/>
          <w:lang w:val="en-US" w:eastAsia="zh-CN" w:bidi="ar-SA"/>
        </w:rPr>
        <w:t>7.2.3挥发性有机物与甲烷协同控制</w:t>
      </w:r>
      <w:bookmarkEnd w:id="545"/>
      <w:r>
        <w:rPr>
          <w:rFonts w:hint="eastAsia" w:ascii="黑体" w:hAnsi="黑体" w:eastAsia="黑体" w:cs="Times New Roman"/>
          <w:b/>
          <w:bCs w:val="0"/>
          <w:color w:val="auto"/>
          <w:sz w:val="24"/>
          <w:szCs w:val="20"/>
          <w:highlight w:val="none"/>
          <w:u w:val="none"/>
          <w:lang w:val="en-US" w:eastAsia="zh-CN" w:bidi="ar-SA"/>
        </w:rPr>
        <w:t xml:space="preserve"> </w:t>
      </w:r>
    </w:p>
    <w:p w14:paraId="331BA7D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2"/>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加强企业能源管理，减少甲烷逸散损耗，定期开展能源及碳排放管理培训，提升管理水平；积极开展源头控制，优先选择绿色节能工艺、产品和技术，降低化石燃料消费量；积极开展碳捕获、利用与封存（CCUS）技术，进一步挖掘和提升减污降碳潜力</w:t>
      </w:r>
      <w:r>
        <w:rPr>
          <w:rFonts w:hint="eastAsia" w:ascii="Times New Roman" w:hAnsi="Times New Roman" w:eastAsia="宋体" w:cs="Times New Roman"/>
          <w:color w:val="auto"/>
          <w:sz w:val="24"/>
          <w:szCs w:val="22"/>
          <w:highlight w:val="none"/>
          <w:u w:val="none"/>
          <w:lang w:val="en-US" w:eastAsia="zh-CN" w:bidi="ar-SA"/>
        </w:rPr>
        <w:t xml:space="preserve">。 </w:t>
      </w:r>
    </w:p>
    <w:p w14:paraId="2208D9E5">
      <w:pPr>
        <w:keepNext/>
        <w:keepLines/>
        <w:pageBreakBefore w:val="0"/>
        <w:widowControl/>
        <w:kinsoku/>
        <w:wordWrap/>
        <w:overflowPunct/>
        <w:topLinePunct w:val="0"/>
        <w:autoSpaceDE/>
        <w:autoSpaceDN/>
        <w:bidi w:val="0"/>
        <w:adjustRightInd/>
        <w:snapToGrid/>
        <w:spacing w:before="164" w:beforeLines="50" w:after="0" w:line="360" w:lineRule="auto"/>
        <w:jc w:val="left"/>
        <w:textAlignment w:val="auto"/>
        <w:outlineLvl w:val="1"/>
        <w:rPr>
          <w:rFonts w:hint="eastAsia" w:ascii="黑体" w:hAnsi="黑体" w:eastAsia="黑体" w:cs="Times New Roman"/>
          <w:b/>
          <w:bCs w:val="0"/>
          <w:color w:val="auto"/>
          <w:kern w:val="44"/>
          <w:sz w:val="28"/>
          <w:szCs w:val="24"/>
          <w:highlight w:val="none"/>
          <w:u w:val="none"/>
          <w:lang w:val="en-US" w:eastAsia="zh-CN" w:bidi="ar-SA"/>
        </w:rPr>
      </w:pPr>
      <w:bookmarkStart w:id="546" w:name="_Toc6299"/>
      <w:bookmarkStart w:id="547" w:name="_Toc173941981"/>
      <w:bookmarkStart w:id="548" w:name="_Toc10811"/>
      <w:bookmarkStart w:id="549" w:name="_Toc151643469"/>
      <w:bookmarkStart w:id="550" w:name="_Toc173942711"/>
      <w:bookmarkStart w:id="551" w:name="_Toc14643"/>
      <w:bookmarkStart w:id="552" w:name="_Toc7156"/>
      <w:bookmarkStart w:id="553" w:name="_Toc153807751"/>
      <w:bookmarkStart w:id="554" w:name="_Toc24101"/>
      <w:bookmarkStart w:id="555" w:name="_Toc74874411"/>
      <w:bookmarkStart w:id="556" w:name="_Toc173941757"/>
      <w:r>
        <w:rPr>
          <w:rFonts w:hint="eastAsia" w:ascii="黑体" w:hAnsi="黑体" w:eastAsia="黑体" w:cs="Times New Roman"/>
          <w:b/>
          <w:bCs w:val="0"/>
          <w:color w:val="auto"/>
          <w:kern w:val="44"/>
          <w:sz w:val="28"/>
          <w:szCs w:val="24"/>
          <w:highlight w:val="none"/>
          <w:u w:val="none"/>
          <w:lang w:val="en-US" w:eastAsia="zh-CN" w:bidi="ar-SA"/>
        </w:rPr>
        <w:t>7.3 温室气体排放评价结论</w:t>
      </w:r>
      <w:bookmarkEnd w:id="546"/>
      <w:bookmarkEnd w:id="547"/>
      <w:bookmarkEnd w:id="548"/>
      <w:bookmarkEnd w:id="549"/>
      <w:bookmarkEnd w:id="550"/>
      <w:bookmarkEnd w:id="551"/>
      <w:bookmarkEnd w:id="552"/>
      <w:bookmarkEnd w:id="553"/>
      <w:bookmarkEnd w:id="554"/>
      <w:bookmarkEnd w:id="555"/>
      <w:bookmarkEnd w:id="556"/>
    </w:p>
    <w:p w14:paraId="1409AF4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w:t>
      </w:r>
      <w:r>
        <w:rPr>
          <w:rFonts w:hint="eastAsia" w:cs="Times New Roman"/>
          <w:color w:val="auto"/>
          <w:sz w:val="24"/>
          <w:szCs w:val="21"/>
          <w:highlight w:val="none"/>
          <w:u w:val="none"/>
          <w:lang w:val="en-US" w:eastAsia="zh-CN" w:bidi="ar-SA"/>
        </w:rPr>
        <w:t>项目</w:t>
      </w:r>
      <w:r>
        <w:rPr>
          <w:rFonts w:hint="eastAsia" w:ascii="Times New Roman" w:hAnsi="Times New Roman" w:eastAsia="宋体" w:cs="Times New Roman"/>
          <w:color w:val="auto"/>
          <w:sz w:val="24"/>
          <w:szCs w:val="21"/>
          <w:highlight w:val="none"/>
          <w:u w:val="none"/>
          <w:lang w:val="en-US" w:eastAsia="zh-CN" w:bidi="ar-SA"/>
        </w:rPr>
        <w:t>实施</w:t>
      </w:r>
      <w:r>
        <w:rPr>
          <w:rFonts w:ascii="Times New Roman" w:hAnsi="Times New Roman" w:eastAsia="宋体" w:cs="Times New Roman"/>
          <w:color w:val="auto"/>
          <w:sz w:val="24"/>
          <w:szCs w:val="21"/>
          <w:highlight w:val="none"/>
          <w:u w:val="none"/>
          <w:lang w:val="en-US" w:eastAsia="zh-CN" w:bidi="ar-SA"/>
        </w:rPr>
        <w:t>后，CO</w:t>
      </w:r>
      <w:r>
        <w:rPr>
          <w:rFonts w:ascii="Times New Roman" w:hAnsi="Times New Roman" w:eastAsia="宋体" w:cs="Times New Roman"/>
          <w:color w:val="auto"/>
          <w:sz w:val="24"/>
          <w:szCs w:val="21"/>
          <w:highlight w:val="none"/>
          <w:u w:val="none"/>
          <w:vertAlign w:val="subscript"/>
          <w:lang w:val="en-US" w:eastAsia="zh-CN" w:bidi="ar-SA"/>
        </w:rPr>
        <w:t>2</w:t>
      </w:r>
      <w:r>
        <w:rPr>
          <w:rFonts w:ascii="Times New Roman" w:hAnsi="Times New Roman" w:eastAsia="宋体" w:cs="Times New Roman"/>
          <w:color w:val="auto"/>
          <w:sz w:val="24"/>
          <w:szCs w:val="21"/>
          <w:highlight w:val="none"/>
          <w:u w:val="none"/>
          <w:lang w:val="en-US" w:eastAsia="zh-CN" w:bidi="ar-SA"/>
        </w:rPr>
        <w:t>总排放量为</w:t>
      </w:r>
      <w:r>
        <w:rPr>
          <w:rFonts w:hint="eastAsia" w:cs="Times New Roman"/>
          <w:color w:val="auto"/>
          <w:sz w:val="24"/>
          <w:szCs w:val="21"/>
          <w:highlight w:val="none"/>
          <w:u w:val="none"/>
          <w:lang w:val="en-US" w:eastAsia="zh-CN" w:bidi="ar-SA"/>
        </w:rPr>
        <w:t>1818.31</w:t>
      </w:r>
      <w:r>
        <w:rPr>
          <w:rFonts w:ascii="Times New Roman" w:hAnsi="Times New Roman" w:eastAsia="宋体" w:cs="Times New Roman"/>
          <w:color w:val="auto"/>
          <w:sz w:val="24"/>
          <w:szCs w:val="21"/>
          <w:highlight w:val="none"/>
          <w:u w:val="none"/>
          <w:lang w:val="en-US" w:eastAsia="zh-CN" w:bidi="ar-SA"/>
        </w:rPr>
        <w:t>t。在工艺技</w:t>
      </w:r>
      <w:r>
        <w:rPr>
          <w:rFonts w:hint="eastAsia" w:ascii="Times New Roman" w:hAnsi="Times New Roman" w:eastAsia="宋体" w:cs="Times New Roman"/>
          <w:color w:val="auto"/>
          <w:sz w:val="24"/>
          <w:szCs w:val="21"/>
          <w:highlight w:val="none"/>
          <w:u w:val="none"/>
          <w:lang w:val="en-US" w:eastAsia="zh-CN" w:bidi="ar-SA"/>
        </w:rPr>
        <w:t>术、节能设备和能源及碳排放管理等方面均采取了较完善的减污降碳措施，有利于减少二氧化碳排放，对比同类企业碳排放水平，本工程吨产品CO</w:t>
      </w:r>
      <w:r>
        <w:rPr>
          <w:rFonts w:hint="eastAsia" w:ascii="Times New Roman" w:hAnsi="Times New Roman" w:eastAsia="宋体" w:cs="Times New Roman"/>
          <w:color w:val="auto"/>
          <w:sz w:val="24"/>
          <w:szCs w:val="21"/>
          <w:highlight w:val="none"/>
          <w:u w:val="none"/>
          <w:vertAlign w:val="subscript"/>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排放强度相对较低。</w:t>
      </w:r>
    </w:p>
    <w:p w14:paraId="682B6B4B">
      <w:pPr>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lang w:val="en-US" w:eastAsia="zh-CN"/>
        </w:rPr>
        <w:br w:type="page"/>
      </w:r>
    </w:p>
    <w:p w14:paraId="259AE1EF">
      <w:pPr>
        <w:keepNext/>
        <w:keepLines/>
        <w:pageBreakBefore w:val="0"/>
        <w:widowControl/>
        <w:kinsoku/>
        <w:wordWrap/>
        <w:overflowPunct/>
        <w:topLinePunct w:val="0"/>
        <w:autoSpaceDE/>
        <w:autoSpaceDN/>
        <w:bidi w:val="0"/>
        <w:adjustRightInd/>
        <w:snapToGrid/>
        <w:spacing w:before="0" w:after="0" w:line="360" w:lineRule="auto"/>
        <w:jc w:val="left"/>
        <w:textAlignment w:val="auto"/>
        <w:outlineLvl w:val="0"/>
        <w:rPr>
          <w:rFonts w:hint="eastAsia" w:ascii="黑体" w:hAnsi="黑体" w:eastAsia="黑体" w:cs="Times New Roman"/>
          <w:b/>
          <w:bCs w:val="0"/>
          <w:color w:val="auto"/>
          <w:kern w:val="44"/>
          <w:sz w:val="32"/>
          <w:szCs w:val="24"/>
          <w:highlight w:val="none"/>
          <w:u w:val="none"/>
          <w:lang w:val="en-US" w:eastAsia="zh-CN" w:bidi="ar-SA"/>
        </w:rPr>
      </w:pPr>
      <w:bookmarkStart w:id="557" w:name="_Toc14104"/>
      <w:r>
        <w:rPr>
          <w:rFonts w:hint="eastAsia" w:ascii="黑体" w:hAnsi="黑体" w:eastAsia="黑体" w:cs="Times New Roman"/>
          <w:b/>
          <w:bCs w:val="0"/>
          <w:color w:val="auto"/>
          <w:kern w:val="44"/>
          <w:sz w:val="32"/>
          <w:szCs w:val="24"/>
          <w:highlight w:val="none"/>
          <w:u w:val="none"/>
          <w:lang w:val="en-US" w:eastAsia="zh-CN" w:bidi="ar-SA"/>
        </w:rPr>
        <w:t xml:space="preserve">8 </w:t>
      </w:r>
      <w:r>
        <w:rPr>
          <w:rFonts w:hint="default" w:ascii="黑体" w:hAnsi="黑体" w:eastAsia="黑体" w:cs="Times New Roman"/>
          <w:b/>
          <w:bCs w:val="0"/>
          <w:color w:val="auto"/>
          <w:kern w:val="44"/>
          <w:sz w:val="32"/>
          <w:szCs w:val="24"/>
          <w:highlight w:val="none"/>
          <w:u w:val="none"/>
          <w:lang w:val="en-US" w:eastAsia="zh-CN" w:bidi="ar-SA"/>
        </w:rPr>
        <w:t>环境影响经济损益分析</w:t>
      </w:r>
      <w:bookmarkEnd w:id="519"/>
      <w:bookmarkEnd w:id="557"/>
    </w:p>
    <w:p w14:paraId="70835FB5">
      <w:pPr>
        <w:keepNext/>
        <w:keepLines/>
        <w:pageBreakBefore w:val="0"/>
        <w:widowControl/>
        <w:kinsoku/>
        <w:wordWrap/>
        <w:overflowPunct/>
        <w:topLinePunct w:val="0"/>
        <w:autoSpaceDE/>
        <w:autoSpaceDN/>
        <w:bidi w:val="0"/>
        <w:adjustRightInd/>
        <w:snapToGrid/>
        <w:spacing w:before="164" w:beforeLines="50" w:after="0" w:line="360" w:lineRule="auto"/>
        <w:jc w:val="left"/>
        <w:textAlignment w:val="auto"/>
        <w:outlineLvl w:val="1"/>
        <w:rPr>
          <w:rFonts w:hint="eastAsia" w:ascii="黑体" w:hAnsi="黑体" w:eastAsia="黑体" w:cs="Times New Roman"/>
          <w:b/>
          <w:bCs w:val="0"/>
          <w:color w:val="auto"/>
          <w:kern w:val="44"/>
          <w:sz w:val="28"/>
          <w:szCs w:val="24"/>
          <w:highlight w:val="none"/>
          <w:u w:val="none"/>
          <w:lang w:val="en-US" w:eastAsia="zh-CN" w:bidi="ar-SA"/>
        </w:rPr>
      </w:pPr>
      <w:bookmarkStart w:id="558" w:name="_Toc19717"/>
      <w:bookmarkStart w:id="559" w:name="_Toc173941943"/>
      <w:bookmarkStart w:id="560" w:name="_Toc4088"/>
      <w:bookmarkStart w:id="561" w:name="_Toc173941941"/>
      <w:r>
        <w:rPr>
          <w:rFonts w:hint="eastAsia" w:ascii="黑体" w:hAnsi="黑体" w:eastAsia="黑体" w:cs="Times New Roman"/>
          <w:b/>
          <w:bCs w:val="0"/>
          <w:color w:val="auto"/>
          <w:kern w:val="44"/>
          <w:sz w:val="28"/>
          <w:szCs w:val="24"/>
          <w:highlight w:val="none"/>
          <w:u w:val="none"/>
          <w:lang w:val="en-US" w:eastAsia="zh-CN" w:bidi="ar-SA"/>
        </w:rPr>
        <w:t>8.1 环境效益分析</w:t>
      </w:r>
      <w:bookmarkEnd w:id="558"/>
      <w:bookmarkEnd w:id="559"/>
      <w:bookmarkEnd w:id="560"/>
    </w:p>
    <w:p w14:paraId="7342D8C1">
      <w:pPr>
        <w:widowControl/>
        <w:adjustRightInd w:val="0"/>
        <w:snapToGrid w:val="0"/>
        <w:spacing w:line="360" w:lineRule="auto"/>
        <w:ind w:firstLine="456" w:firstLineChars="200"/>
        <w:jc w:val="left"/>
        <w:rPr>
          <w:rFonts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spacing w:val="-6"/>
          <w:kern w:val="0"/>
          <w:sz w:val="24"/>
          <w:szCs w:val="24"/>
          <w:highlight w:val="none"/>
          <w:u w:val="none"/>
        </w:rPr>
        <w:t>本工程</w:t>
      </w:r>
      <w:r>
        <w:rPr>
          <w:rFonts w:ascii="Times New Roman" w:hAnsi="Times New Roman" w:eastAsia="宋体" w:cs="Times New Roman"/>
          <w:color w:val="auto"/>
          <w:spacing w:val="-6"/>
          <w:kern w:val="0"/>
          <w:sz w:val="24"/>
          <w:szCs w:val="24"/>
          <w:highlight w:val="none"/>
          <w:u w:val="none"/>
        </w:rPr>
        <w:t>在设计中充分考虑了环境保护的要求，严格执行各项环境保护标准。同时还针对在生产运行过程中产生的“三废”，从实际出发采取多种相应的治理措施。</w:t>
      </w:r>
    </w:p>
    <w:p w14:paraId="1E985B88">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r>
        <w:rPr>
          <w:rFonts w:hint="eastAsia" w:ascii="黑体" w:hAnsi="黑体" w:eastAsia="黑体" w:cs="Times New Roman"/>
          <w:b/>
          <w:bCs w:val="0"/>
          <w:color w:val="auto"/>
          <w:sz w:val="24"/>
          <w:szCs w:val="20"/>
          <w:highlight w:val="none"/>
          <w:u w:val="none"/>
          <w:lang w:val="en-US" w:eastAsia="zh-CN" w:bidi="ar-SA"/>
        </w:rPr>
        <w:t>8.1.1施工期环境效益</w:t>
      </w:r>
    </w:p>
    <w:p w14:paraId="272760D5">
      <w:pPr>
        <w:widowControl/>
        <w:adjustRightInd w:val="0"/>
        <w:snapToGrid w:val="0"/>
        <w:spacing w:line="360" w:lineRule="auto"/>
        <w:ind w:firstLine="480" w:firstLineChars="200"/>
        <w:jc w:val="left"/>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 xml:space="preserve">油气开发建设对环境造成的损失主要表现在： </w:t>
      </w:r>
    </w:p>
    <w:p w14:paraId="5D4FB02C">
      <w:pPr>
        <w:widowControl/>
        <w:adjustRightInd w:val="0"/>
        <w:snapToGrid w:val="0"/>
        <w:spacing w:line="360" w:lineRule="auto"/>
        <w:ind w:firstLine="480" w:firstLineChars="200"/>
        <w:jc w:val="left"/>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 xml:space="preserve">（1）工程占地造成的环境损失； </w:t>
      </w:r>
    </w:p>
    <w:p w14:paraId="6684BD58">
      <w:pPr>
        <w:widowControl/>
        <w:adjustRightInd w:val="0"/>
        <w:snapToGrid w:val="0"/>
        <w:spacing w:line="360" w:lineRule="auto"/>
        <w:ind w:firstLine="480" w:firstLineChars="200"/>
        <w:jc w:val="left"/>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 xml:space="preserve">（2）突发事故状态污染物对土壤、植被的污染造成的环境损失； </w:t>
      </w:r>
    </w:p>
    <w:p w14:paraId="300216D7">
      <w:pPr>
        <w:widowControl/>
        <w:adjustRightInd w:val="0"/>
        <w:snapToGrid w:val="0"/>
        <w:spacing w:line="360" w:lineRule="auto"/>
        <w:ind w:firstLine="480" w:firstLineChars="200"/>
        <w:jc w:val="left"/>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 xml:space="preserve">（3）其他环境损失。 </w:t>
      </w:r>
    </w:p>
    <w:p w14:paraId="0953F525">
      <w:pPr>
        <w:widowControl/>
        <w:adjustRightInd w:val="0"/>
        <w:snapToGrid w:val="0"/>
        <w:spacing w:line="360" w:lineRule="auto"/>
        <w:ind w:firstLine="480" w:firstLineChars="200"/>
        <w:jc w:val="left"/>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永久占地主要为井场建设占地。项目永久占地的损失量分为经济损失和生态效益损失两部分，经济损失即为项目土地征购费及复垦费。生态效益损失难以确定，工程施工与占地对植被、土壤、生态环境都会造成不利影响。</w:t>
      </w:r>
    </w:p>
    <w:p w14:paraId="2A3D8446">
      <w:pPr>
        <w:widowControl/>
        <w:adjustRightInd w:val="0"/>
        <w:snapToGrid w:val="0"/>
        <w:spacing w:line="360" w:lineRule="auto"/>
        <w:ind w:firstLine="480" w:firstLineChars="200"/>
        <w:jc w:val="left"/>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本工程对区域的主要影响是生态影响，包括植被破坏后由于地表裸露导致水土流失和土壤环境质量下降。但在加强施工管理和采取生态恢复等措施后，施工影响是可以接受的。</w:t>
      </w:r>
    </w:p>
    <w:p w14:paraId="7C3DC7B4">
      <w:pPr>
        <w:widowControl/>
        <w:adjustRightInd w:val="0"/>
        <w:snapToGrid w:val="0"/>
        <w:spacing w:line="360" w:lineRule="auto"/>
        <w:ind w:firstLine="480" w:firstLineChars="200"/>
        <w:jc w:val="left"/>
        <w:rPr>
          <w:rFonts w:ascii="宋体" w:hAnsi="宋体" w:eastAsia="宋体" w:cs="宋体"/>
          <w:color w:val="auto"/>
          <w:kern w:val="0"/>
          <w:sz w:val="24"/>
          <w:szCs w:val="24"/>
          <w:highlight w:val="none"/>
          <w:u w:val="none"/>
        </w:rPr>
      </w:pPr>
      <w:r>
        <w:rPr>
          <w:rFonts w:hint="eastAsia" w:ascii="Times New Roman" w:hAnsi="Times New Roman" w:eastAsia="宋体" w:cs="Times New Roman"/>
          <w:color w:val="auto"/>
          <w:sz w:val="24"/>
          <w:szCs w:val="21"/>
          <w:highlight w:val="none"/>
          <w:u w:val="none"/>
          <w:lang w:val="en-US" w:eastAsia="zh-CN" w:bidi="ar-SA"/>
        </w:rPr>
        <w:t>本工程建设期短，不涉及当地居民搬迁，无大量弃土工程，而且建设期的各种污染物排放均属于短期污染，会随着施工的结束而消失。因此，在正常情况下，基本上不会对周围环境产生影响，但在事故状态下，将对人类生存环境产生影响。如由于自然因素及人为因素的影响，引起管道泄漏事故，将对周围环境造成较为严重的影响。由于事故程度不同，对环境造成的损失也不同，损失量的估算只能在事故发生后通过各项补偿费用来体现。</w:t>
      </w:r>
    </w:p>
    <w:p w14:paraId="00F1D080">
      <w:pPr>
        <w:keepNext/>
        <w:keepLines/>
        <w:pageBreakBefore w:val="0"/>
        <w:widowControl/>
        <w:kinsoku/>
        <w:wordWrap/>
        <w:overflowPunct/>
        <w:topLinePunct w:val="0"/>
        <w:autoSpaceDE/>
        <w:autoSpaceDN/>
        <w:bidi w:val="0"/>
        <w:adjustRightInd w:val="0"/>
        <w:snapToGrid w:val="0"/>
        <w:spacing w:before="164" w:beforeLines="50" w:after="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r>
        <w:rPr>
          <w:rFonts w:hint="eastAsia" w:ascii="黑体" w:hAnsi="黑体" w:eastAsia="黑体" w:cs="Times New Roman"/>
          <w:b/>
          <w:bCs w:val="0"/>
          <w:color w:val="auto"/>
          <w:sz w:val="24"/>
          <w:szCs w:val="20"/>
          <w:highlight w:val="none"/>
          <w:u w:val="none"/>
          <w:lang w:val="en-US" w:eastAsia="zh-CN" w:bidi="ar-SA"/>
        </w:rPr>
        <w:t>8.1.2运营期环境效益</w:t>
      </w:r>
    </w:p>
    <w:p w14:paraId="095361AC">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（1）废气</w:t>
      </w:r>
    </w:p>
    <w:p w14:paraId="3E7396B5">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本工程井口密封，采用密闭集输工艺，有效减少非甲烷总烃</w:t>
      </w:r>
      <w:r>
        <w:rPr>
          <w:rFonts w:hint="eastAsia" w:cs="Times New Roman"/>
          <w:color w:val="auto"/>
          <w:sz w:val="24"/>
          <w:szCs w:val="21"/>
          <w:highlight w:val="none"/>
          <w:u w:val="none"/>
          <w:lang w:val="en-US" w:eastAsia="zh-CN" w:bidi="ar-SA"/>
        </w:rPr>
        <w:t>、硫化氢</w:t>
      </w:r>
      <w:r>
        <w:rPr>
          <w:rFonts w:hint="eastAsia" w:ascii="Times New Roman" w:hAnsi="Times New Roman" w:eastAsia="宋体" w:cs="Times New Roman"/>
          <w:color w:val="auto"/>
          <w:sz w:val="24"/>
          <w:szCs w:val="21"/>
          <w:highlight w:val="none"/>
          <w:u w:val="none"/>
          <w:lang w:val="en-US" w:eastAsia="zh-CN" w:bidi="ar-SA"/>
        </w:rPr>
        <w:t>气体的挥发量，减少对大气的污染。</w:t>
      </w:r>
    </w:p>
    <w:p w14:paraId="0A764E18">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（2）废水</w:t>
      </w:r>
    </w:p>
    <w:p w14:paraId="54AD6A04">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运营期废水包括采出水和井下作业废水，采出水依托莫北转油站采出水处理系统处理，井下作业产生的洗井废水和废酸化压裂液用专用罐车拉运至石西集中处理站采出水处理系统进行处置，满足《碎屑岩油藏注水水质指标技术要求及分析方法》（SY/T5329-2022）标准后回注油层。</w:t>
      </w:r>
    </w:p>
    <w:p w14:paraId="5227B2E5">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（3）固体废弃物</w:t>
      </w:r>
    </w:p>
    <w:p w14:paraId="30330CE0">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运营期产生的固体废物油泥（砂）、清管废渣、废弃含油抹布、劳保用品、废防渗材料，委托具有相关危废处置资质的单位处置；落地油100%回收，回收后的落地原油运至石西集中处理站原油处理系统进行处理。</w:t>
      </w:r>
    </w:p>
    <w:p w14:paraId="76F9CC4B">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（4）噪声</w:t>
      </w:r>
    </w:p>
    <w:p w14:paraId="6EF43A15">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通过采取选用低噪声设备、隔音、减振等措施，减低了噪声污染。</w:t>
      </w:r>
    </w:p>
    <w:p w14:paraId="4FE08587">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（5）生态保护措施</w:t>
      </w:r>
    </w:p>
    <w:p w14:paraId="27E8E315">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在施工期间，严格控制地表扰动范围，严格施工作业的占地面积。</w:t>
      </w:r>
    </w:p>
    <w:p w14:paraId="6A6EF308">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各项环保措施通过充分有效的实施，可以使污染物的排放在生产过程中得到有效的控制。拟建工程选用先进、成熟、可靠、具有节能和环保效果的技术，使各种污染物在排放前得以尽可能大的削减。在生产过程中充分、有效地利用了资源，减少各种资源的损失，大大减低其对周围环境的影响。</w:t>
      </w:r>
    </w:p>
    <w:p w14:paraId="3EE19698">
      <w:pPr>
        <w:keepNext/>
        <w:keepLines/>
        <w:pageBreakBefore w:val="0"/>
        <w:widowControl/>
        <w:kinsoku/>
        <w:wordWrap/>
        <w:overflowPunct/>
        <w:topLinePunct w:val="0"/>
        <w:autoSpaceDE/>
        <w:autoSpaceDN/>
        <w:bidi w:val="0"/>
        <w:adjustRightInd/>
        <w:snapToGrid/>
        <w:spacing w:before="164" w:beforeLines="50" w:after="0" w:line="360" w:lineRule="auto"/>
        <w:jc w:val="left"/>
        <w:textAlignment w:val="auto"/>
        <w:outlineLvl w:val="1"/>
        <w:rPr>
          <w:rFonts w:hint="eastAsia" w:ascii="黑体" w:hAnsi="黑体" w:eastAsia="黑体" w:cs="Times New Roman"/>
          <w:b/>
          <w:bCs w:val="0"/>
          <w:color w:val="auto"/>
          <w:kern w:val="44"/>
          <w:sz w:val="28"/>
          <w:szCs w:val="24"/>
          <w:highlight w:val="none"/>
          <w:u w:val="none"/>
          <w:lang w:val="en-US" w:eastAsia="zh-CN" w:bidi="ar-SA"/>
        </w:rPr>
      </w:pPr>
      <w:bookmarkStart w:id="562" w:name="_Toc26829"/>
      <w:bookmarkStart w:id="563" w:name="_Toc28384"/>
      <w:bookmarkStart w:id="564" w:name="_Toc173941944"/>
      <w:r>
        <w:rPr>
          <w:rFonts w:hint="eastAsia" w:ascii="黑体" w:hAnsi="黑体" w:eastAsia="黑体" w:cs="Times New Roman"/>
          <w:b/>
          <w:bCs w:val="0"/>
          <w:color w:val="auto"/>
          <w:kern w:val="44"/>
          <w:sz w:val="28"/>
          <w:szCs w:val="24"/>
          <w:highlight w:val="none"/>
          <w:u w:val="none"/>
          <w:lang w:val="en-US" w:eastAsia="zh-CN" w:bidi="ar-SA"/>
        </w:rPr>
        <w:t>8.2 社会效益分析</w:t>
      </w:r>
      <w:bookmarkEnd w:id="562"/>
      <w:bookmarkEnd w:id="563"/>
      <w:bookmarkEnd w:id="564"/>
    </w:p>
    <w:p w14:paraId="03A17716">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本工程的建设投产，对本地区的经济和社会发展都具有非常重要的意义，主要体现在以下几个方面。</w:t>
      </w:r>
    </w:p>
    <w:p w14:paraId="11BEA44F">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1）大力开发油气资源是贯彻和落实西部大开发战略的重要举措，是把西部地区资源优势转变为经济优势的有力保证，作为主力油源准噶尔盆地蕴藏了丰富的油气资源，油气资源的开发，将把新疆丰富的地下资源变为实实在在的经济收益。同时，资源的开发建设伴随着基础设施的完善，这给新疆经济带来了良好发展机遇。</w:t>
      </w:r>
    </w:p>
    <w:p w14:paraId="76D070DC">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2）为加快新疆经济发展，保持新疆政治和社会稳定具有重大的战略意义。油气的开发建设对拉动新疆的经济发展将起到重要作用，另外，油气资源开发还可带动当地原油副产品加工利用和相关产业的发展，推动地方发展。总之，本工程在实施促进新疆的经济发展，保持边疆民族团结和社会稳定等方面，具有特别重要的意义。</w:t>
      </w:r>
    </w:p>
    <w:p w14:paraId="377CC6DB">
      <w:pPr>
        <w:keepNext/>
        <w:keepLines/>
        <w:pageBreakBefore w:val="0"/>
        <w:widowControl/>
        <w:kinsoku/>
        <w:wordWrap/>
        <w:overflowPunct/>
        <w:topLinePunct w:val="0"/>
        <w:autoSpaceDE/>
        <w:autoSpaceDN/>
        <w:bidi w:val="0"/>
        <w:adjustRightInd/>
        <w:snapToGrid/>
        <w:spacing w:before="164" w:beforeLines="50" w:after="0" w:line="360" w:lineRule="auto"/>
        <w:jc w:val="left"/>
        <w:textAlignment w:val="auto"/>
        <w:outlineLvl w:val="1"/>
        <w:rPr>
          <w:rFonts w:hint="eastAsia" w:ascii="黑体" w:hAnsi="黑体" w:eastAsia="黑体" w:cs="Times New Roman"/>
          <w:b/>
          <w:bCs w:val="0"/>
          <w:color w:val="auto"/>
          <w:kern w:val="44"/>
          <w:sz w:val="28"/>
          <w:szCs w:val="24"/>
          <w:highlight w:val="none"/>
          <w:u w:val="none"/>
          <w:lang w:val="en-US" w:eastAsia="zh-CN" w:bidi="ar-SA"/>
        </w:rPr>
      </w:pPr>
      <w:bookmarkStart w:id="565" w:name="_Toc25212"/>
      <w:bookmarkStart w:id="566" w:name="_Toc20829"/>
      <w:r>
        <w:rPr>
          <w:rFonts w:hint="eastAsia" w:ascii="黑体" w:hAnsi="黑体" w:eastAsia="黑体" w:cs="Times New Roman"/>
          <w:b/>
          <w:bCs w:val="0"/>
          <w:color w:val="auto"/>
          <w:kern w:val="44"/>
          <w:sz w:val="28"/>
          <w:szCs w:val="24"/>
          <w:highlight w:val="none"/>
          <w:u w:val="none"/>
          <w:lang w:val="en-US" w:eastAsia="zh-CN" w:bidi="ar-SA"/>
        </w:rPr>
        <w:t>8.3 综合效益分析</w:t>
      </w:r>
      <w:bookmarkEnd w:id="561"/>
      <w:bookmarkEnd w:id="565"/>
      <w:bookmarkEnd w:id="566"/>
    </w:p>
    <w:p w14:paraId="0BEEF5F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在项目开发过程中，需要投入必要的资金用于污染防治和恢复地貌等。经估算</w:t>
      </w:r>
      <w:r>
        <w:rPr>
          <w:rFonts w:hint="eastAsia" w:ascii="Times New Roman" w:hAnsi="Times New Roman" w:cs="Times New Roman"/>
          <w:color w:val="auto"/>
          <w:kern w:val="0"/>
          <w:sz w:val="24"/>
          <w:szCs w:val="24"/>
          <w:highlight w:val="none"/>
          <w:u w:val="none"/>
          <w:lang w:eastAsia="zh-CN"/>
        </w:rPr>
        <w:t>本</w:t>
      </w:r>
      <w:r>
        <w:rPr>
          <w:rFonts w:hint="eastAsia" w:cs="Times New Roman"/>
          <w:color w:val="auto"/>
          <w:kern w:val="0"/>
          <w:sz w:val="24"/>
          <w:szCs w:val="24"/>
          <w:highlight w:val="none"/>
          <w:u w:val="none"/>
          <w:lang w:val="en-US" w:eastAsia="zh-CN"/>
        </w:rPr>
        <w:t>项目总投资5600万元，</w:t>
      </w:r>
      <w:r>
        <w:rPr>
          <w:rFonts w:ascii="Times New Roman" w:hAnsi="Times New Roman" w:cs="Times New Roman"/>
          <w:color w:val="auto"/>
          <w:kern w:val="0"/>
          <w:sz w:val="24"/>
          <w:szCs w:val="24"/>
          <w:highlight w:val="none"/>
          <w:u w:val="none"/>
        </w:rPr>
        <w:t>环保投资</w:t>
      </w:r>
      <w:r>
        <w:rPr>
          <w:rFonts w:hint="eastAsia" w:cs="Times New Roman"/>
          <w:color w:val="auto"/>
          <w:kern w:val="0"/>
          <w:sz w:val="24"/>
          <w:szCs w:val="24"/>
          <w:highlight w:val="none"/>
          <w:u w:val="none"/>
          <w:lang w:val="en-US" w:eastAsia="zh-CN"/>
        </w:rPr>
        <w:t>277</w:t>
      </w:r>
      <w:r>
        <w:rPr>
          <w:rFonts w:hint="eastAsia" w:ascii="Times New Roman" w:hAnsi="Times New Roman" w:cs="Times New Roman"/>
          <w:color w:val="auto"/>
          <w:kern w:val="0"/>
          <w:sz w:val="24"/>
          <w:szCs w:val="24"/>
          <w:highlight w:val="none"/>
          <w:u w:val="none"/>
          <w:lang w:val="en-US" w:eastAsia="zh-CN"/>
        </w:rPr>
        <w:t>万元</w:t>
      </w:r>
      <w:r>
        <w:rPr>
          <w:rFonts w:ascii="Times New Roman" w:hAnsi="Times New Roman" w:cs="Times New Roman"/>
          <w:color w:val="auto"/>
          <w:kern w:val="0"/>
          <w:sz w:val="24"/>
          <w:szCs w:val="24"/>
          <w:highlight w:val="none"/>
          <w:u w:val="none"/>
        </w:rPr>
        <w:t>，占总投资的</w:t>
      </w:r>
      <w:r>
        <w:rPr>
          <w:rFonts w:hint="eastAsia" w:cs="Times New Roman"/>
          <w:color w:val="auto"/>
          <w:kern w:val="0"/>
          <w:sz w:val="24"/>
          <w:szCs w:val="24"/>
          <w:highlight w:val="none"/>
          <w:u w:val="none"/>
          <w:lang w:val="en-US" w:eastAsia="zh-CN"/>
        </w:rPr>
        <w:t>4.95</w:t>
      </w:r>
      <w:r>
        <w:rPr>
          <w:rFonts w:hint="eastAsia" w:ascii="Times New Roman" w:hAnsi="Times New Roman" w:cs="Times New Roman"/>
          <w:color w:val="auto"/>
          <w:kern w:val="0"/>
          <w:sz w:val="24"/>
          <w:szCs w:val="24"/>
          <w:highlight w:val="none"/>
          <w:u w:val="none"/>
          <w:lang w:val="en-US" w:eastAsia="zh-CN"/>
        </w:rPr>
        <w:t>%</w:t>
      </w:r>
      <w:r>
        <w:rPr>
          <w:rFonts w:ascii="Times New Roman" w:hAnsi="Times New Roman" w:cs="Times New Roman"/>
          <w:color w:val="auto"/>
          <w:kern w:val="0"/>
          <w:sz w:val="24"/>
          <w:szCs w:val="24"/>
          <w:highlight w:val="none"/>
          <w:u w:val="none"/>
        </w:rPr>
        <w:t>。</w:t>
      </w:r>
      <w:r>
        <w:rPr>
          <w:rFonts w:hint="eastAsia" w:ascii="Times New Roman" w:hAnsi="Times New Roman" w:cs="Times New Roman"/>
          <w:color w:val="auto"/>
          <w:kern w:val="0"/>
          <w:sz w:val="24"/>
          <w:szCs w:val="24"/>
          <w:highlight w:val="none"/>
          <w:u w:val="none"/>
        </w:rPr>
        <w:t>主要环保投资估算</w:t>
      </w:r>
      <w:r>
        <w:rPr>
          <w:rFonts w:hint="eastAsia" w:cs="Times New Roman"/>
          <w:color w:val="auto"/>
          <w:kern w:val="0"/>
          <w:sz w:val="24"/>
          <w:szCs w:val="24"/>
          <w:highlight w:val="none"/>
          <w:u w:val="none"/>
          <w:lang w:eastAsia="zh-CN"/>
        </w:rPr>
        <w:t>，</w:t>
      </w:r>
      <w:r>
        <w:rPr>
          <w:rFonts w:ascii="Times New Roman" w:hAnsi="Times New Roman" w:cs="Times New Roman"/>
          <w:color w:val="auto"/>
          <w:kern w:val="0"/>
          <w:sz w:val="24"/>
          <w:szCs w:val="24"/>
          <w:highlight w:val="none"/>
          <w:u w:val="none"/>
        </w:rPr>
        <w:t>见表</w:t>
      </w:r>
      <w:r>
        <w:rPr>
          <w:rFonts w:hint="eastAsia" w:cs="Times New Roman"/>
          <w:color w:val="auto"/>
          <w:kern w:val="0"/>
          <w:sz w:val="24"/>
          <w:szCs w:val="24"/>
          <w:highlight w:val="none"/>
          <w:u w:val="none"/>
          <w:lang w:val="en-US" w:eastAsia="zh-CN"/>
        </w:rPr>
        <w:t>8.3-1</w:t>
      </w:r>
      <w:r>
        <w:rPr>
          <w:rFonts w:ascii="Times New Roman" w:hAnsi="Times New Roman" w:cs="Times New Roman"/>
          <w:color w:val="auto"/>
          <w:kern w:val="0"/>
          <w:sz w:val="24"/>
          <w:szCs w:val="24"/>
          <w:highlight w:val="none"/>
          <w:u w:val="none"/>
        </w:rPr>
        <w:t>。</w:t>
      </w:r>
    </w:p>
    <w:p w14:paraId="698401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color w:val="auto"/>
          <w:kern w:val="0"/>
          <w:sz w:val="21"/>
          <w:szCs w:val="21"/>
          <w:highlight w:val="none"/>
          <w:u w:val="none"/>
        </w:rPr>
      </w:pPr>
      <w:r>
        <w:rPr>
          <w:rFonts w:hint="eastAsia" w:ascii="黑体" w:hAnsi="黑体" w:eastAsia="黑体" w:cs="黑体"/>
          <w:b w:val="0"/>
          <w:bCs/>
          <w:color w:val="auto"/>
          <w:kern w:val="2"/>
          <w:sz w:val="24"/>
          <w:szCs w:val="24"/>
          <w:u w:val="none"/>
          <w:lang w:val="en-US" w:eastAsia="zh-CN" w:bidi="ar-SA"/>
        </w:rPr>
        <w:t>表8.3-1  主要环保投资估算</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4"/>
        <w:gridCol w:w="776"/>
        <w:gridCol w:w="1355"/>
        <w:gridCol w:w="3721"/>
        <w:gridCol w:w="1306"/>
        <w:gridCol w:w="1086"/>
      </w:tblGrid>
      <w:tr w14:paraId="509CD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tcBorders>
              <w:tl2br w:val="nil"/>
              <w:tr2bl w:val="nil"/>
            </w:tcBorders>
            <w:noWrap w:val="0"/>
            <w:vAlign w:val="center"/>
          </w:tcPr>
          <w:p w14:paraId="1CF08D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阶段</w:t>
            </w:r>
          </w:p>
        </w:tc>
        <w:tc>
          <w:tcPr>
            <w:tcW w:w="439" w:type="pct"/>
            <w:tcBorders>
              <w:tl2br w:val="nil"/>
              <w:tr2bl w:val="nil"/>
            </w:tcBorders>
            <w:noWrap w:val="0"/>
            <w:vAlign w:val="center"/>
          </w:tcPr>
          <w:p w14:paraId="0F14AA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环境要素</w:t>
            </w:r>
          </w:p>
        </w:tc>
        <w:tc>
          <w:tcPr>
            <w:tcW w:w="767" w:type="pct"/>
            <w:tcBorders>
              <w:tl2br w:val="nil"/>
              <w:tr2bl w:val="nil"/>
            </w:tcBorders>
            <w:noWrap w:val="0"/>
            <w:vAlign w:val="center"/>
          </w:tcPr>
          <w:p w14:paraId="0BFC4B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w:t>
            </w:r>
          </w:p>
        </w:tc>
        <w:tc>
          <w:tcPr>
            <w:tcW w:w="2107" w:type="pct"/>
            <w:tcBorders>
              <w:tl2br w:val="nil"/>
              <w:tr2bl w:val="nil"/>
            </w:tcBorders>
            <w:noWrap w:val="0"/>
            <w:vAlign w:val="center"/>
          </w:tcPr>
          <w:p w14:paraId="5458F3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采取的环境保护措施</w:t>
            </w:r>
          </w:p>
        </w:tc>
        <w:tc>
          <w:tcPr>
            <w:tcW w:w="739" w:type="pct"/>
            <w:tcBorders>
              <w:tl2br w:val="nil"/>
              <w:tr2bl w:val="nil"/>
            </w:tcBorders>
            <w:noWrap w:val="0"/>
            <w:vAlign w:val="center"/>
          </w:tcPr>
          <w:p w14:paraId="54AF92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工程投资费用（万元）</w:t>
            </w:r>
          </w:p>
        </w:tc>
        <w:tc>
          <w:tcPr>
            <w:tcW w:w="615" w:type="pct"/>
            <w:tcBorders>
              <w:tl2br w:val="nil"/>
              <w:tr2bl w:val="nil"/>
            </w:tcBorders>
            <w:noWrap w:val="0"/>
            <w:vAlign w:val="center"/>
          </w:tcPr>
          <w:p w14:paraId="41CE9D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备注</w:t>
            </w:r>
          </w:p>
        </w:tc>
      </w:tr>
      <w:tr w14:paraId="0D11E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restart"/>
            <w:tcBorders>
              <w:tl2br w:val="nil"/>
              <w:tr2bl w:val="nil"/>
            </w:tcBorders>
            <w:noWrap w:val="0"/>
            <w:vAlign w:val="center"/>
          </w:tcPr>
          <w:p w14:paraId="2B4555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bookmarkStart w:id="567" w:name="_Hlk366849595"/>
            <w:r>
              <w:rPr>
                <w:rFonts w:hint="eastAsia" w:ascii="宋体" w:hAnsi="宋体" w:eastAsia="宋体" w:cs="宋体"/>
                <w:color w:val="auto"/>
                <w:sz w:val="21"/>
                <w:szCs w:val="21"/>
                <w:u w:val="none"/>
                <w:lang w:val="en-US" w:eastAsia="zh-CN"/>
              </w:rPr>
              <w:t>施工期</w:t>
            </w:r>
          </w:p>
        </w:tc>
        <w:tc>
          <w:tcPr>
            <w:tcW w:w="439" w:type="pct"/>
            <w:vMerge w:val="restart"/>
            <w:tcBorders>
              <w:tl2br w:val="nil"/>
              <w:tr2bl w:val="nil"/>
            </w:tcBorders>
            <w:noWrap w:val="0"/>
            <w:vAlign w:val="center"/>
          </w:tcPr>
          <w:p w14:paraId="26831F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生态环境</w:t>
            </w:r>
          </w:p>
        </w:tc>
        <w:tc>
          <w:tcPr>
            <w:tcW w:w="767" w:type="pct"/>
            <w:tcBorders>
              <w:tl2br w:val="nil"/>
              <w:tr2bl w:val="nil"/>
            </w:tcBorders>
            <w:noWrap w:val="0"/>
            <w:vAlign w:val="center"/>
          </w:tcPr>
          <w:p w14:paraId="3698E5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临时占地</w:t>
            </w:r>
          </w:p>
        </w:tc>
        <w:tc>
          <w:tcPr>
            <w:tcW w:w="2107" w:type="pct"/>
            <w:tcBorders>
              <w:tl2br w:val="nil"/>
              <w:tr2bl w:val="nil"/>
            </w:tcBorders>
            <w:noWrap w:val="0"/>
            <w:vAlign w:val="center"/>
          </w:tcPr>
          <w:p w14:paraId="62C677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施工迹地平整，生态恢复</w:t>
            </w:r>
          </w:p>
        </w:tc>
        <w:tc>
          <w:tcPr>
            <w:tcW w:w="739" w:type="pct"/>
            <w:tcBorders>
              <w:tl2br w:val="nil"/>
              <w:tr2bl w:val="nil"/>
            </w:tcBorders>
            <w:noWrap w:val="0"/>
            <w:vAlign w:val="center"/>
          </w:tcPr>
          <w:p w14:paraId="494A38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rPr>
            </w:pPr>
            <w:r>
              <w:rPr>
                <w:rFonts w:hint="eastAsia" w:ascii="宋体" w:hAnsi="宋体" w:cs="宋体"/>
                <w:color w:val="auto"/>
                <w:sz w:val="21"/>
                <w:szCs w:val="21"/>
                <w:u w:val="none"/>
                <w:lang w:val="en-US" w:eastAsia="zh-CN"/>
              </w:rPr>
              <w:t>3</w:t>
            </w:r>
          </w:p>
        </w:tc>
        <w:tc>
          <w:tcPr>
            <w:tcW w:w="615" w:type="pct"/>
            <w:tcBorders>
              <w:tl2br w:val="nil"/>
              <w:tr2bl w:val="nil"/>
            </w:tcBorders>
            <w:noWrap w:val="0"/>
            <w:vAlign w:val="center"/>
          </w:tcPr>
          <w:p w14:paraId="221225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1万/口</w:t>
            </w:r>
          </w:p>
        </w:tc>
      </w:tr>
      <w:tr w14:paraId="0AAE5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continue"/>
            <w:tcBorders>
              <w:tl2br w:val="nil"/>
              <w:tr2bl w:val="nil"/>
            </w:tcBorders>
            <w:noWrap w:val="0"/>
            <w:vAlign w:val="center"/>
          </w:tcPr>
          <w:p w14:paraId="7DCD88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439" w:type="pct"/>
            <w:vMerge w:val="continue"/>
            <w:tcBorders>
              <w:tl2br w:val="nil"/>
              <w:tr2bl w:val="nil"/>
            </w:tcBorders>
            <w:noWrap w:val="0"/>
            <w:vAlign w:val="center"/>
          </w:tcPr>
          <w:p w14:paraId="227052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767" w:type="pct"/>
            <w:tcBorders>
              <w:tl2br w:val="nil"/>
              <w:tr2bl w:val="nil"/>
            </w:tcBorders>
            <w:noWrap w:val="0"/>
            <w:vAlign w:val="center"/>
          </w:tcPr>
          <w:p w14:paraId="2AF22C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草方格</w:t>
            </w:r>
          </w:p>
        </w:tc>
        <w:tc>
          <w:tcPr>
            <w:tcW w:w="2107" w:type="pct"/>
            <w:tcBorders>
              <w:tl2br w:val="nil"/>
              <w:tr2bl w:val="nil"/>
            </w:tcBorders>
            <w:noWrap w:val="0"/>
            <w:vAlign w:val="center"/>
          </w:tcPr>
          <w:p w14:paraId="75AD4E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val="en-US" w:eastAsia="zh-CN"/>
              </w:rPr>
              <w:t>单井道路、</w:t>
            </w:r>
            <w:r>
              <w:rPr>
                <w:rFonts w:hint="eastAsia" w:ascii="宋体" w:hAnsi="宋体" w:eastAsia="宋体" w:cs="宋体"/>
                <w:color w:val="auto"/>
                <w:sz w:val="21"/>
                <w:szCs w:val="21"/>
                <w:u w:val="none"/>
              </w:rPr>
              <w:t>管线铺设草方格</w:t>
            </w:r>
          </w:p>
        </w:tc>
        <w:tc>
          <w:tcPr>
            <w:tcW w:w="739" w:type="pct"/>
            <w:tcBorders>
              <w:tl2br w:val="nil"/>
              <w:tr2bl w:val="nil"/>
            </w:tcBorders>
            <w:noWrap w:val="0"/>
            <w:vAlign w:val="center"/>
          </w:tcPr>
          <w:p w14:paraId="64E41B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3</w:t>
            </w:r>
          </w:p>
        </w:tc>
        <w:tc>
          <w:tcPr>
            <w:tcW w:w="615" w:type="pct"/>
            <w:tcBorders>
              <w:tl2br w:val="nil"/>
              <w:tr2bl w:val="nil"/>
            </w:tcBorders>
            <w:noWrap w:val="0"/>
            <w:vAlign w:val="center"/>
          </w:tcPr>
          <w:p w14:paraId="002865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tr w14:paraId="572BB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continue"/>
            <w:tcBorders>
              <w:tl2br w:val="nil"/>
              <w:tr2bl w:val="nil"/>
            </w:tcBorders>
            <w:noWrap w:val="0"/>
            <w:vAlign w:val="center"/>
          </w:tcPr>
          <w:p w14:paraId="1A7D53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439" w:type="pct"/>
            <w:vMerge w:val="continue"/>
            <w:tcBorders>
              <w:tl2br w:val="nil"/>
              <w:tr2bl w:val="nil"/>
            </w:tcBorders>
            <w:noWrap w:val="0"/>
            <w:vAlign w:val="center"/>
          </w:tcPr>
          <w:p w14:paraId="686622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767" w:type="pct"/>
            <w:tcBorders>
              <w:tl2br w:val="nil"/>
              <w:tr2bl w:val="nil"/>
            </w:tcBorders>
            <w:noWrap w:val="0"/>
            <w:vAlign w:val="center"/>
          </w:tcPr>
          <w:p w14:paraId="01574A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井场</w:t>
            </w:r>
          </w:p>
        </w:tc>
        <w:tc>
          <w:tcPr>
            <w:tcW w:w="2107" w:type="pct"/>
            <w:tcBorders>
              <w:tl2br w:val="nil"/>
              <w:tr2bl w:val="nil"/>
            </w:tcBorders>
            <w:noWrap w:val="0"/>
            <w:vAlign w:val="center"/>
          </w:tcPr>
          <w:p w14:paraId="1F64C5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val="en-US" w:eastAsia="zh-CN"/>
              </w:rPr>
              <w:t>永久占地</w:t>
            </w:r>
            <w:r>
              <w:rPr>
                <w:rFonts w:hint="eastAsia" w:ascii="宋体" w:hAnsi="宋体" w:eastAsia="宋体" w:cs="宋体"/>
                <w:color w:val="auto"/>
                <w:sz w:val="21"/>
                <w:szCs w:val="21"/>
                <w:u w:val="none"/>
              </w:rPr>
              <w:t>砾石铺垫硬化</w:t>
            </w:r>
          </w:p>
        </w:tc>
        <w:tc>
          <w:tcPr>
            <w:tcW w:w="739" w:type="pct"/>
            <w:tcBorders>
              <w:tl2br w:val="nil"/>
              <w:tr2bl w:val="nil"/>
            </w:tcBorders>
            <w:noWrap w:val="0"/>
            <w:vAlign w:val="center"/>
          </w:tcPr>
          <w:p w14:paraId="5677B1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5</w:t>
            </w:r>
          </w:p>
        </w:tc>
        <w:tc>
          <w:tcPr>
            <w:tcW w:w="615" w:type="pct"/>
            <w:tcBorders>
              <w:tl2br w:val="nil"/>
              <w:tr2bl w:val="nil"/>
            </w:tcBorders>
            <w:noWrap w:val="0"/>
            <w:vAlign w:val="center"/>
          </w:tcPr>
          <w:p w14:paraId="7B0018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tr w14:paraId="50824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continue"/>
            <w:tcBorders>
              <w:tl2br w:val="nil"/>
              <w:tr2bl w:val="nil"/>
            </w:tcBorders>
            <w:noWrap w:val="0"/>
            <w:vAlign w:val="center"/>
          </w:tcPr>
          <w:p w14:paraId="51846D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439" w:type="pct"/>
            <w:tcBorders>
              <w:tl2br w:val="nil"/>
              <w:tr2bl w:val="nil"/>
            </w:tcBorders>
            <w:noWrap w:val="0"/>
            <w:vAlign w:val="center"/>
          </w:tcPr>
          <w:p w14:paraId="4B57F4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废气</w:t>
            </w:r>
          </w:p>
        </w:tc>
        <w:tc>
          <w:tcPr>
            <w:tcW w:w="767" w:type="pct"/>
            <w:tcBorders>
              <w:tl2br w:val="nil"/>
              <w:tr2bl w:val="nil"/>
            </w:tcBorders>
            <w:noWrap w:val="0"/>
            <w:vAlign w:val="center"/>
          </w:tcPr>
          <w:p w14:paraId="73E779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施工扬尘</w:t>
            </w:r>
          </w:p>
        </w:tc>
        <w:tc>
          <w:tcPr>
            <w:tcW w:w="2107" w:type="pct"/>
            <w:tcBorders>
              <w:tl2br w:val="nil"/>
              <w:tr2bl w:val="nil"/>
            </w:tcBorders>
            <w:noWrap w:val="0"/>
            <w:vAlign w:val="center"/>
          </w:tcPr>
          <w:p w14:paraId="4F7051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运输车辆应加盖篷布，临时土方覆盖，防尘布（或网），逸散性材料运输采用苫布遮盖。</w:t>
            </w:r>
          </w:p>
        </w:tc>
        <w:tc>
          <w:tcPr>
            <w:tcW w:w="739" w:type="pct"/>
            <w:tcBorders>
              <w:tl2br w:val="nil"/>
              <w:tr2bl w:val="nil"/>
            </w:tcBorders>
            <w:noWrap w:val="0"/>
            <w:vAlign w:val="center"/>
          </w:tcPr>
          <w:p w14:paraId="152F49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w:t>
            </w:r>
          </w:p>
        </w:tc>
        <w:tc>
          <w:tcPr>
            <w:tcW w:w="615" w:type="pct"/>
            <w:tcBorders>
              <w:tl2br w:val="nil"/>
              <w:tr2bl w:val="nil"/>
            </w:tcBorders>
            <w:noWrap w:val="0"/>
            <w:vAlign w:val="center"/>
          </w:tcPr>
          <w:p w14:paraId="5DC335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tr w14:paraId="7048E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continue"/>
            <w:tcBorders>
              <w:tl2br w:val="nil"/>
              <w:tr2bl w:val="nil"/>
            </w:tcBorders>
            <w:noWrap w:val="0"/>
            <w:vAlign w:val="center"/>
          </w:tcPr>
          <w:p w14:paraId="6F5B35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439" w:type="pct"/>
            <w:tcBorders>
              <w:tl2br w:val="nil"/>
              <w:tr2bl w:val="nil"/>
            </w:tcBorders>
            <w:noWrap w:val="0"/>
            <w:vAlign w:val="center"/>
          </w:tcPr>
          <w:p w14:paraId="4F1701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废水</w:t>
            </w:r>
          </w:p>
        </w:tc>
        <w:tc>
          <w:tcPr>
            <w:tcW w:w="767" w:type="pct"/>
            <w:tcBorders>
              <w:tl2br w:val="nil"/>
              <w:tr2bl w:val="nil"/>
            </w:tcBorders>
            <w:noWrap w:val="0"/>
            <w:vAlign w:val="center"/>
          </w:tcPr>
          <w:p w14:paraId="086C6F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生活污水</w:t>
            </w:r>
          </w:p>
        </w:tc>
        <w:tc>
          <w:tcPr>
            <w:tcW w:w="2107" w:type="pct"/>
            <w:tcBorders>
              <w:tl2br w:val="nil"/>
              <w:tr2bl w:val="nil"/>
            </w:tcBorders>
            <w:noWrap w:val="0"/>
            <w:vAlign w:val="center"/>
          </w:tcPr>
          <w:p w14:paraId="6BD976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送至乌尔禾区生活污水处理厂处理</w:t>
            </w:r>
          </w:p>
        </w:tc>
        <w:tc>
          <w:tcPr>
            <w:tcW w:w="739" w:type="pct"/>
            <w:tcBorders>
              <w:tl2br w:val="nil"/>
              <w:tr2bl w:val="nil"/>
            </w:tcBorders>
            <w:noWrap w:val="0"/>
            <w:vAlign w:val="center"/>
          </w:tcPr>
          <w:p w14:paraId="467B49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5</w:t>
            </w:r>
          </w:p>
        </w:tc>
        <w:tc>
          <w:tcPr>
            <w:tcW w:w="615" w:type="pct"/>
            <w:tcBorders>
              <w:tl2br w:val="nil"/>
              <w:tr2bl w:val="nil"/>
            </w:tcBorders>
            <w:noWrap w:val="0"/>
            <w:vAlign w:val="center"/>
          </w:tcPr>
          <w:p w14:paraId="5D5B67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tr w14:paraId="59CE4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continue"/>
            <w:tcBorders>
              <w:tl2br w:val="nil"/>
              <w:tr2bl w:val="nil"/>
            </w:tcBorders>
            <w:noWrap w:val="0"/>
            <w:vAlign w:val="center"/>
          </w:tcPr>
          <w:p w14:paraId="766B5F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439" w:type="pct"/>
            <w:tcBorders>
              <w:tl2br w:val="nil"/>
              <w:tr2bl w:val="nil"/>
            </w:tcBorders>
            <w:noWrap w:val="0"/>
            <w:vAlign w:val="center"/>
          </w:tcPr>
          <w:p w14:paraId="0789400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固体废物</w:t>
            </w:r>
          </w:p>
        </w:tc>
        <w:tc>
          <w:tcPr>
            <w:tcW w:w="767" w:type="pct"/>
            <w:tcBorders>
              <w:tl2br w:val="nil"/>
              <w:tr2bl w:val="nil"/>
            </w:tcBorders>
            <w:noWrap w:val="0"/>
            <w:vAlign w:val="center"/>
          </w:tcPr>
          <w:p w14:paraId="61FC64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泥浆、岩屑</w:t>
            </w:r>
          </w:p>
        </w:tc>
        <w:tc>
          <w:tcPr>
            <w:tcW w:w="2107" w:type="pct"/>
            <w:tcBorders>
              <w:tl2br w:val="nil"/>
              <w:tr2bl w:val="nil"/>
            </w:tcBorders>
            <w:noWrap w:val="0"/>
            <w:vAlign w:val="center"/>
          </w:tcPr>
          <w:p w14:paraId="0DB71B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泥浆不落地系统及岩屑处置</w:t>
            </w:r>
          </w:p>
        </w:tc>
        <w:tc>
          <w:tcPr>
            <w:tcW w:w="739" w:type="pct"/>
            <w:tcBorders>
              <w:tl2br w:val="nil"/>
              <w:tr2bl w:val="nil"/>
            </w:tcBorders>
            <w:noWrap w:val="0"/>
            <w:vAlign w:val="center"/>
          </w:tcPr>
          <w:p w14:paraId="327BE1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135</w:t>
            </w:r>
          </w:p>
        </w:tc>
        <w:tc>
          <w:tcPr>
            <w:tcW w:w="615" w:type="pct"/>
            <w:tcBorders>
              <w:tl2br w:val="nil"/>
              <w:tr2bl w:val="nil"/>
            </w:tcBorders>
            <w:noWrap w:val="0"/>
            <w:vAlign w:val="center"/>
          </w:tcPr>
          <w:p w14:paraId="6BA21B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80元/m</w:t>
            </w:r>
          </w:p>
        </w:tc>
      </w:tr>
      <w:tr w14:paraId="58FA4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continue"/>
            <w:tcBorders>
              <w:tl2br w:val="nil"/>
              <w:tr2bl w:val="nil"/>
            </w:tcBorders>
            <w:noWrap w:val="0"/>
            <w:vAlign w:val="center"/>
          </w:tcPr>
          <w:p w14:paraId="107735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439" w:type="pct"/>
            <w:tcBorders>
              <w:tl2br w:val="nil"/>
              <w:tr2bl w:val="nil"/>
            </w:tcBorders>
            <w:noWrap w:val="0"/>
            <w:vAlign w:val="center"/>
          </w:tcPr>
          <w:p w14:paraId="18108C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风险</w:t>
            </w:r>
          </w:p>
        </w:tc>
        <w:tc>
          <w:tcPr>
            <w:tcW w:w="767" w:type="pct"/>
            <w:tcBorders>
              <w:tl2br w:val="nil"/>
              <w:tr2bl w:val="nil"/>
            </w:tcBorders>
            <w:noWrap w:val="0"/>
            <w:vAlign w:val="center"/>
          </w:tcPr>
          <w:p w14:paraId="054809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井控</w:t>
            </w:r>
          </w:p>
        </w:tc>
        <w:tc>
          <w:tcPr>
            <w:tcW w:w="2107" w:type="pct"/>
            <w:tcBorders>
              <w:tl2br w:val="nil"/>
              <w:tr2bl w:val="nil"/>
            </w:tcBorders>
            <w:noWrap w:val="0"/>
            <w:vAlign w:val="center"/>
          </w:tcPr>
          <w:p w14:paraId="5A5C7F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井控装置，防止井喷</w:t>
            </w:r>
          </w:p>
        </w:tc>
        <w:tc>
          <w:tcPr>
            <w:tcW w:w="739" w:type="pct"/>
            <w:tcBorders>
              <w:tl2br w:val="nil"/>
              <w:tr2bl w:val="nil"/>
            </w:tcBorders>
            <w:noWrap w:val="0"/>
            <w:vAlign w:val="center"/>
          </w:tcPr>
          <w:p w14:paraId="04ECD7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65</w:t>
            </w:r>
          </w:p>
        </w:tc>
        <w:tc>
          <w:tcPr>
            <w:tcW w:w="615" w:type="pct"/>
            <w:tcBorders>
              <w:tl2br w:val="nil"/>
              <w:tr2bl w:val="nil"/>
            </w:tcBorders>
            <w:noWrap w:val="0"/>
            <w:vAlign w:val="center"/>
          </w:tcPr>
          <w:p w14:paraId="2C3871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2400元</w:t>
            </w:r>
            <w:r>
              <w:rPr>
                <w:rFonts w:hint="eastAsia" w:ascii="宋体" w:hAnsi="宋体" w:eastAsia="宋体" w:cs="宋体"/>
                <w:color w:val="auto"/>
                <w:sz w:val="21"/>
                <w:szCs w:val="21"/>
                <w:u w:val="none"/>
              </w:rPr>
              <w:t>×钻井总天数</w:t>
            </w:r>
          </w:p>
        </w:tc>
      </w:tr>
      <w:tr w14:paraId="18B3A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restart"/>
            <w:tcBorders>
              <w:tl2br w:val="nil"/>
              <w:tr2bl w:val="nil"/>
            </w:tcBorders>
            <w:noWrap w:val="0"/>
            <w:vAlign w:val="center"/>
          </w:tcPr>
          <w:p w14:paraId="52926E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运营期</w:t>
            </w:r>
          </w:p>
        </w:tc>
        <w:tc>
          <w:tcPr>
            <w:tcW w:w="439" w:type="pct"/>
            <w:tcBorders>
              <w:tl2br w:val="nil"/>
              <w:tr2bl w:val="nil"/>
            </w:tcBorders>
            <w:noWrap w:val="0"/>
            <w:vAlign w:val="center"/>
          </w:tcPr>
          <w:p w14:paraId="1513C3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废气</w:t>
            </w:r>
          </w:p>
        </w:tc>
        <w:tc>
          <w:tcPr>
            <w:tcW w:w="767" w:type="pct"/>
            <w:tcBorders>
              <w:tl2br w:val="nil"/>
              <w:tr2bl w:val="nil"/>
            </w:tcBorders>
            <w:noWrap w:val="0"/>
            <w:vAlign w:val="center"/>
          </w:tcPr>
          <w:p w14:paraId="10753E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无组织挥发非甲烷总烃</w:t>
            </w:r>
            <w:r>
              <w:rPr>
                <w:rFonts w:hint="eastAsia" w:ascii="宋体" w:hAnsi="宋体" w:cs="宋体"/>
                <w:color w:val="auto"/>
                <w:sz w:val="21"/>
                <w:szCs w:val="21"/>
                <w:u w:val="none"/>
                <w:lang w:eastAsia="zh-CN"/>
              </w:rPr>
              <w:t>、</w:t>
            </w:r>
            <w:r>
              <w:rPr>
                <w:rFonts w:hint="eastAsia" w:ascii="宋体" w:hAnsi="宋体" w:cs="宋体"/>
                <w:color w:val="auto"/>
                <w:sz w:val="21"/>
                <w:szCs w:val="21"/>
                <w:u w:val="none"/>
                <w:lang w:val="en-US" w:eastAsia="zh-CN"/>
              </w:rPr>
              <w:t>硫化氢</w:t>
            </w:r>
          </w:p>
        </w:tc>
        <w:tc>
          <w:tcPr>
            <w:tcW w:w="2107" w:type="pct"/>
            <w:tcBorders>
              <w:tl2br w:val="nil"/>
              <w:tr2bl w:val="nil"/>
            </w:tcBorders>
            <w:noWrap w:val="0"/>
            <w:vAlign w:val="center"/>
          </w:tcPr>
          <w:p w14:paraId="057BA3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选用技术质量可靠的设备、仪表控制、阀门等与井场、管线同步建设</w:t>
            </w:r>
          </w:p>
        </w:tc>
        <w:tc>
          <w:tcPr>
            <w:tcW w:w="739" w:type="pct"/>
            <w:tcBorders>
              <w:tl2br w:val="nil"/>
              <w:tr2bl w:val="nil"/>
            </w:tcBorders>
            <w:noWrap w:val="0"/>
            <w:vAlign w:val="center"/>
          </w:tcPr>
          <w:p w14:paraId="6A497F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zh-CN"/>
              </w:rPr>
            </w:pPr>
            <w:r>
              <w:rPr>
                <w:rFonts w:hint="eastAsia" w:ascii="宋体" w:hAnsi="宋体" w:cs="宋体"/>
                <w:color w:val="auto"/>
                <w:sz w:val="21"/>
                <w:szCs w:val="21"/>
                <w:u w:val="none"/>
                <w:lang w:val="en-US" w:eastAsia="zh-CN"/>
              </w:rPr>
              <w:t>5</w:t>
            </w:r>
          </w:p>
        </w:tc>
        <w:tc>
          <w:tcPr>
            <w:tcW w:w="615" w:type="pct"/>
            <w:tcBorders>
              <w:tl2br w:val="nil"/>
              <w:tr2bl w:val="nil"/>
            </w:tcBorders>
            <w:noWrap w:val="0"/>
            <w:vAlign w:val="center"/>
          </w:tcPr>
          <w:p w14:paraId="64BF4B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tr w14:paraId="223DD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continue"/>
            <w:tcBorders>
              <w:tl2br w:val="nil"/>
              <w:tr2bl w:val="nil"/>
            </w:tcBorders>
            <w:noWrap w:val="0"/>
            <w:vAlign w:val="center"/>
          </w:tcPr>
          <w:p w14:paraId="35DF48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439" w:type="pct"/>
            <w:tcBorders>
              <w:tl2br w:val="nil"/>
              <w:tr2bl w:val="nil"/>
            </w:tcBorders>
            <w:noWrap w:val="0"/>
            <w:vAlign w:val="center"/>
          </w:tcPr>
          <w:p w14:paraId="4E0A3D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废水</w:t>
            </w:r>
          </w:p>
        </w:tc>
        <w:tc>
          <w:tcPr>
            <w:tcW w:w="767" w:type="pct"/>
            <w:tcBorders>
              <w:tl2br w:val="nil"/>
              <w:tr2bl w:val="nil"/>
            </w:tcBorders>
            <w:noWrap w:val="0"/>
            <w:vAlign w:val="center"/>
          </w:tcPr>
          <w:p w14:paraId="023686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井下作业废水（液）</w:t>
            </w:r>
          </w:p>
        </w:tc>
        <w:tc>
          <w:tcPr>
            <w:tcW w:w="2107" w:type="pct"/>
            <w:tcBorders>
              <w:tl2br w:val="nil"/>
              <w:tr2bl w:val="nil"/>
            </w:tcBorders>
            <w:noWrap w:val="0"/>
            <w:vAlign w:val="center"/>
          </w:tcPr>
          <w:p w14:paraId="0AC22E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采用专用收集罐收集，最终由罐车送至石西集中处理站采出水处理系统处理</w:t>
            </w:r>
          </w:p>
        </w:tc>
        <w:tc>
          <w:tcPr>
            <w:tcW w:w="739" w:type="pct"/>
            <w:tcBorders>
              <w:tl2br w:val="nil"/>
              <w:tr2bl w:val="nil"/>
            </w:tcBorders>
            <w:noWrap w:val="0"/>
            <w:vAlign w:val="center"/>
          </w:tcPr>
          <w:p w14:paraId="1140B7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zh-CN"/>
              </w:rPr>
            </w:pPr>
            <w:r>
              <w:rPr>
                <w:rFonts w:hint="eastAsia" w:ascii="宋体" w:hAnsi="宋体" w:cs="宋体"/>
                <w:color w:val="auto"/>
                <w:sz w:val="21"/>
                <w:szCs w:val="21"/>
                <w:u w:val="none"/>
                <w:lang w:val="en-US" w:eastAsia="zh-CN"/>
              </w:rPr>
              <w:t>2</w:t>
            </w:r>
          </w:p>
        </w:tc>
        <w:tc>
          <w:tcPr>
            <w:tcW w:w="615" w:type="pct"/>
            <w:tcBorders>
              <w:tl2br w:val="nil"/>
              <w:tr2bl w:val="nil"/>
            </w:tcBorders>
            <w:noWrap w:val="0"/>
            <w:vAlign w:val="center"/>
          </w:tcPr>
          <w:p w14:paraId="21867C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tr w14:paraId="56458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continue"/>
            <w:tcBorders>
              <w:tl2br w:val="nil"/>
              <w:tr2bl w:val="nil"/>
            </w:tcBorders>
            <w:noWrap w:val="0"/>
            <w:vAlign w:val="center"/>
          </w:tcPr>
          <w:p w14:paraId="6E2665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439" w:type="pct"/>
            <w:tcBorders>
              <w:tl2br w:val="nil"/>
              <w:tr2bl w:val="nil"/>
            </w:tcBorders>
            <w:noWrap w:val="0"/>
            <w:vAlign w:val="center"/>
          </w:tcPr>
          <w:p w14:paraId="23A208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噪声</w:t>
            </w:r>
          </w:p>
        </w:tc>
        <w:tc>
          <w:tcPr>
            <w:tcW w:w="767" w:type="pct"/>
            <w:tcBorders>
              <w:tl2br w:val="nil"/>
              <w:tr2bl w:val="nil"/>
            </w:tcBorders>
            <w:noWrap w:val="0"/>
            <w:vAlign w:val="center"/>
          </w:tcPr>
          <w:p w14:paraId="39C606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井场噪声</w:t>
            </w:r>
          </w:p>
        </w:tc>
        <w:tc>
          <w:tcPr>
            <w:tcW w:w="2107" w:type="pct"/>
            <w:tcBorders>
              <w:tl2br w:val="nil"/>
              <w:tr2bl w:val="nil"/>
            </w:tcBorders>
            <w:noWrap w:val="0"/>
            <w:vAlign w:val="center"/>
          </w:tcPr>
          <w:p w14:paraId="09B8A1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采用低噪声设备</w:t>
            </w:r>
          </w:p>
        </w:tc>
        <w:tc>
          <w:tcPr>
            <w:tcW w:w="739" w:type="pct"/>
            <w:tcBorders>
              <w:tl2br w:val="nil"/>
              <w:tr2bl w:val="nil"/>
            </w:tcBorders>
            <w:noWrap w:val="0"/>
            <w:vAlign w:val="center"/>
          </w:tcPr>
          <w:p w14:paraId="6E3AFC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zh-CN"/>
              </w:rPr>
            </w:pPr>
            <w:r>
              <w:rPr>
                <w:rFonts w:hint="eastAsia" w:ascii="宋体" w:hAnsi="宋体" w:cs="宋体"/>
                <w:color w:val="auto"/>
                <w:sz w:val="21"/>
                <w:szCs w:val="21"/>
                <w:u w:val="none"/>
                <w:lang w:val="en-US" w:eastAsia="zh-CN"/>
              </w:rPr>
              <w:t>2</w:t>
            </w:r>
          </w:p>
        </w:tc>
        <w:tc>
          <w:tcPr>
            <w:tcW w:w="615" w:type="pct"/>
            <w:tcBorders>
              <w:tl2br w:val="nil"/>
              <w:tr2bl w:val="nil"/>
            </w:tcBorders>
            <w:noWrap w:val="0"/>
            <w:vAlign w:val="center"/>
          </w:tcPr>
          <w:p w14:paraId="492018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tr w14:paraId="36FEE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Merge w:val="continue"/>
            <w:tcBorders>
              <w:tl2br w:val="nil"/>
              <w:tr2bl w:val="nil"/>
            </w:tcBorders>
            <w:noWrap w:val="0"/>
            <w:vAlign w:val="center"/>
          </w:tcPr>
          <w:p w14:paraId="668D78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p>
        </w:tc>
        <w:tc>
          <w:tcPr>
            <w:tcW w:w="439" w:type="pct"/>
            <w:tcBorders>
              <w:tl2br w:val="nil"/>
              <w:tr2bl w:val="nil"/>
            </w:tcBorders>
            <w:noWrap w:val="0"/>
            <w:vAlign w:val="center"/>
          </w:tcPr>
          <w:p w14:paraId="6D9531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固体</w:t>
            </w:r>
          </w:p>
          <w:p w14:paraId="4E4F43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废物</w:t>
            </w:r>
          </w:p>
        </w:tc>
        <w:tc>
          <w:tcPr>
            <w:tcW w:w="767" w:type="pct"/>
            <w:tcBorders>
              <w:tl2br w:val="nil"/>
              <w:tr2bl w:val="nil"/>
            </w:tcBorders>
            <w:noWrap w:val="0"/>
            <w:vAlign w:val="center"/>
          </w:tcPr>
          <w:p w14:paraId="173A42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危险废物</w:t>
            </w:r>
          </w:p>
        </w:tc>
        <w:tc>
          <w:tcPr>
            <w:tcW w:w="2107" w:type="pct"/>
            <w:tcBorders>
              <w:tl2br w:val="nil"/>
              <w:tr2bl w:val="nil"/>
            </w:tcBorders>
            <w:noWrap w:val="0"/>
            <w:vAlign w:val="center"/>
          </w:tcPr>
          <w:p w14:paraId="398CD3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交由具有相应的危险废物处置资质的单位负责接收、转运和处置</w:t>
            </w:r>
          </w:p>
        </w:tc>
        <w:tc>
          <w:tcPr>
            <w:tcW w:w="739" w:type="pct"/>
            <w:tcBorders>
              <w:tl2br w:val="nil"/>
              <w:tr2bl w:val="nil"/>
            </w:tcBorders>
            <w:noWrap w:val="0"/>
            <w:vAlign w:val="center"/>
          </w:tcPr>
          <w:p w14:paraId="5FE5E6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30</w:t>
            </w:r>
          </w:p>
        </w:tc>
        <w:tc>
          <w:tcPr>
            <w:tcW w:w="615" w:type="pct"/>
            <w:tcBorders>
              <w:tl2br w:val="nil"/>
              <w:tr2bl w:val="nil"/>
            </w:tcBorders>
            <w:noWrap w:val="0"/>
            <w:vAlign w:val="center"/>
          </w:tcPr>
          <w:p w14:paraId="07F0C6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bookmarkEnd w:id="567"/>
      <w:tr w14:paraId="07359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0" w:type="pct"/>
            <w:gridSpan w:val="2"/>
            <w:tcBorders>
              <w:tl2br w:val="nil"/>
              <w:tr2bl w:val="nil"/>
            </w:tcBorders>
            <w:noWrap w:val="0"/>
            <w:vAlign w:val="center"/>
          </w:tcPr>
          <w:p w14:paraId="0E3D63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val="en-US" w:eastAsia="zh-CN"/>
              </w:rPr>
              <w:t>环境管理</w:t>
            </w:r>
          </w:p>
        </w:tc>
        <w:tc>
          <w:tcPr>
            <w:tcW w:w="2874" w:type="pct"/>
            <w:gridSpan w:val="2"/>
            <w:tcBorders>
              <w:tl2br w:val="nil"/>
              <w:tr2bl w:val="nil"/>
            </w:tcBorders>
            <w:noWrap w:val="0"/>
            <w:vAlign w:val="center"/>
          </w:tcPr>
          <w:p w14:paraId="2849AC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环境影响评价、竣工环保验收、环境管理、监测与监控</w:t>
            </w:r>
          </w:p>
        </w:tc>
        <w:tc>
          <w:tcPr>
            <w:tcW w:w="739" w:type="pct"/>
            <w:tcBorders>
              <w:tl2br w:val="nil"/>
              <w:tr2bl w:val="nil"/>
            </w:tcBorders>
            <w:noWrap w:val="0"/>
            <w:vAlign w:val="center"/>
          </w:tcPr>
          <w:p w14:paraId="5A7A4D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20</w:t>
            </w:r>
          </w:p>
        </w:tc>
        <w:tc>
          <w:tcPr>
            <w:tcW w:w="615" w:type="pct"/>
            <w:tcBorders>
              <w:tl2br w:val="nil"/>
              <w:tr2bl w:val="nil"/>
            </w:tcBorders>
            <w:noWrap w:val="0"/>
            <w:vAlign w:val="center"/>
          </w:tcPr>
          <w:p w14:paraId="312230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tr w14:paraId="01483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tcBorders>
              <w:tl2br w:val="nil"/>
              <w:tr2bl w:val="nil"/>
            </w:tcBorders>
            <w:noWrap w:val="0"/>
            <w:vAlign w:val="center"/>
          </w:tcPr>
          <w:p w14:paraId="2AFE32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439" w:type="pct"/>
            <w:tcBorders>
              <w:tl2br w:val="nil"/>
              <w:tr2bl w:val="nil"/>
            </w:tcBorders>
            <w:noWrap w:val="0"/>
            <w:vAlign w:val="center"/>
          </w:tcPr>
          <w:p w14:paraId="6A2588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p>
        </w:tc>
        <w:tc>
          <w:tcPr>
            <w:tcW w:w="2874" w:type="pct"/>
            <w:gridSpan w:val="2"/>
            <w:tcBorders>
              <w:tl2br w:val="nil"/>
              <w:tr2bl w:val="nil"/>
            </w:tcBorders>
            <w:noWrap w:val="0"/>
            <w:vAlign w:val="center"/>
          </w:tcPr>
          <w:p w14:paraId="0EB5E5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合计</w:t>
            </w:r>
          </w:p>
        </w:tc>
        <w:tc>
          <w:tcPr>
            <w:tcW w:w="739" w:type="pct"/>
            <w:tcBorders>
              <w:tl2br w:val="nil"/>
              <w:tr2bl w:val="nil"/>
            </w:tcBorders>
            <w:noWrap w:val="0"/>
            <w:vAlign w:val="center"/>
          </w:tcPr>
          <w:p w14:paraId="0A8ED2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277</w:t>
            </w:r>
          </w:p>
        </w:tc>
        <w:tc>
          <w:tcPr>
            <w:tcW w:w="615" w:type="pct"/>
            <w:tcBorders>
              <w:tl2br w:val="nil"/>
              <w:tr2bl w:val="nil"/>
            </w:tcBorders>
            <w:noWrap w:val="0"/>
            <w:vAlign w:val="center"/>
          </w:tcPr>
          <w:p w14:paraId="2E35C8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w:t>
            </w:r>
          </w:p>
        </w:tc>
      </w:tr>
    </w:tbl>
    <w:p w14:paraId="0DDCE984">
      <w:pPr>
        <w:rPr>
          <w:rFonts w:hint="eastAsia" w:ascii="黑体" w:hAnsi="黑体" w:eastAsia="黑体" w:cs="Times New Roman"/>
          <w:b/>
          <w:bCs w:val="0"/>
          <w:color w:val="auto"/>
          <w:kern w:val="44"/>
          <w:sz w:val="28"/>
          <w:szCs w:val="24"/>
          <w:highlight w:val="none"/>
          <w:u w:val="none"/>
          <w:lang w:val="en-US" w:eastAsia="zh-CN" w:bidi="ar-SA"/>
        </w:rPr>
      </w:pPr>
      <w:bookmarkStart w:id="568" w:name="_Toc14567"/>
      <w:bookmarkStart w:id="569" w:name="_Toc173941942"/>
      <w:bookmarkStart w:id="570" w:name="_Toc13081"/>
      <w:r>
        <w:rPr>
          <w:rFonts w:hint="eastAsia" w:ascii="黑体" w:hAnsi="黑体" w:eastAsia="黑体" w:cs="Times New Roman"/>
          <w:b/>
          <w:bCs w:val="0"/>
          <w:color w:val="auto"/>
          <w:kern w:val="44"/>
          <w:sz w:val="28"/>
          <w:szCs w:val="24"/>
          <w:highlight w:val="none"/>
          <w:u w:val="none"/>
          <w:lang w:val="en-US" w:eastAsia="zh-CN" w:bidi="ar-SA"/>
        </w:rPr>
        <w:br w:type="page"/>
      </w:r>
    </w:p>
    <w:p w14:paraId="73A89D19">
      <w:pPr>
        <w:keepNext/>
        <w:keepLines/>
        <w:pageBreakBefore w:val="0"/>
        <w:widowControl/>
        <w:kinsoku/>
        <w:wordWrap/>
        <w:overflowPunct/>
        <w:topLinePunct w:val="0"/>
        <w:autoSpaceDE/>
        <w:autoSpaceDN/>
        <w:bidi w:val="0"/>
        <w:adjustRightInd/>
        <w:snapToGrid/>
        <w:spacing w:before="164" w:beforeLines="50" w:after="0" w:line="360" w:lineRule="auto"/>
        <w:jc w:val="left"/>
        <w:textAlignment w:val="auto"/>
        <w:outlineLvl w:val="1"/>
        <w:rPr>
          <w:rFonts w:hint="eastAsia" w:ascii="黑体" w:hAnsi="黑体" w:eastAsia="黑体" w:cs="Times New Roman"/>
          <w:b/>
          <w:bCs w:val="0"/>
          <w:color w:val="auto"/>
          <w:kern w:val="44"/>
          <w:sz w:val="28"/>
          <w:szCs w:val="24"/>
          <w:highlight w:val="none"/>
          <w:u w:val="none"/>
          <w:lang w:val="en-US" w:eastAsia="zh-CN" w:bidi="ar-SA"/>
        </w:rPr>
      </w:pPr>
      <w:r>
        <w:rPr>
          <w:rFonts w:hint="eastAsia" w:ascii="黑体" w:hAnsi="黑体" w:eastAsia="黑体" w:cs="Times New Roman"/>
          <w:b/>
          <w:bCs w:val="0"/>
          <w:color w:val="auto"/>
          <w:kern w:val="44"/>
          <w:sz w:val="28"/>
          <w:szCs w:val="24"/>
          <w:highlight w:val="none"/>
          <w:u w:val="none"/>
          <w:lang w:val="en-US" w:eastAsia="zh-CN" w:bidi="ar-SA"/>
        </w:rPr>
        <w:t>8.4环境经济损益分析结论</w:t>
      </w:r>
      <w:bookmarkEnd w:id="568"/>
      <w:bookmarkEnd w:id="569"/>
      <w:bookmarkEnd w:id="570"/>
    </w:p>
    <w:p w14:paraId="0D091F1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本工程经分析具有良好的环境效益、经济效益和社会效益。</w:t>
      </w:r>
    </w:p>
    <w:p w14:paraId="2448998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在建设过程中，由于钻井、地面设施建设、敷设管线等都需要占用一定量的土地，并因此带来一定的环境损失。因而在油田开发过程中，需要投入必要的资金用于污染防治和恢复地貌等，经估算该项目环境保护投资约277万元，环境保护投资占总投资的4.95%。实施相应的环保措施后，可以起到保护环境的效果。</w:t>
      </w:r>
    </w:p>
    <w:p w14:paraId="6083A94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6B9D31A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1580C1A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06ED32D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0212BA5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5C94851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1B14738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406EA6F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292BC76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55FA7C9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631174D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4C9FEEC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2DA987C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p w14:paraId="29DE826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p>
    <w:bookmarkEnd w:id="482"/>
    <w:bookmarkEnd w:id="490"/>
    <w:bookmarkEnd w:id="491"/>
    <w:bookmarkEnd w:id="492"/>
    <w:bookmarkEnd w:id="493"/>
    <w:p w14:paraId="02A6B2DC">
      <w:pPr>
        <w:rPr>
          <w:rFonts w:hint="eastAsia" w:ascii="Times New Roman" w:hAnsi="Times New Roman" w:eastAsia="宋体" w:cs="Times New Roman"/>
          <w:b/>
          <w:color w:val="auto"/>
          <w:kern w:val="44"/>
          <w:sz w:val="36"/>
          <w:szCs w:val="36"/>
          <w:highlight w:val="none"/>
          <w:u w:val="none"/>
          <w:lang w:val="en-US" w:eastAsia="zh-CN" w:bidi="ar-SA"/>
        </w:rPr>
      </w:pPr>
      <w:bookmarkStart w:id="571" w:name="_Toc390851615"/>
      <w:bookmarkStart w:id="572" w:name="_Toc26747"/>
      <w:bookmarkStart w:id="573" w:name="_Toc9222"/>
      <w:bookmarkStart w:id="574" w:name="_Toc36583848"/>
      <w:bookmarkStart w:id="575" w:name="_Toc17499"/>
      <w:bookmarkStart w:id="576" w:name="_Toc9735"/>
      <w:bookmarkStart w:id="577" w:name="_Toc507411748"/>
      <w:bookmarkStart w:id="578" w:name="_Toc510609231"/>
      <w:bookmarkStart w:id="579" w:name="_Toc14900"/>
      <w:bookmarkStart w:id="580" w:name="_Toc119915026"/>
      <w:bookmarkStart w:id="581" w:name="_Toc2887"/>
      <w:bookmarkStart w:id="582" w:name="_Toc7092"/>
      <w:r>
        <w:rPr>
          <w:rFonts w:hint="eastAsia" w:ascii="Times New Roman" w:hAnsi="Times New Roman" w:eastAsia="宋体" w:cs="Times New Roman"/>
          <w:b/>
          <w:color w:val="auto"/>
          <w:kern w:val="44"/>
          <w:sz w:val="36"/>
          <w:szCs w:val="36"/>
          <w:highlight w:val="none"/>
          <w:u w:val="none"/>
          <w:lang w:val="en-US" w:eastAsia="zh-CN" w:bidi="ar-SA"/>
        </w:rPr>
        <w:br w:type="page"/>
      </w:r>
    </w:p>
    <w:bookmarkEnd w:id="571"/>
    <w:bookmarkEnd w:id="572"/>
    <w:bookmarkEnd w:id="573"/>
    <w:bookmarkEnd w:id="574"/>
    <w:bookmarkEnd w:id="575"/>
    <w:bookmarkEnd w:id="576"/>
    <w:bookmarkEnd w:id="577"/>
    <w:bookmarkEnd w:id="578"/>
    <w:bookmarkEnd w:id="579"/>
    <w:bookmarkEnd w:id="580"/>
    <w:bookmarkEnd w:id="581"/>
    <w:bookmarkEnd w:id="582"/>
    <w:p w14:paraId="18D0B24D">
      <w:pPr>
        <w:keepNext/>
        <w:keepLines/>
        <w:adjustRightInd/>
        <w:snapToGrid/>
        <w:spacing w:before="120" w:after="120" w:line="360" w:lineRule="auto"/>
        <w:jc w:val="left"/>
        <w:outlineLvl w:val="0"/>
        <w:rPr>
          <w:rFonts w:ascii="黑体" w:hAnsi="黑体" w:eastAsia="黑体" w:cs="Times New Roman"/>
          <w:b/>
          <w:bCs w:val="0"/>
          <w:color w:val="auto"/>
          <w:kern w:val="44"/>
          <w:sz w:val="32"/>
          <w:szCs w:val="24"/>
          <w:highlight w:val="none"/>
          <w:u w:val="none"/>
          <w:lang w:val="en-US" w:eastAsia="zh-CN" w:bidi="ar-SA"/>
        </w:rPr>
      </w:pPr>
      <w:bookmarkStart w:id="583" w:name="_Toc14626"/>
      <w:bookmarkStart w:id="584" w:name="_Toc173941758"/>
      <w:bookmarkStart w:id="585" w:name="_Toc25604"/>
      <w:bookmarkStart w:id="586" w:name="_Toc173941984"/>
      <w:bookmarkStart w:id="587" w:name="_Toc173942712"/>
      <w:bookmarkStart w:id="588" w:name="_Toc27061"/>
      <w:bookmarkStart w:id="589" w:name="_Toc24506"/>
      <w:bookmarkStart w:id="590" w:name="_Toc5768"/>
      <w:bookmarkStart w:id="591" w:name="_Toc7725"/>
      <w:bookmarkStart w:id="592" w:name="_Toc2985"/>
      <w:bookmarkStart w:id="593" w:name="_Toc20741"/>
      <w:bookmarkStart w:id="594" w:name="_Toc16592"/>
      <w:bookmarkStart w:id="595" w:name="_Toc119915037"/>
      <w:bookmarkStart w:id="596" w:name="_Toc6575"/>
      <w:bookmarkStart w:id="597" w:name="_Toc4918"/>
      <w:bookmarkStart w:id="598" w:name="_Toc280954967"/>
      <w:bookmarkStart w:id="599" w:name="_Toc255293829"/>
      <w:bookmarkStart w:id="600" w:name="_Toc340140066"/>
      <w:bookmarkStart w:id="601" w:name="_Toc374724242"/>
      <w:bookmarkStart w:id="602" w:name="_Toc508291911"/>
      <w:bookmarkStart w:id="603" w:name="_Toc297590834"/>
      <w:bookmarkStart w:id="604" w:name="_Toc24998"/>
      <w:bookmarkStart w:id="605" w:name="_Toc353966793"/>
      <w:bookmarkStart w:id="606" w:name="_Toc361761885"/>
      <w:bookmarkStart w:id="607" w:name="_Toc280955044"/>
      <w:r>
        <w:rPr>
          <w:rFonts w:hint="eastAsia" w:ascii="黑体" w:hAnsi="黑体" w:eastAsia="黑体" w:cs="Times New Roman"/>
          <w:b/>
          <w:bCs w:val="0"/>
          <w:color w:val="auto"/>
          <w:kern w:val="44"/>
          <w:sz w:val="32"/>
          <w:szCs w:val="24"/>
          <w:highlight w:val="none"/>
          <w:u w:val="none"/>
          <w:lang w:val="en-US" w:eastAsia="zh-CN" w:bidi="ar-SA"/>
        </w:rPr>
        <w:t>9</w:t>
      </w:r>
      <w:r>
        <w:rPr>
          <w:rFonts w:ascii="黑体" w:hAnsi="黑体" w:eastAsia="黑体" w:cs="Times New Roman"/>
          <w:b/>
          <w:bCs w:val="0"/>
          <w:color w:val="auto"/>
          <w:kern w:val="44"/>
          <w:sz w:val="32"/>
          <w:szCs w:val="24"/>
          <w:highlight w:val="none"/>
          <w:u w:val="none"/>
          <w:lang w:val="en-US" w:eastAsia="zh-CN" w:bidi="ar-SA"/>
        </w:rPr>
        <w:t>.环境管理与监测计划</w:t>
      </w:r>
      <w:bookmarkEnd w:id="583"/>
      <w:bookmarkEnd w:id="584"/>
      <w:bookmarkEnd w:id="585"/>
      <w:bookmarkEnd w:id="586"/>
      <w:bookmarkEnd w:id="587"/>
      <w:bookmarkEnd w:id="588"/>
      <w:bookmarkEnd w:id="589"/>
    </w:p>
    <w:p w14:paraId="63329A84">
      <w:pPr>
        <w:keepNext/>
        <w:keepLines/>
        <w:adjustRightInd/>
        <w:snapToGrid/>
        <w:spacing w:before="120" w:after="120" w:line="360" w:lineRule="auto"/>
        <w:jc w:val="left"/>
        <w:outlineLvl w:val="1"/>
        <w:rPr>
          <w:rFonts w:ascii="黑体" w:hAnsi="黑体" w:eastAsia="黑体" w:cs="Times New Roman"/>
          <w:b/>
          <w:bCs w:val="0"/>
          <w:color w:val="auto"/>
          <w:kern w:val="44"/>
          <w:sz w:val="28"/>
          <w:szCs w:val="24"/>
          <w:highlight w:val="none"/>
          <w:u w:val="none"/>
          <w:lang w:val="en-US" w:eastAsia="zh-CN" w:bidi="ar-SA"/>
        </w:rPr>
      </w:pPr>
      <w:bookmarkStart w:id="608" w:name="_Toc31171"/>
      <w:bookmarkStart w:id="609" w:name="_Toc26681"/>
      <w:bookmarkStart w:id="610" w:name="_Toc173941985"/>
      <w:bookmarkStart w:id="611" w:name="_Toc173941759"/>
      <w:bookmarkStart w:id="612" w:name="_Toc463"/>
      <w:bookmarkStart w:id="613" w:name="_Toc173942713"/>
      <w:bookmarkStart w:id="614" w:name="_Toc29600"/>
      <w:r>
        <w:rPr>
          <w:rFonts w:hint="eastAsia" w:ascii="黑体" w:hAnsi="黑体" w:eastAsia="黑体" w:cs="Times New Roman"/>
          <w:b/>
          <w:bCs w:val="0"/>
          <w:color w:val="auto"/>
          <w:kern w:val="44"/>
          <w:sz w:val="28"/>
          <w:szCs w:val="24"/>
          <w:highlight w:val="none"/>
          <w:u w:val="none"/>
          <w:lang w:val="en-US" w:eastAsia="zh-CN" w:bidi="ar-SA"/>
        </w:rPr>
        <w:t>9</w:t>
      </w:r>
      <w:r>
        <w:rPr>
          <w:rFonts w:ascii="黑体" w:hAnsi="黑体" w:eastAsia="黑体" w:cs="Times New Roman"/>
          <w:b/>
          <w:bCs w:val="0"/>
          <w:color w:val="auto"/>
          <w:kern w:val="44"/>
          <w:sz w:val="28"/>
          <w:szCs w:val="24"/>
          <w:highlight w:val="none"/>
          <w:u w:val="none"/>
          <w:lang w:val="en-US" w:eastAsia="zh-CN" w:bidi="ar-SA"/>
        </w:rPr>
        <w:t>.1环境管理</w:t>
      </w:r>
      <w:bookmarkEnd w:id="608"/>
      <w:bookmarkEnd w:id="609"/>
      <w:bookmarkEnd w:id="610"/>
      <w:bookmarkEnd w:id="611"/>
      <w:bookmarkEnd w:id="612"/>
      <w:bookmarkEnd w:id="613"/>
      <w:bookmarkEnd w:id="614"/>
    </w:p>
    <w:p w14:paraId="39068362">
      <w:pPr>
        <w:keepNext/>
        <w:keepLines/>
        <w:adjustRightInd w:val="0"/>
        <w:snapToGrid w:val="0"/>
        <w:spacing w:before="120" w:after="120" w:line="360" w:lineRule="auto"/>
        <w:jc w:val="both"/>
        <w:outlineLvl w:val="2"/>
        <w:rPr>
          <w:rFonts w:ascii="黑体" w:hAnsi="黑体" w:eastAsia="宋体" w:cs="Times New Roman"/>
          <w:b/>
          <w:bCs w:val="0"/>
          <w:color w:val="auto"/>
          <w:sz w:val="24"/>
          <w:szCs w:val="20"/>
          <w:highlight w:val="none"/>
          <w:u w:val="none"/>
          <w:lang w:val="en-US" w:eastAsia="zh-CN" w:bidi="ar-SA"/>
        </w:rPr>
      </w:pPr>
      <w:r>
        <w:rPr>
          <w:rFonts w:hint="eastAsia" w:ascii="黑体" w:hAnsi="黑体" w:eastAsia="黑体" w:cs="Times New Roman"/>
          <w:b/>
          <w:bCs w:val="0"/>
          <w:color w:val="auto"/>
          <w:sz w:val="24"/>
          <w:szCs w:val="20"/>
          <w:highlight w:val="none"/>
          <w:u w:val="none"/>
          <w:lang w:val="en-US" w:eastAsia="zh-CN" w:bidi="ar-SA"/>
        </w:rPr>
        <w:t>9</w:t>
      </w:r>
      <w:r>
        <w:rPr>
          <w:rFonts w:ascii="黑体" w:hAnsi="黑体" w:eastAsia="黑体" w:cs="Times New Roman"/>
          <w:b/>
          <w:bCs w:val="0"/>
          <w:color w:val="auto"/>
          <w:sz w:val="24"/>
          <w:szCs w:val="20"/>
          <w:highlight w:val="none"/>
          <w:u w:val="none"/>
          <w:lang w:val="en-US" w:eastAsia="zh-CN" w:bidi="ar-SA"/>
        </w:rPr>
        <w:t>.1.1环境管理</w:t>
      </w:r>
      <w:r>
        <w:rPr>
          <w:rFonts w:hint="eastAsia" w:ascii="黑体" w:hAnsi="黑体" w:eastAsia="黑体" w:cs="Times New Roman"/>
          <w:b/>
          <w:bCs w:val="0"/>
          <w:color w:val="auto"/>
          <w:sz w:val="24"/>
          <w:szCs w:val="20"/>
          <w:highlight w:val="none"/>
          <w:u w:val="none"/>
          <w:lang w:val="en-US" w:eastAsia="zh-CN" w:bidi="ar-SA"/>
        </w:rPr>
        <w:t>机构与职责</w:t>
      </w:r>
    </w:p>
    <w:p w14:paraId="50F55DBC">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本项目的HSE管理机构应实行逐级负责制，受新疆油田公司HSE委员会的直接领导和监督，项目的环保管理机构新疆油田公司设质量安全环保处，并设专人负责工程开发建设期的环境保护工作。</w:t>
      </w:r>
    </w:p>
    <w:p w14:paraId="6E8F3CA7">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新疆油田公司负责该项目的组织，协调工作，与自治区有关地方政府协商提供必要支持，并协调勘探部门的分工协作工作，包括：生态环境建设和保护的宏观管理和决策。</w:t>
      </w:r>
    </w:p>
    <w:p w14:paraId="5286F73F">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本项目建设由开发公司组织实施，负责组织开展环评，项目竣工后，由开发公司负责组织环境保护验收。验收合格后，由新疆油田公司石西油田作业区负责生产运行管理，同时负责运行过程的环境保护管理。</w:t>
      </w:r>
    </w:p>
    <w:p w14:paraId="5B8BED52">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石西油田作业区为新疆油田分公司下属二级单位，均设QHSE管理科，负责落实集团及分公司环境保护管理要求及规定。</w:t>
      </w:r>
    </w:p>
    <w:p w14:paraId="003966ED">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default" w:ascii="黑体" w:hAnsi="黑体" w:eastAsia="宋体" w:cs="Times New Roman"/>
          <w:b/>
          <w:bCs w:val="0"/>
          <w:color w:val="auto"/>
          <w:sz w:val="24"/>
          <w:szCs w:val="20"/>
          <w:highlight w:val="none"/>
          <w:u w:val="none"/>
          <w:lang w:val="en-US" w:eastAsia="zh-CN" w:bidi="ar-SA"/>
        </w:rPr>
      </w:pPr>
      <w:bookmarkStart w:id="615" w:name="_Toc173941986"/>
      <w:r>
        <w:rPr>
          <w:rFonts w:hint="eastAsia" w:ascii="黑体" w:hAnsi="黑体" w:eastAsia="黑体" w:cs="Times New Roman"/>
          <w:b/>
          <w:bCs w:val="0"/>
          <w:color w:val="auto"/>
          <w:sz w:val="24"/>
          <w:szCs w:val="20"/>
          <w:highlight w:val="none"/>
          <w:u w:val="none"/>
          <w:lang w:val="en-US" w:eastAsia="zh-CN" w:bidi="ar-SA"/>
        </w:rPr>
        <w:t>9</w:t>
      </w:r>
      <w:r>
        <w:rPr>
          <w:rFonts w:ascii="黑体" w:hAnsi="黑体" w:eastAsia="黑体" w:cs="Times New Roman"/>
          <w:b/>
          <w:bCs w:val="0"/>
          <w:color w:val="auto"/>
          <w:sz w:val="24"/>
          <w:szCs w:val="20"/>
          <w:highlight w:val="none"/>
          <w:u w:val="none"/>
          <w:lang w:val="en-US" w:eastAsia="zh-CN" w:bidi="ar-SA"/>
        </w:rPr>
        <w:t>.1.</w:t>
      </w:r>
      <w:r>
        <w:rPr>
          <w:rFonts w:hint="eastAsia" w:ascii="黑体" w:hAnsi="黑体" w:eastAsia="黑体" w:cs="Times New Roman"/>
          <w:b/>
          <w:bCs w:val="0"/>
          <w:color w:val="auto"/>
          <w:sz w:val="24"/>
          <w:szCs w:val="20"/>
          <w:highlight w:val="none"/>
          <w:u w:val="none"/>
          <w:lang w:val="en-US" w:eastAsia="zh-CN" w:bidi="ar-SA"/>
        </w:rPr>
        <w:t>2施工期</w:t>
      </w:r>
      <w:r>
        <w:rPr>
          <w:rFonts w:ascii="黑体" w:hAnsi="黑体" w:eastAsia="黑体" w:cs="Times New Roman"/>
          <w:b/>
          <w:bCs w:val="0"/>
          <w:color w:val="auto"/>
          <w:sz w:val="24"/>
          <w:szCs w:val="20"/>
          <w:highlight w:val="none"/>
          <w:u w:val="none"/>
          <w:lang w:val="en-US" w:eastAsia="zh-CN" w:bidi="ar-SA"/>
        </w:rPr>
        <w:t>环境</w:t>
      </w:r>
      <w:bookmarkEnd w:id="615"/>
      <w:r>
        <w:rPr>
          <w:rFonts w:hint="eastAsia" w:ascii="黑体" w:hAnsi="黑体" w:eastAsia="黑体" w:cs="Times New Roman"/>
          <w:b/>
          <w:bCs w:val="0"/>
          <w:color w:val="auto"/>
          <w:sz w:val="24"/>
          <w:szCs w:val="20"/>
          <w:highlight w:val="none"/>
          <w:u w:val="none"/>
          <w:lang w:val="en-US" w:eastAsia="zh-CN" w:bidi="ar-SA"/>
        </w:rPr>
        <w:t>管理</w:t>
      </w:r>
    </w:p>
    <w:p w14:paraId="2A84C8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为减轻工程对环境的影响，将环境管理制度从事后管理转变为全过程管理，建议</w:t>
      </w:r>
      <w:r>
        <w:rPr>
          <w:rFonts w:hint="eastAsia" w:ascii="宋体" w:hAnsi="宋体" w:eastAsia="宋体" w:cs="宋体"/>
          <w:color w:val="auto"/>
          <w:sz w:val="24"/>
          <w:szCs w:val="24"/>
          <w:u w:val="none"/>
          <w:lang w:eastAsia="zh-CN"/>
        </w:rPr>
        <w:t>本工程</w:t>
      </w:r>
      <w:r>
        <w:rPr>
          <w:rFonts w:hint="eastAsia" w:ascii="宋体" w:hAnsi="宋体" w:eastAsia="宋体" w:cs="宋体"/>
          <w:color w:val="auto"/>
          <w:sz w:val="24"/>
          <w:szCs w:val="24"/>
          <w:u w:val="none"/>
        </w:rPr>
        <w:t>充分借鉴同类相关项目工程环境监理经验，实行工程环境监理。</w:t>
      </w:r>
    </w:p>
    <w:p w14:paraId="6D9A2F4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由建设单位聘请相关环境监理机构对施工单位、承包商、供应商和</w:t>
      </w:r>
      <w:r>
        <w:rPr>
          <w:rFonts w:hint="eastAsia" w:ascii="宋体" w:hAnsi="宋体" w:cs="宋体"/>
          <w:color w:val="auto"/>
          <w:sz w:val="24"/>
          <w:szCs w:val="24"/>
          <w:u w:val="none"/>
          <w:lang w:val="en-US" w:eastAsia="zh-CN"/>
        </w:rPr>
        <w:t>新疆油田</w:t>
      </w:r>
      <w:r>
        <w:rPr>
          <w:rFonts w:hint="eastAsia" w:ascii="宋体" w:hAnsi="宋体" w:eastAsia="宋体" w:cs="宋体"/>
          <w:color w:val="auto"/>
          <w:sz w:val="24"/>
          <w:szCs w:val="24"/>
          <w:u w:val="none"/>
        </w:rPr>
        <w:t>分公司环保法律、法规、制度、标准、规范的情况依法进行监督检查，特别是施工现场的环境监理检查工作，目的是协助建设单位落实施工期间的各项环境保护要求和施工合同中的环保规定，确保</w:t>
      </w:r>
      <w:r>
        <w:rPr>
          <w:rFonts w:hint="eastAsia" w:ascii="宋体" w:hAnsi="宋体" w:eastAsia="宋体" w:cs="宋体"/>
          <w:color w:val="auto"/>
          <w:sz w:val="24"/>
          <w:szCs w:val="24"/>
          <w:u w:val="none"/>
          <w:lang w:eastAsia="zh-CN"/>
        </w:rPr>
        <w:t>本工程</w:t>
      </w:r>
      <w:r>
        <w:rPr>
          <w:rFonts w:hint="eastAsia" w:ascii="宋体" w:hAnsi="宋体" w:eastAsia="宋体" w:cs="宋体"/>
          <w:color w:val="auto"/>
          <w:sz w:val="24"/>
          <w:szCs w:val="24"/>
          <w:u w:val="none"/>
        </w:rPr>
        <w:t>的建设符合有关环保法律法规的要求。</w:t>
      </w:r>
    </w:p>
    <w:p w14:paraId="58F8DD2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（1）环境监理人员要求</w:t>
      </w:r>
    </w:p>
    <w:p w14:paraId="1680F4A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cs="宋体"/>
          <w:color w:val="auto"/>
          <w:sz w:val="24"/>
          <w:szCs w:val="24"/>
          <w:u w:val="none"/>
          <w:lang w:val="en-US" w:eastAsia="zh-CN"/>
        </w:rPr>
        <w:t>1）</w:t>
      </w:r>
      <w:r>
        <w:rPr>
          <w:rFonts w:hint="eastAsia" w:ascii="宋体" w:hAnsi="宋体" w:eastAsia="宋体" w:cs="宋体"/>
          <w:color w:val="auto"/>
          <w:sz w:val="24"/>
          <w:szCs w:val="24"/>
          <w:u w:val="none"/>
        </w:rPr>
        <w:t>环境监理人员必须具备环保专业知识，精通国家环境法律、法规和政策，了解当地生态环境管理部门的要求和环境标准。</w:t>
      </w:r>
    </w:p>
    <w:p w14:paraId="248EEC0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cs="宋体"/>
          <w:color w:val="auto"/>
          <w:sz w:val="24"/>
          <w:szCs w:val="24"/>
          <w:u w:val="none"/>
          <w:lang w:val="en-US" w:eastAsia="zh-CN"/>
        </w:rPr>
        <w:t>2）</w:t>
      </w:r>
      <w:r>
        <w:rPr>
          <w:rFonts w:hint="eastAsia" w:ascii="宋体" w:hAnsi="宋体" w:eastAsia="宋体" w:cs="宋体"/>
          <w:color w:val="auto"/>
          <w:sz w:val="24"/>
          <w:szCs w:val="24"/>
          <w:u w:val="none"/>
        </w:rPr>
        <w:t>必须接受过HSE专门培训，有较长的从事环保工作经历。</w:t>
      </w:r>
    </w:p>
    <w:p w14:paraId="43C62E7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cs="宋体"/>
          <w:color w:val="auto"/>
          <w:sz w:val="24"/>
          <w:szCs w:val="24"/>
          <w:u w:val="none"/>
          <w:lang w:val="en-US" w:eastAsia="zh-CN"/>
        </w:rPr>
        <w:t>3）</w:t>
      </w:r>
      <w:r>
        <w:rPr>
          <w:rFonts w:hint="eastAsia" w:ascii="宋体" w:hAnsi="宋体" w:eastAsia="宋体" w:cs="宋体"/>
          <w:color w:val="auto"/>
          <w:sz w:val="24"/>
          <w:szCs w:val="24"/>
          <w:u w:val="none"/>
        </w:rPr>
        <w:t>具有一定的</w:t>
      </w:r>
      <w:r>
        <w:rPr>
          <w:rFonts w:hint="eastAsia" w:ascii="宋体" w:hAnsi="宋体" w:eastAsia="宋体" w:cs="宋体"/>
          <w:color w:val="auto"/>
          <w:sz w:val="24"/>
          <w:szCs w:val="24"/>
          <w:u w:val="none"/>
          <w:lang w:eastAsia="zh-CN"/>
        </w:rPr>
        <w:t>油田</w:t>
      </w:r>
      <w:r>
        <w:rPr>
          <w:rFonts w:hint="eastAsia" w:ascii="宋体" w:hAnsi="宋体" w:eastAsia="宋体" w:cs="宋体"/>
          <w:color w:val="auto"/>
          <w:sz w:val="24"/>
          <w:szCs w:val="24"/>
          <w:u w:val="none"/>
        </w:rPr>
        <w:t>开发和输油气管道建设的现场施工经验。</w:t>
      </w:r>
    </w:p>
    <w:p w14:paraId="112018B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（2）环境监理人员主要职责</w:t>
      </w:r>
    </w:p>
    <w:p w14:paraId="54E0294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cs="宋体"/>
          <w:color w:val="auto"/>
          <w:sz w:val="24"/>
          <w:szCs w:val="24"/>
          <w:u w:val="none"/>
          <w:lang w:val="en-US" w:eastAsia="zh-CN"/>
        </w:rPr>
        <w:t>1）</w:t>
      </w:r>
      <w:r>
        <w:rPr>
          <w:rFonts w:hint="eastAsia" w:ascii="宋体" w:hAnsi="宋体" w:eastAsia="宋体" w:cs="宋体"/>
          <w:color w:val="auto"/>
          <w:sz w:val="24"/>
          <w:szCs w:val="24"/>
          <w:u w:val="none"/>
        </w:rPr>
        <w:t>监督施工现场对“环境管理方案”的落实。</w:t>
      </w:r>
    </w:p>
    <w:p w14:paraId="39FC3E4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cs="宋体"/>
          <w:color w:val="auto"/>
          <w:sz w:val="24"/>
          <w:szCs w:val="24"/>
          <w:u w:val="none"/>
          <w:lang w:val="en-US" w:eastAsia="zh-CN"/>
        </w:rPr>
        <w:t>2）</w:t>
      </w:r>
      <w:r>
        <w:rPr>
          <w:rFonts w:hint="eastAsia" w:ascii="宋体" w:hAnsi="宋体" w:eastAsia="宋体" w:cs="宋体"/>
          <w:color w:val="auto"/>
          <w:sz w:val="24"/>
          <w:szCs w:val="24"/>
          <w:u w:val="none"/>
        </w:rPr>
        <w:t>及时向HSE部门负责人汇报环境管理现状，并根据发现的问题提出合理化建议。</w:t>
      </w:r>
    </w:p>
    <w:p w14:paraId="2F93A3D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cs="宋体"/>
          <w:color w:val="auto"/>
          <w:sz w:val="24"/>
          <w:szCs w:val="24"/>
          <w:u w:val="none"/>
          <w:lang w:val="en-US" w:eastAsia="zh-CN"/>
        </w:rPr>
        <w:t>3）</w:t>
      </w:r>
      <w:r>
        <w:rPr>
          <w:rFonts w:hint="eastAsia" w:ascii="宋体" w:hAnsi="宋体" w:eastAsia="宋体" w:cs="宋体"/>
          <w:color w:val="auto"/>
          <w:sz w:val="24"/>
          <w:szCs w:val="24"/>
          <w:u w:val="none"/>
        </w:rPr>
        <w:t>协助HSE部门负责人宣传贯彻国家和</w:t>
      </w:r>
      <w:r>
        <w:rPr>
          <w:rFonts w:hint="eastAsia" w:ascii="宋体" w:hAnsi="宋体" w:cs="宋体"/>
          <w:color w:val="auto"/>
          <w:sz w:val="24"/>
          <w:szCs w:val="24"/>
          <w:u w:val="none"/>
          <w:lang w:val="en-US" w:eastAsia="zh-CN"/>
        </w:rPr>
        <w:t>地方</w:t>
      </w:r>
      <w:r>
        <w:rPr>
          <w:rFonts w:hint="eastAsia" w:ascii="宋体" w:hAnsi="宋体" w:eastAsia="宋体" w:cs="宋体"/>
          <w:color w:val="auto"/>
          <w:sz w:val="24"/>
          <w:szCs w:val="24"/>
          <w:u w:val="none"/>
        </w:rPr>
        <w:t>有关环境方面的法律和法规。</w:t>
      </w:r>
    </w:p>
    <w:p w14:paraId="17BA121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cs="宋体"/>
          <w:color w:val="auto"/>
          <w:sz w:val="24"/>
          <w:szCs w:val="24"/>
          <w:u w:val="none"/>
          <w:lang w:val="en-US" w:eastAsia="zh-CN"/>
        </w:rPr>
        <w:t>4）</w:t>
      </w:r>
      <w:r>
        <w:rPr>
          <w:rFonts w:hint="eastAsia" w:ascii="宋体" w:hAnsi="宋体" w:eastAsia="宋体" w:cs="宋体"/>
          <w:color w:val="auto"/>
          <w:sz w:val="24"/>
          <w:szCs w:val="24"/>
          <w:u w:val="none"/>
        </w:rPr>
        <w:t>对HSE工作的真实性、合法性、效益性进行审查，评价其责任，并提出改进意见。</w:t>
      </w:r>
    </w:p>
    <w:p w14:paraId="7399E0E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（3）环境监理范围</w:t>
      </w:r>
    </w:p>
    <w:p w14:paraId="26ED586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1）井场</w:t>
      </w:r>
    </w:p>
    <w:p w14:paraId="3974841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井场环境监理的范围，即为工程扰动的范围。</w:t>
      </w:r>
    </w:p>
    <w:p w14:paraId="384A19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eastAsia="zh-CN"/>
        </w:rPr>
      </w:pPr>
      <w:r>
        <w:rPr>
          <w:rFonts w:hint="eastAsia" w:ascii="宋体" w:hAnsi="宋体" w:cs="宋体"/>
          <w:color w:val="auto"/>
          <w:sz w:val="24"/>
          <w:szCs w:val="24"/>
          <w:u w:val="none"/>
          <w:lang w:val="en-US" w:eastAsia="zh-CN"/>
        </w:rPr>
        <w:t>2）</w:t>
      </w:r>
      <w:r>
        <w:rPr>
          <w:rFonts w:hint="eastAsia" w:ascii="宋体" w:hAnsi="宋体" w:eastAsia="宋体" w:cs="宋体"/>
          <w:color w:val="auto"/>
          <w:sz w:val="24"/>
          <w:szCs w:val="24"/>
          <w:u w:val="none"/>
        </w:rPr>
        <w:t>管道工程</w:t>
      </w:r>
    </w:p>
    <w:p w14:paraId="3EF330D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管道工程环境监理的范围</w:t>
      </w:r>
      <w:r>
        <w:rPr>
          <w:rFonts w:hint="eastAsia" w:ascii="宋体" w:hAnsi="宋体" w:cs="宋体"/>
          <w:color w:val="auto"/>
          <w:sz w:val="24"/>
          <w:szCs w:val="24"/>
          <w:u w:val="none"/>
          <w:lang w:eastAsia="zh-CN"/>
        </w:rPr>
        <w:t>，</w:t>
      </w:r>
      <w:r>
        <w:rPr>
          <w:rFonts w:hint="eastAsia" w:ascii="宋体" w:hAnsi="宋体" w:eastAsia="宋体" w:cs="宋体"/>
          <w:color w:val="auto"/>
          <w:sz w:val="24"/>
          <w:szCs w:val="24"/>
          <w:u w:val="none"/>
        </w:rPr>
        <w:t>即为工程扰动的范围：管线作业带宽度</w:t>
      </w:r>
      <w:r>
        <w:rPr>
          <w:rFonts w:hint="eastAsia" w:ascii="宋体" w:hAnsi="宋体" w:cs="宋体"/>
          <w:color w:val="auto"/>
          <w:sz w:val="24"/>
          <w:szCs w:val="24"/>
          <w:u w:val="none"/>
          <w:lang w:val="en-US" w:eastAsia="zh-CN"/>
        </w:rPr>
        <w:t>12m</w:t>
      </w:r>
      <w:r>
        <w:rPr>
          <w:rFonts w:hint="eastAsia" w:ascii="宋体" w:hAnsi="宋体" w:eastAsia="宋体" w:cs="宋体"/>
          <w:color w:val="auto"/>
          <w:sz w:val="24"/>
          <w:szCs w:val="24"/>
          <w:u w:val="none"/>
        </w:rPr>
        <w:t>。</w:t>
      </w:r>
    </w:p>
    <w:p w14:paraId="2385B0E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（4）环境监理内容</w:t>
      </w:r>
    </w:p>
    <w:p w14:paraId="2905301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eastAsia="zh-CN"/>
        </w:rPr>
      </w:pPr>
      <w:r>
        <w:rPr>
          <w:rFonts w:hint="eastAsia" w:ascii="宋体" w:hAnsi="宋体" w:cs="宋体"/>
          <w:color w:val="auto"/>
          <w:sz w:val="24"/>
          <w:szCs w:val="24"/>
          <w:u w:val="none"/>
          <w:lang w:val="en-US" w:eastAsia="zh-CN"/>
        </w:rPr>
        <w:t>1）</w:t>
      </w:r>
      <w:r>
        <w:rPr>
          <w:rFonts w:hint="eastAsia" w:ascii="宋体" w:hAnsi="宋体" w:eastAsia="宋体" w:cs="宋体"/>
          <w:color w:val="auto"/>
          <w:sz w:val="24"/>
          <w:szCs w:val="24"/>
          <w:u w:val="none"/>
        </w:rPr>
        <w:t>施工期环境监理主要内容</w:t>
      </w:r>
    </w:p>
    <w:p w14:paraId="6EC9F5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针对施工期污水的环境保护处理措施，汽车尾气、施工扬尘的大气环境影响控制措施，运输车辆的声环境控制措施，施工土方量等固体废物主要处置措施，进行环境监理，必要时采取旁站的形式完成监理工作。另外，还应对管道等施工期的生态保护措施、防沙治沙措施、恢复方案进行监理。</w:t>
      </w:r>
    </w:p>
    <w:p w14:paraId="7CF0047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cs="宋体"/>
          <w:color w:val="auto"/>
          <w:sz w:val="24"/>
          <w:szCs w:val="24"/>
          <w:u w:val="none"/>
          <w:lang w:val="en-US" w:eastAsia="zh-CN"/>
        </w:rPr>
        <w:t>2）</w:t>
      </w:r>
      <w:r>
        <w:rPr>
          <w:rFonts w:hint="eastAsia" w:ascii="宋体" w:hAnsi="宋体" w:eastAsia="宋体" w:cs="宋体"/>
          <w:color w:val="auto"/>
          <w:sz w:val="24"/>
          <w:szCs w:val="24"/>
          <w:u w:val="none"/>
        </w:rPr>
        <w:t>试</w:t>
      </w:r>
      <w:r>
        <w:rPr>
          <w:rFonts w:hint="eastAsia" w:ascii="宋体" w:hAnsi="宋体" w:eastAsia="宋体" w:cs="宋体"/>
          <w:color w:val="auto"/>
          <w:sz w:val="24"/>
          <w:szCs w:val="24"/>
          <w:u w:val="none"/>
          <w:lang w:eastAsia="zh-CN"/>
        </w:rPr>
        <w:t>运营期</w:t>
      </w:r>
      <w:r>
        <w:rPr>
          <w:rFonts w:hint="eastAsia" w:ascii="宋体" w:hAnsi="宋体" w:eastAsia="宋体" w:cs="宋体"/>
          <w:color w:val="auto"/>
          <w:sz w:val="24"/>
          <w:szCs w:val="24"/>
          <w:u w:val="none"/>
        </w:rPr>
        <w:t>环境监理主要内容</w:t>
      </w:r>
    </w:p>
    <w:p w14:paraId="4B6D5A5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按照竣工环境保护验收有关要求逐项核查环保措施、设施落实情况、效果，重点关注生态保护措施及作业带地貌恢复的情况。</w:t>
      </w:r>
    </w:p>
    <w:p w14:paraId="343478F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s="Times New Roman"/>
          <w:color w:val="auto"/>
          <w:kern w:val="0"/>
          <w:sz w:val="24"/>
          <w:szCs w:val="24"/>
          <w:highlight w:val="none"/>
          <w:u w:val="none"/>
        </w:rPr>
      </w:pPr>
      <w:r>
        <w:rPr>
          <w:rFonts w:hint="eastAsia" w:ascii="宋体" w:hAnsi="宋体" w:eastAsia="宋体" w:cs="宋体"/>
          <w:color w:val="auto"/>
          <w:sz w:val="24"/>
          <w:szCs w:val="24"/>
          <w:u w:val="none"/>
        </w:rPr>
        <w:t>环境监理工作计划及重点</w:t>
      </w:r>
      <w:r>
        <w:rPr>
          <w:rFonts w:hint="eastAsia" w:ascii="宋体" w:hAnsi="宋体" w:cs="宋体"/>
          <w:color w:val="auto"/>
          <w:sz w:val="24"/>
          <w:szCs w:val="24"/>
          <w:u w:val="none"/>
          <w:lang w:eastAsia="zh-CN"/>
        </w:rPr>
        <w:t>，</w:t>
      </w:r>
      <w:r>
        <w:rPr>
          <w:rFonts w:hint="eastAsia" w:ascii="宋体" w:hAnsi="宋体" w:eastAsia="宋体" w:cs="宋体"/>
          <w:color w:val="auto"/>
          <w:sz w:val="24"/>
          <w:szCs w:val="24"/>
          <w:u w:val="none"/>
        </w:rPr>
        <w:t>见表</w:t>
      </w:r>
      <w:r>
        <w:rPr>
          <w:rFonts w:hint="eastAsia" w:ascii="宋体" w:hAnsi="宋体" w:cs="宋体"/>
          <w:color w:val="auto"/>
          <w:sz w:val="24"/>
          <w:szCs w:val="24"/>
          <w:u w:val="none"/>
          <w:lang w:val="en-US" w:eastAsia="zh-CN"/>
        </w:rPr>
        <w:t>9.1</w:t>
      </w:r>
      <w:r>
        <w:rPr>
          <w:rFonts w:hint="eastAsia" w:ascii="宋体" w:hAnsi="宋体" w:eastAsia="宋体" w:cs="宋体"/>
          <w:color w:val="auto"/>
          <w:sz w:val="24"/>
          <w:szCs w:val="24"/>
          <w:u w:val="none"/>
        </w:rPr>
        <w:t>-1。</w:t>
      </w:r>
    </w:p>
    <w:p w14:paraId="7CA2BF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color w:val="auto"/>
          <w:kern w:val="0"/>
          <w:sz w:val="21"/>
          <w:szCs w:val="21"/>
          <w:highlight w:val="none"/>
          <w:u w:val="none"/>
          <w:lang w:val="zh-CN"/>
        </w:rPr>
      </w:pPr>
      <w:r>
        <w:rPr>
          <w:rFonts w:hint="default" w:ascii="黑体" w:hAnsi="黑体" w:eastAsia="黑体" w:cs="黑体"/>
          <w:b w:val="0"/>
          <w:bCs/>
          <w:color w:val="auto"/>
          <w:kern w:val="2"/>
          <w:sz w:val="24"/>
          <w:szCs w:val="24"/>
          <w:u w:val="none"/>
          <w:lang w:val="zh-CN" w:eastAsia="zh-CN" w:bidi="ar-SA"/>
        </w:rPr>
        <w:t>表</w:t>
      </w:r>
      <w:r>
        <w:rPr>
          <w:rFonts w:hint="eastAsia" w:ascii="黑体" w:hAnsi="黑体" w:eastAsia="黑体" w:cs="黑体"/>
          <w:b w:val="0"/>
          <w:bCs/>
          <w:color w:val="auto"/>
          <w:kern w:val="2"/>
          <w:sz w:val="24"/>
          <w:szCs w:val="24"/>
          <w:u w:val="none"/>
          <w:lang w:val="en-US" w:eastAsia="zh-CN" w:bidi="ar-SA"/>
        </w:rPr>
        <w:t>9.1</w:t>
      </w:r>
      <w:r>
        <w:rPr>
          <w:rFonts w:hint="default" w:ascii="黑体" w:hAnsi="黑体" w:eastAsia="黑体" w:cs="黑体"/>
          <w:b w:val="0"/>
          <w:bCs/>
          <w:color w:val="auto"/>
          <w:kern w:val="2"/>
          <w:sz w:val="24"/>
          <w:szCs w:val="24"/>
          <w:u w:val="none"/>
          <w:lang w:val="zh-CN" w:eastAsia="zh-CN" w:bidi="ar-SA"/>
        </w:rPr>
        <w:t>-1</w:t>
      </w:r>
      <w:r>
        <w:rPr>
          <w:rFonts w:hint="default" w:ascii="黑体" w:hAnsi="黑体" w:eastAsia="黑体" w:cs="黑体"/>
          <w:b w:val="0"/>
          <w:bCs/>
          <w:color w:val="auto"/>
          <w:kern w:val="2"/>
          <w:sz w:val="24"/>
          <w:szCs w:val="24"/>
          <w:u w:val="none"/>
          <w:lang w:val="zh-CN" w:eastAsia="zh-CN" w:bidi="ar-SA"/>
        </w:rPr>
        <w:tab/>
      </w:r>
      <w:r>
        <w:rPr>
          <w:rFonts w:hint="default" w:ascii="黑体" w:hAnsi="黑体" w:eastAsia="黑体" w:cs="黑体"/>
          <w:b w:val="0"/>
          <w:bCs/>
          <w:color w:val="auto"/>
          <w:kern w:val="2"/>
          <w:sz w:val="24"/>
          <w:szCs w:val="24"/>
          <w:u w:val="none"/>
          <w:lang w:val="zh-CN" w:eastAsia="zh-CN" w:bidi="ar-SA"/>
        </w:rPr>
        <w:t>现场环境监理工作计划</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15"/>
        <w:gridCol w:w="1183"/>
        <w:gridCol w:w="4888"/>
        <w:gridCol w:w="1558"/>
      </w:tblGrid>
      <w:tr w14:paraId="491E6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7" w:type="pct"/>
            <w:tcBorders>
              <w:tl2br w:val="nil"/>
              <w:tr2bl w:val="nil"/>
            </w:tcBorders>
            <w:noWrap w:val="0"/>
            <w:vAlign w:val="center"/>
          </w:tcPr>
          <w:p w14:paraId="08261D7F">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序号</w:t>
            </w:r>
          </w:p>
        </w:tc>
        <w:tc>
          <w:tcPr>
            <w:tcW w:w="684" w:type="pct"/>
            <w:tcBorders>
              <w:tl2br w:val="nil"/>
              <w:tr2bl w:val="nil"/>
            </w:tcBorders>
            <w:noWrap w:val="0"/>
            <w:vAlign w:val="center"/>
          </w:tcPr>
          <w:p w14:paraId="667B9650">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场地</w:t>
            </w:r>
          </w:p>
        </w:tc>
        <w:tc>
          <w:tcPr>
            <w:tcW w:w="2827" w:type="pct"/>
            <w:tcBorders>
              <w:tl2br w:val="nil"/>
              <w:tr2bl w:val="nil"/>
            </w:tcBorders>
            <w:noWrap w:val="0"/>
            <w:vAlign w:val="center"/>
          </w:tcPr>
          <w:p w14:paraId="26B49BBD">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监督内容</w:t>
            </w:r>
          </w:p>
        </w:tc>
        <w:tc>
          <w:tcPr>
            <w:tcW w:w="901" w:type="pct"/>
            <w:tcBorders>
              <w:tl2br w:val="nil"/>
              <w:tr2bl w:val="nil"/>
            </w:tcBorders>
            <w:noWrap w:val="0"/>
            <w:vAlign w:val="center"/>
          </w:tcPr>
          <w:p w14:paraId="6B6DCCFA">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监理要求</w:t>
            </w:r>
          </w:p>
        </w:tc>
      </w:tr>
      <w:tr w14:paraId="11FD7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7" w:type="pct"/>
            <w:tcBorders>
              <w:tl2br w:val="nil"/>
              <w:tr2bl w:val="nil"/>
            </w:tcBorders>
            <w:noWrap w:val="0"/>
            <w:vAlign w:val="center"/>
          </w:tcPr>
          <w:p w14:paraId="5EF00C1B">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1</w:t>
            </w:r>
          </w:p>
        </w:tc>
        <w:tc>
          <w:tcPr>
            <w:tcW w:w="684" w:type="pct"/>
            <w:tcBorders>
              <w:tl2br w:val="nil"/>
              <w:tr2bl w:val="nil"/>
            </w:tcBorders>
            <w:noWrap w:val="0"/>
            <w:vAlign w:val="center"/>
          </w:tcPr>
          <w:p w14:paraId="199CFAF9">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井场</w:t>
            </w:r>
          </w:p>
        </w:tc>
        <w:tc>
          <w:tcPr>
            <w:tcW w:w="2827" w:type="pct"/>
            <w:tcBorders>
              <w:tl2br w:val="nil"/>
              <w:tr2bl w:val="nil"/>
            </w:tcBorders>
            <w:noWrap w:val="0"/>
            <w:vAlign w:val="center"/>
          </w:tcPr>
          <w:p w14:paraId="5AE8D5BC">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①井位布设是否满足环评要求；</w:t>
            </w:r>
          </w:p>
          <w:p w14:paraId="43776C44">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②井场的环保设施，施工是否严格按设计方案执行，施工质量是否能达到要求；</w:t>
            </w:r>
          </w:p>
          <w:p w14:paraId="5C045EC4">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③施工作业是否超越了限定范围；</w:t>
            </w:r>
          </w:p>
          <w:p w14:paraId="2C77A6F1">
            <w:pPr>
              <w:keepNext w:val="0"/>
              <w:keepLines w:val="0"/>
              <w:pageBreakBefore w:val="0"/>
              <w:numPr>
                <w:ilvl w:val="0"/>
                <w:numId w:val="0"/>
              </w:numPr>
              <w:kinsoku/>
              <w:wordWrap/>
              <w:overflowPunct/>
              <w:topLinePunct w:val="0"/>
              <w:autoSpaceDE/>
              <w:autoSpaceDN/>
              <w:bidi w:val="0"/>
              <w:adjustRightInd w:val="0"/>
              <w:snapToGrid w:val="0"/>
              <w:spacing w:line="340" w:lineRule="exact"/>
              <w:ind w:right="0" w:right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④废水、废气、废渣等污染是否达标排放。</w:t>
            </w:r>
          </w:p>
        </w:tc>
        <w:tc>
          <w:tcPr>
            <w:tcW w:w="901" w:type="pct"/>
            <w:vMerge w:val="restart"/>
            <w:tcBorders>
              <w:tl2br w:val="nil"/>
              <w:tr2bl w:val="nil"/>
            </w:tcBorders>
            <w:noWrap w:val="0"/>
            <w:vAlign w:val="center"/>
          </w:tcPr>
          <w:p w14:paraId="79E74298">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环评中环保措施落实到位</w:t>
            </w:r>
          </w:p>
        </w:tc>
      </w:tr>
      <w:tr w14:paraId="3973E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7" w:type="pct"/>
            <w:tcBorders>
              <w:tl2br w:val="nil"/>
              <w:tr2bl w:val="nil"/>
            </w:tcBorders>
            <w:noWrap w:val="0"/>
            <w:vAlign w:val="center"/>
          </w:tcPr>
          <w:p w14:paraId="2B6566A7">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2</w:t>
            </w:r>
          </w:p>
        </w:tc>
        <w:tc>
          <w:tcPr>
            <w:tcW w:w="684" w:type="pct"/>
            <w:tcBorders>
              <w:tl2br w:val="nil"/>
              <w:tr2bl w:val="nil"/>
            </w:tcBorders>
            <w:noWrap w:val="0"/>
            <w:vAlign w:val="center"/>
          </w:tcPr>
          <w:p w14:paraId="2D6EE975">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管沟开挖现场</w:t>
            </w:r>
          </w:p>
        </w:tc>
        <w:tc>
          <w:tcPr>
            <w:tcW w:w="2827" w:type="pct"/>
            <w:tcBorders>
              <w:tl2br w:val="nil"/>
              <w:tr2bl w:val="nil"/>
            </w:tcBorders>
            <w:noWrap w:val="0"/>
            <w:vAlign w:val="center"/>
          </w:tcPr>
          <w:p w14:paraId="2DEB548C">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①集输线路是否满足环评要求；</w:t>
            </w:r>
          </w:p>
          <w:p w14:paraId="18265D02">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②施工作业是否超越了作业带宽度；</w:t>
            </w:r>
          </w:p>
          <w:p w14:paraId="42692577">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③挖土方放置是否符合要求，回填后多余的土方处置是否合理；</w:t>
            </w:r>
          </w:p>
          <w:p w14:paraId="55D0FE49">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④施工人员是否按操作规程及相关规定作业；</w:t>
            </w:r>
          </w:p>
          <w:p w14:paraId="6138334B">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⑤施工完成后是否进行了清理。</w:t>
            </w:r>
          </w:p>
        </w:tc>
        <w:tc>
          <w:tcPr>
            <w:tcW w:w="901" w:type="pct"/>
            <w:vMerge w:val="continue"/>
            <w:tcBorders>
              <w:tl2br w:val="nil"/>
              <w:tr2bl w:val="nil"/>
            </w:tcBorders>
            <w:noWrap w:val="0"/>
            <w:vAlign w:val="center"/>
          </w:tcPr>
          <w:p w14:paraId="1F812168">
            <w:pPr>
              <w:keepNext w:val="0"/>
              <w:keepLines w:val="0"/>
              <w:pageBreakBefore w:val="0"/>
              <w:widowControl/>
              <w:kinsoku/>
              <w:wordWrap/>
              <w:overflowPunct/>
              <w:topLinePunct w:val="0"/>
              <w:autoSpaceDE/>
              <w:autoSpaceDN/>
              <w:bidi w:val="0"/>
              <w:spacing w:line="340" w:lineRule="exact"/>
              <w:jc w:val="center"/>
              <w:rPr>
                <w:rFonts w:hint="eastAsia" w:ascii="宋体" w:hAnsi="宋体" w:eastAsia="宋体" w:cs="宋体"/>
                <w:color w:val="auto"/>
                <w:kern w:val="0"/>
                <w:sz w:val="21"/>
                <w:szCs w:val="21"/>
                <w:highlight w:val="none"/>
                <w:u w:val="none"/>
              </w:rPr>
            </w:pPr>
          </w:p>
        </w:tc>
      </w:tr>
      <w:tr w14:paraId="22924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7" w:type="pct"/>
            <w:tcBorders>
              <w:tl2br w:val="nil"/>
              <w:tr2bl w:val="nil"/>
            </w:tcBorders>
            <w:noWrap w:val="0"/>
            <w:vAlign w:val="center"/>
          </w:tcPr>
          <w:p w14:paraId="1F5B1196">
            <w:pPr>
              <w:keepNext w:val="0"/>
              <w:keepLines w:val="0"/>
              <w:pageBreakBefore w:val="0"/>
              <w:widowControl/>
              <w:kinsoku/>
              <w:wordWrap/>
              <w:overflowPunct/>
              <w:topLinePunct w:val="0"/>
              <w:autoSpaceDE/>
              <w:autoSpaceDN/>
              <w:bidi w:val="0"/>
              <w:adjustRightInd/>
              <w:snapToGrid w:val="0"/>
              <w:spacing w:after="0" w:line="340" w:lineRule="exact"/>
              <w:ind w:firstLine="0" w:firstLineChars="0"/>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3</w:t>
            </w:r>
          </w:p>
        </w:tc>
        <w:tc>
          <w:tcPr>
            <w:tcW w:w="684" w:type="pct"/>
            <w:tcBorders>
              <w:tl2br w:val="nil"/>
              <w:tr2bl w:val="nil"/>
            </w:tcBorders>
            <w:noWrap w:val="0"/>
            <w:vAlign w:val="center"/>
          </w:tcPr>
          <w:p w14:paraId="7ABD12A2">
            <w:pPr>
              <w:keepNext w:val="0"/>
              <w:keepLines w:val="0"/>
              <w:pageBreakBefore w:val="0"/>
              <w:widowControl/>
              <w:kinsoku/>
              <w:wordWrap/>
              <w:overflowPunct/>
              <w:topLinePunct w:val="0"/>
              <w:autoSpaceDE/>
              <w:autoSpaceDN/>
              <w:bidi w:val="0"/>
              <w:adjustRightInd/>
              <w:snapToGrid w:val="0"/>
              <w:spacing w:after="0" w:line="340" w:lineRule="exact"/>
              <w:ind w:firstLine="0" w:firstLineChars="0"/>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道路建设现场</w:t>
            </w:r>
          </w:p>
        </w:tc>
        <w:tc>
          <w:tcPr>
            <w:tcW w:w="2827" w:type="pct"/>
            <w:tcBorders>
              <w:tl2br w:val="nil"/>
              <w:tr2bl w:val="nil"/>
            </w:tcBorders>
            <w:noWrap w:val="0"/>
            <w:vAlign w:val="center"/>
          </w:tcPr>
          <w:p w14:paraId="2DD6945C">
            <w:pPr>
              <w:keepNext w:val="0"/>
              <w:keepLines w:val="0"/>
              <w:pageBreakBefore w:val="0"/>
              <w:widowControl/>
              <w:kinsoku/>
              <w:wordWrap/>
              <w:overflowPunct/>
              <w:topLinePunct w:val="0"/>
              <w:autoSpaceDE/>
              <w:autoSpaceDN/>
              <w:bidi w:val="0"/>
              <w:adjustRightInd/>
              <w:snapToGrid w:val="0"/>
              <w:spacing w:after="0" w:line="340" w:lineRule="exact"/>
              <w:ind w:firstLine="0" w:firstLineChars="0"/>
              <w:jc w:val="both"/>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①施工作业是否超越了限定范围；</w:t>
            </w:r>
          </w:p>
          <w:p w14:paraId="7DB053DE">
            <w:pPr>
              <w:keepNext w:val="0"/>
              <w:keepLines w:val="0"/>
              <w:pageBreakBefore w:val="0"/>
              <w:widowControl/>
              <w:kinsoku/>
              <w:wordWrap/>
              <w:overflowPunct/>
              <w:topLinePunct w:val="0"/>
              <w:autoSpaceDE/>
              <w:autoSpaceDN/>
              <w:bidi w:val="0"/>
              <w:adjustRightInd/>
              <w:snapToGrid w:val="0"/>
              <w:spacing w:after="0" w:line="340" w:lineRule="exact"/>
              <w:ind w:firstLine="0" w:firstLineChars="0"/>
              <w:jc w:val="both"/>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②临时堆放的土石方是否采取防风固沙措施；</w:t>
            </w:r>
          </w:p>
          <w:p w14:paraId="6978C2C5">
            <w:pPr>
              <w:keepNext w:val="0"/>
              <w:keepLines w:val="0"/>
              <w:pageBreakBefore w:val="0"/>
              <w:widowControl/>
              <w:kinsoku/>
              <w:wordWrap/>
              <w:overflowPunct/>
              <w:topLinePunct w:val="0"/>
              <w:autoSpaceDE/>
              <w:autoSpaceDN/>
              <w:bidi w:val="0"/>
              <w:adjustRightInd/>
              <w:snapToGrid w:val="0"/>
              <w:spacing w:after="0" w:line="340" w:lineRule="exact"/>
              <w:ind w:firstLine="0" w:firstLineChars="0"/>
              <w:jc w:val="both"/>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③施工人员是否按操作规程及相关规定作业。</w:t>
            </w:r>
          </w:p>
        </w:tc>
        <w:tc>
          <w:tcPr>
            <w:tcW w:w="901" w:type="pct"/>
            <w:tcBorders>
              <w:tl2br w:val="nil"/>
              <w:tr2bl w:val="nil"/>
            </w:tcBorders>
            <w:noWrap w:val="0"/>
            <w:vAlign w:val="center"/>
          </w:tcPr>
          <w:p w14:paraId="3B1123C2">
            <w:pPr>
              <w:keepNext w:val="0"/>
              <w:keepLines w:val="0"/>
              <w:pageBreakBefore w:val="0"/>
              <w:widowControl/>
              <w:kinsoku/>
              <w:wordWrap/>
              <w:overflowPunct/>
              <w:topLinePunct w:val="0"/>
              <w:autoSpaceDE/>
              <w:autoSpaceDN/>
              <w:bidi w:val="0"/>
              <w:adjustRightInd/>
              <w:snapToGrid w:val="0"/>
              <w:spacing w:after="0" w:line="340" w:lineRule="exact"/>
              <w:ind w:firstLine="0" w:firstLineChars="0"/>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各项环保措施落实到位</w:t>
            </w:r>
          </w:p>
        </w:tc>
      </w:tr>
      <w:tr w14:paraId="68795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7" w:type="pct"/>
            <w:tcBorders>
              <w:tl2br w:val="nil"/>
              <w:tr2bl w:val="nil"/>
            </w:tcBorders>
            <w:noWrap w:val="0"/>
            <w:vAlign w:val="center"/>
          </w:tcPr>
          <w:p w14:paraId="217D3189">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4</w:t>
            </w:r>
          </w:p>
        </w:tc>
        <w:tc>
          <w:tcPr>
            <w:tcW w:w="684" w:type="pct"/>
            <w:tcBorders>
              <w:tl2br w:val="nil"/>
              <w:tr2bl w:val="nil"/>
            </w:tcBorders>
            <w:noWrap w:val="0"/>
            <w:vAlign w:val="center"/>
          </w:tcPr>
          <w:p w14:paraId="742649DB">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其它</w:t>
            </w:r>
          </w:p>
        </w:tc>
        <w:tc>
          <w:tcPr>
            <w:tcW w:w="2827" w:type="pct"/>
            <w:tcBorders>
              <w:tl2br w:val="nil"/>
              <w:tr2bl w:val="nil"/>
            </w:tcBorders>
            <w:noWrap w:val="0"/>
            <w:vAlign w:val="center"/>
          </w:tcPr>
          <w:p w14:paraId="51CFD2B0">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①施工结束后是否及时清理现场、恢复地貌，是否及时采取生态恢复、防沙治沙、水土保持措施；</w:t>
            </w:r>
          </w:p>
          <w:p w14:paraId="7013331E">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②施工季节是否合适；</w:t>
            </w:r>
          </w:p>
          <w:p w14:paraId="6DF70236">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③有无砍伐、破坏施工区以外的作物和植被，有无伤害野生动物等行为。</w:t>
            </w:r>
          </w:p>
        </w:tc>
        <w:tc>
          <w:tcPr>
            <w:tcW w:w="901" w:type="pct"/>
            <w:tcBorders>
              <w:tl2br w:val="nil"/>
              <w:tr2bl w:val="nil"/>
            </w:tcBorders>
            <w:noWrap w:val="0"/>
            <w:vAlign w:val="center"/>
          </w:tcPr>
          <w:p w14:paraId="5964E188">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各项环保措施落实到位</w:t>
            </w:r>
          </w:p>
        </w:tc>
      </w:tr>
    </w:tbl>
    <w:p w14:paraId="0E6F855F">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bookmarkStart w:id="616" w:name="_Toc173941989"/>
      <w:r>
        <w:rPr>
          <w:rFonts w:hint="eastAsia" w:ascii="黑体" w:hAnsi="黑体" w:eastAsia="黑体" w:cs="Times New Roman"/>
          <w:b/>
          <w:bCs w:val="0"/>
          <w:color w:val="auto"/>
          <w:sz w:val="24"/>
          <w:szCs w:val="20"/>
          <w:highlight w:val="none"/>
          <w:u w:val="none"/>
          <w:lang w:val="en-US" w:eastAsia="zh-CN" w:bidi="ar-SA"/>
        </w:rPr>
        <w:t>9.1.3</w:t>
      </w:r>
      <w:bookmarkEnd w:id="616"/>
      <w:r>
        <w:rPr>
          <w:rFonts w:hint="eastAsia" w:ascii="黑体" w:hAnsi="黑体" w:eastAsia="黑体" w:cs="Times New Roman"/>
          <w:b/>
          <w:bCs w:val="0"/>
          <w:color w:val="auto"/>
          <w:sz w:val="24"/>
          <w:szCs w:val="20"/>
          <w:highlight w:val="none"/>
          <w:u w:val="none"/>
          <w:lang w:val="en-US" w:eastAsia="zh-CN" w:bidi="ar-SA"/>
        </w:rPr>
        <w:t>运营期环境管理任务</w:t>
      </w:r>
    </w:p>
    <w:p w14:paraId="3EA78DE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建设项目运营环境监督管理计划</w:t>
      </w:r>
      <w:r>
        <w:rPr>
          <w:rFonts w:hint="eastAsia" w:cs="Times New Roman"/>
          <w:color w:val="auto"/>
          <w:kern w:val="0"/>
          <w:sz w:val="24"/>
          <w:szCs w:val="24"/>
          <w:highlight w:val="none"/>
          <w:u w:val="none"/>
          <w:lang w:eastAsia="zh-CN"/>
        </w:rPr>
        <w:t>，</w:t>
      </w:r>
      <w:r>
        <w:rPr>
          <w:rFonts w:ascii="Times New Roman" w:hAnsi="Times New Roman" w:cs="Times New Roman"/>
          <w:color w:val="auto"/>
          <w:kern w:val="0"/>
          <w:sz w:val="24"/>
          <w:szCs w:val="24"/>
          <w:highlight w:val="none"/>
          <w:u w:val="none"/>
        </w:rPr>
        <w:t>见表</w:t>
      </w:r>
      <w:r>
        <w:rPr>
          <w:rFonts w:hint="eastAsia" w:cs="Times New Roman"/>
          <w:color w:val="auto"/>
          <w:kern w:val="0"/>
          <w:sz w:val="24"/>
          <w:szCs w:val="24"/>
          <w:highlight w:val="none"/>
          <w:u w:val="none"/>
          <w:lang w:val="en-US" w:eastAsia="zh-CN"/>
        </w:rPr>
        <w:t>9.1-2</w:t>
      </w:r>
      <w:r>
        <w:rPr>
          <w:rFonts w:ascii="Times New Roman" w:hAnsi="Times New Roman" w:cs="Times New Roman"/>
          <w:color w:val="auto"/>
          <w:kern w:val="0"/>
          <w:sz w:val="24"/>
          <w:szCs w:val="24"/>
          <w:highlight w:val="none"/>
          <w:u w:val="none"/>
        </w:rPr>
        <w:t>。</w:t>
      </w:r>
    </w:p>
    <w:p w14:paraId="4D55A7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b/>
          <w:color w:val="auto"/>
          <w:kern w:val="0"/>
          <w:sz w:val="21"/>
          <w:szCs w:val="21"/>
          <w:highlight w:val="none"/>
          <w:u w:val="none"/>
          <w:lang w:val="zh-CN"/>
        </w:rPr>
      </w:pPr>
      <w:r>
        <w:rPr>
          <w:rFonts w:hint="eastAsia" w:ascii="黑体" w:hAnsi="黑体" w:eastAsia="黑体" w:cs="黑体"/>
          <w:b w:val="0"/>
          <w:bCs/>
          <w:color w:val="auto"/>
          <w:kern w:val="2"/>
          <w:sz w:val="24"/>
          <w:szCs w:val="24"/>
          <w:u w:val="none"/>
          <w:lang w:val="zh-CN" w:eastAsia="zh-CN" w:bidi="ar-SA"/>
        </w:rPr>
        <w:t>表</w:t>
      </w:r>
      <w:r>
        <w:rPr>
          <w:rFonts w:hint="eastAsia" w:ascii="黑体" w:hAnsi="黑体" w:eastAsia="黑体" w:cs="黑体"/>
          <w:b w:val="0"/>
          <w:bCs/>
          <w:color w:val="auto"/>
          <w:kern w:val="2"/>
          <w:sz w:val="24"/>
          <w:szCs w:val="24"/>
          <w:u w:val="none"/>
          <w:lang w:val="en-US" w:eastAsia="zh-CN" w:bidi="ar-SA"/>
        </w:rPr>
        <w:t xml:space="preserve">9.1-2  </w:t>
      </w:r>
      <w:r>
        <w:rPr>
          <w:rFonts w:hint="eastAsia" w:ascii="黑体" w:hAnsi="黑体" w:eastAsia="黑体" w:cs="黑体"/>
          <w:b w:val="0"/>
          <w:bCs/>
          <w:color w:val="auto"/>
          <w:kern w:val="2"/>
          <w:sz w:val="24"/>
          <w:szCs w:val="24"/>
          <w:u w:val="none"/>
          <w:lang w:val="zh-CN" w:eastAsia="zh-CN" w:bidi="ar-SA"/>
        </w:rPr>
        <w:t>项目运营环境监督管理计划</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990"/>
        <w:gridCol w:w="5025"/>
        <w:gridCol w:w="1073"/>
        <w:gridCol w:w="1166"/>
      </w:tblGrid>
      <w:tr w14:paraId="78C28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28" w:type="pct"/>
            <w:tcBorders>
              <w:tl2br w:val="nil"/>
              <w:tr2bl w:val="nil"/>
            </w:tcBorders>
            <w:noWrap w:val="0"/>
            <w:vAlign w:val="center"/>
          </w:tcPr>
          <w:p w14:paraId="0F4D584E">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序号</w:t>
            </w:r>
          </w:p>
        </w:tc>
        <w:tc>
          <w:tcPr>
            <w:tcW w:w="560" w:type="pct"/>
            <w:tcBorders>
              <w:tl2br w:val="nil"/>
              <w:tr2bl w:val="nil"/>
            </w:tcBorders>
            <w:noWrap w:val="0"/>
            <w:vAlign w:val="center"/>
          </w:tcPr>
          <w:p w14:paraId="37AEF536">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监督管理项目</w:t>
            </w:r>
          </w:p>
        </w:tc>
        <w:tc>
          <w:tcPr>
            <w:tcW w:w="2843" w:type="pct"/>
            <w:tcBorders>
              <w:tl2br w:val="nil"/>
              <w:tr2bl w:val="nil"/>
            </w:tcBorders>
            <w:noWrap w:val="0"/>
            <w:vAlign w:val="center"/>
          </w:tcPr>
          <w:p w14:paraId="3831F5F8">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监督检查具体内容</w:t>
            </w:r>
          </w:p>
        </w:tc>
        <w:tc>
          <w:tcPr>
            <w:tcW w:w="607" w:type="pct"/>
            <w:tcBorders>
              <w:tl2br w:val="nil"/>
              <w:tr2bl w:val="nil"/>
            </w:tcBorders>
            <w:noWrap w:val="0"/>
            <w:vAlign w:val="center"/>
          </w:tcPr>
          <w:p w14:paraId="6053416E">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实施单位</w:t>
            </w:r>
          </w:p>
        </w:tc>
        <w:tc>
          <w:tcPr>
            <w:tcW w:w="660" w:type="pct"/>
            <w:tcBorders>
              <w:tl2br w:val="nil"/>
              <w:tr2bl w:val="nil"/>
            </w:tcBorders>
            <w:noWrap w:val="0"/>
            <w:vAlign w:val="center"/>
          </w:tcPr>
          <w:p w14:paraId="1A8D444D">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监督单位</w:t>
            </w:r>
          </w:p>
        </w:tc>
      </w:tr>
      <w:tr w14:paraId="6CBA4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14:paraId="4ABC587F">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1</w:t>
            </w:r>
          </w:p>
        </w:tc>
        <w:tc>
          <w:tcPr>
            <w:tcW w:w="560" w:type="pct"/>
            <w:tcBorders>
              <w:tl2br w:val="nil"/>
              <w:tr2bl w:val="nil"/>
            </w:tcBorders>
            <w:noWrap w:val="0"/>
            <w:vAlign w:val="center"/>
          </w:tcPr>
          <w:p w14:paraId="0C334D4A">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环境计划管理</w:t>
            </w:r>
          </w:p>
        </w:tc>
        <w:tc>
          <w:tcPr>
            <w:tcW w:w="2843" w:type="pct"/>
            <w:tcBorders>
              <w:tl2br w:val="nil"/>
              <w:tr2bl w:val="nil"/>
            </w:tcBorders>
            <w:noWrap w:val="0"/>
            <w:vAlign w:val="center"/>
          </w:tcPr>
          <w:p w14:paraId="5A3C39FC">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环境管理计划的实施情况，包括井区环境整治、排污口规范化整治、环保治理方案的落实情况等</w:t>
            </w:r>
          </w:p>
        </w:tc>
        <w:tc>
          <w:tcPr>
            <w:tcW w:w="607" w:type="pct"/>
            <w:tcBorders>
              <w:tl2br w:val="nil"/>
              <w:tr2bl w:val="nil"/>
            </w:tcBorders>
            <w:noWrap w:val="0"/>
            <w:vAlign w:val="center"/>
          </w:tcPr>
          <w:p w14:paraId="3D6030E7">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建设单位</w:t>
            </w:r>
          </w:p>
        </w:tc>
        <w:tc>
          <w:tcPr>
            <w:tcW w:w="660" w:type="pct"/>
            <w:vMerge w:val="restart"/>
            <w:tcBorders>
              <w:tl2br w:val="nil"/>
              <w:tr2bl w:val="nil"/>
            </w:tcBorders>
            <w:noWrap w:val="0"/>
            <w:vAlign w:val="center"/>
          </w:tcPr>
          <w:p w14:paraId="77D0E951">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昌吉</w:t>
            </w:r>
            <w:r>
              <w:rPr>
                <w:rFonts w:hint="eastAsia" w:ascii="宋体" w:hAnsi="宋体" w:cs="宋体"/>
                <w:color w:val="auto"/>
                <w:sz w:val="21"/>
                <w:szCs w:val="21"/>
                <w:highlight w:val="none"/>
                <w:u w:val="none"/>
                <w:lang w:val="en-US" w:eastAsia="zh-CN" w:bidi="ar-SA"/>
              </w:rPr>
              <w:t>回族自治</w:t>
            </w:r>
            <w:r>
              <w:rPr>
                <w:rFonts w:hint="eastAsia" w:ascii="宋体" w:hAnsi="宋体" w:eastAsia="宋体" w:cs="宋体"/>
                <w:color w:val="auto"/>
                <w:sz w:val="21"/>
                <w:szCs w:val="21"/>
                <w:highlight w:val="none"/>
                <w:u w:val="none"/>
                <w:lang w:val="en-US" w:eastAsia="zh-CN" w:bidi="ar-SA"/>
              </w:rPr>
              <w:t>州生态环境局、昌吉</w:t>
            </w:r>
            <w:r>
              <w:rPr>
                <w:rFonts w:hint="eastAsia" w:ascii="宋体" w:hAnsi="宋体" w:cs="宋体"/>
                <w:color w:val="auto"/>
                <w:sz w:val="21"/>
                <w:szCs w:val="21"/>
                <w:highlight w:val="none"/>
                <w:u w:val="none"/>
                <w:lang w:val="en-US" w:eastAsia="zh-CN" w:bidi="ar-SA"/>
              </w:rPr>
              <w:t>回族自治</w:t>
            </w:r>
            <w:r>
              <w:rPr>
                <w:rFonts w:hint="eastAsia" w:ascii="宋体" w:hAnsi="宋体" w:eastAsia="宋体" w:cs="宋体"/>
                <w:color w:val="auto"/>
                <w:sz w:val="21"/>
                <w:szCs w:val="21"/>
                <w:highlight w:val="none"/>
                <w:u w:val="none"/>
                <w:lang w:val="en-US" w:eastAsia="zh-CN" w:bidi="ar-SA"/>
              </w:rPr>
              <w:t>州生态环境局呼图壁县分局</w:t>
            </w:r>
          </w:p>
        </w:tc>
      </w:tr>
      <w:tr w14:paraId="6E050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14:paraId="5A5A44F9">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2</w:t>
            </w:r>
          </w:p>
        </w:tc>
        <w:tc>
          <w:tcPr>
            <w:tcW w:w="560" w:type="pct"/>
            <w:tcBorders>
              <w:tl2br w:val="nil"/>
              <w:tr2bl w:val="nil"/>
            </w:tcBorders>
            <w:noWrap w:val="0"/>
            <w:vAlign w:val="center"/>
          </w:tcPr>
          <w:p w14:paraId="464ED1CD">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both"/>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污染源管理</w:t>
            </w:r>
          </w:p>
        </w:tc>
        <w:tc>
          <w:tcPr>
            <w:tcW w:w="2843" w:type="pct"/>
            <w:tcBorders>
              <w:tl2br w:val="nil"/>
              <w:tr2bl w:val="nil"/>
            </w:tcBorders>
            <w:noWrap w:val="0"/>
            <w:vAlign w:val="center"/>
          </w:tcPr>
          <w:p w14:paraId="3525447E">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①环保设施的运行情况，防止闲置和不正常运行；</w:t>
            </w:r>
          </w:p>
          <w:p w14:paraId="71FF8C9B">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②各废气排放源的排放情况，掌握排污动态，防止直接排放</w:t>
            </w:r>
          </w:p>
          <w:p w14:paraId="2496D678">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③检查固废的堆放、运输、处置措施的执行情况，防止造成环境污染</w:t>
            </w:r>
          </w:p>
          <w:p w14:paraId="59189A23">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④检查噪声排放源治理措施的消声、隔声效果，防止超标排放</w:t>
            </w:r>
          </w:p>
        </w:tc>
        <w:tc>
          <w:tcPr>
            <w:tcW w:w="607" w:type="pct"/>
            <w:tcBorders>
              <w:tl2br w:val="nil"/>
              <w:tr2bl w:val="nil"/>
            </w:tcBorders>
            <w:noWrap w:val="0"/>
            <w:vAlign w:val="center"/>
          </w:tcPr>
          <w:p w14:paraId="3686D614">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建设单位</w:t>
            </w:r>
          </w:p>
        </w:tc>
        <w:tc>
          <w:tcPr>
            <w:tcW w:w="660" w:type="pct"/>
            <w:vMerge w:val="continue"/>
            <w:tcBorders>
              <w:tl2br w:val="nil"/>
              <w:tr2bl w:val="nil"/>
            </w:tcBorders>
            <w:noWrap w:val="0"/>
            <w:vAlign w:val="center"/>
          </w:tcPr>
          <w:p w14:paraId="24B0B6DB">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p>
        </w:tc>
      </w:tr>
      <w:tr w14:paraId="36BEE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14:paraId="32B052D5">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3</w:t>
            </w:r>
          </w:p>
        </w:tc>
        <w:tc>
          <w:tcPr>
            <w:tcW w:w="560" w:type="pct"/>
            <w:tcBorders>
              <w:tl2br w:val="nil"/>
              <w:tr2bl w:val="nil"/>
            </w:tcBorders>
            <w:noWrap w:val="0"/>
            <w:vAlign w:val="center"/>
          </w:tcPr>
          <w:p w14:paraId="6CEFDB36">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环境监测管理</w:t>
            </w:r>
          </w:p>
        </w:tc>
        <w:tc>
          <w:tcPr>
            <w:tcW w:w="2843" w:type="pct"/>
            <w:tcBorders>
              <w:tl2br w:val="nil"/>
              <w:tr2bl w:val="nil"/>
            </w:tcBorders>
            <w:noWrap w:val="0"/>
            <w:vAlign w:val="center"/>
          </w:tcPr>
          <w:p w14:paraId="1E8A70AA">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①组织废气污染源无组织排放厂界监测，防止废气影响</w:t>
            </w:r>
          </w:p>
          <w:p w14:paraId="1F2E0E49">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②组织地下水环境监测，防止水环境污染</w:t>
            </w:r>
          </w:p>
          <w:p w14:paraId="5BB9CF67">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③组织厂界环境噪声监测，防止厂界超标</w:t>
            </w:r>
          </w:p>
        </w:tc>
        <w:tc>
          <w:tcPr>
            <w:tcW w:w="607" w:type="pct"/>
            <w:tcBorders>
              <w:tl2br w:val="nil"/>
              <w:tr2bl w:val="nil"/>
            </w:tcBorders>
            <w:noWrap w:val="0"/>
            <w:vAlign w:val="center"/>
          </w:tcPr>
          <w:p w14:paraId="39D1659D">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建设单位</w:t>
            </w:r>
          </w:p>
        </w:tc>
        <w:tc>
          <w:tcPr>
            <w:tcW w:w="660" w:type="pct"/>
            <w:vMerge w:val="continue"/>
            <w:tcBorders>
              <w:tl2br w:val="nil"/>
              <w:tr2bl w:val="nil"/>
            </w:tcBorders>
            <w:noWrap w:val="0"/>
            <w:vAlign w:val="center"/>
          </w:tcPr>
          <w:p w14:paraId="0FE8A8F5">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p>
        </w:tc>
      </w:tr>
      <w:tr w14:paraId="7E2D8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14:paraId="45852FF3">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4</w:t>
            </w:r>
          </w:p>
        </w:tc>
        <w:tc>
          <w:tcPr>
            <w:tcW w:w="560" w:type="pct"/>
            <w:tcBorders>
              <w:tl2br w:val="nil"/>
              <w:tr2bl w:val="nil"/>
            </w:tcBorders>
            <w:noWrap w:val="0"/>
            <w:vAlign w:val="center"/>
          </w:tcPr>
          <w:p w14:paraId="3FCCD26C">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生态环境管理</w:t>
            </w:r>
          </w:p>
        </w:tc>
        <w:tc>
          <w:tcPr>
            <w:tcW w:w="2843" w:type="pct"/>
            <w:tcBorders>
              <w:tl2br w:val="nil"/>
              <w:tr2bl w:val="nil"/>
            </w:tcBorders>
            <w:noWrap w:val="0"/>
            <w:vAlign w:val="center"/>
          </w:tcPr>
          <w:p w14:paraId="21D92079">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left"/>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定期检查受影响范围内生态系统的动态变化情况</w:t>
            </w:r>
          </w:p>
        </w:tc>
        <w:tc>
          <w:tcPr>
            <w:tcW w:w="607" w:type="pct"/>
            <w:tcBorders>
              <w:tl2br w:val="nil"/>
              <w:tr2bl w:val="nil"/>
            </w:tcBorders>
            <w:noWrap w:val="0"/>
            <w:vAlign w:val="center"/>
          </w:tcPr>
          <w:p w14:paraId="62595404">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bidi="ar-SA"/>
              </w:rPr>
              <w:t>建设单位</w:t>
            </w:r>
          </w:p>
        </w:tc>
        <w:tc>
          <w:tcPr>
            <w:tcW w:w="660" w:type="pct"/>
            <w:vMerge w:val="continue"/>
            <w:tcBorders>
              <w:tl2br w:val="nil"/>
              <w:tr2bl w:val="nil"/>
            </w:tcBorders>
            <w:noWrap w:val="0"/>
            <w:vAlign w:val="center"/>
          </w:tcPr>
          <w:p w14:paraId="72255924">
            <w:pPr>
              <w:keepNext w:val="0"/>
              <w:keepLines w:val="0"/>
              <w:pageBreakBefore w:val="0"/>
              <w:widowControl w:val="0"/>
              <w:kinsoku/>
              <w:wordWrap/>
              <w:overflowPunct/>
              <w:topLinePunct w:val="0"/>
              <w:autoSpaceDE/>
              <w:autoSpaceDN/>
              <w:bidi w:val="0"/>
              <w:adjustRightInd w:val="0"/>
              <w:snapToGrid w:val="0"/>
              <w:spacing w:line="400" w:lineRule="exact"/>
              <w:ind w:left="0" w:leftChars="0" w:right="-31" w:rightChars="-15" w:firstLine="0" w:firstLineChars="0"/>
              <w:jc w:val="center"/>
              <w:textAlignment w:val="baseline"/>
              <w:rPr>
                <w:rFonts w:hint="eastAsia" w:ascii="宋体" w:hAnsi="宋体" w:eastAsia="宋体" w:cs="宋体"/>
                <w:color w:val="auto"/>
                <w:sz w:val="21"/>
                <w:szCs w:val="21"/>
                <w:highlight w:val="none"/>
                <w:u w:val="none"/>
                <w:lang w:val="en-US" w:eastAsia="zh-CN" w:bidi="ar-SA"/>
              </w:rPr>
            </w:pPr>
          </w:p>
        </w:tc>
      </w:tr>
    </w:tbl>
    <w:p w14:paraId="1D41C6E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0"/>
          <w:highlight w:val="none"/>
          <w:u w:val="none"/>
        </w:rPr>
      </w:pPr>
      <w:r>
        <w:rPr>
          <w:rFonts w:ascii="Times New Roman" w:hAnsi="Times New Roman" w:cs="Times New Roman"/>
          <w:color w:val="auto"/>
          <w:kern w:val="0"/>
          <w:sz w:val="24"/>
          <w:szCs w:val="24"/>
          <w:highlight w:val="none"/>
          <w:u w:val="none"/>
        </w:rPr>
        <w:t>（1）日常环境管理</w:t>
      </w:r>
    </w:p>
    <w:p w14:paraId="795048E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——做好环境监测，掌握污染现状</w:t>
      </w:r>
    </w:p>
    <w:p w14:paraId="3E00923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定时定点做好环境监测，以便及时掌握环境状况的第一手资料，促进环境管理的深入和污染治理的落实，消除发生污染事故的隐患。</w:t>
      </w:r>
    </w:p>
    <w:p w14:paraId="39343BA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在生产过程中，采出水进入联合站</w:t>
      </w:r>
      <w:r>
        <w:rPr>
          <w:rFonts w:hint="eastAsia" w:ascii="Times New Roman" w:hAnsi="Times New Roman" w:cs="Times New Roman"/>
          <w:color w:val="auto"/>
          <w:kern w:val="0"/>
          <w:sz w:val="24"/>
          <w:szCs w:val="24"/>
          <w:highlight w:val="none"/>
          <w:u w:val="none"/>
          <w:lang w:eastAsia="zh-CN"/>
        </w:rPr>
        <w:t>采出水处理系统</w:t>
      </w:r>
      <w:r>
        <w:rPr>
          <w:rFonts w:ascii="Times New Roman" w:hAnsi="Times New Roman" w:cs="Times New Roman"/>
          <w:color w:val="auto"/>
          <w:kern w:val="0"/>
          <w:sz w:val="24"/>
          <w:szCs w:val="24"/>
          <w:highlight w:val="none"/>
          <w:u w:val="none"/>
        </w:rPr>
        <w:t>，处理达到《</w:t>
      </w:r>
      <w:r>
        <w:rPr>
          <w:rFonts w:hint="eastAsia" w:ascii="Times New Roman" w:hAnsi="Times New Roman" w:cs="Times New Roman"/>
          <w:color w:val="auto"/>
          <w:kern w:val="0"/>
          <w:sz w:val="24"/>
          <w:szCs w:val="24"/>
          <w:highlight w:val="none"/>
          <w:u w:val="none"/>
          <w:lang w:eastAsia="zh-CN"/>
        </w:rPr>
        <w:t>碎屑岩油藏注水水质指标技术要求及分析方法</w:t>
      </w:r>
      <w:r>
        <w:rPr>
          <w:rFonts w:ascii="Times New Roman" w:hAnsi="Times New Roman" w:cs="Times New Roman"/>
          <w:color w:val="auto"/>
          <w:kern w:val="0"/>
          <w:sz w:val="24"/>
          <w:szCs w:val="24"/>
          <w:highlight w:val="none"/>
          <w:u w:val="none"/>
        </w:rPr>
        <w:t>》（</w:t>
      </w:r>
      <w:r>
        <w:rPr>
          <w:rFonts w:hint="eastAsia" w:ascii="Times New Roman" w:hAnsi="Times New Roman" w:cs="Times New Roman"/>
          <w:color w:val="auto"/>
          <w:kern w:val="0"/>
          <w:sz w:val="24"/>
          <w:szCs w:val="24"/>
          <w:highlight w:val="none"/>
          <w:u w:val="none"/>
          <w:lang w:eastAsia="zh-CN"/>
        </w:rPr>
        <w:t>SY/T5329-2022</w:t>
      </w:r>
      <w:r>
        <w:rPr>
          <w:rFonts w:ascii="Times New Roman" w:hAnsi="Times New Roman" w:cs="Times New Roman"/>
          <w:color w:val="auto"/>
          <w:kern w:val="0"/>
          <w:sz w:val="24"/>
          <w:szCs w:val="24"/>
          <w:highlight w:val="none"/>
          <w:u w:val="none"/>
        </w:rPr>
        <w:t>）中</w:t>
      </w:r>
      <w:r>
        <w:rPr>
          <w:rFonts w:hint="eastAsia" w:cs="Times New Roman"/>
          <w:color w:val="auto"/>
          <w:kern w:val="0"/>
          <w:sz w:val="24"/>
          <w:szCs w:val="24"/>
          <w:highlight w:val="none"/>
          <w:u w:val="none"/>
          <w:lang w:val="en-US" w:eastAsia="zh-CN"/>
        </w:rPr>
        <w:t>相</w:t>
      </w:r>
      <w:r>
        <w:rPr>
          <w:rFonts w:ascii="Times New Roman" w:hAnsi="Times New Roman" w:cs="Times New Roman"/>
          <w:color w:val="auto"/>
          <w:kern w:val="0"/>
          <w:sz w:val="24"/>
          <w:szCs w:val="24"/>
          <w:highlight w:val="none"/>
          <w:u w:val="none"/>
        </w:rPr>
        <w:t>关标准后回注油层。</w:t>
      </w:r>
    </w:p>
    <w:p w14:paraId="3C83DA2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废气污染源的控制是重点加强油气集输过程中无组织排放源的管理，以加强管理作为控制手段，减轻环境污染，达到污染物排放控制和环境保护目标。</w:t>
      </w:r>
    </w:p>
    <w:p w14:paraId="5BCF178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——加强环保设备的管理</w:t>
      </w:r>
    </w:p>
    <w:p w14:paraId="097CA89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建立环保</w:t>
      </w:r>
      <w:r>
        <w:rPr>
          <w:rFonts w:hint="eastAsia" w:ascii="Times New Roman" w:hAnsi="Times New Roman" w:cs="Times New Roman"/>
          <w:color w:val="auto"/>
          <w:kern w:val="0"/>
          <w:sz w:val="24"/>
          <w:szCs w:val="24"/>
          <w:highlight w:val="none"/>
          <w:u w:val="none"/>
          <w:lang w:eastAsia="zh-CN"/>
        </w:rPr>
        <w:t>设备台账</w:t>
      </w:r>
      <w:r>
        <w:rPr>
          <w:rFonts w:ascii="Times New Roman" w:hAnsi="Times New Roman" w:cs="Times New Roman"/>
          <w:color w:val="auto"/>
          <w:kern w:val="0"/>
          <w:sz w:val="24"/>
          <w:szCs w:val="24"/>
          <w:highlight w:val="none"/>
          <w:u w:val="none"/>
        </w:rPr>
        <w:t>，制定主要环保设备的操作规程及安排专门操作人员，建立重点处理设备的“环保运行记录”等。</w:t>
      </w:r>
    </w:p>
    <w:p w14:paraId="73A5050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——落实管理制度</w:t>
      </w:r>
    </w:p>
    <w:p w14:paraId="3B6CA8D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除加强环保设备的基础管理外，尚需狠抓制度的落实，制定环保经济责任制考核制度，以提高各部门对环境保护的责任感。</w:t>
      </w:r>
    </w:p>
    <w:p w14:paraId="59E0FC5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日常工作的管理与调配，应明确机构，有专人负责与协调。要求做好废弃物的处理、场地的清理等每日例行的环保工作。</w:t>
      </w:r>
    </w:p>
    <w:p w14:paraId="2F31455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（2）重大环境污染事故的预防与管理</w:t>
      </w:r>
    </w:p>
    <w:p w14:paraId="13C36C8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——对事故隐患进行监护</w:t>
      </w:r>
    </w:p>
    <w:p w14:paraId="2713801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对污染事故隐患进行监护，掌握事故隐患的发展状态，积极采取有效措施，防止事故发生。对各类重大事故隐患，应本着治理与监护运行的原则进行处理。在目前技术、财力等方面能够解决的，要通过技术改造或治理，尽快消除事故隐患，防止事故发生；对目前消除事故隐患有困难的，应从管理和技术两方面对其采取严格的现场监护措施，在管理上要加强制度的落实，严格执行操作规程，加强巡回检查和制定事故预案。</w:t>
      </w:r>
    </w:p>
    <w:p w14:paraId="1D5F849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——强化专业人员培训和建立安全信息数据库</w:t>
      </w:r>
    </w:p>
    <w:p w14:paraId="23C40E11">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有计划、分期分批对环保人员进行培训，聘请专家讲课，收看国内外事故录像和资料，吸收这些事件中预防措施和救援方案的制定经验，学习借鉴此类事故发生后的救助方案。平时要经常进行人员训练和实践演习，锻炼指挥队伍，以提高他们对事故的防范和处理能力。建立安全信息数据库或信息软件，使安全工程技术人员及时查询所需的安全信息数据，用于日常管理和事故处置工作。</w:t>
      </w:r>
    </w:p>
    <w:p w14:paraId="4111921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——加强风险管理</w:t>
      </w:r>
    </w:p>
    <w:p w14:paraId="5FA0CB8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由于</w:t>
      </w:r>
      <w:r>
        <w:rPr>
          <w:rFonts w:hint="eastAsia" w:ascii="Times New Roman" w:hAnsi="Times New Roman" w:cs="Times New Roman"/>
          <w:color w:val="auto"/>
          <w:kern w:val="0"/>
          <w:sz w:val="24"/>
          <w:szCs w:val="24"/>
          <w:highlight w:val="none"/>
          <w:u w:val="none"/>
          <w:lang w:eastAsia="zh-CN"/>
        </w:rPr>
        <w:t>本工程</w:t>
      </w:r>
      <w:r>
        <w:rPr>
          <w:rFonts w:ascii="Times New Roman" w:hAnsi="Times New Roman" w:cs="Times New Roman"/>
          <w:color w:val="auto"/>
          <w:kern w:val="0"/>
          <w:sz w:val="24"/>
          <w:szCs w:val="24"/>
          <w:highlight w:val="none"/>
          <w:u w:val="none"/>
        </w:rPr>
        <w:t>在运行过程中，不确定潜在事故因素多且无法预测，因此有必要制定相应的风险对策，不断改进识别到的不利影响因素，从而将工程运营期各类风险水平控制在合理的、可接收的范围内，以达到减少事故发生、经济合理地保证安全运行管理技术的目的。</w:t>
      </w:r>
    </w:p>
    <w:p w14:paraId="22DC651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——加强监测</w:t>
      </w:r>
    </w:p>
    <w:p w14:paraId="5DBCCCA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应加强对区域地下水、土壤、大气环境（非甲烷总烃</w:t>
      </w:r>
      <w:r>
        <w:rPr>
          <w:rFonts w:hint="eastAsia" w:cs="Times New Roman"/>
          <w:color w:val="auto"/>
          <w:kern w:val="0"/>
          <w:sz w:val="24"/>
          <w:szCs w:val="24"/>
          <w:highlight w:val="none"/>
          <w:u w:val="none"/>
          <w:lang w:eastAsia="zh-CN"/>
        </w:rPr>
        <w:t>、</w:t>
      </w:r>
      <w:r>
        <w:rPr>
          <w:rFonts w:hint="eastAsia" w:cs="Times New Roman"/>
          <w:color w:val="auto"/>
          <w:kern w:val="0"/>
          <w:sz w:val="24"/>
          <w:szCs w:val="24"/>
          <w:highlight w:val="none"/>
          <w:u w:val="none"/>
          <w:lang w:val="en-US" w:eastAsia="zh-CN"/>
        </w:rPr>
        <w:t>硫化氢</w:t>
      </w:r>
      <w:r>
        <w:rPr>
          <w:rFonts w:ascii="Times New Roman" w:hAnsi="Times New Roman" w:cs="Times New Roman"/>
          <w:color w:val="auto"/>
          <w:kern w:val="0"/>
          <w:sz w:val="24"/>
          <w:szCs w:val="24"/>
          <w:highlight w:val="none"/>
          <w:u w:val="none"/>
        </w:rPr>
        <w:t>）等的监测，对环境污染隐患做到及早发现、及时处理，制定事故状态下环境风险应急预案和应急处理措施，强化环境风险防范和应急处理能力，严防污染事故发生，不定期开展环境突发事件应急演练。</w:t>
      </w:r>
    </w:p>
    <w:p w14:paraId="54B995E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为了监控</w:t>
      </w:r>
      <w:r>
        <w:rPr>
          <w:rFonts w:hint="eastAsia" w:ascii="Times New Roman" w:hAnsi="Times New Roman" w:cs="Times New Roman"/>
          <w:color w:val="auto"/>
          <w:kern w:val="0"/>
          <w:sz w:val="24"/>
          <w:szCs w:val="24"/>
          <w:highlight w:val="none"/>
          <w:u w:val="none"/>
          <w:lang w:eastAsia="zh-CN"/>
        </w:rPr>
        <w:t>油田</w:t>
      </w:r>
      <w:r>
        <w:rPr>
          <w:rFonts w:ascii="Times New Roman" w:hAnsi="Times New Roman" w:cs="Times New Roman"/>
          <w:color w:val="auto"/>
          <w:kern w:val="0"/>
          <w:sz w:val="24"/>
          <w:szCs w:val="24"/>
          <w:highlight w:val="none"/>
          <w:u w:val="none"/>
        </w:rPr>
        <w:t>开发对地下水（主要为</w:t>
      </w:r>
      <w:r>
        <w:rPr>
          <w:rFonts w:hint="eastAsia" w:cs="Times New Roman"/>
          <w:color w:val="auto"/>
          <w:kern w:val="0"/>
          <w:sz w:val="24"/>
          <w:szCs w:val="24"/>
          <w:highlight w:val="none"/>
          <w:u w:val="none"/>
          <w:lang w:eastAsia="zh-CN"/>
        </w:rPr>
        <w:t>浅层地下水</w:t>
      </w:r>
      <w:r>
        <w:rPr>
          <w:rFonts w:ascii="Times New Roman" w:hAnsi="Times New Roman" w:cs="Times New Roman"/>
          <w:color w:val="auto"/>
          <w:kern w:val="0"/>
          <w:sz w:val="24"/>
          <w:szCs w:val="24"/>
          <w:highlight w:val="none"/>
          <w:u w:val="none"/>
        </w:rPr>
        <w:t>）的影响情况，应设置地下水监控井，并定期检测。</w:t>
      </w:r>
      <w:r>
        <w:rPr>
          <w:rFonts w:hint="eastAsia" w:ascii="Times New Roman" w:hAnsi="Times New Roman" w:cs="Times New Roman"/>
          <w:color w:val="auto"/>
          <w:kern w:val="0"/>
          <w:sz w:val="24"/>
          <w:szCs w:val="24"/>
          <w:highlight w:val="none"/>
          <w:u w:val="none"/>
        </w:rPr>
        <w:t>监测点</w:t>
      </w:r>
      <w:r>
        <w:rPr>
          <w:rFonts w:ascii="Times New Roman" w:hAnsi="Times New Roman" w:cs="Times New Roman"/>
          <w:color w:val="auto"/>
          <w:kern w:val="0"/>
          <w:sz w:val="24"/>
          <w:szCs w:val="24"/>
          <w:highlight w:val="none"/>
          <w:u w:val="none"/>
        </w:rPr>
        <w:t>充分依托</w:t>
      </w:r>
      <w:r>
        <w:rPr>
          <w:rFonts w:hint="eastAsia" w:ascii="Times New Roman" w:hAnsi="Times New Roman" w:cs="Times New Roman"/>
          <w:color w:val="auto"/>
          <w:kern w:val="0"/>
          <w:sz w:val="24"/>
          <w:szCs w:val="24"/>
          <w:highlight w:val="none"/>
          <w:u w:val="none"/>
          <w:lang w:eastAsia="zh-CN"/>
        </w:rPr>
        <w:t>区块</w:t>
      </w:r>
      <w:r>
        <w:rPr>
          <w:rFonts w:ascii="Times New Roman" w:hAnsi="Times New Roman" w:cs="Times New Roman"/>
          <w:color w:val="auto"/>
          <w:kern w:val="0"/>
          <w:sz w:val="24"/>
          <w:szCs w:val="24"/>
          <w:highlight w:val="none"/>
          <w:u w:val="none"/>
        </w:rPr>
        <w:t>已有监测井。</w:t>
      </w:r>
    </w:p>
    <w:p w14:paraId="72CA060C">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r>
        <w:rPr>
          <w:rFonts w:hint="eastAsia" w:ascii="黑体" w:hAnsi="黑体" w:eastAsia="黑体" w:cs="Times New Roman"/>
          <w:b/>
          <w:bCs w:val="0"/>
          <w:color w:val="auto"/>
          <w:sz w:val="24"/>
          <w:szCs w:val="20"/>
          <w:highlight w:val="none"/>
          <w:u w:val="none"/>
          <w:lang w:val="en-US" w:eastAsia="zh-CN" w:bidi="ar-SA"/>
        </w:rPr>
        <w:t>9.1.4退役期环境管理任务</w:t>
      </w:r>
    </w:p>
    <w:p w14:paraId="2B6A44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在合理选择施工队伍的基础上，加强对</w:t>
      </w:r>
      <w:r>
        <w:rPr>
          <w:rFonts w:hint="eastAsia" w:ascii="Times New Roman" w:hAnsi="Times New Roman" w:eastAsia="宋体" w:cs="Times New Roman"/>
          <w:color w:val="auto"/>
          <w:sz w:val="24"/>
          <w:szCs w:val="21"/>
          <w:highlight w:val="none"/>
          <w:u w:val="none"/>
          <w:lang w:val="en-US" w:eastAsia="zh-CN" w:bidi="ar-SA"/>
        </w:rPr>
        <w:t>退役井场、管线</w:t>
      </w:r>
      <w:r>
        <w:rPr>
          <w:rFonts w:ascii="Times New Roman" w:hAnsi="Times New Roman" w:eastAsia="宋体" w:cs="Times New Roman"/>
          <w:color w:val="auto"/>
          <w:sz w:val="24"/>
          <w:szCs w:val="21"/>
          <w:highlight w:val="none"/>
          <w:u w:val="none"/>
          <w:lang w:val="en-US" w:eastAsia="zh-CN" w:bidi="ar-SA"/>
        </w:rPr>
        <w:t>的环境管理工作，监督</w:t>
      </w:r>
      <w:r>
        <w:rPr>
          <w:rFonts w:hint="eastAsia" w:ascii="Times New Roman" w:hAnsi="Times New Roman" w:eastAsia="宋体" w:cs="Times New Roman"/>
          <w:color w:val="auto"/>
          <w:sz w:val="24"/>
          <w:szCs w:val="21"/>
          <w:highlight w:val="none"/>
          <w:u w:val="none"/>
          <w:lang w:val="en-US" w:eastAsia="zh-CN" w:bidi="ar-SA"/>
        </w:rPr>
        <w:t>退役期</w:t>
      </w:r>
      <w:r>
        <w:rPr>
          <w:rFonts w:ascii="Times New Roman" w:hAnsi="Times New Roman" w:eastAsia="宋体" w:cs="Times New Roman"/>
          <w:color w:val="auto"/>
          <w:sz w:val="24"/>
          <w:szCs w:val="21"/>
          <w:highlight w:val="none"/>
          <w:u w:val="none"/>
          <w:lang w:val="en-US" w:eastAsia="zh-CN" w:bidi="ar-SA"/>
        </w:rPr>
        <w:t>各项环保措施的落实情况。</w:t>
      </w:r>
    </w:p>
    <w:p w14:paraId="14A65E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2"/>
          <w:highlight w:val="none"/>
          <w:u w:val="none"/>
          <w:lang w:val="zh-CN" w:eastAsia="zh-CN" w:bidi="ar-SA"/>
        </w:rPr>
      </w:pPr>
      <w:r>
        <w:rPr>
          <w:rFonts w:hint="eastAsia" w:cs="Times New Roman"/>
          <w:color w:val="auto"/>
          <w:sz w:val="24"/>
          <w:szCs w:val="21"/>
          <w:highlight w:val="none"/>
          <w:u w:val="none"/>
          <w:lang w:val="en-US" w:eastAsia="zh-CN" w:bidi="ar-SA"/>
        </w:rPr>
        <w:t>（1）</w:t>
      </w:r>
      <w:r>
        <w:rPr>
          <w:rFonts w:hint="eastAsia" w:ascii="Times New Roman" w:hAnsi="Times New Roman" w:eastAsia="宋体" w:cs="Times New Roman"/>
          <w:color w:val="auto"/>
          <w:sz w:val="24"/>
          <w:szCs w:val="21"/>
          <w:highlight w:val="none"/>
          <w:u w:val="none"/>
          <w:lang w:val="en-US" w:eastAsia="zh-CN" w:bidi="ar-SA"/>
        </w:rPr>
        <w:t>加强封井施工质量管理，避免出现封井不严等非正常工况的非甲烷总烃</w:t>
      </w:r>
      <w:r>
        <w:rPr>
          <w:rFonts w:hint="eastAsia" w:cs="Times New Roman"/>
          <w:color w:val="auto"/>
          <w:sz w:val="24"/>
          <w:szCs w:val="21"/>
          <w:highlight w:val="none"/>
          <w:u w:val="none"/>
          <w:lang w:val="en-US" w:eastAsia="zh-CN" w:bidi="ar-SA"/>
        </w:rPr>
        <w:t>、硫化氢</w:t>
      </w:r>
      <w:r>
        <w:rPr>
          <w:rFonts w:hint="eastAsia" w:ascii="Times New Roman" w:hAnsi="Times New Roman" w:eastAsia="宋体" w:cs="Times New Roman"/>
          <w:color w:val="auto"/>
          <w:sz w:val="24"/>
          <w:szCs w:val="21"/>
          <w:highlight w:val="none"/>
          <w:u w:val="none"/>
          <w:lang w:val="en-US" w:eastAsia="zh-CN" w:bidi="ar-SA"/>
        </w:rPr>
        <w:t>泄漏，保</w:t>
      </w:r>
      <w:r>
        <w:rPr>
          <w:rFonts w:ascii="Times New Roman" w:hAnsi="Times New Roman" w:eastAsia="宋体" w:cs="Times New Roman"/>
          <w:color w:val="auto"/>
          <w:sz w:val="24"/>
          <w:szCs w:val="22"/>
          <w:highlight w:val="none"/>
          <w:u w:val="none"/>
          <w:lang w:val="zh-CN" w:eastAsia="zh-CN" w:bidi="ar-SA"/>
        </w:rPr>
        <w:t>证对各类废弃井采取的固井、封井措施有效可行，防止发生油水窜层，污染地下水资源。</w:t>
      </w:r>
    </w:p>
    <w:p w14:paraId="1C0673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2"/>
          <w:highlight w:val="none"/>
          <w:u w:val="none"/>
          <w:lang w:val="en-US" w:eastAsia="zh-CN" w:bidi="ar-SA"/>
        </w:rPr>
      </w:pPr>
      <w:r>
        <w:rPr>
          <w:rFonts w:hint="eastAsia" w:cs="Times New Roman"/>
          <w:color w:val="auto"/>
          <w:sz w:val="24"/>
          <w:szCs w:val="21"/>
          <w:highlight w:val="none"/>
          <w:u w:val="none"/>
          <w:lang w:val="en-US" w:eastAsia="zh-CN" w:bidi="ar-SA"/>
        </w:rPr>
        <w:t>（2）</w:t>
      </w:r>
      <w:r>
        <w:rPr>
          <w:rFonts w:hint="eastAsia" w:ascii="Times New Roman" w:hAnsi="Times New Roman" w:eastAsia="宋体" w:cs="Times New Roman"/>
          <w:color w:val="auto"/>
          <w:sz w:val="24"/>
          <w:szCs w:val="21"/>
          <w:highlight w:val="none"/>
          <w:u w:val="none"/>
          <w:lang w:val="en-US" w:eastAsia="zh-CN" w:bidi="ar-SA"/>
        </w:rPr>
        <w:t>加强退役期施工过程管理。妥善处置</w:t>
      </w:r>
      <w:r>
        <w:rPr>
          <w:rFonts w:ascii="Times New Roman" w:hAnsi="Times New Roman" w:eastAsia="宋体" w:cs="Times New Roman"/>
          <w:color w:val="auto"/>
          <w:sz w:val="24"/>
          <w:szCs w:val="21"/>
          <w:highlight w:val="none"/>
          <w:u w:val="none"/>
          <w:lang w:val="en-US" w:eastAsia="zh-CN" w:bidi="ar-SA"/>
        </w:rPr>
        <w:t>地面设施拆除、井场清理等工作中会产生废弃管线、废弃建筑残渣</w:t>
      </w:r>
      <w:r>
        <w:rPr>
          <w:rFonts w:hint="eastAsia" w:ascii="Times New Roman" w:hAnsi="Times New Roman" w:eastAsia="宋体" w:cs="Times New Roman"/>
          <w:color w:val="auto"/>
          <w:sz w:val="24"/>
          <w:szCs w:val="21"/>
          <w:highlight w:val="none"/>
          <w:u w:val="none"/>
          <w:lang w:val="en-US" w:eastAsia="zh-CN" w:bidi="ar-SA"/>
        </w:rPr>
        <w:t>等</w:t>
      </w:r>
      <w:r>
        <w:rPr>
          <w:rFonts w:ascii="Times New Roman" w:hAnsi="Times New Roman" w:eastAsia="宋体" w:cs="Times New Roman"/>
          <w:color w:val="auto"/>
          <w:sz w:val="24"/>
          <w:szCs w:val="21"/>
          <w:highlight w:val="none"/>
          <w:u w:val="none"/>
          <w:lang w:val="en-US" w:eastAsia="zh-CN" w:bidi="ar-SA"/>
        </w:rPr>
        <w:t>，做到“工完、料尽、场地清”。</w:t>
      </w:r>
    </w:p>
    <w:p w14:paraId="255FCF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2"/>
          <w:highlight w:val="none"/>
          <w:u w:val="none"/>
          <w:lang w:val="en-US" w:eastAsia="zh-CN" w:bidi="ar-SA"/>
        </w:rPr>
      </w:pPr>
      <w:r>
        <w:rPr>
          <w:rFonts w:hint="eastAsia" w:cs="Times New Roman"/>
          <w:color w:val="auto"/>
          <w:sz w:val="24"/>
          <w:szCs w:val="22"/>
          <w:highlight w:val="none"/>
          <w:u w:val="none"/>
          <w:lang w:val="en-US" w:eastAsia="zh-CN" w:bidi="ar-SA"/>
        </w:rPr>
        <w:t>（3）</w:t>
      </w:r>
      <w:r>
        <w:rPr>
          <w:rFonts w:ascii="Times New Roman" w:hAnsi="Times New Roman" w:eastAsia="宋体" w:cs="Times New Roman"/>
          <w:color w:val="auto"/>
          <w:sz w:val="24"/>
          <w:szCs w:val="22"/>
          <w:highlight w:val="none"/>
          <w:u w:val="none"/>
          <w:lang w:val="en-US" w:eastAsia="zh-CN" w:bidi="ar-SA"/>
        </w:rPr>
        <w:t>加强</w:t>
      </w:r>
      <w:r>
        <w:rPr>
          <w:rFonts w:hint="eastAsia" w:ascii="Times New Roman" w:hAnsi="Times New Roman" w:eastAsia="宋体" w:cs="Times New Roman"/>
          <w:color w:val="auto"/>
          <w:sz w:val="24"/>
          <w:szCs w:val="22"/>
          <w:highlight w:val="none"/>
          <w:u w:val="none"/>
          <w:lang w:val="en-US" w:eastAsia="zh-CN" w:bidi="ar-SA"/>
        </w:rPr>
        <w:t>对</w:t>
      </w:r>
      <w:r>
        <w:rPr>
          <w:rFonts w:hint="eastAsia" w:ascii="Times New Roman" w:hAnsi="Times New Roman" w:eastAsia="宋体" w:cs="Times New Roman"/>
          <w:color w:val="auto"/>
          <w:sz w:val="24"/>
          <w:szCs w:val="21"/>
          <w:highlight w:val="none"/>
          <w:u w:val="none"/>
          <w:lang w:val="en-US" w:eastAsia="zh-CN" w:bidi="ar-SA"/>
        </w:rPr>
        <w:t>退役期</w:t>
      </w:r>
      <w:r>
        <w:rPr>
          <w:rFonts w:hint="eastAsia" w:ascii="Times New Roman" w:hAnsi="Times New Roman" w:eastAsia="宋体" w:cs="Times New Roman"/>
          <w:color w:val="auto"/>
          <w:sz w:val="24"/>
          <w:szCs w:val="22"/>
          <w:highlight w:val="none"/>
          <w:u w:val="none"/>
          <w:lang w:val="en-US" w:eastAsia="zh-CN" w:bidi="ar-SA"/>
        </w:rPr>
        <w:t>施工队伍及其</w:t>
      </w:r>
      <w:r>
        <w:rPr>
          <w:rFonts w:ascii="Times New Roman" w:hAnsi="Times New Roman" w:eastAsia="宋体" w:cs="Times New Roman"/>
          <w:color w:val="auto"/>
          <w:sz w:val="24"/>
          <w:szCs w:val="22"/>
          <w:highlight w:val="none"/>
          <w:u w:val="none"/>
          <w:lang w:val="en-US" w:eastAsia="zh-CN" w:bidi="ar-SA"/>
        </w:rPr>
        <w:t>运输车辆管理，合理规划运输路线，禁止运输车辆随意高声鸣笛。</w:t>
      </w:r>
    </w:p>
    <w:p w14:paraId="22D251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2"/>
          <w:highlight w:val="none"/>
          <w:u w:val="none"/>
          <w:lang w:val="en-US" w:eastAsia="zh-CN" w:bidi="ar-SA"/>
        </w:rPr>
      </w:pPr>
      <w:r>
        <w:rPr>
          <w:rFonts w:hint="eastAsia" w:cs="Times New Roman"/>
          <w:color w:val="auto"/>
          <w:sz w:val="24"/>
          <w:szCs w:val="22"/>
          <w:highlight w:val="none"/>
          <w:u w:val="none"/>
          <w:lang w:val="en-US" w:eastAsia="zh-CN" w:bidi="ar-SA"/>
        </w:rPr>
        <w:t>（4）</w:t>
      </w:r>
      <w:r>
        <w:rPr>
          <w:rFonts w:ascii="Times New Roman" w:hAnsi="Times New Roman" w:eastAsia="宋体" w:cs="Times New Roman"/>
          <w:color w:val="auto"/>
          <w:sz w:val="24"/>
          <w:szCs w:val="22"/>
          <w:highlight w:val="none"/>
          <w:u w:val="none"/>
          <w:lang w:val="en-US" w:eastAsia="zh-CN" w:bidi="ar-SA"/>
        </w:rPr>
        <w:t>组织开展环境保护宣传教育</w:t>
      </w:r>
      <w:r>
        <w:rPr>
          <w:rFonts w:hint="eastAsia" w:ascii="Times New Roman" w:hAnsi="Times New Roman" w:eastAsia="宋体" w:cs="Times New Roman"/>
          <w:color w:val="auto"/>
          <w:sz w:val="24"/>
          <w:szCs w:val="22"/>
          <w:highlight w:val="none"/>
          <w:u w:val="none"/>
          <w:lang w:val="en-US" w:eastAsia="zh-CN" w:bidi="ar-SA"/>
        </w:rPr>
        <w:t>，</w:t>
      </w:r>
      <w:r>
        <w:rPr>
          <w:rFonts w:ascii="Times New Roman" w:hAnsi="Times New Roman" w:eastAsia="宋体" w:cs="Times New Roman"/>
          <w:color w:val="auto"/>
          <w:sz w:val="24"/>
          <w:szCs w:val="22"/>
          <w:highlight w:val="none"/>
          <w:u w:val="none"/>
          <w:lang w:val="en-US" w:eastAsia="zh-CN" w:bidi="ar-SA"/>
        </w:rPr>
        <w:t>对全体员工组织开展环境保护培训。</w:t>
      </w:r>
    </w:p>
    <w:p w14:paraId="3A48783A">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r>
        <w:rPr>
          <w:rFonts w:hint="eastAsia" w:ascii="黑体" w:hAnsi="黑体" w:eastAsia="黑体" w:cs="Times New Roman"/>
          <w:b/>
          <w:bCs w:val="0"/>
          <w:color w:val="auto"/>
          <w:sz w:val="24"/>
          <w:szCs w:val="20"/>
          <w:highlight w:val="none"/>
          <w:u w:val="none"/>
          <w:lang w:val="en-US" w:eastAsia="zh-CN" w:bidi="ar-SA"/>
        </w:rPr>
        <w:fldChar w:fldCharType="begin"/>
      </w:r>
      <w:r>
        <w:rPr>
          <w:rFonts w:hint="eastAsia" w:ascii="黑体" w:hAnsi="黑体" w:eastAsia="黑体" w:cs="Times New Roman"/>
          <w:b/>
          <w:bCs w:val="0"/>
          <w:color w:val="auto"/>
          <w:sz w:val="24"/>
          <w:szCs w:val="20"/>
          <w:highlight w:val="none"/>
          <w:u w:val="none"/>
          <w:lang w:val="en-US" w:eastAsia="zh-CN" w:bidi="ar-SA"/>
        </w:rPr>
        <w:instrText xml:space="preserve"> HYPERLINK \l "_Toc4862" </w:instrText>
      </w:r>
      <w:r>
        <w:rPr>
          <w:rFonts w:hint="eastAsia" w:ascii="黑体" w:hAnsi="黑体" w:eastAsia="黑体" w:cs="Times New Roman"/>
          <w:b/>
          <w:bCs w:val="0"/>
          <w:color w:val="auto"/>
          <w:sz w:val="24"/>
          <w:szCs w:val="20"/>
          <w:highlight w:val="none"/>
          <w:u w:val="none"/>
          <w:lang w:val="en-US" w:eastAsia="zh-CN" w:bidi="ar-SA"/>
        </w:rPr>
        <w:fldChar w:fldCharType="separate"/>
      </w:r>
      <w:r>
        <w:rPr>
          <w:rFonts w:hint="eastAsia" w:ascii="黑体" w:hAnsi="黑体" w:eastAsia="黑体" w:cs="Times New Roman"/>
          <w:b/>
          <w:bCs w:val="0"/>
          <w:color w:val="auto"/>
          <w:sz w:val="24"/>
          <w:szCs w:val="20"/>
          <w:highlight w:val="none"/>
          <w:u w:val="none"/>
          <w:lang w:val="en-US" w:eastAsia="zh-CN" w:bidi="ar-SA"/>
        </w:rPr>
        <w:t>9.1.5环境影响后评价</w:t>
      </w:r>
      <w:r>
        <w:rPr>
          <w:rFonts w:hint="eastAsia" w:ascii="黑体" w:hAnsi="黑体" w:eastAsia="黑体" w:cs="Times New Roman"/>
          <w:b/>
          <w:bCs w:val="0"/>
          <w:color w:val="auto"/>
          <w:sz w:val="24"/>
          <w:szCs w:val="20"/>
          <w:highlight w:val="none"/>
          <w:u w:val="none"/>
          <w:lang w:val="en-US" w:eastAsia="zh-CN" w:bidi="ar-SA"/>
        </w:rPr>
        <w:fldChar w:fldCharType="end"/>
      </w:r>
    </w:p>
    <w:p w14:paraId="676FFA4D">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根据《中华人民共和国环境影响评价法》《建设项目环境影响后评价管理办法（试行）》《关于进一步加强石油天然气行业环境影响评价管理的通知》（环办环评函〔2019〕910号）《关于加强建设项目环境影响后评价管理的通知》（新环环评发〔2020〕162号）要求，项目正式投产或运营后，每3～5年开展一次环境影响后评价，依法报批生态环境主管部门备案。石油天然气开发建设项目可按照开发区块整体开展环境影响后评价工作。</w:t>
      </w:r>
    </w:p>
    <w:p w14:paraId="40109944">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因此，项目正式投产或运营后，可纳入莫北油田莫116井区整体开展环境影响后评价工作。</w:t>
      </w:r>
    </w:p>
    <w:p w14:paraId="0EA474B0">
      <w:pPr>
        <w:keepNext/>
        <w:keepLines/>
        <w:adjustRightInd/>
        <w:snapToGrid/>
        <w:spacing w:before="120" w:after="120" w:line="360" w:lineRule="auto"/>
        <w:jc w:val="left"/>
        <w:outlineLvl w:val="1"/>
        <w:rPr>
          <w:rFonts w:ascii="黑体" w:hAnsi="黑体" w:eastAsia="宋体" w:cs="Times New Roman"/>
          <w:b/>
          <w:bCs w:val="0"/>
          <w:color w:val="auto"/>
          <w:kern w:val="44"/>
          <w:sz w:val="28"/>
          <w:szCs w:val="24"/>
          <w:highlight w:val="none"/>
          <w:u w:val="none"/>
          <w:lang w:val="en-US" w:eastAsia="zh-CN" w:bidi="ar-SA"/>
        </w:rPr>
      </w:pPr>
      <w:bookmarkStart w:id="617" w:name="_Toc163965773"/>
      <w:bookmarkStart w:id="618" w:name="_Toc112762365"/>
      <w:bookmarkStart w:id="619" w:name="_Toc173941990"/>
      <w:bookmarkStart w:id="620" w:name="_Toc112762501"/>
      <w:bookmarkStart w:id="621" w:name="_Toc112762592"/>
      <w:bookmarkStart w:id="622" w:name="_Toc173941760"/>
      <w:bookmarkStart w:id="623" w:name="_Toc21525886"/>
      <w:bookmarkStart w:id="624" w:name="_Toc153349135"/>
      <w:bookmarkStart w:id="625" w:name="_Toc24978"/>
      <w:bookmarkStart w:id="626" w:name="_Toc173942714"/>
      <w:bookmarkStart w:id="627" w:name="_Toc29336"/>
      <w:bookmarkStart w:id="628" w:name="_Toc31936"/>
      <w:bookmarkStart w:id="629" w:name="_Toc24035"/>
      <w:r>
        <w:rPr>
          <w:rFonts w:hint="eastAsia" w:ascii="黑体" w:hAnsi="黑体" w:eastAsia="黑体" w:cs="Times New Roman"/>
          <w:b/>
          <w:bCs w:val="0"/>
          <w:color w:val="auto"/>
          <w:kern w:val="44"/>
          <w:sz w:val="28"/>
          <w:szCs w:val="24"/>
          <w:highlight w:val="none"/>
          <w:u w:val="none"/>
          <w:lang w:val="en-US" w:eastAsia="zh-CN" w:bidi="ar-SA"/>
        </w:rPr>
        <w:t>9</w:t>
      </w:r>
      <w:r>
        <w:rPr>
          <w:rFonts w:ascii="黑体" w:hAnsi="黑体" w:eastAsia="黑体" w:cs="Times New Roman"/>
          <w:b/>
          <w:bCs w:val="0"/>
          <w:color w:val="auto"/>
          <w:kern w:val="44"/>
          <w:sz w:val="28"/>
          <w:szCs w:val="24"/>
          <w:highlight w:val="none"/>
          <w:u w:val="none"/>
          <w:lang w:val="en-US" w:eastAsia="zh-CN" w:bidi="ar-SA"/>
        </w:rPr>
        <w:t>.2</w:t>
      </w:r>
      <w:bookmarkEnd w:id="617"/>
      <w:bookmarkEnd w:id="618"/>
      <w:bookmarkEnd w:id="619"/>
      <w:bookmarkEnd w:id="620"/>
      <w:bookmarkEnd w:id="621"/>
      <w:bookmarkEnd w:id="622"/>
      <w:bookmarkEnd w:id="623"/>
      <w:bookmarkEnd w:id="624"/>
      <w:bookmarkEnd w:id="625"/>
      <w:bookmarkEnd w:id="626"/>
      <w:r>
        <w:rPr>
          <w:rFonts w:hint="eastAsia" w:ascii="黑体" w:hAnsi="黑体" w:eastAsia="黑体" w:cs="Times New Roman"/>
          <w:b/>
          <w:bCs w:val="0"/>
          <w:color w:val="auto"/>
          <w:kern w:val="44"/>
          <w:sz w:val="28"/>
          <w:szCs w:val="24"/>
          <w:highlight w:val="none"/>
          <w:u w:val="none"/>
          <w:lang w:val="en-US" w:eastAsia="zh-CN" w:bidi="ar-SA"/>
        </w:rPr>
        <w:t>企业环境信息披露</w:t>
      </w:r>
      <w:bookmarkEnd w:id="627"/>
      <w:bookmarkEnd w:id="628"/>
      <w:bookmarkEnd w:id="629"/>
    </w:p>
    <w:p w14:paraId="3451E73C">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bookmarkStart w:id="630" w:name="_Toc173941991"/>
      <w:r>
        <w:rPr>
          <w:rFonts w:hint="eastAsia" w:ascii="黑体" w:hAnsi="黑体" w:eastAsia="黑体" w:cs="Times New Roman"/>
          <w:b/>
          <w:bCs w:val="0"/>
          <w:color w:val="auto"/>
          <w:sz w:val="24"/>
          <w:szCs w:val="20"/>
          <w:highlight w:val="none"/>
          <w:u w:val="none"/>
          <w:lang w:val="en-US" w:eastAsia="zh-CN" w:bidi="ar-SA"/>
        </w:rPr>
        <w:t>9.2.1</w:t>
      </w:r>
      <w:bookmarkEnd w:id="630"/>
      <w:r>
        <w:rPr>
          <w:rFonts w:hint="eastAsia" w:ascii="黑体" w:hAnsi="黑体" w:eastAsia="黑体" w:cs="Times New Roman"/>
          <w:b/>
          <w:bCs w:val="0"/>
          <w:color w:val="auto"/>
          <w:sz w:val="24"/>
          <w:szCs w:val="20"/>
          <w:highlight w:val="none"/>
          <w:u w:val="none"/>
          <w:lang w:val="en-US" w:eastAsia="zh-CN" w:bidi="ar-SA"/>
        </w:rPr>
        <w:t>披露内容</w:t>
      </w:r>
    </w:p>
    <w:p w14:paraId="23BF5A90">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（1）基础信息</w:t>
      </w:r>
    </w:p>
    <w:p w14:paraId="50E044DA">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 xml:space="preserve">企业名称：中国石油新疆油田公司开发公司 </w:t>
      </w:r>
    </w:p>
    <w:p w14:paraId="32E01B9D">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法人代表：孙友国</w:t>
      </w:r>
    </w:p>
    <w:p w14:paraId="3B5EEC95">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生产地址：新疆维吾尔自治区昌吉回族自治州呼图壁县</w:t>
      </w:r>
    </w:p>
    <w:p w14:paraId="36A500D5">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主要产品及规模：新钻采气井3口（MBHW6006井、MBHW6008井、MBHW6009井），钻井进尺16830m，新建单井采气管线7.4km，对莫109转油站进行改造，配套建设电气、自控、通信、防腐、消防等工程。</w:t>
      </w:r>
    </w:p>
    <w:p w14:paraId="170D3C4C">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（2）排污信息</w:t>
      </w:r>
    </w:p>
    <w:p w14:paraId="4358831E">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本工程污染物排放标准见“2.4.3污染物排放标准”章节。</w:t>
      </w:r>
    </w:p>
    <w:p w14:paraId="5C6B9019">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本工程污染物排放量情况见“9.3污染物排放清单”章节。</w:t>
      </w:r>
    </w:p>
    <w:p w14:paraId="335B4F22">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本工程污染物总量控制指标情况见“3.4.8 污染物排放总量控制”章节。</w:t>
      </w:r>
    </w:p>
    <w:p w14:paraId="480004CB">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（3）环境风险防范措施</w:t>
      </w:r>
    </w:p>
    <w:p w14:paraId="62D87959">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本工程环境风险防范措施见“5.8.6 环境风险管理措施与对策建议”章节。</w:t>
      </w:r>
    </w:p>
    <w:p w14:paraId="08BB1C01">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（4）环境监测计划</w:t>
      </w:r>
    </w:p>
    <w:p w14:paraId="043BB0BD">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拟建工程环境监测计划见“9.4.3监测计划”章节。</w:t>
      </w:r>
    </w:p>
    <w:p w14:paraId="79587656">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bookmarkStart w:id="631" w:name="_Toc173941992"/>
      <w:r>
        <w:rPr>
          <w:rFonts w:hint="eastAsia" w:ascii="黑体" w:hAnsi="黑体" w:eastAsia="黑体" w:cs="Times New Roman"/>
          <w:b/>
          <w:bCs w:val="0"/>
          <w:color w:val="auto"/>
          <w:sz w:val="24"/>
          <w:szCs w:val="20"/>
          <w:highlight w:val="none"/>
          <w:u w:val="none"/>
          <w:lang w:val="en-US" w:eastAsia="zh-CN" w:bidi="ar-SA"/>
        </w:rPr>
        <w:t>9.2.2</w:t>
      </w:r>
      <w:bookmarkEnd w:id="631"/>
      <w:r>
        <w:rPr>
          <w:rFonts w:hint="eastAsia" w:ascii="黑体" w:hAnsi="黑体" w:eastAsia="黑体" w:cs="Times New Roman"/>
          <w:b/>
          <w:bCs w:val="0"/>
          <w:color w:val="auto"/>
          <w:sz w:val="24"/>
          <w:szCs w:val="20"/>
          <w:highlight w:val="none"/>
          <w:u w:val="none"/>
          <w:lang w:val="en-US" w:eastAsia="zh-CN" w:bidi="ar-SA"/>
        </w:rPr>
        <w:t>披露方式及时间要求</w:t>
      </w:r>
    </w:p>
    <w:p w14:paraId="491C0280">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bookmarkStart w:id="632" w:name="_Toc173942715"/>
      <w:bookmarkStart w:id="633" w:name="_Toc173941761"/>
      <w:bookmarkStart w:id="634" w:name="_Toc173941994"/>
      <w:bookmarkStart w:id="635" w:name="_Toc218"/>
      <w:r>
        <w:rPr>
          <w:rFonts w:hint="eastAsia" w:ascii="Times New Roman" w:hAnsi="Times New Roman" w:eastAsia="宋体" w:cs="Times New Roman"/>
          <w:color w:val="auto"/>
          <w:sz w:val="24"/>
          <w:szCs w:val="21"/>
          <w:highlight w:val="none"/>
          <w:u w:val="none"/>
          <w:lang w:val="en-US" w:eastAsia="zh-CN" w:bidi="ar-SA"/>
        </w:rPr>
        <w:t>披露方式：通过公司网站、信息公开平台或当地报刊等便于公众知晓的方式公开。</w:t>
      </w:r>
    </w:p>
    <w:p w14:paraId="7576A60A">
      <w:pPr>
        <w:adjustRightInd/>
        <w:snapToGrid/>
        <w:spacing w:line="360" w:lineRule="auto"/>
        <w:ind w:firstLine="480" w:firstLineChars="200"/>
        <w:jc w:val="both"/>
        <w:rPr>
          <w:rFonts w:ascii="Times New Roman" w:hAnsi="宋体" w:eastAsia="宋体" w:cs="Times New Roman"/>
          <w:bCs/>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披露时间要求：企业可以根据实际情况对已披露的环境信息进行变更；进行变更的，应当以临时环境信息依法披露报告的形式变更，并说明变更事项和理由；企业应当于每年3月15日前披露上一年度1月1日至12月31日的环境信息；</w:t>
      </w:r>
      <w:r>
        <w:rPr>
          <w:rFonts w:hint="eastAsia" w:cs="Times New Roman"/>
          <w:color w:val="auto"/>
          <w:sz w:val="24"/>
          <w:szCs w:val="21"/>
          <w:highlight w:val="none"/>
          <w:u w:val="none"/>
          <w:lang w:val="en-US" w:eastAsia="zh-CN" w:bidi="ar-SA"/>
        </w:rPr>
        <w:t>石西油田作业区</w:t>
      </w:r>
      <w:r>
        <w:rPr>
          <w:rFonts w:hint="eastAsia" w:ascii="Times New Roman" w:hAnsi="Times New Roman" w:eastAsia="宋体" w:cs="Times New Roman"/>
          <w:color w:val="auto"/>
          <w:sz w:val="24"/>
          <w:szCs w:val="21"/>
          <w:highlight w:val="none"/>
          <w:u w:val="none"/>
          <w:lang w:val="en-US" w:eastAsia="zh-CN" w:bidi="ar-SA"/>
        </w:rPr>
        <w:t>在企业名单公布前存在《企业环境信息依法披露管理办法》(生态环境部部令 第24号)第十七条规定的环境信息的，应当于企业名单公布后十个工作日内以临时环境信息依法披露报告的形式披露本年度企业名单公布前的相关信息。</w:t>
      </w:r>
    </w:p>
    <w:p w14:paraId="08DF4A09">
      <w:pPr>
        <w:keepNext/>
        <w:keepLines/>
        <w:adjustRightInd/>
        <w:snapToGrid/>
        <w:spacing w:before="120" w:after="120" w:line="360" w:lineRule="auto"/>
        <w:jc w:val="left"/>
        <w:outlineLvl w:val="1"/>
        <w:rPr>
          <w:rFonts w:ascii="黑体" w:hAnsi="黑体" w:eastAsia="黑体" w:cs="Times New Roman"/>
          <w:b/>
          <w:bCs w:val="0"/>
          <w:color w:val="auto"/>
          <w:kern w:val="44"/>
          <w:sz w:val="28"/>
          <w:szCs w:val="24"/>
          <w:highlight w:val="none"/>
          <w:u w:val="none"/>
          <w:lang w:val="en-US" w:eastAsia="zh-CN" w:bidi="ar-SA"/>
        </w:rPr>
      </w:pPr>
      <w:bookmarkStart w:id="636" w:name="_Toc30047"/>
      <w:bookmarkStart w:id="637" w:name="_Toc15078"/>
      <w:bookmarkStart w:id="638" w:name="_Toc14613"/>
      <w:r>
        <w:rPr>
          <w:rFonts w:hint="eastAsia" w:ascii="黑体" w:hAnsi="黑体" w:eastAsia="黑体" w:cs="Times New Roman"/>
          <w:b/>
          <w:bCs w:val="0"/>
          <w:color w:val="auto"/>
          <w:kern w:val="44"/>
          <w:sz w:val="28"/>
          <w:szCs w:val="24"/>
          <w:highlight w:val="none"/>
          <w:u w:val="none"/>
          <w:lang w:val="en-US" w:eastAsia="zh-CN" w:bidi="ar-SA"/>
        </w:rPr>
        <w:t>9</w:t>
      </w:r>
      <w:r>
        <w:rPr>
          <w:rFonts w:ascii="黑体" w:hAnsi="黑体" w:eastAsia="黑体" w:cs="Times New Roman"/>
          <w:b/>
          <w:bCs w:val="0"/>
          <w:color w:val="auto"/>
          <w:kern w:val="44"/>
          <w:sz w:val="28"/>
          <w:szCs w:val="24"/>
          <w:highlight w:val="none"/>
          <w:u w:val="none"/>
          <w:lang w:val="en-US" w:eastAsia="zh-CN" w:bidi="ar-SA"/>
        </w:rPr>
        <w:t>.3污染物排放清单</w:t>
      </w:r>
      <w:bookmarkEnd w:id="632"/>
      <w:bookmarkEnd w:id="633"/>
      <w:bookmarkEnd w:id="634"/>
      <w:bookmarkEnd w:id="635"/>
      <w:bookmarkEnd w:id="636"/>
      <w:bookmarkEnd w:id="637"/>
      <w:bookmarkEnd w:id="638"/>
    </w:p>
    <w:p w14:paraId="68C6D35C">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pPr>
      <w:r>
        <w:rPr>
          <w:rFonts w:hint="eastAsia" w:ascii="Times New Roman" w:hAnsi="Times New Roman" w:eastAsia="宋体" w:cs="Times New Roman"/>
          <w:color w:val="auto"/>
          <w:sz w:val="24"/>
          <w:szCs w:val="21"/>
          <w:highlight w:val="none"/>
          <w:u w:val="none"/>
          <w:lang w:val="en-US" w:eastAsia="zh-CN" w:bidi="ar-SA"/>
        </w:rPr>
        <w:t>本工程符合环境准入要求。建设单位应根据《关于做好环境影响评价制度与排污许可制衔接相关工作的通知》（环办环评〔2017〕84号）要求，在发生实际排污行为之前，按照国家环境保护相关法律法规以及排污许可证申请与核发技术规范要求申请排污许可证，不得无证排污或不按证排污。</w:t>
      </w:r>
    </w:p>
    <w:p w14:paraId="28892FCF">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sectPr>
          <w:footerReference r:id="rId15" w:type="default"/>
          <w:pgSz w:w="11905" w:h="16838"/>
          <w:pgMar w:top="1474" w:right="1474" w:bottom="1417"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Times New Roman" w:hAnsi="Times New Roman" w:eastAsia="宋体" w:cs="Times New Roman"/>
          <w:color w:val="auto"/>
          <w:sz w:val="24"/>
          <w:szCs w:val="21"/>
          <w:highlight w:val="none"/>
          <w:u w:val="none"/>
          <w:lang w:val="en-US" w:eastAsia="zh-CN" w:bidi="ar-SA"/>
        </w:rPr>
        <w:t>本工程运营期污染物产生及排放情况，见表</w:t>
      </w:r>
      <w:r>
        <w:rPr>
          <w:rFonts w:hint="eastAsia" w:cs="Times New Roman"/>
          <w:color w:val="auto"/>
          <w:sz w:val="24"/>
          <w:szCs w:val="21"/>
          <w:highlight w:val="none"/>
          <w:u w:val="none"/>
          <w:lang w:val="en-US" w:eastAsia="zh-CN" w:bidi="ar-SA"/>
        </w:rPr>
        <w:t>9.3-1</w:t>
      </w:r>
      <w:r>
        <w:rPr>
          <w:rFonts w:hint="eastAsia" w:ascii="Times New Roman" w:hAnsi="Times New Roman" w:eastAsia="宋体" w:cs="Times New Roman"/>
          <w:color w:val="auto"/>
          <w:sz w:val="24"/>
          <w:szCs w:val="21"/>
          <w:highlight w:val="none"/>
          <w:u w:val="none"/>
          <w:lang w:val="en-US" w:eastAsia="zh-CN" w:bidi="ar-SA"/>
        </w:rPr>
        <w:t>。</w:t>
      </w:r>
    </w:p>
    <w:p w14:paraId="47187A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Times New Roman"/>
          <w:b/>
          <w:color w:val="auto"/>
          <w:kern w:val="2"/>
          <w:sz w:val="21"/>
          <w:szCs w:val="20"/>
          <w:highlight w:val="none"/>
          <w:u w:val="none"/>
          <w:lang w:val="en-US" w:eastAsia="zh-CN" w:bidi="ar-SA"/>
        </w:rPr>
      </w:pPr>
      <w:r>
        <w:rPr>
          <w:rFonts w:hint="eastAsia" w:ascii="黑体" w:hAnsi="黑体" w:eastAsia="黑体" w:cs="黑体"/>
          <w:b w:val="0"/>
          <w:bCs/>
          <w:color w:val="auto"/>
          <w:kern w:val="2"/>
          <w:sz w:val="24"/>
          <w:szCs w:val="24"/>
          <w:u w:val="none"/>
          <w:lang w:val="en-US" w:eastAsia="zh-CN" w:bidi="ar-SA"/>
        </w:rPr>
        <w:t>表9.3-1</w:t>
      </w:r>
      <w:r>
        <w:rPr>
          <w:rFonts w:hint="eastAsia" w:ascii="黑体" w:hAnsi="黑体" w:eastAsia="黑体" w:cs="黑体"/>
          <w:b w:val="0"/>
          <w:bCs/>
          <w:color w:val="auto"/>
          <w:kern w:val="2"/>
          <w:sz w:val="24"/>
          <w:szCs w:val="24"/>
          <w:u w:val="none"/>
          <w:lang w:val="en-US" w:eastAsia="zh-CN" w:bidi="ar-SA"/>
        </w:rPr>
        <w:tab/>
      </w:r>
      <w:r>
        <w:rPr>
          <w:rFonts w:hint="eastAsia" w:ascii="黑体" w:hAnsi="黑体" w:eastAsia="黑体" w:cs="黑体"/>
          <w:b w:val="0"/>
          <w:bCs/>
          <w:color w:val="auto"/>
          <w:kern w:val="2"/>
          <w:sz w:val="24"/>
          <w:szCs w:val="24"/>
          <w:u w:val="none"/>
          <w:lang w:val="en-US" w:eastAsia="zh-CN" w:bidi="ar-SA"/>
        </w:rPr>
        <w:t>运营期污染物排放汇总</w:t>
      </w:r>
    </w:p>
    <w:tbl>
      <w:tblPr>
        <w:tblStyle w:val="37"/>
        <w:tblW w:w="504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98"/>
        <w:gridCol w:w="1070"/>
        <w:gridCol w:w="981"/>
        <w:gridCol w:w="956"/>
        <w:gridCol w:w="2152"/>
        <w:gridCol w:w="743"/>
        <w:gridCol w:w="654"/>
        <w:gridCol w:w="834"/>
        <w:gridCol w:w="1036"/>
        <w:gridCol w:w="872"/>
        <w:gridCol w:w="773"/>
        <w:gridCol w:w="813"/>
        <w:gridCol w:w="3490"/>
      </w:tblGrid>
      <w:tr w14:paraId="73E5F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restart"/>
            <w:tcBorders>
              <w:tl2br w:val="nil"/>
              <w:tr2bl w:val="nil"/>
            </w:tcBorders>
            <w:noWrap w:val="0"/>
            <w:vAlign w:val="center"/>
          </w:tcPr>
          <w:p w14:paraId="30CD2945">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类别</w:t>
            </w:r>
          </w:p>
        </w:tc>
        <w:tc>
          <w:tcPr>
            <w:tcW w:w="359" w:type="pct"/>
            <w:vMerge w:val="restart"/>
            <w:tcBorders>
              <w:tl2br w:val="nil"/>
              <w:tr2bl w:val="nil"/>
            </w:tcBorders>
            <w:noWrap w:val="0"/>
            <w:vAlign w:val="center"/>
          </w:tcPr>
          <w:p w14:paraId="02737AAD">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工程</w:t>
            </w:r>
          </w:p>
          <w:p w14:paraId="23B83968">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组成</w:t>
            </w:r>
          </w:p>
        </w:tc>
        <w:tc>
          <w:tcPr>
            <w:tcW w:w="329" w:type="pct"/>
            <w:vMerge w:val="restart"/>
            <w:tcBorders>
              <w:tl2br w:val="nil"/>
              <w:tr2bl w:val="nil"/>
            </w:tcBorders>
            <w:noWrap w:val="0"/>
            <w:vAlign w:val="center"/>
          </w:tcPr>
          <w:p w14:paraId="49FCEF83">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产污</w:t>
            </w:r>
          </w:p>
          <w:p w14:paraId="64EFB904">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环节</w:t>
            </w:r>
          </w:p>
        </w:tc>
        <w:tc>
          <w:tcPr>
            <w:tcW w:w="1294" w:type="pct"/>
            <w:gridSpan w:val="3"/>
            <w:tcBorders>
              <w:tl2br w:val="nil"/>
              <w:tr2bl w:val="nil"/>
            </w:tcBorders>
            <w:noWrap w:val="0"/>
            <w:vAlign w:val="center"/>
          </w:tcPr>
          <w:p w14:paraId="5557CC54">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环境保护措施及主要运行参数</w:t>
            </w:r>
          </w:p>
        </w:tc>
        <w:tc>
          <w:tcPr>
            <w:tcW w:w="219" w:type="pct"/>
            <w:vMerge w:val="restart"/>
            <w:tcBorders>
              <w:tl2br w:val="nil"/>
              <w:tr2bl w:val="nil"/>
            </w:tcBorders>
            <w:noWrap w:val="0"/>
            <w:vAlign w:val="center"/>
          </w:tcPr>
          <w:p w14:paraId="14A12BB6">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污染物种类</w:t>
            </w:r>
          </w:p>
        </w:tc>
        <w:tc>
          <w:tcPr>
            <w:tcW w:w="628" w:type="pct"/>
            <w:gridSpan w:val="2"/>
            <w:tcBorders>
              <w:tl2br w:val="nil"/>
              <w:tr2bl w:val="nil"/>
            </w:tcBorders>
            <w:noWrap w:val="0"/>
            <w:vAlign w:val="center"/>
          </w:tcPr>
          <w:p w14:paraId="53D20323">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排放情况</w:t>
            </w:r>
          </w:p>
        </w:tc>
        <w:tc>
          <w:tcPr>
            <w:tcW w:w="293" w:type="pct"/>
            <w:vMerge w:val="restart"/>
            <w:tcBorders>
              <w:tl2br w:val="nil"/>
              <w:tr2bl w:val="nil"/>
            </w:tcBorders>
            <w:noWrap w:val="0"/>
            <w:vAlign w:val="center"/>
          </w:tcPr>
          <w:p w14:paraId="408CDEA2">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总量指标</w:t>
            </w:r>
            <w:r>
              <w:rPr>
                <w:rFonts w:hint="eastAsia" w:ascii="宋体" w:hAnsi="宋体" w:eastAsia="宋体" w:cs="宋体"/>
                <w:b w:val="0"/>
                <w:bCs w:val="0"/>
                <w:color w:val="auto"/>
                <w:spacing w:val="0"/>
                <w:kern w:val="0"/>
                <w:sz w:val="21"/>
                <w:szCs w:val="21"/>
                <w:highlight w:val="none"/>
                <w:u w:val="none"/>
                <w:lang w:eastAsia="zh-CN"/>
              </w:rPr>
              <w:t>（</w:t>
            </w:r>
            <w:r>
              <w:rPr>
                <w:rFonts w:hint="eastAsia" w:ascii="宋体" w:hAnsi="宋体" w:eastAsia="宋体" w:cs="宋体"/>
                <w:b w:val="0"/>
                <w:bCs w:val="0"/>
                <w:color w:val="auto"/>
                <w:spacing w:val="0"/>
                <w:kern w:val="0"/>
                <w:sz w:val="21"/>
                <w:szCs w:val="21"/>
                <w:highlight w:val="none"/>
                <w:u w:val="none"/>
              </w:rPr>
              <w:t>t/a)</w:t>
            </w:r>
          </w:p>
        </w:tc>
        <w:tc>
          <w:tcPr>
            <w:tcW w:w="533" w:type="pct"/>
            <w:gridSpan w:val="2"/>
            <w:vMerge w:val="restart"/>
            <w:tcBorders>
              <w:tl2br w:val="nil"/>
              <w:tr2bl w:val="nil"/>
            </w:tcBorders>
            <w:noWrap w:val="0"/>
            <w:vAlign w:val="center"/>
          </w:tcPr>
          <w:p w14:paraId="5DB04363">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执行标准</w:t>
            </w:r>
          </w:p>
          <w:p w14:paraId="70864503">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lang w:eastAsia="zh-CN"/>
              </w:rPr>
              <w:t>（</w:t>
            </w:r>
            <w:r>
              <w:rPr>
                <w:rFonts w:hint="eastAsia" w:ascii="宋体" w:hAnsi="宋体" w:eastAsia="宋体" w:cs="宋体"/>
                <w:b w:val="0"/>
                <w:bCs w:val="0"/>
                <w:color w:val="auto"/>
                <w:spacing w:val="0"/>
                <w:kern w:val="0"/>
                <w:sz w:val="21"/>
                <w:szCs w:val="21"/>
                <w:highlight w:val="none"/>
                <w:u w:val="none"/>
              </w:rPr>
              <w:t>mg/m</w:t>
            </w:r>
            <w:r>
              <w:rPr>
                <w:rFonts w:hint="eastAsia" w:ascii="宋体" w:hAnsi="宋体" w:eastAsia="宋体" w:cs="宋体"/>
                <w:b w:val="0"/>
                <w:bCs w:val="0"/>
                <w:color w:val="auto"/>
                <w:spacing w:val="0"/>
                <w:kern w:val="0"/>
                <w:sz w:val="21"/>
                <w:szCs w:val="21"/>
                <w:highlight w:val="none"/>
                <w:u w:val="none"/>
                <w:vertAlign w:val="superscript"/>
              </w:rPr>
              <w:t>3</w:t>
            </w:r>
            <w:r>
              <w:rPr>
                <w:rFonts w:hint="eastAsia" w:ascii="宋体" w:hAnsi="宋体" w:eastAsia="宋体" w:cs="宋体"/>
                <w:b w:val="0"/>
                <w:bCs w:val="0"/>
                <w:color w:val="auto"/>
                <w:spacing w:val="0"/>
                <w:kern w:val="0"/>
                <w:sz w:val="21"/>
                <w:szCs w:val="21"/>
                <w:highlight w:val="none"/>
                <w:u w:val="none"/>
              </w:rPr>
              <w:t>)</w:t>
            </w:r>
          </w:p>
        </w:tc>
        <w:tc>
          <w:tcPr>
            <w:tcW w:w="1173" w:type="pct"/>
            <w:vMerge w:val="restart"/>
            <w:tcBorders>
              <w:tl2br w:val="nil"/>
              <w:tr2bl w:val="nil"/>
            </w:tcBorders>
            <w:noWrap w:val="0"/>
            <w:vAlign w:val="center"/>
          </w:tcPr>
          <w:p w14:paraId="577074C6">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环境监测要求</w:t>
            </w:r>
          </w:p>
        </w:tc>
      </w:tr>
      <w:tr w14:paraId="11940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5368A77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359" w:type="pct"/>
            <w:vMerge w:val="continue"/>
            <w:tcBorders>
              <w:tl2br w:val="nil"/>
              <w:tr2bl w:val="nil"/>
            </w:tcBorders>
            <w:noWrap w:val="0"/>
            <w:vAlign w:val="center"/>
          </w:tcPr>
          <w:p w14:paraId="554487C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329" w:type="pct"/>
            <w:vMerge w:val="continue"/>
            <w:tcBorders>
              <w:tl2br w:val="nil"/>
              <w:tr2bl w:val="nil"/>
            </w:tcBorders>
            <w:noWrap w:val="0"/>
            <w:vAlign w:val="center"/>
          </w:tcPr>
          <w:p w14:paraId="53BFB1D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1044" w:type="pct"/>
            <w:gridSpan w:val="2"/>
            <w:tcBorders>
              <w:tl2br w:val="nil"/>
              <w:tr2bl w:val="nil"/>
            </w:tcBorders>
            <w:noWrap w:val="0"/>
            <w:vAlign w:val="center"/>
          </w:tcPr>
          <w:p w14:paraId="035CCDFC">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环境保护措施</w:t>
            </w:r>
          </w:p>
        </w:tc>
        <w:tc>
          <w:tcPr>
            <w:tcW w:w="249" w:type="pct"/>
            <w:tcBorders>
              <w:tl2br w:val="nil"/>
              <w:tr2bl w:val="nil"/>
            </w:tcBorders>
            <w:noWrap w:val="0"/>
            <w:vAlign w:val="center"/>
          </w:tcPr>
          <w:p w14:paraId="49DC7F5A">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主要运行参数</w:t>
            </w:r>
          </w:p>
        </w:tc>
        <w:tc>
          <w:tcPr>
            <w:tcW w:w="219" w:type="pct"/>
            <w:vMerge w:val="continue"/>
            <w:tcBorders>
              <w:tl2br w:val="nil"/>
              <w:tr2bl w:val="nil"/>
            </w:tcBorders>
            <w:noWrap w:val="0"/>
            <w:vAlign w:val="center"/>
          </w:tcPr>
          <w:p w14:paraId="1700ADC4">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280" w:type="pct"/>
            <w:tcBorders>
              <w:tl2br w:val="nil"/>
              <w:tr2bl w:val="nil"/>
            </w:tcBorders>
            <w:noWrap w:val="0"/>
            <w:vAlign w:val="center"/>
          </w:tcPr>
          <w:p w14:paraId="02917073">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排放时段h/a</w:t>
            </w:r>
          </w:p>
        </w:tc>
        <w:tc>
          <w:tcPr>
            <w:tcW w:w="348" w:type="pct"/>
            <w:tcBorders>
              <w:tl2br w:val="nil"/>
              <w:tr2bl w:val="nil"/>
            </w:tcBorders>
            <w:noWrap w:val="0"/>
            <w:vAlign w:val="center"/>
          </w:tcPr>
          <w:p w14:paraId="6E4FAA91">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排放浓度</w:t>
            </w:r>
          </w:p>
          <w:p w14:paraId="692D94D5">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(mg/m</w:t>
            </w:r>
            <w:r>
              <w:rPr>
                <w:rFonts w:hint="eastAsia" w:ascii="宋体" w:hAnsi="宋体" w:eastAsia="宋体" w:cs="宋体"/>
                <w:b w:val="0"/>
                <w:bCs w:val="0"/>
                <w:color w:val="auto"/>
                <w:spacing w:val="0"/>
                <w:kern w:val="0"/>
                <w:sz w:val="21"/>
                <w:szCs w:val="21"/>
                <w:highlight w:val="none"/>
                <w:u w:val="none"/>
                <w:vertAlign w:val="superscript"/>
              </w:rPr>
              <w:t>3</w:t>
            </w:r>
            <w:r>
              <w:rPr>
                <w:rFonts w:hint="eastAsia" w:ascii="宋体" w:hAnsi="宋体" w:eastAsia="宋体" w:cs="宋体"/>
                <w:b w:val="0"/>
                <w:bCs w:val="0"/>
                <w:color w:val="auto"/>
                <w:spacing w:val="0"/>
                <w:kern w:val="0"/>
                <w:sz w:val="21"/>
                <w:szCs w:val="21"/>
                <w:highlight w:val="none"/>
                <w:u w:val="none"/>
              </w:rPr>
              <w:t>)</w:t>
            </w:r>
          </w:p>
        </w:tc>
        <w:tc>
          <w:tcPr>
            <w:tcW w:w="293" w:type="pct"/>
            <w:vMerge w:val="continue"/>
            <w:tcBorders>
              <w:tl2br w:val="nil"/>
              <w:tr2bl w:val="nil"/>
            </w:tcBorders>
            <w:noWrap w:val="0"/>
            <w:vAlign w:val="center"/>
          </w:tcPr>
          <w:p w14:paraId="6E8AD89D">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533" w:type="pct"/>
            <w:gridSpan w:val="2"/>
            <w:vMerge w:val="continue"/>
            <w:tcBorders>
              <w:tl2br w:val="nil"/>
              <w:tr2bl w:val="nil"/>
            </w:tcBorders>
            <w:noWrap w:val="0"/>
            <w:vAlign w:val="center"/>
          </w:tcPr>
          <w:p w14:paraId="70357BFD">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1173" w:type="pct"/>
            <w:vMerge w:val="continue"/>
            <w:tcBorders>
              <w:tl2br w:val="nil"/>
              <w:tr2bl w:val="nil"/>
            </w:tcBorders>
            <w:noWrap w:val="0"/>
            <w:vAlign w:val="center"/>
          </w:tcPr>
          <w:p w14:paraId="1D324E9E">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r>
      <w:tr w14:paraId="40F5B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restart"/>
            <w:tcBorders>
              <w:tl2br w:val="nil"/>
              <w:tr2bl w:val="nil"/>
            </w:tcBorders>
            <w:noWrap w:val="0"/>
            <w:vAlign w:val="center"/>
          </w:tcPr>
          <w:p w14:paraId="155F955D">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废气</w:t>
            </w:r>
          </w:p>
        </w:tc>
        <w:tc>
          <w:tcPr>
            <w:tcW w:w="359" w:type="pct"/>
            <w:vMerge w:val="restart"/>
            <w:tcBorders>
              <w:tl2br w:val="nil"/>
              <w:tr2bl w:val="nil"/>
            </w:tcBorders>
            <w:noWrap w:val="0"/>
            <w:vAlign w:val="center"/>
          </w:tcPr>
          <w:p w14:paraId="05C65C8C">
            <w:pPr>
              <w:keepNext w:val="0"/>
              <w:keepLines w:val="0"/>
              <w:pageBreakBefore w:val="0"/>
              <w:widowControl w:val="0"/>
              <w:suppressLineNumbers w:val="0"/>
              <w:kinsoku/>
              <w:wordWrap/>
              <w:overflowPunct/>
              <w:autoSpaceDE/>
              <w:autoSpaceDN/>
              <w:bidi w:val="0"/>
              <w:adjustRightInd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采</w:t>
            </w:r>
            <w:r>
              <w:rPr>
                <w:rFonts w:hint="eastAsia" w:ascii="宋体" w:hAnsi="宋体" w:cs="宋体"/>
                <w:b w:val="0"/>
                <w:bCs w:val="0"/>
                <w:color w:val="auto"/>
                <w:spacing w:val="0"/>
                <w:kern w:val="0"/>
                <w:sz w:val="21"/>
                <w:szCs w:val="21"/>
                <w:highlight w:val="none"/>
                <w:u w:val="none"/>
                <w:lang w:val="en-US" w:eastAsia="zh-CN"/>
              </w:rPr>
              <w:t>气井</w:t>
            </w:r>
            <w:r>
              <w:rPr>
                <w:rFonts w:hint="eastAsia" w:ascii="宋体" w:hAnsi="宋体" w:eastAsia="宋体" w:cs="宋体"/>
                <w:b w:val="0"/>
                <w:bCs w:val="0"/>
                <w:color w:val="auto"/>
                <w:spacing w:val="0"/>
                <w:kern w:val="0"/>
                <w:sz w:val="21"/>
                <w:szCs w:val="21"/>
                <w:highlight w:val="none"/>
                <w:u w:val="none"/>
                <w:lang w:val="en-US" w:eastAsia="zh-CN"/>
              </w:rPr>
              <w:t>场、站场</w:t>
            </w:r>
          </w:p>
        </w:tc>
        <w:tc>
          <w:tcPr>
            <w:tcW w:w="329" w:type="pct"/>
            <w:vMerge w:val="restart"/>
            <w:tcBorders>
              <w:tl2br w:val="nil"/>
              <w:tr2bl w:val="nil"/>
            </w:tcBorders>
            <w:noWrap w:val="0"/>
            <w:vAlign w:val="center"/>
          </w:tcPr>
          <w:p w14:paraId="2C37BCD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无组织</w:t>
            </w:r>
          </w:p>
          <w:p w14:paraId="43890F96">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lang w:val="en-US" w:eastAsia="zh-CN"/>
              </w:rPr>
              <w:t>废气</w:t>
            </w:r>
          </w:p>
        </w:tc>
        <w:tc>
          <w:tcPr>
            <w:tcW w:w="1044" w:type="pct"/>
            <w:gridSpan w:val="2"/>
            <w:vMerge w:val="restart"/>
            <w:tcBorders>
              <w:tl2br w:val="nil"/>
              <w:tr2bl w:val="nil"/>
            </w:tcBorders>
            <w:noWrap w:val="0"/>
            <w:vAlign w:val="center"/>
          </w:tcPr>
          <w:p w14:paraId="3811D8B2">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lang w:val="en-US" w:eastAsia="zh-CN"/>
              </w:rPr>
              <w:t>管道密闭输送，加强设备检修与维护，从源头减少</w:t>
            </w:r>
            <w:r>
              <w:rPr>
                <w:rFonts w:hint="eastAsia" w:ascii="宋体" w:hAnsi="宋体" w:cs="宋体"/>
                <w:b w:val="0"/>
                <w:bCs w:val="0"/>
                <w:color w:val="auto"/>
                <w:spacing w:val="0"/>
                <w:kern w:val="0"/>
                <w:sz w:val="21"/>
                <w:szCs w:val="21"/>
                <w:highlight w:val="none"/>
                <w:u w:val="none"/>
                <w:lang w:val="en-US" w:eastAsia="zh-CN"/>
              </w:rPr>
              <w:t>泄漏</w:t>
            </w:r>
            <w:r>
              <w:rPr>
                <w:rFonts w:hint="eastAsia" w:ascii="宋体" w:hAnsi="宋体" w:eastAsia="宋体" w:cs="宋体"/>
                <w:b w:val="0"/>
                <w:bCs w:val="0"/>
                <w:color w:val="auto"/>
                <w:spacing w:val="0"/>
                <w:kern w:val="0"/>
                <w:sz w:val="21"/>
                <w:szCs w:val="21"/>
                <w:highlight w:val="none"/>
                <w:u w:val="none"/>
                <w:lang w:val="en-US" w:eastAsia="zh-CN"/>
              </w:rPr>
              <w:t>产生的无组织废气。</w:t>
            </w:r>
          </w:p>
        </w:tc>
        <w:tc>
          <w:tcPr>
            <w:tcW w:w="249" w:type="pct"/>
            <w:tcBorders>
              <w:tl2br w:val="nil"/>
              <w:tr2bl w:val="nil"/>
            </w:tcBorders>
            <w:noWrap w:val="0"/>
            <w:vAlign w:val="center"/>
          </w:tcPr>
          <w:p w14:paraId="7B222000">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eastAsia="zh-CN"/>
              </w:rPr>
            </w:pPr>
            <w:r>
              <w:rPr>
                <w:rFonts w:hint="eastAsia" w:ascii="宋体" w:hAnsi="宋体" w:cs="宋体"/>
                <w:b w:val="0"/>
                <w:bCs w:val="0"/>
                <w:color w:val="auto"/>
                <w:spacing w:val="0"/>
                <w:kern w:val="0"/>
                <w:sz w:val="21"/>
                <w:szCs w:val="21"/>
                <w:highlight w:val="none"/>
                <w:u w:val="none"/>
                <w:lang w:eastAsia="zh-CN"/>
              </w:rPr>
              <w:t>/</w:t>
            </w:r>
          </w:p>
        </w:tc>
        <w:tc>
          <w:tcPr>
            <w:tcW w:w="219" w:type="pct"/>
            <w:tcBorders>
              <w:tl2br w:val="nil"/>
              <w:tr2bl w:val="nil"/>
            </w:tcBorders>
            <w:noWrap w:val="0"/>
            <w:vAlign w:val="center"/>
          </w:tcPr>
          <w:p w14:paraId="22BA2B04">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非甲烷总烃</w:t>
            </w:r>
          </w:p>
        </w:tc>
        <w:tc>
          <w:tcPr>
            <w:tcW w:w="280" w:type="pct"/>
            <w:tcBorders>
              <w:tl2br w:val="nil"/>
              <w:tr2bl w:val="nil"/>
            </w:tcBorders>
            <w:noWrap w:val="0"/>
            <w:vAlign w:val="center"/>
          </w:tcPr>
          <w:p w14:paraId="63F9D7EA">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7920</w:t>
            </w:r>
          </w:p>
        </w:tc>
        <w:tc>
          <w:tcPr>
            <w:tcW w:w="348" w:type="pct"/>
            <w:tcBorders>
              <w:tl2br w:val="nil"/>
              <w:tr2bl w:val="nil"/>
            </w:tcBorders>
            <w:noWrap w:val="0"/>
            <w:vAlign w:val="center"/>
          </w:tcPr>
          <w:p w14:paraId="1FA8F258">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w:t>
            </w:r>
          </w:p>
        </w:tc>
        <w:tc>
          <w:tcPr>
            <w:tcW w:w="293" w:type="pct"/>
            <w:tcBorders>
              <w:tl2br w:val="nil"/>
              <w:tr2bl w:val="nil"/>
            </w:tcBorders>
            <w:noWrap w:val="0"/>
            <w:vAlign w:val="center"/>
          </w:tcPr>
          <w:p w14:paraId="2F36E6F4">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default" w:ascii="宋体" w:hAnsi="宋体" w:eastAsia="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0.582</w:t>
            </w:r>
          </w:p>
        </w:tc>
        <w:tc>
          <w:tcPr>
            <w:tcW w:w="533" w:type="pct"/>
            <w:gridSpan w:val="2"/>
            <w:tcBorders>
              <w:tl2br w:val="nil"/>
              <w:tr2bl w:val="nil"/>
            </w:tcBorders>
            <w:noWrap w:val="0"/>
            <w:vAlign w:val="center"/>
          </w:tcPr>
          <w:p w14:paraId="646361AF">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u w:val="none"/>
              </w:rPr>
            </w:pPr>
            <w:r>
              <w:rPr>
                <w:rFonts w:hint="eastAsia" w:ascii="宋体" w:hAnsi="宋体" w:eastAsia="宋体" w:cs="宋体"/>
                <w:b w:val="0"/>
                <w:bCs w:val="0"/>
                <w:color w:val="auto"/>
                <w:spacing w:val="0"/>
                <w:kern w:val="0"/>
                <w:sz w:val="21"/>
                <w:szCs w:val="21"/>
                <w:highlight w:val="none"/>
                <w:u w:val="none"/>
              </w:rPr>
              <w:t>4.0</w:t>
            </w:r>
          </w:p>
        </w:tc>
        <w:tc>
          <w:tcPr>
            <w:tcW w:w="1173" w:type="pct"/>
            <w:tcBorders>
              <w:tl2br w:val="nil"/>
              <w:tr2bl w:val="nil"/>
            </w:tcBorders>
            <w:noWrap w:val="0"/>
            <w:vAlign w:val="center"/>
          </w:tcPr>
          <w:p w14:paraId="445B9F72">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《陆上石油天然气开采工业大气污染物排放标准》(GB39728-2020</w:t>
            </w:r>
            <w:r>
              <w:rPr>
                <w:rFonts w:hint="eastAsia" w:ascii="宋体" w:hAnsi="宋体" w:eastAsia="宋体" w:cs="宋体"/>
                <w:b w:val="0"/>
                <w:bCs w:val="0"/>
                <w:color w:val="auto"/>
                <w:spacing w:val="0"/>
                <w:kern w:val="0"/>
                <w:sz w:val="21"/>
                <w:szCs w:val="21"/>
                <w:highlight w:val="none"/>
                <w:u w:val="none"/>
                <w:lang w:eastAsia="zh-CN"/>
              </w:rPr>
              <w:t>）</w:t>
            </w:r>
            <w:r>
              <w:rPr>
                <w:rFonts w:hint="eastAsia" w:ascii="宋体" w:hAnsi="宋体" w:eastAsia="宋体" w:cs="宋体"/>
                <w:b w:val="0"/>
                <w:bCs w:val="0"/>
                <w:color w:val="auto"/>
                <w:spacing w:val="0"/>
                <w:kern w:val="0"/>
                <w:sz w:val="21"/>
                <w:szCs w:val="21"/>
                <w:highlight w:val="none"/>
                <w:u w:val="none"/>
              </w:rPr>
              <w:t>中边界污染物控制要求</w:t>
            </w:r>
          </w:p>
        </w:tc>
      </w:tr>
      <w:tr w14:paraId="0805F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71C179D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359" w:type="pct"/>
            <w:vMerge w:val="continue"/>
            <w:tcBorders>
              <w:tl2br w:val="nil"/>
              <w:tr2bl w:val="nil"/>
            </w:tcBorders>
            <w:noWrap w:val="0"/>
            <w:vAlign w:val="center"/>
          </w:tcPr>
          <w:p w14:paraId="665FEAA3">
            <w:pPr>
              <w:keepNext w:val="0"/>
              <w:keepLines w:val="0"/>
              <w:pageBreakBefore w:val="0"/>
              <w:widowControl w:val="0"/>
              <w:suppressLineNumbers w:val="0"/>
              <w:kinsoku/>
              <w:wordWrap/>
              <w:overflowPunct/>
              <w:autoSpaceDE/>
              <w:autoSpaceDN/>
              <w:bidi w:val="0"/>
              <w:adjustRightInd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p>
        </w:tc>
        <w:tc>
          <w:tcPr>
            <w:tcW w:w="329" w:type="pct"/>
            <w:vMerge w:val="continue"/>
            <w:tcBorders>
              <w:tl2br w:val="nil"/>
              <w:tr2bl w:val="nil"/>
            </w:tcBorders>
            <w:noWrap w:val="0"/>
            <w:vAlign w:val="center"/>
          </w:tcPr>
          <w:p w14:paraId="38D54E10">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p>
        </w:tc>
        <w:tc>
          <w:tcPr>
            <w:tcW w:w="1044" w:type="pct"/>
            <w:gridSpan w:val="2"/>
            <w:vMerge w:val="continue"/>
            <w:tcBorders>
              <w:tl2br w:val="nil"/>
              <w:tr2bl w:val="nil"/>
            </w:tcBorders>
            <w:noWrap w:val="0"/>
            <w:vAlign w:val="center"/>
          </w:tcPr>
          <w:p w14:paraId="1E1B57C9">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0"/>
                <w:sz w:val="21"/>
                <w:szCs w:val="21"/>
                <w:highlight w:val="none"/>
                <w:u w:val="none"/>
                <w:lang w:val="en-US" w:eastAsia="zh-CN"/>
              </w:rPr>
            </w:pPr>
          </w:p>
        </w:tc>
        <w:tc>
          <w:tcPr>
            <w:tcW w:w="249" w:type="pct"/>
            <w:tcBorders>
              <w:tl2br w:val="nil"/>
              <w:tr2bl w:val="nil"/>
            </w:tcBorders>
            <w:noWrap w:val="0"/>
            <w:vAlign w:val="center"/>
          </w:tcPr>
          <w:p w14:paraId="3AA9E8FC">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w:t>
            </w:r>
          </w:p>
        </w:tc>
        <w:tc>
          <w:tcPr>
            <w:tcW w:w="219" w:type="pct"/>
            <w:tcBorders>
              <w:tl2br w:val="nil"/>
              <w:tr2bl w:val="nil"/>
            </w:tcBorders>
            <w:noWrap w:val="0"/>
            <w:vAlign w:val="center"/>
          </w:tcPr>
          <w:p w14:paraId="49DD2131">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硫化氢</w:t>
            </w:r>
          </w:p>
        </w:tc>
        <w:tc>
          <w:tcPr>
            <w:tcW w:w="280" w:type="pct"/>
            <w:tcBorders>
              <w:tl2br w:val="nil"/>
              <w:tr2bl w:val="nil"/>
            </w:tcBorders>
            <w:noWrap w:val="0"/>
            <w:vAlign w:val="center"/>
          </w:tcPr>
          <w:p w14:paraId="7E02386F">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default" w:ascii="宋体" w:hAnsi="宋体" w:eastAsia="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7920</w:t>
            </w:r>
          </w:p>
        </w:tc>
        <w:tc>
          <w:tcPr>
            <w:tcW w:w="348" w:type="pct"/>
            <w:tcBorders>
              <w:tl2br w:val="nil"/>
              <w:tr2bl w:val="nil"/>
            </w:tcBorders>
            <w:noWrap w:val="0"/>
            <w:vAlign w:val="center"/>
          </w:tcPr>
          <w:p w14:paraId="5313334C">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default" w:ascii="宋体" w:hAnsi="宋体" w:eastAsia="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w:t>
            </w:r>
          </w:p>
        </w:tc>
        <w:tc>
          <w:tcPr>
            <w:tcW w:w="293" w:type="pct"/>
            <w:tcBorders>
              <w:tl2br w:val="nil"/>
              <w:tr2bl w:val="nil"/>
            </w:tcBorders>
            <w:noWrap w:val="0"/>
            <w:vAlign w:val="center"/>
          </w:tcPr>
          <w:p w14:paraId="0837A34A">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0.00008</w:t>
            </w:r>
          </w:p>
        </w:tc>
        <w:tc>
          <w:tcPr>
            <w:tcW w:w="533" w:type="pct"/>
            <w:gridSpan w:val="2"/>
            <w:tcBorders>
              <w:tl2br w:val="nil"/>
              <w:tr2bl w:val="nil"/>
            </w:tcBorders>
            <w:noWrap w:val="0"/>
            <w:vAlign w:val="center"/>
          </w:tcPr>
          <w:p w14:paraId="745C68B2">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default" w:ascii="宋体" w:hAnsi="宋体" w:eastAsia="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0.06</w:t>
            </w:r>
          </w:p>
        </w:tc>
        <w:tc>
          <w:tcPr>
            <w:tcW w:w="1173" w:type="pct"/>
            <w:tcBorders>
              <w:tl2br w:val="nil"/>
              <w:tr2bl w:val="nil"/>
            </w:tcBorders>
            <w:noWrap w:val="0"/>
            <w:vAlign w:val="center"/>
          </w:tcPr>
          <w:p w14:paraId="56DD303B">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《恶臭污染物排放标准》（GB14554-93）中新建项目二级标准</w:t>
            </w:r>
          </w:p>
        </w:tc>
      </w:tr>
      <w:tr w14:paraId="1AA96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3EB0571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359" w:type="pct"/>
            <w:vMerge w:val="continue"/>
            <w:tcBorders>
              <w:tl2br w:val="nil"/>
              <w:tr2bl w:val="nil"/>
            </w:tcBorders>
            <w:noWrap w:val="0"/>
            <w:vAlign w:val="center"/>
          </w:tcPr>
          <w:p w14:paraId="538E8B31">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329" w:type="pct"/>
            <w:tcBorders>
              <w:tl2br w:val="nil"/>
              <w:tr2bl w:val="nil"/>
            </w:tcBorders>
            <w:noWrap w:val="0"/>
            <w:vAlign w:val="center"/>
          </w:tcPr>
          <w:p w14:paraId="49FBC5E0">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温室气体</w:t>
            </w:r>
          </w:p>
        </w:tc>
        <w:tc>
          <w:tcPr>
            <w:tcW w:w="1044" w:type="pct"/>
            <w:gridSpan w:val="2"/>
            <w:tcBorders>
              <w:tl2br w:val="nil"/>
              <w:tr2bl w:val="nil"/>
            </w:tcBorders>
            <w:noWrap w:val="0"/>
            <w:vAlign w:val="center"/>
          </w:tcPr>
          <w:p w14:paraId="1CA6B7F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0"/>
                <w:sz w:val="21"/>
                <w:szCs w:val="21"/>
                <w:highlight w:val="none"/>
                <w:u w:val="none"/>
                <w:lang w:eastAsia="zh-CN"/>
              </w:rPr>
            </w:pPr>
            <w:r>
              <w:rPr>
                <w:rFonts w:hint="eastAsia" w:ascii="宋体" w:hAnsi="宋体" w:eastAsia="宋体" w:cs="宋体"/>
                <w:b w:val="0"/>
                <w:bCs w:val="0"/>
                <w:color w:val="auto"/>
                <w:spacing w:val="0"/>
                <w:kern w:val="0"/>
                <w:sz w:val="21"/>
                <w:szCs w:val="21"/>
                <w:highlight w:val="none"/>
                <w:u w:val="none"/>
              </w:rPr>
              <w:t>降低抽油机井工作能耗，加强油气技术管道密闭性能，开发清洁能源替代现有能源</w:t>
            </w:r>
            <w:r>
              <w:rPr>
                <w:rFonts w:hint="eastAsia" w:ascii="宋体" w:hAnsi="宋体" w:eastAsia="宋体" w:cs="宋体"/>
                <w:b w:val="0"/>
                <w:bCs w:val="0"/>
                <w:color w:val="auto"/>
                <w:spacing w:val="0"/>
                <w:kern w:val="0"/>
                <w:sz w:val="21"/>
                <w:szCs w:val="21"/>
                <w:highlight w:val="none"/>
                <w:u w:val="none"/>
                <w:lang w:val="en-US" w:eastAsia="zh-CN"/>
              </w:rPr>
              <w:t>等</w:t>
            </w:r>
            <w:r>
              <w:rPr>
                <w:rFonts w:hint="eastAsia" w:ascii="宋体" w:hAnsi="宋体" w:eastAsia="宋体" w:cs="宋体"/>
                <w:b w:val="0"/>
                <w:bCs w:val="0"/>
                <w:color w:val="auto"/>
                <w:spacing w:val="0"/>
                <w:kern w:val="0"/>
                <w:sz w:val="21"/>
                <w:szCs w:val="21"/>
                <w:highlight w:val="none"/>
                <w:u w:val="none"/>
              </w:rPr>
              <w:t>，从而减少温室气体排放</w:t>
            </w:r>
            <w:r>
              <w:rPr>
                <w:rFonts w:hint="eastAsia" w:ascii="宋体" w:hAnsi="宋体" w:eastAsia="宋体" w:cs="宋体"/>
                <w:b w:val="0"/>
                <w:bCs w:val="0"/>
                <w:color w:val="auto"/>
                <w:spacing w:val="0"/>
                <w:kern w:val="0"/>
                <w:sz w:val="21"/>
                <w:szCs w:val="21"/>
                <w:highlight w:val="none"/>
                <w:u w:val="none"/>
                <w:lang w:eastAsia="zh-CN"/>
              </w:rPr>
              <w:t>。</w:t>
            </w:r>
          </w:p>
        </w:tc>
        <w:tc>
          <w:tcPr>
            <w:tcW w:w="249" w:type="pct"/>
            <w:tcBorders>
              <w:tl2br w:val="nil"/>
              <w:tr2bl w:val="nil"/>
            </w:tcBorders>
            <w:noWrap w:val="0"/>
            <w:vAlign w:val="center"/>
          </w:tcPr>
          <w:p w14:paraId="0480936B">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w:t>
            </w:r>
          </w:p>
        </w:tc>
        <w:tc>
          <w:tcPr>
            <w:tcW w:w="219" w:type="pct"/>
            <w:tcBorders>
              <w:tl2br w:val="nil"/>
              <w:tr2bl w:val="nil"/>
            </w:tcBorders>
            <w:noWrap w:val="0"/>
            <w:vAlign w:val="center"/>
          </w:tcPr>
          <w:p w14:paraId="24EF2DF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default" w:ascii="宋体" w:hAnsi="宋体" w:eastAsia="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二氧化碳</w:t>
            </w:r>
          </w:p>
        </w:tc>
        <w:tc>
          <w:tcPr>
            <w:tcW w:w="280" w:type="pct"/>
            <w:tcBorders>
              <w:tl2br w:val="nil"/>
              <w:tr2bl w:val="nil"/>
            </w:tcBorders>
            <w:noWrap w:val="0"/>
            <w:vAlign w:val="center"/>
          </w:tcPr>
          <w:p w14:paraId="6478C882">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lang w:val="en-US" w:eastAsia="zh-CN"/>
              </w:rPr>
              <w:t>7920</w:t>
            </w:r>
          </w:p>
        </w:tc>
        <w:tc>
          <w:tcPr>
            <w:tcW w:w="348" w:type="pct"/>
            <w:tcBorders>
              <w:tl2br w:val="nil"/>
              <w:tr2bl w:val="nil"/>
            </w:tcBorders>
            <w:noWrap w:val="0"/>
            <w:vAlign w:val="center"/>
          </w:tcPr>
          <w:p w14:paraId="1EDDB36A">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lang w:val="en-US" w:eastAsia="zh-CN"/>
              </w:rPr>
              <w:t>/</w:t>
            </w:r>
          </w:p>
        </w:tc>
        <w:tc>
          <w:tcPr>
            <w:tcW w:w="293" w:type="pct"/>
            <w:tcBorders>
              <w:tl2br w:val="nil"/>
              <w:tr2bl w:val="nil"/>
            </w:tcBorders>
            <w:noWrap w:val="0"/>
            <w:vAlign w:val="center"/>
          </w:tcPr>
          <w:p w14:paraId="7A59B150">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b w:val="0"/>
                <w:bCs w:val="0"/>
                <w:color w:val="auto"/>
                <w:spacing w:val="0"/>
                <w:kern w:val="0"/>
                <w:sz w:val="21"/>
                <w:szCs w:val="21"/>
                <w:highlight w:val="none"/>
                <w:u w:val="none"/>
                <w:lang w:val="en-US" w:eastAsia="zh-CN" w:bidi="ar-SA"/>
              </w:rPr>
            </w:pPr>
            <w:r>
              <w:rPr>
                <w:rFonts w:hint="eastAsia" w:ascii="宋体" w:hAnsi="宋体" w:cs="宋体"/>
                <w:b w:val="0"/>
                <w:bCs w:val="0"/>
                <w:color w:val="auto"/>
                <w:spacing w:val="0"/>
                <w:kern w:val="0"/>
                <w:sz w:val="21"/>
                <w:szCs w:val="21"/>
                <w:highlight w:val="none"/>
                <w:u w:val="none"/>
                <w:lang w:val="en-US" w:eastAsia="zh-CN" w:bidi="ar-SA"/>
              </w:rPr>
              <w:t>1818.31</w:t>
            </w:r>
          </w:p>
        </w:tc>
        <w:tc>
          <w:tcPr>
            <w:tcW w:w="533" w:type="pct"/>
            <w:gridSpan w:val="2"/>
            <w:tcBorders>
              <w:tl2br w:val="nil"/>
              <w:tr2bl w:val="nil"/>
            </w:tcBorders>
            <w:noWrap w:val="0"/>
            <w:vAlign w:val="center"/>
          </w:tcPr>
          <w:p w14:paraId="6261C742">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lang w:val="en-US" w:eastAsia="zh-CN"/>
              </w:rPr>
              <w:t>/</w:t>
            </w:r>
          </w:p>
        </w:tc>
        <w:tc>
          <w:tcPr>
            <w:tcW w:w="1173" w:type="pct"/>
            <w:tcBorders>
              <w:tl2br w:val="nil"/>
              <w:tr2bl w:val="nil"/>
            </w:tcBorders>
            <w:noWrap w:val="0"/>
            <w:vAlign w:val="center"/>
          </w:tcPr>
          <w:p w14:paraId="24B1F10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lang w:val="en-US" w:eastAsia="zh-CN"/>
              </w:rPr>
              <w:t>/</w:t>
            </w:r>
          </w:p>
        </w:tc>
      </w:tr>
      <w:tr w14:paraId="5D74E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tcBorders>
              <w:tl2br w:val="nil"/>
              <w:tr2bl w:val="nil"/>
            </w:tcBorders>
            <w:noWrap w:val="0"/>
            <w:vAlign w:val="center"/>
          </w:tcPr>
          <w:p w14:paraId="35E68446">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bidi="ar-SA"/>
              </w:rPr>
            </w:pPr>
            <w:r>
              <w:rPr>
                <w:rFonts w:hint="eastAsia" w:ascii="宋体" w:hAnsi="宋体" w:eastAsia="宋体" w:cs="宋体"/>
                <w:b w:val="0"/>
                <w:bCs w:val="0"/>
                <w:color w:val="auto"/>
                <w:spacing w:val="0"/>
                <w:kern w:val="0"/>
                <w:sz w:val="21"/>
                <w:szCs w:val="21"/>
                <w:highlight w:val="none"/>
                <w:u w:val="none"/>
              </w:rPr>
              <w:t>类别</w:t>
            </w:r>
          </w:p>
        </w:tc>
        <w:tc>
          <w:tcPr>
            <w:tcW w:w="359" w:type="pct"/>
            <w:tcBorders>
              <w:tl2br w:val="nil"/>
              <w:tr2bl w:val="nil"/>
            </w:tcBorders>
            <w:noWrap w:val="0"/>
            <w:vAlign w:val="center"/>
          </w:tcPr>
          <w:p w14:paraId="607F893C">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bidi="ar-SA"/>
              </w:rPr>
            </w:pPr>
            <w:r>
              <w:rPr>
                <w:rFonts w:hint="eastAsia" w:ascii="宋体" w:hAnsi="宋体" w:eastAsia="宋体" w:cs="宋体"/>
                <w:b w:val="0"/>
                <w:bCs w:val="0"/>
                <w:color w:val="auto"/>
                <w:spacing w:val="0"/>
                <w:kern w:val="0"/>
                <w:sz w:val="21"/>
                <w:szCs w:val="21"/>
                <w:highlight w:val="none"/>
                <w:u w:val="none"/>
              </w:rPr>
              <w:t>污染源</w:t>
            </w:r>
          </w:p>
        </w:tc>
        <w:tc>
          <w:tcPr>
            <w:tcW w:w="329" w:type="pct"/>
            <w:tcBorders>
              <w:tl2br w:val="nil"/>
              <w:tr2bl w:val="nil"/>
            </w:tcBorders>
            <w:noWrap w:val="0"/>
            <w:vAlign w:val="center"/>
          </w:tcPr>
          <w:p w14:paraId="6FA46022">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bidi="ar-SA"/>
              </w:rPr>
            </w:pPr>
            <w:r>
              <w:rPr>
                <w:rFonts w:hint="eastAsia" w:ascii="宋体" w:hAnsi="宋体" w:eastAsia="宋体" w:cs="宋体"/>
                <w:b w:val="0"/>
                <w:bCs w:val="0"/>
                <w:color w:val="auto"/>
                <w:spacing w:val="0"/>
                <w:kern w:val="0"/>
                <w:sz w:val="21"/>
                <w:szCs w:val="21"/>
                <w:highlight w:val="none"/>
                <w:u w:val="none"/>
              </w:rPr>
              <w:t>污染因子</w:t>
            </w:r>
          </w:p>
        </w:tc>
        <w:tc>
          <w:tcPr>
            <w:tcW w:w="1794" w:type="pct"/>
            <w:gridSpan w:val="5"/>
            <w:tcBorders>
              <w:tl2br w:val="nil"/>
              <w:tr2bl w:val="nil"/>
            </w:tcBorders>
            <w:noWrap w:val="0"/>
            <w:vAlign w:val="center"/>
          </w:tcPr>
          <w:p w14:paraId="3A228C99">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bidi="ar-SA"/>
              </w:rPr>
            </w:pPr>
            <w:r>
              <w:rPr>
                <w:rFonts w:hint="eastAsia" w:ascii="宋体" w:hAnsi="宋体" w:eastAsia="宋体" w:cs="宋体"/>
                <w:b w:val="0"/>
                <w:bCs w:val="0"/>
                <w:color w:val="auto"/>
                <w:spacing w:val="0"/>
                <w:kern w:val="0"/>
                <w:sz w:val="21"/>
                <w:szCs w:val="21"/>
                <w:highlight w:val="none"/>
                <w:u w:val="none"/>
              </w:rPr>
              <w:t>处理措施</w:t>
            </w:r>
          </w:p>
        </w:tc>
        <w:tc>
          <w:tcPr>
            <w:tcW w:w="348" w:type="pct"/>
            <w:tcBorders>
              <w:tl2br w:val="nil"/>
              <w:tr2bl w:val="nil"/>
            </w:tcBorders>
            <w:noWrap w:val="0"/>
            <w:vAlign w:val="center"/>
          </w:tcPr>
          <w:p w14:paraId="4B3A7751">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bidi="ar-SA"/>
              </w:rPr>
            </w:pPr>
            <w:r>
              <w:rPr>
                <w:rFonts w:hint="eastAsia" w:ascii="宋体" w:hAnsi="宋体" w:eastAsia="宋体" w:cs="宋体"/>
                <w:b w:val="0"/>
                <w:bCs w:val="0"/>
                <w:color w:val="auto"/>
                <w:spacing w:val="0"/>
                <w:kern w:val="0"/>
                <w:sz w:val="21"/>
                <w:szCs w:val="21"/>
                <w:highlight w:val="none"/>
                <w:u w:val="none"/>
              </w:rPr>
              <w:t>处理后浓度(mg/L)</w:t>
            </w:r>
          </w:p>
        </w:tc>
        <w:tc>
          <w:tcPr>
            <w:tcW w:w="293" w:type="pct"/>
            <w:tcBorders>
              <w:tl2br w:val="nil"/>
              <w:tr2bl w:val="nil"/>
            </w:tcBorders>
            <w:noWrap w:val="0"/>
            <w:vAlign w:val="center"/>
          </w:tcPr>
          <w:p w14:paraId="3642E1AF">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排放</w:t>
            </w:r>
          </w:p>
          <w:p w14:paraId="0EC2C6DB">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bidi="ar-SA"/>
              </w:rPr>
            </w:pPr>
            <w:r>
              <w:rPr>
                <w:rFonts w:hint="eastAsia" w:ascii="宋体" w:hAnsi="宋体" w:eastAsia="宋体" w:cs="宋体"/>
                <w:b w:val="0"/>
                <w:bCs w:val="0"/>
                <w:color w:val="auto"/>
                <w:spacing w:val="0"/>
                <w:kern w:val="0"/>
                <w:sz w:val="21"/>
                <w:szCs w:val="21"/>
                <w:highlight w:val="none"/>
                <w:u w:val="none"/>
              </w:rPr>
              <w:t>去向</w:t>
            </w:r>
          </w:p>
        </w:tc>
        <w:tc>
          <w:tcPr>
            <w:tcW w:w="259" w:type="pct"/>
            <w:tcBorders>
              <w:tl2br w:val="nil"/>
              <w:tr2bl w:val="nil"/>
            </w:tcBorders>
            <w:noWrap w:val="0"/>
            <w:vAlign w:val="center"/>
          </w:tcPr>
          <w:p w14:paraId="56E403D6">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bidi="ar-SA"/>
              </w:rPr>
            </w:pPr>
            <w:r>
              <w:rPr>
                <w:rFonts w:hint="eastAsia" w:ascii="宋体" w:hAnsi="宋体" w:eastAsia="宋体" w:cs="宋体"/>
                <w:b w:val="0"/>
                <w:bCs w:val="0"/>
                <w:color w:val="auto"/>
                <w:spacing w:val="0"/>
                <w:kern w:val="0"/>
                <w:sz w:val="21"/>
                <w:szCs w:val="21"/>
                <w:highlight w:val="none"/>
                <w:u w:val="none"/>
              </w:rPr>
              <w:t>总量控制指标</w:t>
            </w:r>
            <w:r>
              <w:rPr>
                <w:rFonts w:hint="eastAsia" w:ascii="宋体" w:hAnsi="宋体" w:eastAsia="宋体" w:cs="宋体"/>
                <w:b w:val="0"/>
                <w:bCs w:val="0"/>
                <w:color w:val="auto"/>
                <w:spacing w:val="0"/>
                <w:kern w:val="0"/>
                <w:sz w:val="21"/>
                <w:szCs w:val="21"/>
                <w:highlight w:val="none"/>
                <w:u w:val="none"/>
                <w:lang w:eastAsia="zh-CN"/>
              </w:rPr>
              <w:t>（</w:t>
            </w:r>
            <w:r>
              <w:rPr>
                <w:rFonts w:hint="eastAsia" w:ascii="宋体" w:hAnsi="宋体" w:eastAsia="宋体" w:cs="宋体"/>
                <w:b w:val="0"/>
                <w:bCs w:val="0"/>
                <w:color w:val="auto"/>
                <w:spacing w:val="0"/>
                <w:kern w:val="0"/>
                <w:sz w:val="21"/>
                <w:szCs w:val="21"/>
                <w:highlight w:val="none"/>
                <w:u w:val="none"/>
              </w:rPr>
              <w:t>t/a)</w:t>
            </w:r>
          </w:p>
        </w:tc>
        <w:tc>
          <w:tcPr>
            <w:tcW w:w="273" w:type="pct"/>
            <w:tcBorders>
              <w:tl2br w:val="nil"/>
              <w:tr2bl w:val="nil"/>
            </w:tcBorders>
            <w:noWrap w:val="0"/>
            <w:vAlign w:val="center"/>
          </w:tcPr>
          <w:p w14:paraId="6CC271FF">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bidi="ar-SA"/>
              </w:rPr>
            </w:pPr>
            <w:r>
              <w:rPr>
                <w:rFonts w:hint="eastAsia" w:ascii="宋体" w:hAnsi="宋体" w:eastAsia="宋体" w:cs="宋体"/>
                <w:b w:val="0"/>
                <w:bCs w:val="0"/>
                <w:color w:val="auto"/>
                <w:spacing w:val="0"/>
                <w:kern w:val="0"/>
                <w:sz w:val="21"/>
                <w:szCs w:val="21"/>
                <w:highlight w:val="none"/>
                <w:u w:val="none"/>
              </w:rPr>
              <w:t>执行标准</w:t>
            </w:r>
            <w:r>
              <w:rPr>
                <w:rFonts w:hint="eastAsia" w:ascii="宋体" w:hAnsi="宋体" w:eastAsia="宋体" w:cs="宋体"/>
                <w:b w:val="0"/>
                <w:bCs w:val="0"/>
                <w:color w:val="auto"/>
                <w:spacing w:val="0"/>
                <w:kern w:val="0"/>
                <w:sz w:val="21"/>
                <w:szCs w:val="21"/>
                <w:highlight w:val="none"/>
                <w:u w:val="none"/>
                <w:lang w:eastAsia="zh-CN"/>
              </w:rPr>
              <w:t>（</w:t>
            </w:r>
            <w:r>
              <w:rPr>
                <w:rFonts w:hint="eastAsia" w:ascii="宋体" w:hAnsi="宋体" w:eastAsia="宋体" w:cs="宋体"/>
                <w:b w:val="0"/>
                <w:bCs w:val="0"/>
                <w:color w:val="auto"/>
                <w:spacing w:val="0"/>
                <w:kern w:val="0"/>
                <w:sz w:val="21"/>
                <w:szCs w:val="21"/>
                <w:highlight w:val="none"/>
                <w:u w:val="none"/>
              </w:rPr>
              <w:t>mg/L)</w:t>
            </w:r>
          </w:p>
        </w:tc>
        <w:tc>
          <w:tcPr>
            <w:tcW w:w="1173" w:type="pct"/>
            <w:tcBorders>
              <w:tl2br w:val="nil"/>
              <w:tr2bl w:val="nil"/>
            </w:tcBorders>
            <w:noWrap w:val="0"/>
            <w:vAlign w:val="center"/>
          </w:tcPr>
          <w:p w14:paraId="2C75A07E">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bidi="ar-SA"/>
              </w:rPr>
            </w:pPr>
            <w:r>
              <w:rPr>
                <w:rFonts w:hint="eastAsia" w:ascii="宋体" w:hAnsi="宋体" w:eastAsia="宋体" w:cs="宋体"/>
                <w:b w:val="0"/>
                <w:bCs w:val="0"/>
                <w:color w:val="auto"/>
                <w:spacing w:val="0"/>
                <w:kern w:val="0"/>
                <w:sz w:val="21"/>
                <w:szCs w:val="21"/>
                <w:highlight w:val="none"/>
                <w:u w:val="none"/>
              </w:rPr>
              <w:t>环境监测要求</w:t>
            </w:r>
          </w:p>
        </w:tc>
      </w:tr>
      <w:tr w14:paraId="6F78C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tcBorders>
              <w:tl2br w:val="nil"/>
              <w:tr2bl w:val="nil"/>
            </w:tcBorders>
            <w:noWrap w:val="0"/>
            <w:vAlign w:val="center"/>
          </w:tcPr>
          <w:p w14:paraId="486A254F">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废水</w:t>
            </w:r>
          </w:p>
        </w:tc>
        <w:tc>
          <w:tcPr>
            <w:tcW w:w="359" w:type="pct"/>
            <w:tcBorders>
              <w:tl2br w:val="nil"/>
              <w:tr2bl w:val="nil"/>
            </w:tcBorders>
            <w:noWrap w:val="0"/>
            <w:vAlign w:val="center"/>
          </w:tcPr>
          <w:p w14:paraId="60FBCC8C">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rPr>
              <w:t>采出水</w:t>
            </w:r>
            <w:r>
              <w:rPr>
                <w:rFonts w:hint="eastAsia" w:ascii="宋体" w:hAnsi="宋体" w:eastAsia="宋体" w:cs="宋体"/>
                <w:b w:val="0"/>
                <w:bCs w:val="0"/>
                <w:color w:val="auto"/>
                <w:spacing w:val="0"/>
                <w:kern w:val="0"/>
                <w:sz w:val="21"/>
                <w:szCs w:val="21"/>
                <w:highlight w:val="none"/>
                <w:u w:val="none"/>
                <w:lang w:eastAsia="zh-CN"/>
              </w:rPr>
              <w:t>、</w:t>
            </w:r>
            <w:r>
              <w:rPr>
                <w:rFonts w:hint="eastAsia" w:ascii="宋体" w:hAnsi="宋体" w:eastAsia="宋体" w:cs="宋体"/>
                <w:b w:val="0"/>
                <w:bCs w:val="0"/>
                <w:color w:val="auto"/>
                <w:spacing w:val="0"/>
                <w:kern w:val="0"/>
                <w:sz w:val="21"/>
                <w:szCs w:val="21"/>
                <w:highlight w:val="none"/>
                <w:u w:val="none"/>
                <w:lang w:val="en-US" w:eastAsia="zh-CN"/>
              </w:rPr>
              <w:t>井下作业废水</w:t>
            </w:r>
          </w:p>
        </w:tc>
        <w:tc>
          <w:tcPr>
            <w:tcW w:w="329" w:type="pct"/>
            <w:tcBorders>
              <w:tl2br w:val="nil"/>
              <w:tr2bl w:val="nil"/>
            </w:tcBorders>
            <w:noWrap w:val="0"/>
            <w:vAlign w:val="center"/>
          </w:tcPr>
          <w:p w14:paraId="687B18CC">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SS、COD、石油类、挥发酚</w:t>
            </w:r>
          </w:p>
        </w:tc>
        <w:tc>
          <w:tcPr>
            <w:tcW w:w="1794" w:type="pct"/>
            <w:gridSpan w:val="5"/>
            <w:tcBorders>
              <w:tl2br w:val="nil"/>
              <w:tr2bl w:val="nil"/>
            </w:tcBorders>
            <w:noWrap w:val="0"/>
            <w:vAlign w:val="center"/>
          </w:tcPr>
          <w:p w14:paraId="09B2DCA5">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0"/>
                <w:sz w:val="21"/>
                <w:szCs w:val="21"/>
                <w:highlight w:val="none"/>
                <w:u w:val="none"/>
                <w:lang w:eastAsia="zh-CN"/>
              </w:rPr>
            </w:pPr>
            <w:r>
              <w:rPr>
                <w:rFonts w:hint="eastAsia" w:ascii="宋体" w:hAnsi="宋体" w:eastAsia="宋体" w:cs="宋体"/>
                <w:b w:val="0"/>
                <w:bCs w:val="0"/>
                <w:color w:val="auto"/>
                <w:spacing w:val="0"/>
                <w:kern w:val="0"/>
                <w:sz w:val="21"/>
                <w:szCs w:val="21"/>
                <w:highlight w:val="none"/>
                <w:u w:val="none"/>
              </w:rPr>
              <w:t>采出水</w:t>
            </w:r>
            <w:r>
              <w:rPr>
                <w:rFonts w:hint="eastAsia" w:ascii="宋体" w:hAnsi="宋体" w:cs="宋体"/>
                <w:b w:val="0"/>
                <w:bCs w:val="0"/>
                <w:color w:val="auto"/>
                <w:spacing w:val="0"/>
                <w:kern w:val="0"/>
                <w:sz w:val="21"/>
                <w:szCs w:val="21"/>
                <w:highlight w:val="none"/>
                <w:u w:val="none"/>
                <w:lang w:val="en-US" w:eastAsia="zh-CN"/>
              </w:rPr>
              <w:t>依托莫北转油站采出水处理系统</w:t>
            </w:r>
            <w:r>
              <w:rPr>
                <w:rFonts w:hint="eastAsia" w:ascii="宋体" w:hAnsi="宋体" w:eastAsia="宋体" w:cs="宋体"/>
                <w:b w:val="0"/>
                <w:bCs w:val="0"/>
                <w:color w:val="auto"/>
                <w:spacing w:val="0"/>
                <w:kern w:val="0"/>
                <w:sz w:val="21"/>
                <w:szCs w:val="21"/>
                <w:highlight w:val="none"/>
                <w:u w:val="none"/>
              </w:rPr>
              <w:t>处理</w:t>
            </w:r>
            <w:r>
              <w:rPr>
                <w:rFonts w:hint="eastAsia" w:ascii="宋体" w:hAnsi="宋体" w:eastAsia="宋体" w:cs="宋体"/>
                <w:b w:val="0"/>
                <w:bCs w:val="0"/>
                <w:color w:val="auto"/>
                <w:spacing w:val="0"/>
                <w:kern w:val="0"/>
                <w:sz w:val="21"/>
                <w:szCs w:val="21"/>
                <w:highlight w:val="none"/>
                <w:u w:val="none"/>
                <w:lang w:eastAsia="zh-CN"/>
              </w:rPr>
              <w:t>；</w:t>
            </w:r>
            <w:r>
              <w:rPr>
                <w:rFonts w:hint="eastAsia" w:ascii="宋体" w:hAnsi="宋体" w:eastAsia="宋体" w:cs="宋体"/>
                <w:b w:val="0"/>
                <w:bCs w:val="0"/>
                <w:color w:val="auto"/>
                <w:spacing w:val="0"/>
                <w:kern w:val="0"/>
                <w:sz w:val="21"/>
                <w:szCs w:val="21"/>
                <w:highlight w:val="none"/>
                <w:u w:val="none"/>
                <w:lang w:val="en-US" w:eastAsia="zh-CN"/>
              </w:rPr>
              <w:t>井下</w:t>
            </w:r>
            <w:r>
              <w:rPr>
                <w:rFonts w:hint="eastAsia" w:ascii="宋体" w:hAnsi="宋体" w:eastAsia="宋体" w:cs="宋体"/>
                <w:b w:val="0"/>
                <w:bCs w:val="0"/>
                <w:color w:val="auto"/>
                <w:spacing w:val="0"/>
                <w:kern w:val="0"/>
                <w:sz w:val="21"/>
                <w:szCs w:val="21"/>
                <w:highlight w:val="none"/>
                <w:u w:val="none"/>
              </w:rPr>
              <w:t>作业废水采用专用罐回收</w:t>
            </w:r>
            <w:r>
              <w:rPr>
                <w:rFonts w:hint="eastAsia" w:ascii="宋体" w:hAnsi="宋体" w:eastAsia="宋体" w:cs="宋体"/>
                <w:b w:val="0"/>
                <w:bCs w:val="0"/>
                <w:color w:val="auto"/>
                <w:spacing w:val="0"/>
                <w:kern w:val="0"/>
                <w:sz w:val="21"/>
                <w:szCs w:val="21"/>
                <w:highlight w:val="none"/>
                <w:u w:val="none"/>
                <w:lang w:eastAsia="zh-CN"/>
              </w:rPr>
              <w:t>，</w:t>
            </w:r>
            <w:r>
              <w:rPr>
                <w:rFonts w:hint="eastAsia" w:ascii="宋体" w:hAnsi="宋体" w:eastAsia="宋体" w:cs="宋体"/>
                <w:b w:val="0"/>
                <w:bCs w:val="0"/>
                <w:color w:val="auto"/>
                <w:spacing w:val="0"/>
                <w:kern w:val="0"/>
                <w:sz w:val="21"/>
                <w:szCs w:val="21"/>
                <w:highlight w:val="none"/>
                <w:u w:val="none"/>
              </w:rPr>
              <w:t>拉运至</w:t>
            </w:r>
            <w:r>
              <w:rPr>
                <w:rFonts w:hint="eastAsia" w:ascii="宋体" w:hAnsi="宋体" w:eastAsia="宋体" w:cs="宋体"/>
                <w:b w:val="0"/>
                <w:bCs w:val="0"/>
                <w:color w:val="auto"/>
                <w:spacing w:val="0"/>
                <w:kern w:val="0"/>
                <w:sz w:val="21"/>
                <w:szCs w:val="21"/>
                <w:highlight w:val="none"/>
                <w:u w:val="none"/>
                <w:lang w:eastAsia="zh-CN"/>
              </w:rPr>
              <w:t>石西集中处理站采出水处理系统</w:t>
            </w:r>
            <w:r>
              <w:rPr>
                <w:rFonts w:hint="eastAsia" w:ascii="宋体" w:hAnsi="宋体" w:eastAsia="宋体" w:cs="宋体"/>
                <w:b w:val="0"/>
                <w:bCs w:val="0"/>
                <w:color w:val="auto"/>
                <w:spacing w:val="0"/>
                <w:kern w:val="0"/>
                <w:sz w:val="21"/>
                <w:szCs w:val="21"/>
                <w:highlight w:val="none"/>
                <w:u w:val="none"/>
              </w:rPr>
              <w:t>处理</w:t>
            </w:r>
            <w:r>
              <w:rPr>
                <w:rFonts w:hint="eastAsia" w:ascii="宋体" w:hAnsi="宋体" w:eastAsia="宋体" w:cs="宋体"/>
                <w:b w:val="0"/>
                <w:bCs w:val="0"/>
                <w:color w:val="auto"/>
                <w:spacing w:val="0"/>
                <w:kern w:val="0"/>
                <w:sz w:val="21"/>
                <w:szCs w:val="21"/>
                <w:highlight w:val="none"/>
                <w:u w:val="none"/>
                <w:lang w:eastAsia="zh-CN"/>
              </w:rPr>
              <w:t>。</w:t>
            </w:r>
          </w:p>
        </w:tc>
        <w:tc>
          <w:tcPr>
            <w:tcW w:w="348" w:type="pct"/>
            <w:tcBorders>
              <w:tl2br w:val="nil"/>
              <w:tr2bl w:val="nil"/>
            </w:tcBorders>
            <w:noWrap w:val="0"/>
            <w:vAlign w:val="center"/>
          </w:tcPr>
          <w:p w14:paraId="3F1EC7A3">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w:t>
            </w:r>
          </w:p>
        </w:tc>
        <w:tc>
          <w:tcPr>
            <w:tcW w:w="293" w:type="pct"/>
            <w:tcBorders>
              <w:tl2br w:val="nil"/>
              <w:tr2bl w:val="nil"/>
            </w:tcBorders>
            <w:noWrap w:val="0"/>
            <w:vAlign w:val="center"/>
          </w:tcPr>
          <w:p w14:paraId="40A80755">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不外排</w:t>
            </w:r>
          </w:p>
        </w:tc>
        <w:tc>
          <w:tcPr>
            <w:tcW w:w="259" w:type="pct"/>
            <w:tcBorders>
              <w:tl2br w:val="nil"/>
              <w:tr2bl w:val="nil"/>
            </w:tcBorders>
            <w:noWrap w:val="0"/>
            <w:vAlign w:val="center"/>
          </w:tcPr>
          <w:p w14:paraId="5DF45069">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w:t>
            </w:r>
          </w:p>
        </w:tc>
        <w:tc>
          <w:tcPr>
            <w:tcW w:w="273" w:type="pct"/>
            <w:tcBorders>
              <w:tl2br w:val="nil"/>
              <w:tr2bl w:val="nil"/>
            </w:tcBorders>
            <w:noWrap w:val="0"/>
            <w:vAlign w:val="center"/>
          </w:tcPr>
          <w:p w14:paraId="7520BA4B">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w:t>
            </w:r>
          </w:p>
        </w:tc>
        <w:tc>
          <w:tcPr>
            <w:tcW w:w="1173" w:type="pct"/>
            <w:tcBorders>
              <w:tl2br w:val="nil"/>
              <w:tr2bl w:val="nil"/>
            </w:tcBorders>
            <w:noWrap w:val="0"/>
            <w:vAlign w:val="center"/>
          </w:tcPr>
          <w:p w14:paraId="19CBEF81">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《碎屑岩油藏注水水质指标</w:t>
            </w:r>
            <w:r>
              <w:rPr>
                <w:rFonts w:hint="eastAsia" w:ascii="宋体" w:hAnsi="宋体" w:eastAsia="宋体" w:cs="宋体"/>
                <w:b w:val="0"/>
                <w:bCs w:val="0"/>
                <w:color w:val="auto"/>
                <w:spacing w:val="0"/>
                <w:kern w:val="0"/>
                <w:sz w:val="21"/>
                <w:szCs w:val="21"/>
                <w:highlight w:val="none"/>
                <w:u w:val="none"/>
                <w:lang w:val="en-US" w:eastAsia="zh-CN"/>
              </w:rPr>
              <w:t>技术要求</w:t>
            </w:r>
            <w:r>
              <w:rPr>
                <w:rFonts w:hint="eastAsia" w:ascii="宋体" w:hAnsi="宋体" w:eastAsia="宋体" w:cs="宋体"/>
                <w:b w:val="0"/>
                <w:bCs w:val="0"/>
                <w:color w:val="auto"/>
                <w:spacing w:val="0"/>
                <w:kern w:val="0"/>
                <w:sz w:val="21"/>
                <w:szCs w:val="21"/>
                <w:highlight w:val="none"/>
                <w:u w:val="none"/>
              </w:rPr>
              <w:t>及分析方法》</w:t>
            </w:r>
            <w:r>
              <w:rPr>
                <w:rFonts w:hint="eastAsia" w:ascii="宋体" w:hAnsi="宋体" w:eastAsia="宋体" w:cs="宋体"/>
                <w:b w:val="0"/>
                <w:bCs w:val="0"/>
                <w:color w:val="auto"/>
                <w:spacing w:val="0"/>
                <w:kern w:val="0"/>
                <w:sz w:val="21"/>
                <w:szCs w:val="21"/>
                <w:highlight w:val="none"/>
                <w:u w:val="none"/>
                <w:lang w:val="en-US" w:eastAsia="zh-CN"/>
              </w:rPr>
              <w:t>(</w:t>
            </w:r>
            <w:r>
              <w:rPr>
                <w:rFonts w:hint="eastAsia" w:ascii="宋体" w:hAnsi="宋体" w:eastAsia="宋体" w:cs="宋体"/>
                <w:b w:val="0"/>
                <w:bCs w:val="0"/>
                <w:color w:val="auto"/>
                <w:spacing w:val="0"/>
                <w:kern w:val="0"/>
                <w:sz w:val="21"/>
                <w:szCs w:val="21"/>
                <w:highlight w:val="none"/>
                <w:u w:val="none"/>
              </w:rPr>
              <w:t>SY/T5329-20</w:t>
            </w:r>
            <w:r>
              <w:rPr>
                <w:rFonts w:hint="eastAsia" w:ascii="宋体" w:hAnsi="宋体" w:eastAsia="宋体" w:cs="宋体"/>
                <w:b w:val="0"/>
                <w:bCs w:val="0"/>
                <w:color w:val="auto"/>
                <w:spacing w:val="0"/>
                <w:kern w:val="0"/>
                <w:sz w:val="21"/>
                <w:szCs w:val="21"/>
                <w:highlight w:val="none"/>
                <w:u w:val="none"/>
                <w:lang w:val="en-US" w:eastAsia="zh-CN"/>
              </w:rPr>
              <w:t>2</w:t>
            </w:r>
            <w:r>
              <w:rPr>
                <w:rFonts w:hint="eastAsia" w:ascii="宋体" w:hAnsi="宋体" w:eastAsia="宋体" w:cs="宋体"/>
                <w:b w:val="0"/>
                <w:bCs w:val="0"/>
                <w:color w:val="auto"/>
                <w:spacing w:val="0"/>
                <w:kern w:val="0"/>
                <w:sz w:val="21"/>
                <w:szCs w:val="21"/>
                <w:highlight w:val="none"/>
                <w:u w:val="none"/>
              </w:rPr>
              <w:t>2</w:t>
            </w:r>
            <w:r>
              <w:rPr>
                <w:rFonts w:hint="eastAsia" w:ascii="宋体" w:hAnsi="宋体" w:eastAsia="宋体" w:cs="宋体"/>
                <w:b w:val="0"/>
                <w:bCs w:val="0"/>
                <w:color w:val="auto"/>
                <w:spacing w:val="0"/>
                <w:kern w:val="0"/>
                <w:sz w:val="21"/>
                <w:szCs w:val="21"/>
                <w:highlight w:val="none"/>
                <w:u w:val="none"/>
                <w:lang w:eastAsia="zh-CN"/>
              </w:rPr>
              <w:t>）</w:t>
            </w:r>
          </w:p>
        </w:tc>
      </w:tr>
      <w:tr w14:paraId="52DCC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tcBorders>
              <w:tl2br w:val="nil"/>
              <w:tr2bl w:val="nil"/>
            </w:tcBorders>
            <w:noWrap w:val="0"/>
            <w:vAlign w:val="center"/>
          </w:tcPr>
          <w:p w14:paraId="76C41FEA">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类别</w:t>
            </w:r>
          </w:p>
        </w:tc>
        <w:tc>
          <w:tcPr>
            <w:tcW w:w="689" w:type="pct"/>
            <w:gridSpan w:val="2"/>
            <w:tcBorders>
              <w:tl2br w:val="nil"/>
              <w:tr2bl w:val="nil"/>
            </w:tcBorders>
            <w:noWrap w:val="0"/>
            <w:vAlign w:val="center"/>
          </w:tcPr>
          <w:p w14:paraId="2D294066">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噪声源</w:t>
            </w:r>
          </w:p>
        </w:tc>
        <w:tc>
          <w:tcPr>
            <w:tcW w:w="321" w:type="pct"/>
            <w:tcBorders>
              <w:tl2br w:val="nil"/>
              <w:tr2bl w:val="nil"/>
            </w:tcBorders>
            <w:noWrap w:val="0"/>
            <w:vAlign w:val="center"/>
          </w:tcPr>
          <w:p w14:paraId="3B0BC10B">
            <w:pPr>
              <w:keepNext w:val="0"/>
              <w:keepLines w:val="0"/>
              <w:pageBreakBefore w:val="0"/>
              <w:widowControl w:val="0"/>
              <w:suppressLineNumbers w:val="0"/>
              <w:kinsoku/>
              <w:wordWrap/>
              <w:overflowPunct/>
              <w:topLinePunct/>
              <w:autoSpaceDE/>
              <w:autoSpaceDN/>
              <w:bidi w:val="0"/>
              <w:adjustRightInd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污染因子</w:t>
            </w:r>
          </w:p>
        </w:tc>
        <w:tc>
          <w:tcPr>
            <w:tcW w:w="1473" w:type="pct"/>
            <w:gridSpan w:val="4"/>
            <w:tcBorders>
              <w:tl2br w:val="nil"/>
              <w:tr2bl w:val="nil"/>
            </w:tcBorders>
            <w:noWrap w:val="0"/>
            <w:vAlign w:val="center"/>
          </w:tcPr>
          <w:p w14:paraId="0C64FD50">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治理措施</w:t>
            </w:r>
          </w:p>
        </w:tc>
        <w:tc>
          <w:tcPr>
            <w:tcW w:w="348" w:type="pct"/>
            <w:tcBorders>
              <w:tl2br w:val="nil"/>
              <w:tr2bl w:val="nil"/>
            </w:tcBorders>
            <w:noWrap w:val="0"/>
            <w:vAlign w:val="center"/>
          </w:tcPr>
          <w:p w14:paraId="1851D428">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处理效果</w:t>
            </w:r>
          </w:p>
        </w:tc>
        <w:tc>
          <w:tcPr>
            <w:tcW w:w="553" w:type="pct"/>
            <w:gridSpan w:val="2"/>
            <w:tcBorders>
              <w:tl2br w:val="nil"/>
              <w:tr2bl w:val="nil"/>
            </w:tcBorders>
            <w:noWrap w:val="0"/>
            <w:vAlign w:val="center"/>
          </w:tcPr>
          <w:p w14:paraId="3CA3F2EE">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执行标准</w:t>
            </w:r>
          </w:p>
        </w:tc>
        <w:tc>
          <w:tcPr>
            <w:tcW w:w="1446" w:type="pct"/>
            <w:gridSpan w:val="2"/>
            <w:tcBorders>
              <w:tl2br w:val="nil"/>
              <w:tr2bl w:val="nil"/>
            </w:tcBorders>
            <w:noWrap w:val="0"/>
            <w:vAlign w:val="center"/>
          </w:tcPr>
          <w:p w14:paraId="6012608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环境监测要求</w:t>
            </w:r>
          </w:p>
        </w:tc>
      </w:tr>
      <w:tr w14:paraId="74B4B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restart"/>
            <w:tcBorders>
              <w:tl2br w:val="nil"/>
              <w:tr2bl w:val="nil"/>
            </w:tcBorders>
            <w:noWrap w:val="0"/>
            <w:vAlign w:val="center"/>
          </w:tcPr>
          <w:p w14:paraId="3BE04D75">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噪声</w:t>
            </w:r>
          </w:p>
        </w:tc>
        <w:tc>
          <w:tcPr>
            <w:tcW w:w="689" w:type="pct"/>
            <w:gridSpan w:val="2"/>
            <w:tcBorders>
              <w:tl2br w:val="nil"/>
              <w:tr2bl w:val="nil"/>
            </w:tcBorders>
            <w:noWrap w:val="0"/>
            <w:vAlign w:val="center"/>
          </w:tcPr>
          <w:p w14:paraId="330ABA50">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zh-CN"/>
              </w:rPr>
            </w:pPr>
            <w:r>
              <w:rPr>
                <w:rFonts w:hint="eastAsia" w:ascii="宋体" w:hAnsi="宋体" w:eastAsia="宋体" w:cs="宋体"/>
                <w:b w:val="0"/>
                <w:bCs w:val="0"/>
                <w:color w:val="auto"/>
                <w:spacing w:val="0"/>
                <w:kern w:val="0"/>
                <w:sz w:val="21"/>
                <w:szCs w:val="21"/>
                <w:highlight w:val="none"/>
                <w:u w:val="none"/>
              </w:rPr>
              <w:t>井下作业（修井、洗井等）</w:t>
            </w:r>
          </w:p>
        </w:tc>
        <w:tc>
          <w:tcPr>
            <w:tcW w:w="321" w:type="pct"/>
            <w:tcBorders>
              <w:tl2br w:val="nil"/>
              <w:tr2bl w:val="nil"/>
            </w:tcBorders>
            <w:noWrap w:val="0"/>
            <w:vAlign w:val="center"/>
          </w:tcPr>
          <w:p w14:paraId="65A8D4F1">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L</w:t>
            </w:r>
            <w:r>
              <w:rPr>
                <w:rFonts w:hint="eastAsia" w:ascii="宋体" w:hAnsi="宋体" w:eastAsia="宋体" w:cs="宋体"/>
                <w:b w:val="0"/>
                <w:bCs w:val="0"/>
                <w:color w:val="auto"/>
                <w:spacing w:val="0"/>
                <w:kern w:val="0"/>
                <w:sz w:val="21"/>
                <w:szCs w:val="21"/>
                <w:highlight w:val="none"/>
                <w:u w:val="none"/>
                <w:vertAlign w:val="subscript"/>
              </w:rPr>
              <w:t>eq</w:t>
            </w:r>
          </w:p>
        </w:tc>
        <w:tc>
          <w:tcPr>
            <w:tcW w:w="1473" w:type="pct"/>
            <w:gridSpan w:val="4"/>
            <w:vMerge w:val="restart"/>
            <w:tcBorders>
              <w:tl2br w:val="nil"/>
              <w:tr2bl w:val="nil"/>
            </w:tcBorders>
            <w:noWrap w:val="0"/>
            <w:vAlign w:val="center"/>
          </w:tcPr>
          <w:p w14:paraId="7BE68B88">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选用低噪声设备，采取减振、隔声、消声等降噪措施</w:t>
            </w:r>
          </w:p>
        </w:tc>
        <w:tc>
          <w:tcPr>
            <w:tcW w:w="348" w:type="pct"/>
            <w:vMerge w:val="restart"/>
            <w:tcBorders>
              <w:tl2br w:val="nil"/>
              <w:tr2bl w:val="nil"/>
            </w:tcBorders>
            <w:noWrap w:val="0"/>
            <w:vAlign w:val="center"/>
          </w:tcPr>
          <w:p w14:paraId="667BE18B">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厂界达标</w:t>
            </w:r>
          </w:p>
        </w:tc>
        <w:tc>
          <w:tcPr>
            <w:tcW w:w="553" w:type="pct"/>
            <w:gridSpan w:val="2"/>
            <w:vMerge w:val="restart"/>
            <w:tcBorders>
              <w:tl2br w:val="nil"/>
              <w:tr2bl w:val="nil"/>
            </w:tcBorders>
            <w:noWrap w:val="0"/>
            <w:vAlign w:val="center"/>
          </w:tcPr>
          <w:p w14:paraId="4DAFDAF0">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昼间≤60dB(A)；</w:t>
            </w:r>
          </w:p>
          <w:p w14:paraId="5C36BB85">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2"/>
                <w:sz w:val="21"/>
                <w:szCs w:val="21"/>
                <w:highlight w:val="none"/>
                <w:u w:val="none"/>
              </w:rPr>
            </w:pPr>
            <w:r>
              <w:rPr>
                <w:rFonts w:hint="eastAsia" w:ascii="宋体" w:hAnsi="宋体" w:eastAsia="宋体" w:cs="宋体"/>
                <w:b w:val="0"/>
                <w:bCs w:val="0"/>
                <w:color w:val="auto"/>
                <w:spacing w:val="0"/>
                <w:kern w:val="0"/>
                <w:sz w:val="21"/>
                <w:szCs w:val="21"/>
                <w:highlight w:val="none"/>
                <w:u w:val="none"/>
              </w:rPr>
              <w:t>夜间≤50dB(A)</w:t>
            </w:r>
          </w:p>
        </w:tc>
        <w:tc>
          <w:tcPr>
            <w:tcW w:w="1446" w:type="pct"/>
            <w:gridSpan w:val="2"/>
            <w:vMerge w:val="restart"/>
            <w:tcBorders>
              <w:tl2br w:val="nil"/>
              <w:tr2bl w:val="nil"/>
            </w:tcBorders>
            <w:noWrap w:val="0"/>
            <w:vAlign w:val="center"/>
          </w:tcPr>
          <w:p w14:paraId="7F97A196">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2"/>
                <w:sz w:val="21"/>
                <w:szCs w:val="21"/>
                <w:highlight w:val="none"/>
                <w:u w:val="none"/>
              </w:rPr>
            </w:pPr>
            <w:r>
              <w:rPr>
                <w:rFonts w:hint="eastAsia" w:ascii="宋体" w:hAnsi="宋体" w:eastAsia="宋体" w:cs="宋体"/>
                <w:b w:val="0"/>
                <w:bCs w:val="0"/>
                <w:color w:val="auto"/>
                <w:spacing w:val="0"/>
                <w:kern w:val="0"/>
                <w:sz w:val="21"/>
                <w:szCs w:val="21"/>
                <w:highlight w:val="none"/>
                <w:u w:val="none"/>
              </w:rPr>
              <w:t>《工业企业厂界环境噪声排放标准》（GB12348-2008）中2类标准</w:t>
            </w:r>
          </w:p>
        </w:tc>
      </w:tr>
      <w:tr w14:paraId="435A9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6A51CCC8">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689" w:type="pct"/>
            <w:gridSpan w:val="2"/>
            <w:tcBorders>
              <w:tl2br w:val="nil"/>
              <w:tr2bl w:val="nil"/>
            </w:tcBorders>
            <w:noWrap w:val="0"/>
            <w:vAlign w:val="center"/>
          </w:tcPr>
          <w:p w14:paraId="0810D6F9">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rPr>
              <w:t>井口装置</w:t>
            </w:r>
          </w:p>
        </w:tc>
        <w:tc>
          <w:tcPr>
            <w:tcW w:w="321" w:type="pct"/>
            <w:tcBorders>
              <w:tl2br w:val="nil"/>
              <w:tr2bl w:val="nil"/>
            </w:tcBorders>
            <w:noWrap w:val="0"/>
            <w:vAlign w:val="center"/>
          </w:tcPr>
          <w:p w14:paraId="493DCDAC">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L</w:t>
            </w:r>
            <w:r>
              <w:rPr>
                <w:rFonts w:hint="eastAsia" w:ascii="宋体" w:hAnsi="宋体" w:eastAsia="宋体" w:cs="宋体"/>
                <w:b w:val="0"/>
                <w:bCs w:val="0"/>
                <w:color w:val="auto"/>
                <w:spacing w:val="0"/>
                <w:kern w:val="0"/>
                <w:sz w:val="21"/>
                <w:szCs w:val="21"/>
                <w:highlight w:val="none"/>
                <w:u w:val="none"/>
                <w:vertAlign w:val="subscript"/>
              </w:rPr>
              <w:t>eq</w:t>
            </w:r>
          </w:p>
        </w:tc>
        <w:tc>
          <w:tcPr>
            <w:tcW w:w="1473" w:type="pct"/>
            <w:gridSpan w:val="4"/>
            <w:vMerge w:val="continue"/>
            <w:tcBorders>
              <w:tl2br w:val="nil"/>
              <w:tr2bl w:val="nil"/>
            </w:tcBorders>
            <w:noWrap w:val="0"/>
            <w:vAlign w:val="center"/>
          </w:tcPr>
          <w:p w14:paraId="47F68F4E">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zh-CN"/>
              </w:rPr>
            </w:pPr>
          </w:p>
        </w:tc>
        <w:tc>
          <w:tcPr>
            <w:tcW w:w="348" w:type="pct"/>
            <w:vMerge w:val="continue"/>
            <w:tcBorders>
              <w:tl2br w:val="nil"/>
              <w:tr2bl w:val="nil"/>
            </w:tcBorders>
            <w:noWrap w:val="0"/>
            <w:vAlign w:val="center"/>
          </w:tcPr>
          <w:p w14:paraId="0C6BB4BC">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553" w:type="pct"/>
            <w:gridSpan w:val="2"/>
            <w:vMerge w:val="continue"/>
            <w:tcBorders>
              <w:tl2br w:val="nil"/>
              <w:tr2bl w:val="nil"/>
            </w:tcBorders>
            <w:noWrap w:val="0"/>
            <w:vAlign w:val="center"/>
          </w:tcPr>
          <w:p w14:paraId="687A9A13">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1446" w:type="pct"/>
            <w:gridSpan w:val="2"/>
            <w:vMerge w:val="continue"/>
            <w:tcBorders>
              <w:tl2br w:val="nil"/>
              <w:tr2bl w:val="nil"/>
            </w:tcBorders>
            <w:noWrap w:val="0"/>
            <w:vAlign w:val="center"/>
          </w:tcPr>
          <w:p w14:paraId="01DE1192">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r>
      <w:tr w14:paraId="50D6E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tcBorders>
              <w:tl2br w:val="nil"/>
              <w:tr2bl w:val="nil"/>
            </w:tcBorders>
            <w:noWrap w:val="0"/>
            <w:vAlign w:val="center"/>
          </w:tcPr>
          <w:p w14:paraId="06E69BBA">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序号</w:t>
            </w:r>
          </w:p>
        </w:tc>
        <w:tc>
          <w:tcPr>
            <w:tcW w:w="689" w:type="pct"/>
            <w:gridSpan w:val="2"/>
            <w:tcBorders>
              <w:tl2br w:val="nil"/>
              <w:tr2bl w:val="nil"/>
            </w:tcBorders>
            <w:noWrap w:val="0"/>
            <w:vAlign w:val="center"/>
          </w:tcPr>
          <w:p w14:paraId="7526B311">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污染源名称</w:t>
            </w:r>
          </w:p>
        </w:tc>
        <w:tc>
          <w:tcPr>
            <w:tcW w:w="321" w:type="pct"/>
            <w:tcBorders>
              <w:tl2br w:val="nil"/>
              <w:tr2bl w:val="nil"/>
            </w:tcBorders>
            <w:noWrap w:val="0"/>
            <w:vAlign w:val="center"/>
          </w:tcPr>
          <w:p w14:paraId="3D165991">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固废类别</w:t>
            </w:r>
          </w:p>
        </w:tc>
        <w:tc>
          <w:tcPr>
            <w:tcW w:w="3821" w:type="pct"/>
            <w:gridSpan w:val="9"/>
            <w:tcBorders>
              <w:tl2br w:val="nil"/>
              <w:tr2bl w:val="nil"/>
            </w:tcBorders>
            <w:noWrap w:val="0"/>
            <w:vAlign w:val="center"/>
          </w:tcPr>
          <w:p w14:paraId="161A3E0E">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处理措施</w:t>
            </w:r>
          </w:p>
        </w:tc>
      </w:tr>
      <w:tr w14:paraId="6EAF8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restart"/>
            <w:tcBorders>
              <w:tl2br w:val="nil"/>
              <w:tr2bl w:val="nil"/>
            </w:tcBorders>
            <w:noWrap w:val="0"/>
            <w:vAlign w:val="center"/>
          </w:tcPr>
          <w:p w14:paraId="1539139F">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固废</w:t>
            </w:r>
          </w:p>
        </w:tc>
        <w:tc>
          <w:tcPr>
            <w:tcW w:w="689" w:type="pct"/>
            <w:gridSpan w:val="2"/>
            <w:tcBorders>
              <w:tl2br w:val="nil"/>
              <w:tr2bl w:val="nil"/>
            </w:tcBorders>
            <w:noWrap w:val="0"/>
            <w:vAlign w:val="center"/>
          </w:tcPr>
          <w:p w14:paraId="61F06DC9">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油泥（砂）</w:t>
            </w:r>
            <w:r>
              <w:rPr>
                <w:rFonts w:hint="eastAsia" w:ascii="宋体" w:hAnsi="宋体" w:cs="宋体"/>
                <w:b w:val="0"/>
                <w:bCs w:val="0"/>
                <w:color w:val="auto"/>
                <w:spacing w:val="0"/>
                <w:kern w:val="0"/>
                <w:sz w:val="21"/>
                <w:szCs w:val="21"/>
                <w:highlight w:val="none"/>
                <w:u w:val="none"/>
                <w:lang w:val="en-US" w:eastAsia="zh-CN"/>
              </w:rPr>
              <w:t>、</w:t>
            </w:r>
            <w:r>
              <w:rPr>
                <w:rFonts w:hint="eastAsia" w:ascii="宋体" w:hAnsi="宋体" w:eastAsia="宋体" w:cs="宋体"/>
                <w:b w:val="0"/>
                <w:bCs w:val="0"/>
                <w:color w:val="auto"/>
                <w:spacing w:val="0"/>
                <w:kern w:val="0"/>
                <w:sz w:val="21"/>
                <w:szCs w:val="21"/>
                <w:highlight w:val="none"/>
                <w:u w:val="none"/>
              </w:rPr>
              <w:t>清管废渣</w:t>
            </w:r>
            <w:r>
              <w:rPr>
                <w:rFonts w:hint="eastAsia" w:ascii="宋体" w:hAnsi="宋体" w:cs="宋体"/>
                <w:b w:val="0"/>
                <w:bCs w:val="0"/>
                <w:color w:val="auto"/>
                <w:spacing w:val="0"/>
                <w:kern w:val="0"/>
                <w:sz w:val="21"/>
                <w:szCs w:val="21"/>
                <w:highlight w:val="none"/>
                <w:u w:val="none"/>
                <w:lang w:eastAsia="zh-CN"/>
              </w:rPr>
              <w:t>、</w:t>
            </w:r>
            <w:r>
              <w:rPr>
                <w:rFonts w:hint="eastAsia" w:ascii="宋体" w:hAnsi="宋体" w:eastAsia="宋体" w:cs="宋体"/>
                <w:b w:val="0"/>
                <w:bCs w:val="0"/>
                <w:color w:val="auto"/>
                <w:spacing w:val="0"/>
                <w:kern w:val="0"/>
                <w:sz w:val="21"/>
                <w:szCs w:val="21"/>
                <w:highlight w:val="none"/>
                <w:u w:val="none"/>
                <w:lang w:eastAsia="zh-CN"/>
              </w:rPr>
              <w:t>废防渗材料</w:t>
            </w:r>
          </w:p>
        </w:tc>
        <w:tc>
          <w:tcPr>
            <w:tcW w:w="321" w:type="pct"/>
            <w:tcBorders>
              <w:tl2br w:val="nil"/>
              <w:tr2bl w:val="nil"/>
            </w:tcBorders>
            <w:noWrap w:val="0"/>
            <w:vAlign w:val="center"/>
          </w:tcPr>
          <w:p w14:paraId="75947F04">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cs="宋体"/>
                <w:b w:val="0"/>
                <w:bCs w:val="0"/>
                <w:color w:val="auto"/>
                <w:spacing w:val="0"/>
                <w:kern w:val="0"/>
                <w:sz w:val="21"/>
                <w:szCs w:val="21"/>
                <w:highlight w:val="none"/>
                <w:u w:val="none"/>
                <w:lang w:val="en-US" w:eastAsia="zh-CN"/>
              </w:rPr>
              <w:t>HW08</w:t>
            </w:r>
          </w:p>
        </w:tc>
        <w:tc>
          <w:tcPr>
            <w:tcW w:w="3821" w:type="pct"/>
            <w:gridSpan w:val="9"/>
            <w:tcBorders>
              <w:tl2br w:val="nil"/>
              <w:tr2bl w:val="nil"/>
            </w:tcBorders>
            <w:noWrap w:val="0"/>
            <w:vAlign w:val="center"/>
          </w:tcPr>
          <w:p w14:paraId="4E626FC0">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收集后委托具有相关危废处置资质的单位进行处置</w:t>
            </w:r>
            <w:r>
              <w:rPr>
                <w:rFonts w:hint="eastAsia" w:ascii="宋体" w:hAnsi="宋体" w:eastAsia="宋体" w:cs="宋体"/>
                <w:b w:val="0"/>
                <w:bCs w:val="0"/>
                <w:color w:val="auto"/>
                <w:spacing w:val="0"/>
                <w:kern w:val="0"/>
                <w:sz w:val="21"/>
                <w:szCs w:val="21"/>
                <w:highlight w:val="none"/>
                <w:u w:val="none"/>
                <w:lang w:eastAsia="zh-CN"/>
              </w:rPr>
              <w:t>。</w:t>
            </w:r>
          </w:p>
        </w:tc>
      </w:tr>
      <w:tr w14:paraId="612E2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0D5D8BD2">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689" w:type="pct"/>
            <w:gridSpan w:val="2"/>
            <w:tcBorders>
              <w:tl2br w:val="nil"/>
              <w:tr2bl w:val="nil"/>
            </w:tcBorders>
            <w:noWrap w:val="0"/>
            <w:vAlign w:val="center"/>
          </w:tcPr>
          <w:p w14:paraId="77F51679">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落地油</w:t>
            </w:r>
          </w:p>
        </w:tc>
        <w:tc>
          <w:tcPr>
            <w:tcW w:w="321" w:type="pct"/>
            <w:tcBorders>
              <w:tl2br w:val="nil"/>
              <w:tr2bl w:val="nil"/>
            </w:tcBorders>
            <w:noWrap w:val="0"/>
            <w:vAlign w:val="center"/>
          </w:tcPr>
          <w:p w14:paraId="130073DE">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cs="宋体"/>
                <w:b w:val="0"/>
                <w:bCs w:val="0"/>
                <w:color w:val="auto"/>
                <w:spacing w:val="0"/>
                <w:kern w:val="0"/>
                <w:sz w:val="21"/>
                <w:szCs w:val="21"/>
                <w:highlight w:val="none"/>
                <w:u w:val="none"/>
                <w:lang w:val="en-US" w:eastAsia="zh-CN"/>
              </w:rPr>
              <w:t>HW08</w:t>
            </w:r>
          </w:p>
        </w:tc>
        <w:tc>
          <w:tcPr>
            <w:tcW w:w="3821" w:type="pct"/>
            <w:gridSpan w:val="9"/>
            <w:tcBorders>
              <w:tl2br w:val="nil"/>
              <w:tr2bl w:val="nil"/>
            </w:tcBorders>
            <w:noWrap w:val="0"/>
            <w:vAlign w:val="center"/>
          </w:tcPr>
          <w:p w14:paraId="039E2F17">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left"/>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lang w:eastAsia="zh-CN"/>
              </w:rPr>
              <w:t>回收后的落地原油运至石西集中处理站原油处理系统进行处理。</w:t>
            </w:r>
          </w:p>
        </w:tc>
      </w:tr>
      <w:tr w14:paraId="49CC1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443666D5">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rPr>
            </w:pPr>
          </w:p>
        </w:tc>
        <w:tc>
          <w:tcPr>
            <w:tcW w:w="689" w:type="pct"/>
            <w:gridSpan w:val="2"/>
            <w:tcBorders>
              <w:tl2br w:val="nil"/>
              <w:tr2bl w:val="nil"/>
            </w:tcBorders>
            <w:noWrap w:val="0"/>
            <w:vAlign w:val="center"/>
          </w:tcPr>
          <w:p w14:paraId="26DAE0F9">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eastAsia="zh-CN"/>
              </w:rPr>
              <w:t>废弃的含油抹布、劳保用品</w:t>
            </w:r>
          </w:p>
        </w:tc>
        <w:tc>
          <w:tcPr>
            <w:tcW w:w="321" w:type="pct"/>
            <w:tcBorders>
              <w:tl2br w:val="nil"/>
              <w:tr2bl w:val="nil"/>
            </w:tcBorders>
            <w:noWrap w:val="0"/>
            <w:vAlign w:val="center"/>
          </w:tcPr>
          <w:p w14:paraId="43621270">
            <w:pPr>
              <w:keepNext w:val="0"/>
              <w:keepLines w:val="0"/>
              <w:pageBreakBefore w:val="0"/>
              <w:widowControl w:val="0"/>
              <w:suppressLineNumbers w:val="0"/>
              <w:kinsoku/>
              <w:wordWrap/>
              <w:overflowPunct/>
              <w:topLinePunct/>
              <w:autoSpaceDE/>
              <w:autoSpaceDN/>
              <w:bidi w:val="0"/>
              <w:snapToGrid/>
              <w:spacing w:before="0" w:beforeAutospacing="0" w:after="0" w:afterAutospacing="0" w:line="280" w:lineRule="exact"/>
              <w:ind w:left="0" w:leftChars="0" w:right="0" w:rightChars="0" w:firstLine="0" w:firstLineChars="0"/>
              <w:jc w:val="center"/>
              <w:textAlignment w:val="auto"/>
              <w:rPr>
                <w:rFonts w:hint="default" w:ascii="宋体" w:hAnsi="宋体" w:cs="宋体"/>
                <w:b w:val="0"/>
                <w:bCs w:val="0"/>
                <w:color w:val="auto"/>
                <w:spacing w:val="0"/>
                <w:kern w:val="0"/>
                <w:sz w:val="21"/>
                <w:szCs w:val="21"/>
                <w:highlight w:val="none"/>
                <w:u w:val="none"/>
                <w:lang w:val="en-US" w:eastAsia="zh-CN"/>
              </w:rPr>
            </w:pPr>
            <w:r>
              <w:rPr>
                <w:rFonts w:hint="eastAsia" w:ascii="宋体" w:hAnsi="宋体" w:cs="宋体"/>
                <w:b w:val="0"/>
                <w:bCs w:val="0"/>
                <w:color w:val="auto"/>
                <w:spacing w:val="0"/>
                <w:kern w:val="0"/>
                <w:sz w:val="21"/>
                <w:szCs w:val="21"/>
                <w:highlight w:val="none"/>
                <w:u w:val="none"/>
                <w:lang w:val="en-US" w:eastAsia="zh-CN"/>
              </w:rPr>
              <w:t>HW49</w:t>
            </w:r>
          </w:p>
        </w:tc>
        <w:tc>
          <w:tcPr>
            <w:tcW w:w="3821" w:type="pct"/>
            <w:gridSpan w:val="9"/>
            <w:tcBorders>
              <w:tl2br w:val="nil"/>
              <w:tr2bl w:val="nil"/>
            </w:tcBorders>
            <w:noWrap w:val="0"/>
            <w:vAlign w:val="center"/>
          </w:tcPr>
          <w:p w14:paraId="384654A5">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leftChars="0" w:right="0" w:rightChars="0" w:firstLine="0" w:firstLineChars="0"/>
              <w:jc w:val="left"/>
              <w:textAlignment w:val="auto"/>
              <w:rPr>
                <w:rFonts w:hint="eastAsia" w:ascii="宋体" w:hAnsi="宋体" w:eastAsia="宋体" w:cs="宋体"/>
                <w:b w:val="0"/>
                <w:bCs w:val="0"/>
                <w:color w:val="auto"/>
                <w:spacing w:val="0"/>
                <w:kern w:val="0"/>
                <w:sz w:val="21"/>
                <w:szCs w:val="21"/>
                <w:highlight w:val="none"/>
                <w:u w:val="none"/>
                <w:lang w:eastAsia="zh-CN"/>
              </w:rPr>
            </w:pPr>
            <w:r>
              <w:rPr>
                <w:rFonts w:hint="eastAsia" w:ascii="宋体" w:hAnsi="宋体" w:eastAsia="宋体" w:cs="宋体"/>
                <w:b w:val="0"/>
                <w:bCs w:val="0"/>
                <w:color w:val="auto"/>
                <w:spacing w:val="0"/>
                <w:kern w:val="0"/>
                <w:sz w:val="21"/>
                <w:szCs w:val="21"/>
                <w:highlight w:val="none"/>
                <w:u w:val="none"/>
              </w:rPr>
              <w:t>收集后委托具有相关危废处置资质的单位</w:t>
            </w:r>
            <w:r>
              <w:rPr>
                <w:rFonts w:hint="eastAsia" w:ascii="宋体" w:hAnsi="宋体" w:cs="宋体"/>
                <w:b w:val="0"/>
                <w:bCs w:val="0"/>
                <w:color w:val="auto"/>
                <w:spacing w:val="0"/>
                <w:kern w:val="0"/>
                <w:sz w:val="21"/>
                <w:szCs w:val="21"/>
                <w:highlight w:val="none"/>
                <w:u w:val="none"/>
                <w:lang w:val="en-US" w:eastAsia="zh-CN"/>
              </w:rPr>
              <w:t>进行</w:t>
            </w:r>
            <w:r>
              <w:rPr>
                <w:rFonts w:hint="eastAsia" w:ascii="宋体" w:hAnsi="宋体" w:eastAsia="宋体" w:cs="宋体"/>
                <w:b w:val="0"/>
                <w:bCs w:val="0"/>
                <w:color w:val="auto"/>
                <w:spacing w:val="0"/>
                <w:kern w:val="0"/>
                <w:sz w:val="21"/>
                <w:szCs w:val="21"/>
                <w:highlight w:val="none"/>
                <w:u w:val="none"/>
              </w:rPr>
              <w:t>处置</w:t>
            </w:r>
            <w:r>
              <w:rPr>
                <w:rFonts w:hint="eastAsia" w:ascii="宋体" w:hAnsi="宋体" w:eastAsia="宋体" w:cs="宋体"/>
                <w:b w:val="0"/>
                <w:bCs w:val="0"/>
                <w:color w:val="auto"/>
                <w:spacing w:val="0"/>
                <w:kern w:val="0"/>
                <w:sz w:val="21"/>
                <w:szCs w:val="21"/>
                <w:highlight w:val="none"/>
                <w:u w:val="none"/>
                <w:lang w:eastAsia="zh-CN"/>
              </w:rPr>
              <w:t>。</w:t>
            </w:r>
          </w:p>
        </w:tc>
      </w:tr>
      <w:tr w14:paraId="5F1DA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56" w:type="pct"/>
            <w:gridSpan w:val="3"/>
            <w:tcBorders>
              <w:tl2br w:val="nil"/>
              <w:tr2bl w:val="nil"/>
            </w:tcBorders>
            <w:noWrap w:val="0"/>
            <w:vAlign w:val="center"/>
          </w:tcPr>
          <w:p w14:paraId="2B9828BB">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环境风险防范措施</w:t>
            </w:r>
          </w:p>
        </w:tc>
        <w:tc>
          <w:tcPr>
            <w:tcW w:w="4143" w:type="pct"/>
            <w:gridSpan w:val="10"/>
            <w:tcBorders>
              <w:tl2br w:val="nil"/>
              <w:tr2bl w:val="nil"/>
            </w:tcBorders>
            <w:noWrap w:val="0"/>
            <w:vAlign w:val="center"/>
          </w:tcPr>
          <w:p w14:paraId="651DF779">
            <w:pPr>
              <w:keepNext w:val="0"/>
              <w:keepLines w:val="0"/>
              <w:pageBreakBefore w:val="0"/>
              <w:widowControl w:val="0"/>
              <w:suppressLineNumbers w:val="0"/>
              <w:kinsoku/>
              <w:wordWrap/>
              <w:overflowPunct/>
              <w:autoSpaceDE/>
              <w:autoSpaceDN/>
              <w:bidi w:val="0"/>
              <w:snapToGrid/>
              <w:spacing w:before="0" w:beforeAutospacing="0" w:after="0" w:afterAutospacing="0" w:line="280" w:lineRule="exact"/>
              <w:ind w:left="0" w:right="0" w:firstLine="0" w:firstLineChars="0"/>
              <w:jc w:val="left"/>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严格按照风险预案中相关规定执行</w:t>
            </w:r>
          </w:p>
        </w:tc>
      </w:tr>
    </w:tbl>
    <w:p w14:paraId="6988918D">
      <w:pPr>
        <w:adjustRightInd/>
        <w:snapToGrid/>
        <w:spacing w:line="360" w:lineRule="auto"/>
        <w:ind w:firstLine="480" w:firstLineChars="200"/>
        <w:jc w:val="both"/>
        <w:rPr>
          <w:rFonts w:hint="eastAsia" w:ascii="Times New Roman" w:hAnsi="Times New Roman" w:eastAsia="宋体" w:cs="Times New Roman"/>
          <w:color w:val="auto"/>
          <w:sz w:val="24"/>
          <w:szCs w:val="21"/>
          <w:highlight w:val="none"/>
          <w:u w:val="none"/>
          <w:lang w:val="en-US" w:eastAsia="zh-CN" w:bidi="ar-SA"/>
        </w:rPr>
        <w:sectPr>
          <w:pgSz w:w="16838" w:h="11905" w:orient="landscape"/>
          <w:pgMar w:top="1417" w:right="1083" w:bottom="1440" w:left="1077" w:header="1134" w:footer="850" w:gutter="0"/>
          <w:pgBorders>
            <w:top w:val="none" w:sz="0" w:space="0"/>
            <w:left w:val="none" w:sz="0" w:space="0"/>
            <w:bottom w:val="none" w:sz="0" w:space="0"/>
            <w:right w:val="none" w:sz="0" w:space="0"/>
          </w:pgBorders>
          <w:pgNumType w:fmt="decimal"/>
          <w:cols w:space="0" w:num="1"/>
          <w:rtlGutter w:val="0"/>
          <w:docGrid w:type="lines" w:linePitch="331" w:charSpace="0"/>
        </w:sectPr>
      </w:pPr>
    </w:p>
    <w:p w14:paraId="313ECE02">
      <w:pPr>
        <w:keepNext/>
        <w:keepLines/>
        <w:adjustRightInd/>
        <w:snapToGrid/>
        <w:spacing w:before="120" w:after="120" w:line="360" w:lineRule="auto"/>
        <w:jc w:val="left"/>
        <w:outlineLvl w:val="1"/>
        <w:rPr>
          <w:rFonts w:ascii="黑体" w:hAnsi="黑体" w:eastAsia="黑体" w:cs="Times New Roman"/>
          <w:b/>
          <w:bCs w:val="0"/>
          <w:color w:val="auto"/>
          <w:kern w:val="44"/>
          <w:sz w:val="28"/>
          <w:szCs w:val="24"/>
          <w:highlight w:val="none"/>
          <w:u w:val="none"/>
          <w:lang w:val="en-US" w:eastAsia="zh-CN" w:bidi="ar-SA"/>
        </w:rPr>
      </w:pPr>
      <w:bookmarkStart w:id="639" w:name="_Toc173941995"/>
      <w:bookmarkStart w:id="640" w:name="_Toc1929"/>
      <w:bookmarkStart w:id="641" w:name="_Toc173941762"/>
      <w:bookmarkStart w:id="642" w:name="_Toc45"/>
      <w:bookmarkStart w:id="643" w:name="_Toc25469"/>
      <w:bookmarkStart w:id="644" w:name="_Toc19048"/>
      <w:bookmarkStart w:id="645" w:name="_Toc173942716"/>
      <w:r>
        <w:rPr>
          <w:rFonts w:hint="eastAsia" w:ascii="黑体" w:hAnsi="黑体" w:eastAsia="黑体" w:cs="Times New Roman"/>
          <w:b/>
          <w:bCs w:val="0"/>
          <w:color w:val="auto"/>
          <w:kern w:val="44"/>
          <w:sz w:val="28"/>
          <w:szCs w:val="24"/>
          <w:highlight w:val="none"/>
          <w:u w:val="none"/>
          <w:lang w:val="en-US" w:eastAsia="zh-CN" w:bidi="ar-SA"/>
        </w:rPr>
        <w:t>9</w:t>
      </w:r>
      <w:r>
        <w:rPr>
          <w:rFonts w:ascii="黑体" w:hAnsi="黑体" w:eastAsia="黑体" w:cs="Times New Roman"/>
          <w:b/>
          <w:bCs w:val="0"/>
          <w:color w:val="auto"/>
          <w:kern w:val="44"/>
          <w:sz w:val="28"/>
          <w:szCs w:val="24"/>
          <w:highlight w:val="none"/>
          <w:u w:val="none"/>
          <w:lang w:val="en-US" w:eastAsia="zh-CN" w:bidi="ar-SA"/>
        </w:rPr>
        <w:t>.4</w:t>
      </w:r>
      <w:r>
        <w:rPr>
          <w:rFonts w:hint="eastAsia" w:ascii="黑体" w:hAnsi="黑体" w:eastAsia="黑体" w:cs="Times New Roman"/>
          <w:b/>
          <w:bCs w:val="0"/>
          <w:color w:val="auto"/>
          <w:kern w:val="44"/>
          <w:sz w:val="28"/>
          <w:szCs w:val="24"/>
          <w:highlight w:val="none"/>
          <w:u w:val="none"/>
          <w:lang w:val="en-US" w:eastAsia="zh-CN" w:bidi="ar-SA"/>
        </w:rPr>
        <w:t>生态</w:t>
      </w:r>
      <w:r>
        <w:rPr>
          <w:rFonts w:ascii="黑体" w:hAnsi="黑体" w:eastAsia="黑体" w:cs="Times New Roman"/>
          <w:b/>
          <w:bCs w:val="0"/>
          <w:color w:val="auto"/>
          <w:kern w:val="44"/>
          <w:sz w:val="28"/>
          <w:szCs w:val="24"/>
          <w:highlight w:val="none"/>
          <w:u w:val="none"/>
          <w:lang w:val="en-US" w:eastAsia="zh-CN" w:bidi="ar-SA"/>
        </w:rPr>
        <w:t>环境监测</w:t>
      </w:r>
      <w:bookmarkEnd w:id="639"/>
      <w:bookmarkEnd w:id="640"/>
      <w:bookmarkEnd w:id="641"/>
      <w:bookmarkEnd w:id="642"/>
      <w:bookmarkEnd w:id="643"/>
      <w:bookmarkEnd w:id="644"/>
      <w:bookmarkEnd w:id="645"/>
    </w:p>
    <w:p w14:paraId="34812B89">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bookmarkStart w:id="646" w:name="_Toc173941996"/>
      <w:r>
        <w:rPr>
          <w:rFonts w:hint="eastAsia" w:ascii="黑体" w:hAnsi="黑体" w:eastAsia="黑体" w:cs="Times New Roman"/>
          <w:b/>
          <w:bCs w:val="0"/>
          <w:color w:val="auto"/>
          <w:sz w:val="24"/>
          <w:szCs w:val="20"/>
          <w:highlight w:val="none"/>
          <w:u w:val="none"/>
          <w:lang w:val="en-US" w:eastAsia="zh-CN" w:bidi="ar-SA"/>
        </w:rPr>
        <w:t>9.4.1监测目的</w:t>
      </w:r>
    </w:p>
    <w:p w14:paraId="63C8E763">
      <w:pPr>
        <w:adjustRightInd/>
        <w:snapToGrid/>
        <w:spacing w:line="360" w:lineRule="auto"/>
        <w:ind w:firstLine="480" w:firstLineChars="200"/>
        <w:jc w:val="both"/>
        <w:rPr>
          <w:rFonts w:ascii="Times New Roman" w:hAnsi="宋体" w:eastAsia="宋体" w:cs="Times New Roman"/>
          <w:color w:val="auto"/>
          <w:sz w:val="24"/>
          <w:szCs w:val="21"/>
          <w:highlight w:val="none"/>
          <w:u w:val="none"/>
          <w:lang w:val="en-US" w:eastAsia="zh-CN" w:bidi="ar-SA"/>
        </w:rPr>
      </w:pPr>
      <w:r>
        <w:rPr>
          <w:rFonts w:hint="eastAsia" w:ascii="Times New Roman" w:hAnsi="宋体" w:eastAsia="宋体" w:cs="Times New Roman"/>
          <w:color w:val="auto"/>
          <w:sz w:val="24"/>
          <w:szCs w:val="21"/>
          <w:highlight w:val="none"/>
          <w:u w:val="none"/>
          <w:lang w:val="en-US" w:eastAsia="zh-CN" w:bidi="ar-SA"/>
        </w:rPr>
        <w:t>环境监测是企业环境管理体系的重要组成部分，也是环境管理规范化的主要手段，通过对企业主要污染物进行分析、资料整理、编制报表、建立技术文件档案，可以为上级生态环境主管部门和地方生态环境主管部门进行环境规划、管理和执法提供依据。环境监测是环境保护的基础，是进行污染源治理及环保设施管理的依据，因而企业应定期对环保设施及废水、噪声等污染源情况进行监测、对固体废物处置按照法规文件规范进行记录。</w:t>
      </w:r>
    </w:p>
    <w:p w14:paraId="2C97456D">
      <w:pPr>
        <w:adjustRightInd/>
        <w:snapToGrid/>
        <w:spacing w:line="360" w:lineRule="auto"/>
        <w:ind w:firstLine="480" w:firstLineChars="200"/>
        <w:jc w:val="both"/>
        <w:rPr>
          <w:rFonts w:ascii="Times New Roman" w:hAnsi="宋体" w:eastAsia="宋体" w:cs="Times New Roman"/>
          <w:color w:val="auto"/>
          <w:sz w:val="24"/>
          <w:szCs w:val="21"/>
          <w:highlight w:val="none"/>
          <w:u w:val="none"/>
          <w:lang w:val="en-US" w:eastAsia="zh-CN" w:bidi="ar-SA"/>
        </w:rPr>
      </w:pPr>
      <w:r>
        <w:rPr>
          <w:rFonts w:hint="eastAsia" w:ascii="Times New Roman" w:hAnsi="宋体" w:eastAsia="宋体" w:cs="Times New Roman"/>
          <w:color w:val="auto"/>
          <w:sz w:val="24"/>
          <w:szCs w:val="21"/>
          <w:highlight w:val="none"/>
          <w:u w:val="none"/>
          <w:lang w:val="en-US" w:eastAsia="zh-CN" w:bidi="ar-SA"/>
        </w:rPr>
        <w:t>通过对拟建工程运行中环保设施进行监控，掌握废气、废水、噪声等污染源排放是否符合国家或地方排放标准的要求，做到达标排放，同时对废气、噪声防治设施进行监督检查，保证正常运行。</w:t>
      </w:r>
    </w:p>
    <w:p w14:paraId="25B6071D">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r>
        <w:rPr>
          <w:rFonts w:hint="eastAsia" w:ascii="黑体" w:hAnsi="黑体" w:eastAsia="黑体" w:cs="Times New Roman"/>
          <w:b/>
          <w:bCs w:val="0"/>
          <w:color w:val="auto"/>
          <w:sz w:val="24"/>
          <w:szCs w:val="20"/>
          <w:highlight w:val="none"/>
          <w:u w:val="none"/>
          <w:lang w:val="en-US" w:eastAsia="zh-CN" w:bidi="ar-SA"/>
        </w:rPr>
        <w:t>9.4.2环境监测机构及设备配置</w:t>
      </w:r>
    </w:p>
    <w:bookmarkEnd w:id="646"/>
    <w:p w14:paraId="032A5A08">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hint="eastAsia" w:ascii="Times New Roman" w:hAnsi="宋体" w:eastAsia="宋体" w:cs="Times New Roman"/>
          <w:color w:val="auto"/>
          <w:sz w:val="24"/>
          <w:szCs w:val="21"/>
          <w:highlight w:val="none"/>
          <w:u w:val="none"/>
          <w:lang w:val="en-US" w:eastAsia="zh-CN" w:bidi="ar-SA"/>
        </w:rPr>
        <w:t>环境监测是环境保护的基础，是进行污染治理和监督管理的依据。拟建工程的环境监测工作由新疆油田分公司</w:t>
      </w:r>
      <w:r>
        <w:rPr>
          <w:rFonts w:hint="eastAsia" w:ascii="Times New Roman" w:hAnsi="宋体" w:eastAsia="宋体" w:cs="宋体"/>
          <w:color w:val="auto"/>
          <w:sz w:val="24"/>
          <w:szCs w:val="21"/>
          <w:highlight w:val="none"/>
          <w:u w:val="none"/>
          <w:lang w:val="en-US" w:eastAsia="zh-CN" w:bidi="ar-SA"/>
        </w:rPr>
        <w:t>委托有资质的环境监测机构</w:t>
      </w:r>
      <w:r>
        <w:rPr>
          <w:rFonts w:hint="eastAsia" w:hAnsi="宋体" w:cs="宋体"/>
          <w:color w:val="auto"/>
          <w:sz w:val="24"/>
          <w:szCs w:val="21"/>
          <w:highlight w:val="none"/>
          <w:u w:val="none"/>
          <w:lang w:val="en-US" w:eastAsia="zh-CN" w:bidi="ar-SA"/>
        </w:rPr>
        <w:t>进行</w:t>
      </w:r>
      <w:r>
        <w:rPr>
          <w:rFonts w:hint="eastAsia" w:ascii="Times New Roman" w:hAnsi="宋体" w:eastAsia="宋体" w:cs="Times New Roman"/>
          <w:color w:val="auto"/>
          <w:sz w:val="24"/>
          <w:szCs w:val="21"/>
          <w:highlight w:val="none"/>
          <w:u w:val="none"/>
          <w:lang w:val="en-US" w:eastAsia="zh-CN" w:bidi="ar-SA"/>
        </w:rPr>
        <w:t>。</w:t>
      </w:r>
    </w:p>
    <w:p w14:paraId="74DEDFFC">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bookmarkStart w:id="647" w:name="_Toc173941997"/>
      <w:bookmarkStart w:id="648" w:name="_Hlk69402503"/>
      <w:r>
        <w:rPr>
          <w:rFonts w:hint="eastAsia" w:ascii="黑体" w:hAnsi="黑体" w:eastAsia="黑体" w:cs="Times New Roman"/>
          <w:b/>
          <w:bCs w:val="0"/>
          <w:color w:val="auto"/>
          <w:sz w:val="24"/>
          <w:szCs w:val="20"/>
          <w:highlight w:val="none"/>
          <w:u w:val="none"/>
          <w:lang w:val="en-US" w:eastAsia="zh-CN" w:bidi="ar-SA"/>
        </w:rPr>
        <w:t>9.4.3监测计划</w:t>
      </w:r>
      <w:bookmarkEnd w:id="647"/>
    </w:p>
    <w:p w14:paraId="45007FC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根据本</w:t>
      </w:r>
      <w:r>
        <w:rPr>
          <w:rFonts w:hint="eastAsia" w:ascii="Times New Roman" w:hAnsi="Times New Roman" w:cs="Times New Roman"/>
          <w:color w:val="auto"/>
          <w:kern w:val="0"/>
          <w:sz w:val="24"/>
          <w:szCs w:val="24"/>
          <w:highlight w:val="none"/>
          <w:u w:val="none"/>
          <w:lang w:val="en-US" w:eastAsia="zh-CN"/>
        </w:rPr>
        <w:t>项目</w:t>
      </w:r>
      <w:r>
        <w:rPr>
          <w:rFonts w:ascii="Times New Roman" w:hAnsi="Times New Roman" w:cs="Times New Roman"/>
          <w:color w:val="auto"/>
          <w:kern w:val="0"/>
          <w:sz w:val="24"/>
          <w:szCs w:val="24"/>
          <w:highlight w:val="none"/>
          <w:u w:val="none"/>
        </w:rPr>
        <w:t>生产特征和污染物的排放特征，依据《排污单位自行监测技术指南 总则》</w:t>
      </w:r>
      <w:r>
        <w:rPr>
          <w:rFonts w:hint="eastAsia" w:ascii="Times New Roman" w:hAnsi="Times New Roman" w:cs="Times New Roman"/>
          <w:color w:val="auto"/>
          <w:kern w:val="0"/>
          <w:sz w:val="24"/>
          <w:szCs w:val="24"/>
          <w:highlight w:val="none"/>
          <w:u w:val="none"/>
        </w:rPr>
        <w:t>（</w:t>
      </w:r>
      <w:r>
        <w:rPr>
          <w:rFonts w:ascii="Times New Roman" w:hAnsi="Times New Roman" w:cs="Times New Roman"/>
          <w:color w:val="auto"/>
          <w:kern w:val="0"/>
          <w:sz w:val="24"/>
          <w:szCs w:val="24"/>
          <w:highlight w:val="none"/>
          <w:u w:val="none"/>
        </w:rPr>
        <w:t>HJ819-2017</w:t>
      </w:r>
      <w:r>
        <w:rPr>
          <w:rFonts w:hint="eastAsia" w:ascii="Times New Roman" w:hAnsi="Times New Roman" w:cs="Times New Roman"/>
          <w:color w:val="auto"/>
          <w:kern w:val="0"/>
          <w:sz w:val="24"/>
          <w:szCs w:val="24"/>
          <w:highlight w:val="none"/>
          <w:u w:val="none"/>
        </w:rPr>
        <w:t>）</w:t>
      </w:r>
      <w:r>
        <w:rPr>
          <w:rFonts w:hint="eastAsia" w:ascii="Times New Roman" w:hAnsi="Times New Roman" w:cs="Times New Roman"/>
          <w:color w:val="auto"/>
          <w:kern w:val="0"/>
          <w:sz w:val="24"/>
          <w:szCs w:val="24"/>
          <w:highlight w:val="none"/>
          <w:u w:val="none"/>
          <w:lang w:eastAsia="zh-CN"/>
        </w:rPr>
        <w:t>、《排污单位自行监测技术指南 陆上石油天然气开采工业》（HJ1248-2022）</w:t>
      </w:r>
      <w:r>
        <w:rPr>
          <w:rFonts w:ascii="Times New Roman" w:hAnsi="Times New Roman" w:cs="Times New Roman"/>
          <w:color w:val="auto"/>
          <w:kern w:val="0"/>
          <w:sz w:val="24"/>
          <w:szCs w:val="24"/>
          <w:highlight w:val="none"/>
          <w:u w:val="none"/>
        </w:rPr>
        <w:t>等标准规范及地方生态环境主管部门的要求，制定本</w:t>
      </w:r>
      <w:r>
        <w:rPr>
          <w:rFonts w:hint="eastAsia" w:ascii="Times New Roman" w:hAnsi="Times New Roman" w:cs="Times New Roman"/>
          <w:color w:val="auto"/>
          <w:kern w:val="0"/>
          <w:sz w:val="24"/>
          <w:szCs w:val="24"/>
          <w:highlight w:val="none"/>
          <w:u w:val="none"/>
          <w:lang w:val="en-US" w:eastAsia="zh-CN"/>
        </w:rPr>
        <w:t>项目</w:t>
      </w:r>
      <w:r>
        <w:rPr>
          <w:rFonts w:ascii="Times New Roman" w:hAnsi="Times New Roman" w:cs="Times New Roman"/>
          <w:color w:val="auto"/>
          <w:kern w:val="0"/>
          <w:sz w:val="24"/>
          <w:szCs w:val="24"/>
          <w:highlight w:val="none"/>
          <w:u w:val="none"/>
        </w:rPr>
        <w:t>的监测计划。</w:t>
      </w:r>
      <w:r>
        <w:rPr>
          <w:rFonts w:ascii="Times New Roman" w:hAnsi="Times New Roman" w:cs="Times New Roman"/>
          <w:color w:val="auto"/>
          <w:kern w:val="0"/>
          <w:sz w:val="24"/>
          <w:szCs w:val="24"/>
          <w:highlight w:val="none"/>
          <w:u w:val="none"/>
          <w:lang w:val="zh-CN"/>
        </w:rPr>
        <w:t>环境监测计划</w:t>
      </w:r>
      <w:r>
        <w:rPr>
          <w:rFonts w:hint="eastAsia" w:cs="Times New Roman"/>
          <w:color w:val="auto"/>
          <w:kern w:val="0"/>
          <w:sz w:val="24"/>
          <w:szCs w:val="24"/>
          <w:highlight w:val="none"/>
          <w:u w:val="none"/>
          <w:lang w:val="zh-CN"/>
        </w:rPr>
        <w:t>，</w:t>
      </w:r>
      <w:r>
        <w:rPr>
          <w:rFonts w:ascii="Times New Roman" w:hAnsi="Times New Roman" w:cs="Times New Roman"/>
          <w:color w:val="auto"/>
          <w:kern w:val="0"/>
          <w:sz w:val="24"/>
          <w:szCs w:val="24"/>
          <w:highlight w:val="none"/>
          <w:u w:val="none"/>
          <w:lang w:val="zh-CN"/>
        </w:rPr>
        <w:t>见表</w:t>
      </w:r>
      <w:r>
        <w:rPr>
          <w:rFonts w:hint="eastAsia" w:cs="Times New Roman"/>
          <w:color w:val="auto"/>
          <w:kern w:val="0"/>
          <w:sz w:val="24"/>
          <w:szCs w:val="24"/>
          <w:highlight w:val="none"/>
          <w:u w:val="none"/>
          <w:lang w:val="en-US" w:eastAsia="zh-CN"/>
        </w:rPr>
        <w:t>9.4-1</w:t>
      </w:r>
      <w:r>
        <w:rPr>
          <w:rFonts w:ascii="Times New Roman" w:hAnsi="Times New Roman" w:cs="Times New Roman"/>
          <w:color w:val="auto"/>
          <w:kern w:val="0"/>
          <w:sz w:val="24"/>
          <w:szCs w:val="24"/>
          <w:highlight w:val="none"/>
          <w:u w:val="none"/>
          <w:lang w:val="zh-CN"/>
        </w:rPr>
        <w:t>。</w:t>
      </w:r>
    </w:p>
    <w:p w14:paraId="495149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ajorEastAsia" w:hAnsiTheme="majorEastAsia" w:eastAsiaTheme="majorEastAsia" w:cstheme="majorEastAsia"/>
          <w:b/>
          <w:bCs w:val="0"/>
          <w:color w:val="auto"/>
          <w:kern w:val="2"/>
          <w:sz w:val="24"/>
          <w:szCs w:val="24"/>
          <w:highlight w:val="none"/>
          <w:u w:val="none"/>
          <w:lang w:val="zh-CN" w:eastAsia="zh-CN" w:bidi="ar-SA"/>
        </w:rPr>
      </w:pPr>
      <w:r>
        <w:rPr>
          <w:rFonts w:hint="eastAsia" w:ascii="黑体" w:hAnsi="黑体" w:eastAsia="黑体" w:cs="黑体"/>
          <w:b w:val="0"/>
          <w:bCs/>
          <w:color w:val="auto"/>
          <w:kern w:val="2"/>
          <w:sz w:val="24"/>
          <w:szCs w:val="24"/>
          <w:u w:val="none"/>
          <w:lang w:val="en-US" w:eastAsia="zh-CN" w:bidi="ar-SA"/>
        </w:rPr>
        <w:t xml:space="preserve">表9.4-1  </w:t>
      </w:r>
      <w:r>
        <w:rPr>
          <w:rFonts w:hint="eastAsia" w:ascii="黑体" w:hAnsi="黑体" w:eastAsia="黑体" w:cs="黑体"/>
          <w:b w:val="0"/>
          <w:bCs/>
          <w:color w:val="auto"/>
          <w:kern w:val="2"/>
          <w:sz w:val="24"/>
          <w:szCs w:val="24"/>
          <w:u w:val="none"/>
          <w:lang w:val="zh-CN" w:eastAsia="zh-CN" w:bidi="ar-SA"/>
        </w:rPr>
        <w:t>运营期环境监测计划</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28" w:type="dxa"/>
          <w:bottom w:w="0" w:type="dxa"/>
          <w:right w:w="28" w:type="dxa"/>
        </w:tblCellMar>
      </w:tblPr>
      <w:tblGrid>
        <w:gridCol w:w="668"/>
        <w:gridCol w:w="618"/>
        <w:gridCol w:w="679"/>
        <w:gridCol w:w="1661"/>
        <w:gridCol w:w="1397"/>
        <w:gridCol w:w="2321"/>
        <w:gridCol w:w="675"/>
        <w:gridCol w:w="655"/>
      </w:tblGrid>
      <w:tr w14:paraId="7EB73BD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23" w:hRule="atLeast"/>
          <w:jc w:val="center"/>
        </w:trPr>
        <w:tc>
          <w:tcPr>
            <w:tcW w:w="385" w:type="pct"/>
            <w:tcBorders>
              <w:tl2br w:val="nil"/>
              <w:tr2bl w:val="nil"/>
            </w:tcBorders>
            <w:noWrap w:val="0"/>
            <w:vAlign w:val="center"/>
          </w:tcPr>
          <w:p w14:paraId="01B84217">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监测</w:t>
            </w:r>
          </w:p>
          <w:p w14:paraId="62B8E357">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smallCaps/>
                <w:color w:val="auto"/>
                <w:sz w:val="21"/>
                <w:szCs w:val="21"/>
                <w:highlight w:val="none"/>
                <w:u w:val="none"/>
                <w:lang w:bidi="ar"/>
              </w:rPr>
            </w:pPr>
            <w:r>
              <w:rPr>
                <w:rFonts w:hint="eastAsia" w:ascii="宋体" w:hAnsi="宋体" w:eastAsia="宋体" w:cs="宋体"/>
                <w:color w:val="auto"/>
                <w:sz w:val="21"/>
                <w:szCs w:val="21"/>
                <w:highlight w:val="none"/>
                <w:u w:val="none"/>
              </w:rPr>
              <w:t>类型</w:t>
            </w:r>
          </w:p>
        </w:tc>
        <w:tc>
          <w:tcPr>
            <w:tcW w:w="356" w:type="pct"/>
            <w:tcBorders>
              <w:tl2br w:val="nil"/>
              <w:tr2bl w:val="nil"/>
            </w:tcBorders>
            <w:noWrap w:val="0"/>
            <w:vAlign w:val="center"/>
          </w:tcPr>
          <w:p w14:paraId="4D5AC3F8">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smallCaps/>
                <w:color w:val="auto"/>
                <w:sz w:val="21"/>
                <w:szCs w:val="21"/>
                <w:highlight w:val="none"/>
                <w:u w:val="none"/>
                <w:lang w:bidi="ar"/>
              </w:rPr>
            </w:pPr>
            <w:r>
              <w:rPr>
                <w:rFonts w:hint="eastAsia" w:ascii="宋体" w:hAnsi="宋体" w:eastAsia="宋体" w:cs="宋体"/>
                <w:smallCaps/>
                <w:color w:val="auto"/>
                <w:sz w:val="21"/>
                <w:szCs w:val="21"/>
                <w:highlight w:val="none"/>
                <w:u w:val="none"/>
                <w:lang w:bidi="ar"/>
              </w:rPr>
              <w:t>监测</w:t>
            </w:r>
          </w:p>
          <w:p w14:paraId="1BD360B9">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smallCaps/>
                <w:color w:val="auto"/>
                <w:sz w:val="21"/>
                <w:szCs w:val="21"/>
                <w:highlight w:val="none"/>
                <w:u w:val="none"/>
                <w:lang w:bidi="ar"/>
              </w:rPr>
              <w:t>对象</w:t>
            </w:r>
          </w:p>
        </w:tc>
        <w:tc>
          <w:tcPr>
            <w:tcW w:w="391" w:type="pct"/>
            <w:tcBorders>
              <w:tl2br w:val="nil"/>
              <w:tr2bl w:val="nil"/>
            </w:tcBorders>
            <w:noWrap w:val="0"/>
            <w:vAlign w:val="center"/>
          </w:tcPr>
          <w:p w14:paraId="49C00C09">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监测</w:t>
            </w:r>
          </w:p>
          <w:p w14:paraId="096711BA">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bidi="ar"/>
              </w:rPr>
              <w:t>频率</w:t>
            </w:r>
          </w:p>
        </w:tc>
        <w:tc>
          <w:tcPr>
            <w:tcW w:w="957" w:type="pct"/>
            <w:tcBorders>
              <w:tl2br w:val="nil"/>
              <w:tr2bl w:val="nil"/>
            </w:tcBorders>
            <w:noWrap w:val="0"/>
            <w:vAlign w:val="center"/>
          </w:tcPr>
          <w:p w14:paraId="48E5DE2F">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bidi="ar"/>
              </w:rPr>
              <w:t>监测点</w:t>
            </w:r>
          </w:p>
        </w:tc>
        <w:tc>
          <w:tcPr>
            <w:tcW w:w="805" w:type="pct"/>
            <w:tcBorders>
              <w:tl2br w:val="nil"/>
              <w:tr2bl w:val="nil"/>
            </w:tcBorders>
            <w:noWrap w:val="0"/>
            <w:vAlign w:val="center"/>
          </w:tcPr>
          <w:p w14:paraId="7C43B360">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bidi="ar"/>
              </w:rPr>
              <w:t>监测</w:t>
            </w:r>
            <w:r>
              <w:rPr>
                <w:rFonts w:hint="eastAsia" w:ascii="宋体" w:hAnsi="宋体" w:eastAsia="宋体" w:cs="宋体"/>
                <w:color w:val="auto"/>
                <w:sz w:val="21"/>
                <w:szCs w:val="21"/>
                <w:highlight w:val="none"/>
                <w:u w:val="none"/>
                <w:lang w:val="en-US" w:eastAsia="zh-CN" w:bidi="ar"/>
              </w:rPr>
              <w:t>项目</w:t>
            </w:r>
          </w:p>
        </w:tc>
        <w:tc>
          <w:tcPr>
            <w:tcW w:w="1337" w:type="pct"/>
            <w:tcBorders>
              <w:tl2br w:val="nil"/>
              <w:tr2bl w:val="nil"/>
            </w:tcBorders>
            <w:noWrap w:val="0"/>
            <w:vAlign w:val="center"/>
          </w:tcPr>
          <w:p w14:paraId="57B8C79D">
            <w:pPr>
              <w:keepNext w:val="0"/>
              <w:keepLines w:val="0"/>
              <w:pageBreakBefore w:val="0"/>
              <w:kinsoku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执行标准</w:t>
            </w:r>
          </w:p>
        </w:tc>
        <w:tc>
          <w:tcPr>
            <w:tcW w:w="389" w:type="pct"/>
            <w:tcBorders>
              <w:tl2br w:val="nil"/>
              <w:tr2bl w:val="nil"/>
            </w:tcBorders>
            <w:noWrap w:val="0"/>
            <w:vAlign w:val="center"/>
          </w:tcPr>
          <w:p w14:paraId="4D08623F">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监测</w:t>
            </w:r>
          </w:p>
          <w:p w14:paraId="1809FE11">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时间</w:t>
            </w:r>
          </w:p>
        </w:tc>
        <w:tc>
          <w:tcPr>
            <w:tcW w:w="377" w:type="pct"/>
            <w:tcBorders>
              <w:tl2br w:val="nil"/>
              <w:tr2bl w:val="nil"/>
            </w:tcBorders>
            <w:noWrap w:val="0"/>
            <w:vAlign w:val="center"/>
          </w:tcPr>
          <w:p w14:paraId="3484208A">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监测</w:t>
            </w:r>
          </w:p>
          <w:p w14:paraId="5049AAC2">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bidi="ar"/>
              </w:rPr>
              <w:t>单位</w:t>
            </w:r>
          </w:p>
        </w:tc>
      </w:tr>
      <w:tr w14:paraId="706B35E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23" w:hRule="atLeast"/>
          <w:jc w:val="center"/>
        </w:trPr>
        <w:tc>
          <w:tcPr>
            <w:tcW w:w="385" w:type="pct"/>
            <w:vMerge w:val="restart"/>
            <w:tcBorders>
              <w:tl2br w:val="nil"/>
              <w:tr2bl w:val="nil"/>
            </w:tcBorders>
            <w:noWrap w:val="0"/>
            <w:vAlign w:val="center"/>
          </w:tcPr>
          <w:p w14:paraId="4DC57B99">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环境质量现状</w:t>
            </w:r>
          </w:p>
        </w:tc>
        <w:tc>
          <w:tcPr>
            <w:tcW w:w="356" w:type="pct"/>
            <w:tcBorders>
              <w:tl2br w:val="nil"/>
              <w:tr2bl w:val="nil"/>
            </w:tcBorders>
            <w:noWrap w:val="0"/>
            <w:vAlign w:val="center"/>
          </w:tcPr>
          <w:p w14:paraId="0D17427A">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地下水</w:t>
            </w:r>
          </w:p>
        </w:tc>
        <w:tc>
          <w:tcPr>
            <w:tcW w:w="391" w:type="pct"/>
            <w:tcBorders>
              <w:tl2br w:val="nil"/>
              <w:tr2bl w:val="nil"/>
            </w:tcBorders>
            <w:noWrap w:val="0"/>
            <w:vAlign w:val="center"/>
          </w:tcPr>
          <w:p w14:paraId="5A4A3292">
            <w:pPr>
              <w:keepNext w:val="0"/>
              <w:keepLines w:val="0"/>
              <w:pageBreakBefore w:val="0"/>
              <w:wordWrap/>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1次/半年</w:t>
            </w:r>
          </w:p>
        </w:tc>
        <w:tc>
          <w:tcPr>
            <w:tcW w:w="957" w:type="pct"/>
            <w:tcBorders>
              <w:tl2br w:val="nil"/>
              <w:tr2bl w:val="nil"/>
            </w:tcBorders>
            <w:noWrap w:val="0"/>
            <w:vAlign w:val="center"/>
          </w:tcPr>
          <w:p w14:paraId="3CEE3403">
            <w:pPr>
              <w:keepNext w:val="0"/>
              <w:keepLines w:val="0"/>
              <w:pageBreakBefore w:val="0"/>
              <w:wordWrap/>
              <w:topLinePunct w:val="0"/>
              <w:autoSpaceDE/>
              <w:autoSpaceDN/>
              <w:bidi w:val="0"/>
              <w:adjustRightInd w:val="0"/>
              <w:snapToGrid w:val="0"/>
              <w:spacing w:line="400" w:lineRule="exact"/>
              <w:jc w:val="left"/>
              <w:textAlignment w:val="auto"/>
              <w:rPr>
                <w:rFonts w:hint="eastAsia" w:ascii="宋体" w:hAnsi="宋体" w:eastAsia="宋体" w:cs="宋体"/>
                <w:color w:val="auto"/>
                <w:kern w:val="0"/>
                <w:sz w:val="21"/>
                <w:szCs w:val="21"/>
                <w:highlight w:val="none"/>
                <w:u w:val="none"/>
                <w:lang w:bidi="ar"/>
              </w:rPr>
            </w:pPr>
            <w:r>
              <w:rPr>
                <w:rFonts w:hint="eastAsia" w:ascii="宋体" w:hAnsi="宋体" w:eastAsia="宋体" w:cs="宋体"/>
                <w:color w:val="auto"/>
                <w:kern w:val="0"/>
                <w:sz w:val="21"/>
                <w:szCs w:val="21"/>
                <w:highlight w:val="none"/>
                <w:u w:val="none"/>
                <w:lang w:bidi="ar"/>
              </w:rPr>
              <w:t>莫北6#水井、莫北11#水井，监测点充分依托莫北油田已有监测井。必要时在工程井区内布设。</w:t>
            </w:r>
          </w:p>
        </w:tc>
        <w:tc>
          <w:tcPr>
            <w:tcW w:w="805" w:type="pct"/>
            <w:tcBorders>
              <w:tl2br w:val="nil"/>
              <w:tr2bl w:val="nil"/>
            </w:tcBorders>
            <w:noWrap w:val="0"/>
            <w:vAlign w:val="center"/>
          </w:tcPr>
          <w:p w14:paraId="6B77E122">
            <w:pPr>
              <w:keepNext w:val="0"/>
              <w:keepLines w:val="0"/>
              <w:pageBreakBefore w:val="0"/>
              <w:wordWrap/>
              <w:topLinePunct w:val="0"/>
              <w:autoSpaceDE/>
              <w:autoSpaceDN/>
              <w:bidi w:val="0"/>
              <w:adjustRightInd w:val="0"/>
              <w:snapToGrid w:val="0"/>
              <w:spacing w:line="400" w:lineRule="exact"/>
              <w:jc w:val="left"/>
              <w:textAlignment w:val="auto"/>
              <w:rPr>
                <w:rFonts w:hint="eastAsia" w:ascii="宋体" w:hAnsi="宋体" w:eastAsia="宋体" w:cs="宋体"/>
                <w:color w:val="auto"/>
                <w:kern w:val="0"/>
                <w:sz w:val="21"/>
                <w:szCs w:val="21"/>
                <w:highlight w:val="none"/>
                <w:u w:val="none"/>
                <w:lang w:bidi="ar"/>
              </w:rPr>
            </w:pPr>
            <w:r>
              <w:rPr>
                <w:rFonts w:hint="eastAsia" w:ascii="宋体" w:hAnsi="宋体" w:eastAsia="宋体" w:cs="宋体"/>
                <w:color w:val="auto"/>
                <w:kern w:val="0"/>
                <w:sz w:val="21"/>
                <w:szCs w:val="21"/>
                <w:highlight w:val="none"/>
                <w:u w:val="none"/>
                <w:lang w:bidi="ar"/>
              </w:rPr>
              <w:t>石油类、石油烃（C</w:t>
            </w:r>
            <w:r>
              <w:rPr>
                <w:rFonts w:hint="eastAsia" w:ascii="宋体" w:hAnsi="宋体" w:eastAsia="宋体" w:cs="宋体"/>
                <w:color w:val="auto"/>
                <w:kern w:val="0"/>
                <w:sz w:val="21"/>
                <w:szCs w:val="21"/>
                <w:highlight w:val="none"/>
                <w:u w:val="none"/>
                <w:vertAlign w:val="subscript"/>
                <w:lang w:bidi="ar"/>
              </w:rPr>
              <w:t>6</w:t>
            </w:r>
            <w:r>
              <w:rPr>
                <w:rFonts w:hint="eastAsia" w:ascii="宋体" w:hAnsi="宋体" w:eastAsia="宋体" w:cs="宋体"/>
                <w:color w:val="auto"/>
                <w:kern w:val="0"/>
                <w:sz w:val="21"/>
                <w:szCs w:val="21"/>
                <w:highlight w:val="none"/>
                <w:u w:val="none"/>
                <w:lang w:bidi="ar"/>
              </w:rPr>
              <w:t>～C</w:t>
            </w:r>
            <w:r>
              <w:rPr>
                <w:rFonts w:hint="eastAsia" w:ascii="宋体" w:hAnsi="宋体" w:eastAsia="宋体" w:cs="宋体"/>
                <w:color w:val="auto"/>
                <w:kern w:val="0"/>
                <w:sz w:val="21"/>
                <w:szCs w:val="21"/>
                <w:highlight w:val="none"/>
                <w:u w:val="none"/>
                <w:vertAlign w:val="subscript"/>
                <w:lang w:bidi="ar"/>
              </w:rPr>
              <w:t>9</w:t>
            </w:r>
            <w:r>
              <w:rPr>
                <w:rFonts w:hint="eastAsia" w:ascii="宋体" w:hAnsi="宋体" w:eastAsia="宋体" w:cs="宋体"/>
                <w:color w:val="auto"/>
                <w:kern w:val="0"/>
                <w:sz w:val="21"/>
                <w:szCs w:val="21"/>
                <w:highlight w:val="none"/>
                <w:u w:val="none"/>
                <w:lang w:bidi="ar"/>
              </w:rPr>
              <w:t>）、石油烃（C</w:t>
            </w:r>
            <w:r>
              <w:rPr>
                <w:rFonts w:hint="eastAsia" w:ascii="宋体" w:hAnsi="宋体" w:eastAsia="宋体" w:cs="宋体"/>
                <w:color w:val="auto"/>
                <w:kern w:val="0"/>
                <w:sz w:val="21"/>
                <w:szCs w:val="21"/>
                <w:highlight w:val="none"/>
                <w:u w:val="none"/>
                <w:vertAlign w:val="subscript"/>
                <w:lang w:bidi="ar"/>
              </w:rPr>
              <w:t>10</w:t>
            </w:r>
            <w:r>
              <w:rPr>
                <w:rFonts w:hint="eastAsia" w:ascii="宋体" w:hAnsi="宋体" w:eastAsia="宋体" w:cs="宋体"/>
                <w:color w:val="auto"/>
                <w:kern w:val="0"/>
                <w:sz w:val="21"/>
                <w:szCs w:val="21"/>
                <w:highlight w:val="none"/>
                <w:u w:val="none"/>
                <w:lang w:bidi="ar"/>
              </w:rPr>
              <w:t>～C</w:t>
            </w:r>
            <w:r>
              <w:rPr>
                <w:rFonts w:hint="eastAsia" w:ascii="宋体" w:hAnsi="宋体" w:eastAsia="宋体" w:cs="宋体"/>
                <w:color w:val="auto"/>
                <w:kern w:val="0"/>
                <w:sz w:val="21"/>
                <w:szCs w:val="21"/>
                <w:highlight w:val="none"/>
                <w:u w:val="none"/>
                <w:vertAlign w:val="subscript"/>
                <w:lang w:bidi="ar"/>
              </w:rPr>
              <w:t>40</w:t>
            </w:r>
            <w:r>
              <w:rPr>
                <w:rFonts w:hint="eastAsia" w:ascii="宋体" w:hAnsi="宋体" w:eastAsia="宋体" w:cs="宋体"/>
                <w:color w:val="auto"/>
                <w:kern w:val="0"/>
                <w:sz w:val="21"/>
                <w:szCs w:val="21"/>
                <w:highlight w:val="none"/>
                <w:u w:val="none"/>
                <w:lang w:bidi="ar"/>
              </w:rPr>
              <w:t>）、汞、砷、六价铬</w:t>
            </w:r>
          </w:p>
        </w:tc>
        <w:tc>
          <w:tcPr>
            <w:tcW w:w="1337" w:type="pct"/>
            <w:tcBorders>
              <w:tl2br w:val="nil"/>
              <w:tr2bl w:val="nil"/>
            </w:tcBorders>
            <w:noWrap w:val="0"/>
            <w:vAlign w:val="center"/>
          </w:tcPr>
          <w:p w14:paraId="64A61C43">
            <w:pPr>
              <w:keepNext w:val="0"/>
              <w:keepLines w:val="0"/>
              <w:pageBreakBefore w:val="0"/>
              <w:wordWrap/>
              <w:topLinePunct w:val="0"/>
              <w:autoSpaceDE/>
              <w:autoSpaceDN/>
              <w:bidi w:val="0"/>
              <w:spacing w:line="400" w:lineRule="exact"/>
              <w:jc w:val="left"/>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《地下水质量标准》（GB/T14848-2017）中的III类标准，石油类参照《地表水环境质量标准》（GB3838-2002）中的III类标准值。</w:t>
            </w:r>
          </w:p>
        </w:tc>
        <w:tc>
          <w:tcPr>
            <w:tcW w:w="389" w:type="pct"/>
            <w:vMerge w:val="restart"/>
            <w:tcBorders>
              <w:tl2br w:val="nil"/>
              <w:tr2bl w:val="nil"/>
            </w:tcBorders>
            <w:noWrap w:val="0"/>
            <w:vAlign w:val="center"/>
          </w:tcPr>
          <w:p w14:paraId="0829FAB1">
            <w:pPr>
              <w:keepNext w:val="0"/>
              <w:keepLines w:val="0"/>
              <w:pageBreakBefore w:val="0"/>
              <w:wordWrap/>
              <w:topLinePunct w:val="0"/>
              <w:autoSpaceDE/>
              <w:autoSpaceDN/>
              <w:bidi w:val="0"/>
              <w:adjustRightInd w:val="0"/>
              <w:snapToGrid w:val="0"/>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sz w:val="21"/>
                <w:szCs w:val="21"/>
                <w:highlight w:val="none"/>
                <w:u w:val="none"/>
                <w:lang w:bidi="ar"/>
              </w:rPr>
              <w:t>竣工验收后开始</w:t>
            </w:r>
          </w:p>
        </w:tc>
        <w:tc>
          <w:tcPr>
            <w:tcW w:w="377" w:type="pct"/>
            <w:vMerge w:val="restart"/>
            <w:tcBorders>
              <w:tl2br w:val="nil"/>
              <w:tr2bl w:val="nil"/>
            </w:tcBorders>
            <w:noWrap w:val="0"/>
            <w:vAlign w:val="center"/>
          </w:tcPr>
          <w:p w14:paraId="37E7CBE7">
            <w:pPr>
              <w:keepNext w:val="0"/>
              <w:keepLines w:val="0"/>
              <w:pageBreakBefore w:val="0"/>
              <w:wordWrap/>
              <w:topLinePunct w:val="0"/>
              <w:autoSpaceDE/>
              <w:autoSpaceDN/>
              <w:bidi w:val="0"/>
              <w:adjustRightInd w:val="0"/>
              <w:snapToGrid w:val="0"/>
              <w:spacing w:line="400" w:lineRule="exact"/>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bidi="ar"/>
              </w:rPr>
              <w:t>委托监测或建设单位自行监测</w:t>
            </w:r>
          </w:p>
        </w:tc>
      </w:tr>
      <w:tr w14:paraId="294E704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23" w:hRule="atLeast"/>
          <w:jc w:val="center"/>
        </w:trPr>
        <w:tc>
          <w:tcPr>
            <w:tcW w:w="385" w:type="pct"/>
            <w:vMerge w:val="continue"/>
            <w:tcBorders>
              <w:tl2br w:val="nil"/>
              <w:tr2bl w:val="nil"/>
            </w:tcBorders>
            <w:noWrap w:val="0"/>
            <w:vAlign w:val="center"/>
          </w:tcPr>
          <w:p w14:paraId="7F6D94C3">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p>
        </w:tc>
        <w:tc>
          <w:tcPr>
            <w:tcW w:w="356" w:type="pct"/>
            <w:tcBorders>
              <w:tl2br w:val="nil"/>
              <w:tr2bl w:val="nil"/>
            </w:tcBorders>
            <w:noWrap w:val="0"/>
            <w:vAlign w:val="center"/>
          </w:tcPr>
          <w:p w14:paraId="43613954">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土壤</w:t>
            </w:r>
          </w:p>
        </w:tc>
        <w:tc>
          <w:tcPr>
            <w:tcW w:w="391" w:type="pct"/>
            <w:tcBorders>
              <w:tl2br w:val="nil"/>
              <w:tr2bl w:val="nil"/>
            </w:tcBorders>
            <w:noWrap w:val="0"/>
            <w:vAlign w:val="center"/>
          </w:tcPr>
          <w:p w14:paraId="4CFFB20B">
            <w:pPr>
              <w:keepNext w:val="0"/>
              <w:keepLines w:val="0"/>
              <w:pageBreakBefore w:val="0"/>
              <w:wordWrap/>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1次/</w:t>
            </w:r>
            <w:r>
              <w:rPr>
                <w:rFonts w:hint="eastAsia" w:ascii="宋体" w:hAnsi="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rPr>
              <w:t>年</w:t>
            </w:r>
          </w:p>
        </w:tc>
        <w:tc>
          <w:tcPr>
            <w:tcW w:w="957" w:type="pct"/>
            <w:tcBorders>
              <w:tl2br w:val="nil"/>
              <w:tr2bl w:val="nil"/>
            </w:tcBorders>
            <w:noWrap w:val="0"/>
            <w:vAlign w:val="center"/>
          </w:tcPr>
          <w:p w14:paraId="70050308">
            <w:pPr>
              <w:keepNext w:val="0"/>
              <w:keepLines w:val="0"/>
              <w:pageBreakBefore w:val="0"/>
              <w:wordWrap/>
              <w:topLinePunct w:val="0"/>
              <w:autoSpaceDE/>
              <w:autoSpaceDN/>
              <w:bidi w:val="0"/>
              <w:adjustRightInd w:val="0"/>
              <w:snapToGrid w:val="0"/>
              <w:spacing w:line="400" w:lineRule="exact"/>
              <w:jc w:val="left"/>
              <w:textAlignment w:val="auto"/>
              <w:rPr>
                <w:rFonts w:hint="default" w:ascii="宋体" w:hAnsi="宋体" w:eastAsia="宋体" w:cs="宋体"/>
                <w:color w:val="auto"/>
                <w:kern w:val="0"/>
                <w:sz w:val="21"/>
                <w:szCs w:val="21"/>
                <w:highlight w:val="none"/>
                <w:u w:val="none"/>
                <w:lang w:val="en-US" w:eastAsia="zh-CN" w:bidi="ar"/>
              </w:rPr>
            </w:pPr>
            <w:r>
              <w:rPr>
                <w:rFonts w:hint="eastAsia" w:ascii="宋体" w:hAnsi="宋体" w:cs="宋体"/>
                <w:color w:val="auto"/>
                <w:kern w:val="0"/>
                <w:sz w:val="21"/>
                <w:szCs w:val="21"/>
                <w:highlight w:val="none"/>
                <w:u w:val="none"/>
                <w:lang w:val="en-US" w:eastAsia="zh-CN" w:bidi="ar"/>
              </w:rPr>
              <w:t>井场内</w:t>
            </w:r>
          </w:p>
        </w:tc>
        <w:tc>
          <w:tcPr>
            <w:tcW w:w="805" w:type="pct"/>
            <w:tcBorders>
              <w:tl2br w:val="nil"/>
              <w:tr2bl w:val="nil"/>
            </w:tcBorders>
            <w:noWrap w:val="0"/>
            <w:vAlign w:val="center"/>
          </w:tcPr>
          <w:p w14:paraId="4EB75B3C">
            <w:pPr>
              <w:keepNext w:val="0"/>
              <w:keepLines w:val="0"/>
              <w:pageBreakBefore w:val="0"/>
              <w:wordWrap/>
              <w:topLinePunct w:val="0"/>
              <w:autoSpaceDE/>
              <w:autoSpaceDN/>
              <w:bidi w:val="0"/>
              <w:adjustRightInd w:val="0"/>
              <w:snapToGrid w:val="0"/>
              <w:spacing w:line="400" w:lineRule="exact"/>
              <w:jc w:val="left"/>
              <w:textAlignment w:val="auto"/>
              <w:rPr>
                <w:rFonts w:hint="eastAsia" w:ascii="宋体" w:hAnsi="宋体" w:eastAsia="宋体" w:cs="宋体"/>
                <w:color w:val="auto"/>
                <w:kern w:val="0"/>
                <w:sz w:val="21"/>
                <w:szCs w:val="21"/>
                <w:highlight w:val="none"/>
                <w:u w:val="none"/>
                <w:lang w:bidi="ar"/>
              </w:rPr>
            </w:pPr>
            <w:r>
              <w:rPr>
                <w:rFonts w:hint="eastAsia" w:ascii="宋体" w:hAnsi="宋体" w:eastAsia="宋体" w:cs="宋体"/>
                <w:color w:val="auto"/>
                <w:kern w:val="0"/>
                <w:sz w:val="21"/>
                <w:szCs w:val="21"/>
                <w:highlight w:val="none"/>
                <w:u w:val="none"/>
                <w:lang w:bidi="ar"/>
              </w:rPr>
              <w:t>石油类、石油烃（C</w:t>
            </w:r>
            <w:r>
              <w:rPr>
                <w:rFonts w:hint="eastAsia" w:ascii="宋体" w:hAnsi="宋体" w:eastAsia="宋体" w:cs="宋体"/>
                <w:color w:val="auto"/>
                <w:kern w:val="0"/>
                <w:sz w:val="21"/>
                <w:szCs w:val="21"/>
                <w:highlight w:val="none"/>
                <w:u w:val="none"/>
                <w:vertAlign w:val="subscript"/>
                <w:lang w:bidi="ar"/>
              </w:rPr>
              <w:t>6</w:t>
            </w:r>
            <w:r>
              <w:rPr>
                <w:rFonts w:hint="eastAsia" w:ascii="宋体" w:hAnsi="宋体" w:eastAsia="宋体" w:cs="宋体"/>
                <w:color w:val="auto"/>
                <w:kern w:val="0"/>
                <w:sz w:val="21"/>
                <w:szCs w:val="21"/>
                <w:highlight w:val="none"/>
                <w:u w:val="none"/>
                <w:lang w:bidi="ar"/>
              </w:rPr>
              <w:t>～C</w:t>
            </w:r>
            <w:r>
              <w:rPr>
                <w:rFonts w:hint="eastAsia" w:ascii="宋体" w:hAnsi="宋体" w:eastAsia="宋体" w:cs="宋体"/>
                <w:color w:val="auto"/>
                <w:kern w:val="0"/>
                <w:sz w:val="21"/>
                <w:szCs w:val="21"/>
                <w:highlight w:val="none"/>
                <w:u w:val="none"/>
                <w:vertAlign w:val="subscript"/>
                <w:lang w:bidi="ar"/>
              </w:rPr>
              <w:t>9</w:t>
            </w:r>
            <w:r>
              <w:rPr>
                <w:rFonts w:hint="eastAsia" w:ascii="宋体" w:hAnsi="宋体" w:eastAsia="宋体" w:cs="宋体"/>
                <w:color w:val="auto"/>
                <w:kern w:val="0"/>
                <w:sz w:val="21"/>
                <w:szCs w:val="21"/>
                <w:highlight w:val="none"/>
                <w:u w:val="none"/>
                <w:lang w:bidi="ar"/>
              </w:rPr>
              <w:t>）、石油烃（C</w:t>
            </w:r>
            <w:r>
              <w:rPr>
                <w:rFonts w:hint="eastAsia" w:ascii="宋体" w:hAnsi="宋体" w:eastAsia="宋体" w:cs="宋体"/>
                <w:color w:val="auto"/>
                <w:kern w:val="0"/>
                <w:sz w:val="21"/>
                <w:szCs w:val="21"/>
                <w:highlight w:val="none"/>
                <w:u w:val="none"/>
                <w:vertAlign w:val="subscript"/>
                <w:lang w:bidi="ar"/>
              </w:rPr>
              <w:t>10</w:t>
            </w:r>
            <w:r>
              <w:rPr>
                <w:rFonts w:hint="eastAsia" w:ascii="宋体" w:hAnsi="宋体" w:eastAsia="宋体" w:cs="宋体"/>
                <w:color w:val="auto"/>
                <w:kern w:val="0"/>
                <w:sz w:val="21"/>
                <w:szCs w:val="21"/>
                <w:highlight w:val="none"/>
                <w:u w:val="none"/>
                <w:lang w:bidi="ar"/>
              </w:rPr>
              <w:t>～C</w:t>
            </w:r>
            <w:r>
              <w:rPr>
                <w:rFonts w:hint="eastAsia" w:ascii="宋体" w:hAnsi="宋体" w:eastAsia="宋体" w:cs="宋体"/>
                <w:color w:val="auto"/>
                <w:kern w:val="0"/>
                <w:sz w:val="21"/>
                <w:szCs w:val="21"/>
                <w:highlight w:val="none"/>
                <w:u w:val="none"/>
                <w:vertAlign w:val="subscript"/>
                <w:lang w:bidi="ar"/>
              </w:rPr>
              <w:t>40</w:t>
            </w:r>
            <w:r>
              <w:rPr>
                <w:rFonts w:hint="eastAsia" w:ascii="宋体" w:hAnsi="宋体" w:eastAsia="宋体" w:cs="宋体"/>
                <w:color w:val="auto"/>
                <w:kern w:val="0"/>
                <w:sz w:val="21"/>
                <w:szCs w:val="21"/>
                <w:highlight w:val="none"/>
                <w:u w:val="none"/>
                <w:lang w:bidi="ar"/>
              </w:rPr>
              <w:t>）、汞、砷、六价铬</w:t>
            </w:r>
          </w:p>
        </w:tc>
        <w:tc>
          <w:tcPr>
            <w:tcW w:w="1337" w:type="pct"/>
            <w:tcBorders>
              <w:tl2br w:val="nil"/>
              <w:tr2bl w:val="nil"/>
            </w:tcBorders>
            <w:noWrap w:val="0"/>
            <w:vAlign w:val="center"/>
          </w:tcPr>
          <w:p w14:paraId="6F485639">
            <w:pPr>
              <w:keepNext w:val="0"/>
              <w:keepLines w:val="0"/>
              <w:pageBreakBefore w:val="0"/>
              <w:wordWrap/>
              <w:topLinePunct w:val="0"/>
              <w:autoSpaceDE/>
              <w:autoSpaceDN/>
              <w:bidi w:val="0"/>
              <w:spacing w:line="400" w:lineRule="exact"/>
              <w:jc w:val="left"/>
              <w:textAlignment w:val="auto"/>
              <w:rPr>
                <w:rFonts w:hint="eastAsia" w:ascii="宋体" w:hAnsi="宋体" w:eastAsia="宋体" w:cs="宋体"/>
                <w:color w:val="auto"/>
                <w:sz w:val="21"/>
                <w:szCs w:val="21"/>
                <w:highlight w:val="none"/>
                <w:u w:val="none"/>
                <w:lang w:bidi="ar"/>
              </w:rPr>
            </w:pPr>
            <w:r>
              <w:rPr>
                <w:rFonts w:hint="eastAsia" w:ascii="宋体" w:hAnsi="宋体" w:eastAsia="宋体" w:cs="宋体"/>
                <w:color w:val="auto"/>
                <w:sz w:val="21"/>
                <w:szCs w:val="21"/>
                <w:highlight w:val="none"/>
                <w:u w:val="none"/>
                <w:lang w:bidi="ar"/>
              </w:rPr>
              <w:t>《土壤环境质量 建设用地土壤污染风险管控标准(试行)》（GB36600-2018）表1第二类用地筛选值</w:t>
            </w:r>
          </w:p>
        </w:tc>
        <w:tc>
          <w:tcPr>
            <w:tcW w:w="389" w:type="pct"/>
            <w:vMerge w:val="continue"/>
            <w:tcBorders>
              <w:tl2br w:val="nil"/>
              <w:tr2bl w:val="nil"/>
            </w:tcBorders>
            <w:noWrap w:val="0"/>
            <w:vAlign w:val="center"/>
          </w:tcPr>
          <w:p w14:paraId="249E685C">
            <w:pPr>
              <w:keepNext w:val="0"/>
              <w:keepLines w:val="0"/>
              <w:pageBreakBefore w:val="0"/>
              <w:widowControl/>
              <w:wordWrap/>
              <w:topLinePunct w:val="0"/>
              <w:autoSpaceDE/>
              <w:autoSpaceDN/>
              <w:bidi w:val="0"/>
              <w:adjustRightInd w:val="0"/>
              <w:snapToGrid w:val="0"/>
              <w:spacing w:line="400" w:lineRule="exact"/>
              <w:jc w:val="center"/>
              <w:textAlignment w:val="auto"/>
              <w:rPr>
                <w:rFonts w:hint="eastAsia" w:ascii="宋体" w:hAnsi="宋体" w:eastAsia="宋体" w:cs="宋体"/>
                <w:color w:val="auto"/>
                <w:kern w:val="0"/>
                <w:sz w:val="21"/>
                <w:szCs w:val="21"/>
                <w:highlight w:val="none"/>
                <w:u w:val="none"/>
              </w:rPr>
            </w:pPr>
          </w:p>
        </w:tc>
        <w:tc>
          <w:tcPr>
            <w:tcW w:w="377" w:type="pct"/>
            <w:vMerge w:val="continue"/>
            <w:tcBorders>
              <w:tl2br w:val="nil"/>
              <w:tr2bl w:val="nil"/>
            </w:tcBorders>
            <w:noWrap w:val="0"/>
            <w:vAlign w:val="center"/>
          </w:tcPr>
          <w:p w14:paraId="64116891">
            <w:pPr>
              <w:keepNext w:val="0"/>
              <w:keepLines w:val="0"/>
              <w:pageBreakBefore w:val="0"/>
              <w:widowControl/>
              <w:wordWrap/>
              <w:topLinePunct w:val="0"/>
              <w:autoSpaceDE/>
              <w:autoSpaceDN/>
              <w:bidi w:val="0"/>
              <w:adjustRightInd w:val="0"/>
              <w:snapToGrid w:val="0"/>
              <w:spacing w:line="400" w:lineRule="exact"/>
              <w:jc w:val="center"/>
              <w:textAlignment w:val="auto"/>
              <w:rPr>
                <w:rFonts w:hint="eastAsia" w:ascii="宋体" w:hAnsi="宋体" w:eastAsia="宋体" w:cs="宋体"/>
                <w:color w:val="auto"/>
                <w:kern w:val="0"/>
                <w:sz w:val="21"/>
                <w:szCs w:val="21"/>
                <w:highlight w:val="none"/>
                <w:u w:val="none"/>
              </w:rPr>
            </w:pPr>
          </w:p>
        </w:tc>
      </w:tr>
      <w:tr w14:paraId="295BD51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23" w:hRule="atLeast"/>
          <w:jc w:val="center"/>
        </w:trPr>
        <w:tc>
          <w:tcPr>
            <w:tcW w:w="385" w:type="pct"/>
            <w:vMerge w:val="continue"/>
            <w:tcBorders>
              <w:tl2br w:val="nil"/>
              <w:tr2bl w:val="nil"/>
            </w:tcBorders>
            <w:noWrap w:val="0"/>
            <w:vAlign w:val="center"/>
          </w:tcPr>
          <w:p w14:paraId="3E9F8571">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bidi="ar"/>
              </w:rPr>
            </w:pPr>
          </w:p>
        </w:tc>
        <w:tc>
          <w:tcPr>
            <w:tcW w:w="356" w:type="pct"/>
            <w:tcBorders>
              <w:tl2br w:val="nil"/>
              <w:tr2bl w:val="nil"/>
            </w:tcBorders>
            <w:noWrap w:val="0"/>
            <w:vAlign w:val="center"/>
          </w:tcPr>
          <w:p w14:paraId="71600FF4">
            <w:pPr>
              <w:keepNext w:val="0"/>
              <w:keepLines w:val="0"/>
              <w:pageBreakBefore w:val="0"/>
              <w:wordWrap/>
              <w:overflowPunct w:val="0"/>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val="en-US" w:eastAsia="zh-CN" w:bidi="ar"/>
              </w:rPr>
            </w:pPr>
            <w:r>
              <w:rPr>
                <w:rFonts w:hint="eastAsia" w:ascii="宋体" w:hAnsi="宋体" w:cs="宋体"/>
                <w:color w:val="auto"/>
                <w:sz w:val="21"/>
                <w:szCs w:val="21"/>
                <w:highlight w:val="none"/>
                <w:u w:val="none"/>
                <w:lang w:val="en-US" w:eastAsia="zh-CN" w:bidi="ar"/>
              </w:rPr>
              <w:t>生态</w:t>
            </w:r>
          </w:p>
        </w:tc>
        <w:tc>
          <w:tcPr>
            <w:tcW w:w="391" w:type="pct"/>
            <w:tcBorders>
              <w:tl2br w:val="nil"/>
              <w:tr2bl w:val="nil"/>
            </w:tcBorders>
            <w:noWrap w:val="0"/>
            <w:vAlign w:val="center"/>
          </w:tcPr>
          <w:p w14:paraId="2D852872">
            <w:pPr>
              <w:keepNext w:val="0"/>
              <w:keepLines w:val="0"/>
              <w:pageBreakBefore w:val="0"/>
              <w:wordWrap/>
              <w:topLinePunct w:val="0"/>
              <w:autoSpaceDE/>
              <w:autoSpaceDN/>
              <w:bidi w:val="0"/>
              <w:adjustRightInd w:val="0"/>
              <w:snapToGrid w:val="0"/>
              <w:spacing w:line="40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957" w:type="pct"/>
            <w:tcBorders>
              <w:tl2br w:val="nil"/>
              <w:tr2bl w:val="nil"/>
            </w:tcBorders>
            <w:noWrap w:val="0"/>
            <w:vAlign w:val="center"/>
          </w:tcPr>
          <w:p w14:paraId="5CCF582A">
            <w:pPr>
              <w:keepNext w:val="0"/>
              <w:keepLines w:val="0"/>
              <w:pageBreakBefore w:val="0"/>
              <w:wordWrap/>
              <w:topLinePunct w:val="0"/>
              <w:autoSpaceDE/>
              <w:autoSpaceDN/>
              <w:bidi w:val="0"/>
              <w:adjustRightInd w:val="0"/>
              <w:snapToGrid w:val="0"/>
              <w:spacing w:line="400" w:lineRule="exact"/>
              <w:jc w:val="left"/>
              <w:textAlignment w:val="auto"/>
              <w:rPr>
                <w:rFonts w:hint="default" w:ascii="宋体" w:hAnsi="宋体" w:cs="宋体"/>
                <w:color w:val="auto"/>
                <w:kern w:val="0"/>
                <w:sz w:val="21"/>
                <w:szCs w:val="21"/>
                <w:highlight w:val="none"/>
                <w:u w:val="none"/>
                <w:lang w:val="en-US" w:eastAsia="zh-CN" w:bidi="ar"/>
              </w:rPr>
            </w:pPr>
            <w:r>
              <w:rPr>
                <w:rFonts w:hint="eastAsia" w:ascii="宋体" w:hAnsi="宋体" w:cs="宋体"/>
                <w:color w:val="auto"/>
                <w:kern w:val="0"/>
                <w:sz w:val="21"/>
                <w:szCs w:val="21"/>
                <w:highlight w:val="none"/>
                <w:u w:val="none"/>
                <w:lang w:val="en-US" w:eastAsia="zh-CN" w:bidi="ar"/>
              </w:rPr>
              <w:t>防沙治沙措施</w:t>
            </w:r>
          </w:p>
        </w:tc>
        <w:tc>
          <w:tcPr>
            <w:tcW w:w="805" w:type="pct"/>
            <w:tcBorders>
              <w:tl2br w:val="nil"/>
              <w:tr2bl w:val="nil"/>
            </w:tcBorders>
            <w:noWrap w:val="0"/>
            <w:vAlign w:val="center"/>
          </w:tcPr>
          <w:p w14:paraId="2829B84D">
            <w:pPr>
              <w:keepNext w:val="0"/>
              <w:keepLines w:val="0"/>
              <w:pageBreakBefore w:val="0"/>
              <w:wordWrap/>
              <w:topLinePunct w:val="0"/>
              <w:autoSpaceDE/>
              <w:autoSpaceDN/>
              <w:bidi w:val="0"/>
              <w:adjustRightInd w:val="0"/>
              <w:snapToGrid w:val="0"/>
              <w:spacing w:line="400" w:lineRule="exact"/>
              <w:jc w:val="left"/>
              <w:textAlignment w:val="auto"/>
              <w:rPr>
                <w:rFonts w:hint="eastAsia" w:ascii="宋体" w:hAnsi="宋体" w:eastAsia="宋体" w:cs="宋体"/>
                <w:color w:val="auto"/>
                <w:kern w:val="0"/>
                <w:sz w:val="21"/>
                <w:szCs w:val="21"/>
                <w:highlight w:val="none"/>
                <w:u w:val="none"/>
                <w:lang w:bidi="ar"/>
              </w:rPr>
            </w:pPr>
            <w:r>
              <w:rPr>
                <w:rFonts w:hint="eastAsia" w:ascii="宋体" w:hAnsi="宋体" w:cs="宋体"/>
                <w:color w:val="auto"/>
                <w:kern w:val="0"/>
                <w:sz w:val="21"/>
                <w:szCs w:val="21"/>
                <w:highlight w:val="none"/>
                <w:u w:val="none"/>
                <w:lang w:val="en-US" w:eastAsia="zh-CN" w:bidi="ar"/>
              </w:rPr>
              <w:t>防沙治沙措施</w:t>
            </w:r>
          </w:p>
        </w:tc>
        <w:tc>
          <w:tcPr>
            <w:tcW w:w="1337" w:type="pct"/>
            <w:tcBorders>
              <w:tl2br w:val="nil"/>
              <w:tr2bl w:val="nil"/>
            </w:tcBorders>
            <w:noWrap w:val="0"/>
            <w:vAlign w:val="center"/>
          </w:tcPr>
          <w:p w14:paraId="7657D4B0">
            <w:pPr>
              <w:keepNext w:val="0"/>
              <w:keepLines w:val="0"/>
              <w:pageBreakBefore w:val="0"/>
              <w:wordWrap/>
              <w:topLinePunct w:val="0"/>
              <w:autoSpaceDE/>
              <w:autoSpaceDN/>
              <w:bidi w:val="0"/>
              <w:spacing w:line="400" w:lineRule="exact"/>
              <w:jc w:val="left"/>
              <w:textAlignment w:val="auto"/>
              <w:rPr>
                <w:rFonts w:hint="default" w:ascii="宋体" w:hAnsi="宋体" w:eastAsia="宋体" w:cs="宋体"/>
                <w:color w:val="auto"/>
                <w:sz w:val="21"/>
                <w:szCs w:val="21"/>
                <w:highlight w:val="none"/>
                <w:u w:val="none"/>
                <w:lang w:val="en-US" w:eastAsia="zh-CN" w:bidi="ar"/>
              </w:rPr>
            </w:pPr>
            <w:r>
              <w:rPr>
                <w:rFonts w:hint="eastAsia" w:ascii="宋体" w:hAnsi="宋体" w:cs="宋体"/>
                <w:color w:val="auto"/>
                <w:sz w:val="21"/>
                <w:szCs w:val="21"/>
                <w:highlight w:val="none"/>
                <w:u w:val="none"/>
                <w:lang w:val="en-US" w:eastAsia="zh-CN" w:bidi="ar"/>
              </w:rPr>
              <w:t>措施有效性</w:t>
            </w:r>
          </w:p>
        </w:tc>
        <w:tc>
          <w:tcPr>
            <w:tcW w:w="389" w:type="pct"/>
            <w:vMerge w:val="continue"/>
            <w:tcBorders>
              <w:tl2br w:val="nil"/>
              <w:tr2bl w:val="nil"/>
            </w:tcBorders>
            <w:noWrap w:val="0"/>
            <w:vAlign w:val="center"/>
          </w:tcPr>
          <w:p w14:paraId="2C79B2A9">
            <w:pPr>
              <w:keepNext w:val="0"/>
              <w:keepLines w:val="0"/>
              <w:pageBreakBefore w:val="0"/>
              <w:widowControl/>
              <w:wordWrap/>
              <w:topLinePunct w:val="0"/>
              <w:autoSpaceDE/>
              <w:autoSpaceDN/>
              <w:bidi w:val="0"/>
              <w:adjustRightInd w:val="0"/>
              <w:snapToGrid w:val="0"/>
              <w:spacing w:line="400" w:lineRule="exact"/>
              <w:jc w:val="center"/>
              <w:textAlignment w:val="auto"/>
              <w:rPr>
                <w:rFonts w:hint="eastAsia" w:ascii="宋体" w:hAnsi="宋体" w:eastAsia="宋体" w:cs="宋体"/>
                <w:color w:val="auto"/>
                <w:kern w:val="0"/>
                <w:sz w:val="21"/>
                <w:szCs w:val="21"/>
                <w:highlight w:val="none"/>
                <w:u w:val="none"/>
              </w:rPr>
            </w:pPr>
          </w:p>
        </w:tc>
        <w:tc>
          <w:tcPr>
            <w:tcW w:w="377" w:type="pct"/>
            <w:vMerge w:val="continue"/>
            <w:tcBorders>
              <w:tl2br w:val="nil"/>
              <w:tr2bl w:val="nil"/>
            </w:tcBorders>
            <w:noWrap w:val="0"/>
            <w:vAlign w:val="center"/>
          </w:tcPr>
          <w:p w14:paraId="661003A0">
            <w:pPr>
              <w:keepNext w:val="0"/>
              <w:keepLines w:val="0"/>
              <w:pageBreakBefore w:val="0"/>
              <w:widowControl/>
              <w:wordWrap/>
              <w:topLinePunct w:val="0"/>
              <w:autoSpaceDE/>
              <w:autoSpaceDN/>
              <w:bidi w:val="0"/>
              <w:adjustRightInd w:val="0"/>
              <w:snapToGrid w:val="0"/>
              <w:spacing w:line="400" w:lineRule="exact"/>
              <w:jc w:val="center"/>
              <w:textAlignment w:val="auto"/>
              <w:rPr>
                <w:rFonts w:hint="eastAsia" w:ascii="宋体" w:hAnsi="宋体" w:eastAsia="宋体" w:cs="宋体"/>
                <w:color w:val="auto"/>
                <w:kern w:val="0"/>
                <w:sz w:val="21"/>
                <w:szCs w:val="21"/>
                <w:highlight w:val="none"/>
                <w:u w:val="none"/>
              </w:rPr>
            </w:pPr>
          </w:p>
        </w:tc>
      </w:tr>
    </w:tbl>
    <w:p w14:paraId="12CD1EFE">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eastAsia" w:asciiTheme="majorEastAsia" w:hAnsiTheme="majorEastAsia" w:eastAsiaTheme="majorEastAsia" w:cstheme="majorEastAsia"/>
          <w:b w:val="0"/>
          <w:bCs/>
          <w:color w:val="auto"/>
          <w:kern w:val="2"/>
          <w:sz w:val="18"/>
          <w:szCs w:val="18"/>
          <w:highlight w:val="none"/>
          <w:u w:val="none"/>
          <w:lang w:val="zh-CN" w:eastAsia="zh-CN" w:bidi="ar-SA"/>
        </w:rPr>
      </w:pPr>
      <w:r>
        <w:rPr>
          <w:rFonts w:hint="eastAsia" w:asciiTheme="majorEastAsia" w:hAnsiTheme="majorEastAsia" w:eastAsiaTheme="majorEastAsia" w:cstheme="majorEastAsia"/>
          <w:b w:val="0"/>
          <w:bCs/>
          <w:color w:val="auto"/>
          <w:kern w:val="2"/>
          <w:sz w:val="18"/>
          <w:szCs w:val="18"/>
          <w:highlight w:val="none"/>
          <w:u w:val="none"/>
          <w:lang w:val="zh-CN" w:eastAsia="zh-CN" w:bidi="ar-SA"/>
        </w:rPr>
        <w:t>注：由于目前《地下水质量标准》（GB/T14848-2017）和参照执行的《地表水环境质量标准》（GB3838-2002）中均未对石油烃(C6-C9)和石油烃(C10-C40)两个监测因子的标准限值做出规定，《土壤环境质量建设用地土壤污染风险管控标准（试行）》（GB36600-2018）中未对石油烃(C6-C9)的标准限值做出规定，在新的质量标准发布前，运营期监测计划中地下水环境监测可先不开展石油烃(C6-C9)和石油烃(C10-C40)这两个监测因子的环境质量现状监测工作，土壤环境监测可先不开展石油烃(C6-C9)的环境质量现状监测工作，待石油烃(C6-C9)和石油烃(C10-C40)相应的新环境质量标准发布后，应严格按照表中所列监测因子进行运营期监测。</w:t>
      </w:r>
      <w:bookmarkEnd w:id="648"/>
      <w:bookmarkStart w:id="649" w:name="_Toc173942717"/>
      <w:bookmarkStart w:id="650" w:name="_Toc173941998"/>
      <w:bookmarkStart w:id="651" w:name="_Toc17807"/>
      <w:bookmarkStart w:id="652" w:name="_Toc173941763"/>
    </w:p>
    <w:p w14:paraId="4A23F98C">
      <w:pPr>
        <w:keepNext/>
        <w:keepLines/>
        <w:adjustRightInd/>
        <w:snapToGrid/>
        <w:spacing w:before="120" w:after="120" w:line="360" w:lineRule="auto"/>
        <w:jc w:val="left"/>
        <w:outlineLvl w:val="1"/>
        <w:rPr>
          <w:rFonts w:ascii="黑体" w:hAnsi="黑体" w:eastAsia="宋体" w:cs="Times New Roman"/>
          <w:b/>
          <w:bCs w:val="0"/>
          <w:color w:val="auto"/>
          <w:kern w:val="44"/>
          <w:sz w:val="28"/>
          <w:szCs w:val="24"/>
          <w:highlight w:val="none"/>
          <w:u w:val="none"/>
          <w:lang w:val="en-US" w:eastAsia="zh-CN" w:bidi="ar-SA"/>
        </w:rPr>
      </w:pPr>
      <w:bookmarkStart w:id="653" w:name="_Toc6262"/>
      <w:bookmarkStart w:id="654" w:name="_Toc6816"/>
      <w:bookmarkStart w:id="655" w:name="_Toc6954"/>
      <w:r>
        <w:rPr>
          <w:rFonts w:hint="eastAsia" w:ascii="黑体" w:hAnsi="黑体" w:eastAsia="黑体" w:cs="Times New Roman"/>
          <w:b/>
          <w:bCs w:val="0"/>
          <w:color w:val="auto"/>
          <w:kern w:val="44"/>
          <w:sz w:val="28"/>
          <w:szCs w:val="24"/>
          <w:highlight w:val="none"/>
          <w:u w:val="none"/>
          <w:lang w:val="en-US" w:eastAsia="zh-CN" w:bidi="ar-SA"/>
        </w:rPr>
        <w:t>9</w:t>
      </w:r>
      <w:r>
        <w:rPr>
          <w:rFonts w:ascii="黑体" w:hAnsi="黑体" w:eastAsia="黑体" w:cs="Times New Roman"/>
          <w:b/>
          <w:bCs w:val="0"/>
          <w:color w:val="auto"/>
          <w:kern w:val="44"/>
          <w:sz w:val="28"/>
          <w:szCs w:val="24"/>
          <w:highlight w:val="none"/>
          <w:u w:val="none"/>
          <w:lang w:val="en-US" w:eastAsia="zh-CN" w:bidi="ar-SA"/>
        </w:rPr>
        <w:t>.5</w:t>
      </w:r>
      <w:bookmarkEnd w:id="649"/>
      <w:bookmarkEnd w:id="650"/>
      <w:bookmarkEnd w:id="651"/>
      <w:bookmarkEnd w:id="652"/>
      <w:r>
        <w:rPr>
          <w:rFonts w:hint="eastAsia" w:ascii="黑体" w:hAnsi="黑体" w:eastAsia="黑体" w:cs="Times New Roman"/>
          <w:b/>
          <w:bCs w:val="0"/>
          <w:color w:val="auto"/>
          <w:kern w:val="44"/>
          <w:sz w:val="28"/>
          <w:szCs w:val="24"/>
          <w:highlight w:val="none"/>
          <w:u w:val="none"/>
          <w:lang w:val="en-US" w:eastAsia="zh-CN" w:bidi="ar-SA"/>
        </w:rPr>
        <w:t>环保设施“三同时”验收</w:t>
      </w:r>
      <w:bookmarkEnd w:id="653"/>
      <w:bookmarkEnd w:id="654"/>
      <w:bookmarkEnd w:id="655"/>
    </w:p>
    <w:p w14:paraId="33007512">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bookmarkStart w:id="656" w:name="_Toc173941999"/>
      <w:r>
        <w:rPr>
          <w:rFonts w:hint="eastAsia" w:ascii="黑体" w:hAnsi="黑体" w:eastAsia="黑体" w:cs="Times New Roman"/>
          <w:b/>
          <w:bCs w:val="0"/>
          <w:color w:val="auto"/>
          <w:sz w:val="24"/>
          <w:szCs w:val="20"/>
          <w:highlight w:val="none"/>
          <w:u w:val="none"/>
          <w:lang w:val="en-US" w:eastAsia="zh-CN" w:bidi="ar-SA"/>
        </w:rPr>
        <w:t>9.5.1环境工程设计</w:t>
      </w:r>
      <w:bookmarkEnd w:id="656"/>
    </w:p>
    <w:p w14:paraId="4C861C3C">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（1）必须按照本环评文件及批复要求，落实项目环境工程设计，确保“三废”稳定达标排放；按要求制定环境风险事故应急预案。</w:t>
      </w:r>
    </w:p>
    <w:p w14:paraId="339E2F90">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 xml:space="preserve">（2）建立健全环境管理组织机构、各项环保规章制度，施工期实行环境监理。 </w:t>
      </w:r>
    </w:p>
    <w:p w14:paraId="25E5EEB8">
      <w:pPr>
        <w:adjustRightInd/>
        <w:snapToGrid/>
        <w:spacing w:line="360" w:lineRule="auto"/>
        <w:ind w:firstLine="480" w:firstLineChars="200"/>
        <w:jc w:val="both"/>
        <w:rPr>
          <w:rFonts w:ascii="Times New Roman" w:hAnsi="Times New Roman" w:eastAsia="宋体" w:cs="Times New Roman"/>
          <w:color w:val="auto"/>
          <w:sz w:val="24"/>
          <w:szCs w:val="21"/>
          <w:highlight w:val="none"/>
          <w:u w:val="none"/>
          <w:lang w:val="en-US" w:eastAsia="zh-CN" w:bidi="ar-SA"/>
        </w:rPr>
      </w:pPr>
      <w:r>
        <w:rPr>
          <w:rFonts w:ascii="Times New Roman" w:hAnsi="Times New Roman" w:eastAsia="宋体" w:cs="Times New Roman"/>
          <w:color w:val="auto"/>
          <w:sz w:val="24"/>
          <w:szCs w:val="21"/>
          <w:highlight w:val="none"/>
          <w:u w:val="none"/>
          <w:lang w:val="en-US" w:eastAsia="zh-CN" w:bidi="ar-SA"/>
        </w:rPr>
        <w:t xml:space="preserve">（3）项目污染防治设施必须与主体工程“三同时”；如需进行试生产，其配套的环保设施也必须与主体工程同时建设投入运行。 </w:t>
      </w:r>
    </w:p>
    <w:p w14:paraId="2A1B600C">
      <w:pPr>
        <w:keepNext/>
        <w:keepLines/>
        <w:pageBreakBefore w:val="0"/>
        <w:widowControl w:val="0"/>
        <w:kinsoku/>
        <w:wordWrap/>
        <w:overflowPunct/>
        <w:topLinePunct w:val="0"/>
        <w:autoSpaceDE/>
        <w:autoSpaceDN/>
        <w:bidi w:val="0"/>
        <w:adjustRightInd w:val="0"/>
        <w:snapToGrid w:val="0"/>
        <w:spacing w:before="167" w:beforeLines="50" w:line="360" w:lineRule="auto"/>
        <w:jc w:val="both"/>
        <w:textAlignment w:val="auto"/>
        <w:outlineLvl w:val="2"/>
        <w:rPr>
          <w:rFonts w:hint="eastAsia" w:ascii="黑体" w:hAnsi="黑体" w:eastAsia="黑体" w:cs="Times New Roman"/>
          <w:b/>
          <w:bCs w:val="0"/>
          <w:color w:val="auto"/>
          <w:sz w:val="24"/>
          <w:szCs w:val="20"/>
          <w:highlight w:val="none"/>
          <w:u w:val="none"/>
          <w:lang w:val="en-US" w:eastAsia="zh-CN" w:bidi="ar-SA"/>
        </w:rPr>
      </w:pPr>
      <w:bookmarkStart w:id="657" w:name="_Toc173942000"/>
      <w:r>
        <w:rPr>
          <w:rFonts w:hint="eastAsia" w:ascii="黑体" w:hAnsi="黑体" w:eastAsia="黑体" w:cs="Times New Roman"/>
          <w:b/>
          <w:bCs w:val="0"/>
          <w:color w:val="auto"/>
          <w:sz w:val="24"/>
          <w:szCs w:val="20"/>
          <w:highlight w:val="none"/>
          <w:u w:val="none"/>
          <w:lang w:val="en-US" w:eastAsia="zh-CN" w:bidi="ar-SA"/>
        </w:rPr>
        <w:t>9.5.2环境设施验收建议</w:t>
      </w:r>
      <w:bookmarkEnd w:id="657"/>
    </w:p>
    <w:bookmarkEnd w:id="590"/>
    <w:bookmarkEnd w:id="591"/>
    <w:bookmarkEnd w:id="592"/>
    <w:bookmarkEnd w:id="593"/>
    <w:bookmarkEnd w:id="594"/>
    <w:bookmarkEnd w:id="595"/>
    <w:p w14:paraId="07A60CD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（1）环境工程设计</w:t>
      </w:r>
    </w:p>
    <w:p w14:paraId="5EBEFBA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hint="eastAsia" w:ascii="宋体" w:hAnsi="宋体" w:cs="宋体"/>
          <w:color w:val="auto"/>
          <w:kern w:val="0"/>
          <w:sz w:val="24"/>
          <w:szCs w:val="24"/>
          <w:highlight w:val="none"/>
          <w:u w:val="none"/>
          <w:lang w:val="en-US" w:eastAsia="zh-CN"/>
        </w:rPr>
        <w:t>1）</w:t>
      </w:r>
      <w:r>
        <w:rPr>
          <w:rFonts w:ascii="Times New Roman" w:hAnsi="Times New Roman" w:cs="Times New Roman"/>
          <w:color w:val="auto"/>
          <w:kern w:val="0"/>
          <w:sz w:val="24"/>
          <w:szCs w:val="24"/>
          <w:highlight w:val="none"/>
          <w:u w:val="none"/>
        </w:rPr>
        <w:t>必须按照环评文件及批复要求，落实项目环境工程设计，确保“三废”稳定达标排放；按要求制定环境风险事故应急预案。</w:t>
      </w:r>
    </w:p>
    <w:p w14:paraId="38D5993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hint="eastAsia" w:ascii="宋体" w:hAnsi="宋体" w:cs="宋体"/>
          <w:color w:val="auto"/>
          <w:kern w:val="0"/>
          <w:sz w:val="24"/>
          <w:szCs w:val="24"/>
          <w:highlight w:val="none"/>
          <w:u w:val="none"/>
          <w:lang w:val="en-US" w:eastAsia="zh-CN"/>
        </w:rPr>
        <w:t>2）</w:t>
      </w:r>
      <w:r>
        <w:rPr>
          <w:rFonts w:ascii="Times New Roman" w:hAnsi="Times New Roman" w:cs="Times New Roman"/>
          <w:color w:val="auto"/>
          <w:kern w:val="0"/>
          <w:sz w:val="24"/>
          <w:szCs w:val="24"/>
          <w:highlight w:val="none"/>
          <w:u w:val="none"/>
        </w:rPr>
        <w:t>建立健全环境管理组织机构、各项环保规章制度。</w:t>
      </w:r>
    </w:p>
    <w:p w14:paraId="2D67D02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hint="eastAsia" w:ascii="宋体" w:hAnsi="宋体" w:cs="宋体"/>
          <w:color w:val="auto"/>
          <w:kern w:val="0"/>
          <w:sz w:val="24"/>
          <w:szCs w:val="24"/>
          <w:highlight w:val="none"/>
          <w:u w:val="none"/>
          <w:lang w:val="en-US" w:eastAsia="zh-CN"/>
        </w:rPr>
        <w:t>3）</w:t>
      </w:r>
      <w:r>
        <w:rPr>
          <w:rFonts w:ascii="Times New Roman" w:hAnsi="Times New Roman" w:cs="Times New Roman"/>
          <w:color w:val="auto"/>
          <w:kern w:val="0"/>
          <w:sz w:val="24"/>
          <w:szCs w:val="24"/>
          <w:highlight w:val="none"/>
          <w:u w:val="none"/>
        </w:rPr>
        <w:t>项目污染防治设施必须与主体工程“三同时”。</w:t>
      </w:r>
    </w:p>
    <w:p w14:paraId="5D4E606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（2）环境设施验收建议</w:t>
      </w:r>
    </w:p>
    <w:p w14:paraId="221F9904">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hint="eastAsia" w:ascii="宋体" w:hAnsi="宋体" w:cs="宋体"/>
          <w:color w:val="auto"/>
          <w:kern w:val="0"/>
          <w:sz w:val="24"/>
          <w:szCs w:val="24"/>
          <w:highlight w:val="none"/>
          <w:u w:val="none"/>
          <w:lang w:val="en-US" w:eastAsia="zh-CN"/>
        </w:rPr>
        <w:t>1）</w:t>
      </w:r>
      <w:r>
        <w:rPr>
          <w:rFonts w:ascii="Times New Roman" w:hAnsi="Times New Roman" w:cs="Times New Roman"/>
          <w:color w:val="auto"/>
          <w:kern w:val="0"/>
          <w:sz w:val="24"/>
          <w:szCs w:val="24"/>
          <w:highlight w:val="none"/>
          <w:u w:val="none"/>
        </w:rPr>
        <w:t>验收范围</w:t>
      </w:r>
    </w:p>
    <w:p w14:paraId="3466F16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与项目有关的各项环保设施，包括为防治污染和保护环境所配套建成的治理工程、设备和装置，以及各项生态保护设施等；环评文件及批复文件和有关设计文件规定应采取的环保措施。</w:t>
      </w:r>
    </w:p>
    <w:p w14:paraId="0B49957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hint="eastAsia" w:ascii="宋体" w:hAnsi="宋体" w:cs="宋体"/>
          <w:color w:val="auto"/>
          <w:kern w:val="0"/>
          <w:sz w:val="24"/>
          <w:szCs w:val="24"/>
          <w:highlight w:val="none"/>
          <w:u w:val="none"/>
          <w:lang w:val="en-US" w:eastAsia="zh-CN"/>
        </w:rPr>
        <w:t>2）</w:t>
      </w:r>
      <w:r>
        <w:rPr>
          <w:rFonts w:ascii="Times New Roman" w:hAnsi="Times New Roman" w:cs="Times New Roman"/>
          <w:color w:val="auto"/>
          <w:kern w:val="0"/>
          <w:sz w:val="24"/>
          <w:szCs w:val="24"/>
          <w:highlight w:val="none"/>
          <w:u w:val="none"/>
        </w:rPr>
        <w:t>验收条件</w:t>
      </w:r>
    </w:p>
    <w:p w14:paraId="01ECC89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ascii="Times New Roman" w:hAnsi="Times New Roman" w:cs="Times New Roman"/>
          <w:color w:val="auto"/>
          <w:kern w:val="0"/>
          <w:sz w:val="24"/>
          <w:szCs w:val="24"/>
          <w:highlight w:val="none"/>
          <w:u w:val="none"/>
        </w:rPr>
        <w:t>根据《建设项目环境保护管理条例》（国务院令682号）中有关规定，编制环境影响报告书、环境影响报告表的建设项目竣工后，</w:t>
      </w:r>
      <w:r>
        <w:rPr>
          <w:rFonts w:hint="eastAsia" w:cs="Times New Roman"/>
          <w:color w:val="auto"/>
          <w:kern w:val="0"/>
          <w:sz w:val="24"/>
          <w:szCs w:val="24"/>
          <w:highlight w:val="none"/>
          <w:u w:val="none"/>
          <w:lang w:val="en-US" w:eastAsia="zh-CN"/>
        </w:rPr>
        <w:t>新疆</w:t>
      </w:r>
      <w:r>
        <w:rPr>
          <w:rFonts w:ascii="Times New Roman" w:hAnsi="Times New Roman" w:cs="Times New Roman"/>
          <w:color w:val="auto"/>
          <w:kern w:val="0"/>
          <w:sz w:val="24"/>
          <w:szCs w:val="24"/>
          <w:highlight w:val="none"/>
          <w:u w:val="none"/>
        </w:rPr>
        <w:t>油田分公司应当按照</w:t>
      </w:r>
      <w:r>
        <w:rPr>
          <w:rFonts w:hint="eastAsia" w:ascii="Times New Roman" w:hAnsi="Times New Roman" w:cs="Times New Roman"/>
          <w:color w:val="auto"/>
          <w:kern w:val="0"/>
          <w:sz w:val="24"/>
          <w:szCs w:val="24"/>
          <w:highlight w:val="none"/>
          <w:u w:val="none"/>
        </w:rPr>
        <w:t>生态环境</w:t>
      </w:r>
      <w:r>
        <w:rPr>
          <w:rFonts w:ascii="Times New Roman" w:hAnsi="Times New Roman" w:cs="Times New Roman"/>
          <w:color w:val="auto"/>
          <w:kern w:val="0"/>
          <w:sz w:val="24"/>
          <w:szCs w:val="24"/>
          <w:highlight w:val="none"/>
          <w:u w:val="none"/>
        </w:rPr>
        <w:t>主管部门规定的标准和程序，对配套建设的环境保护设施进行验收，编制验收报告。</w:t>
      </w:r>
      <w:r>
        <w:rPr>
          <w:rFonts w:hint="eastAsia" w:cs="Times New Roman"/>
          <w:color w:val="auto"/>
          <w:kern w:val="0"/>
          <w:sz w:val="24"/>
          <w:szCs w:val="24"/>
          <w:highlight w:val="none"/>
          <w:u w:val="none"/>
          <w:lang w:val="en-US" w:eastAsia="zh-CN"/>
        </w:rPr>
        <w:t>新疆</w:t>
      </w:r>
      <w:r>
        <w:rPr>
          <w:rFonts w:ascii="Times New Roman" w:hAnsi="Times New Roman" w:cs="Times New Roman"/>
          <w:color w:val="auto"/>
          <w:kern w:val="0"/>
          <w:sz w:val="24"/>
          <w:szCs w:val="24"/>
          <w:highlight w:val="none"/>
          <w:u w:val="none"/>
        </w:rPr>
        <w:t>油田分公司在环境保护设施验收过程中，应当如实查验、监测、记载建设项目环境保护设施的建设和调试情况，不得弄虚作假。</w:t>
      </w:r>
    </w:p>
    <w:p w14:paraId="16668D9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hint="eastAsia" w:cs="Times New Roman"/>
          <w:color w:val="auto"/>
          <w:kern w:val="0"/>
          <w:sz w:val="24"/>
          <w:szCs w:val="24"/>
          <w:highlight w:val="none"/>
          <w:u w:val="none"/>
          <w:lang w:val="en-US" w:eastAsia="zh-CN"/>
        </w:rPr>
        <w:t>新疆</w:t>
      </w:r>
      <w:r>
        <w:rPr>
          <w:rFonts w:ascii="Times New Roman" w:hAnsi="Times New Roman" w:cs="Times New Roman"/>
          <w:color w:val="auto"/>
          <w:kern w:val="0"/>
          <w:sz w:val="24"/>
          <w:szCs w:val="24"/>
          <w:highlight w:val="none"/>
          <w:u w:val="none"/>
        </w:rPr>
        <w:t>油田分公司对项目进行自主验收，</w:t>
      </w:r>
      <w:r>
        <w:rPr>
          <w:rFonts w:hint="eastAsia" w:cs="Times New Roman"/>
          <w:color w:val="auto"/>
          <w:kern w:val="0"/>
          <w:sz w:val="24"/>
          <w:szCs w:val="24"/>
          <w:highlight w:val="none"/>
          <w:u w:val="none"/>
          <w:lang w:val="en-US" w:eastAsia="zh-CN"/>
        </w:rPr>
        <w:t>新疆</w:t>
      </w:r>
      <w:r>
        <w:rPr>
          <w:rFonts w:ascii="Times New Roman" w:hAnsi="Times New Roman" w:cs="Times New Roman"/>
          <w:color w:val="auto"/>
          <w:kern w:val="0"/>
          <w:sz w:val="24"/>
          <w:szCs w:val="24"/>
          <w:highlight w:val="none"/>
          <w:u w:val="none"/>
        </w:rPr>
        <w:t>油田分公司或者其委托的第三方技术机构应当依照国家有关法律法规及相关技术规范等要求，编制竣工环境保护验收报告，验收报告编制完成后，</w:t>
      </w:r>
      <w:r>
        <w:rPr>
          <w:rFonts w:hint="eastAsia" w:cs="Times New Roman"/>
          <w:color w:val="auto"/>
          <w:kern w:val="0"/>
          <w:sz w:val="24"/>
          <w:szCs w:val="24"/>
          <w:highlight w:val="none"/>
          <w:u w:val="none"/>
          <w:lang w:val="en-US" w:eastAsia="zh-CN"/>
        </w:rPr>
        <w:t>新疆</w:t>
      </w:r>
      <w:r>
        <w:rPr>
          <w:rFonts w:ascii="Times New Roman" w:hAnsi="Times New Roman" w:cs="Times New Roman"/>
          <w:color w:val="auto"/>
          <w:kern w:val="0"/>
          <w:sz w:val="24"/>
          <w:szCs w:val="24"/>
          <w:highlight w:val="none"/>
          <w:u w:val="none"/>
        </w:rPr>
        <w:t>油田分公司应组织成立验收工作组。除按照国家规定需要保密的情形外，</w:t>
      </w:r>
      <w:r>
        <w:rPr>
          <w:rFonts w:hint="eastAsia" w:cs="Times New Roman"/>
          <w:color w:val="auto"/>
          <w:kern w:val="0"/>
          <w:sz w:val="24"/>
          <w:szCs w:val="24"/>
          <w:highlight w:val="none"/>
          <w:u w:val="none"/>
          <w:lang w:val="en-US" w:eastAsia="zh-CN"/>
        </w:rPr>
        <w:t>新疆</w:t>
      </w:r>
      <w:r>
        <w:rPr>
          <w:rFonts w:ascii="Times New Roman" w:hAnsi="Times New Roman" w:cs="Times New Roman"/>
          <w:color w:val="auto"/>
          <w:kern w:val="0"/>
          <w:sz w:val="24"/>
          <w:szCs w:val="24"/>
          <w:highlight w:val="none"/>
          <w:u w:val="none"/>
        </w:rPr>
        <w:t>油田分公司应当依法向社会公开验收报告。编制环境影响报告书、环境影响报告表的建设项目，其配套建设的环境保护设施经验收合格，方可投入生产或者使用；未经验收或者验收不合格的，不得投入生产或者使用。</w:t>
      </w:r>
    </w:p>
    <w:p w14:paraId="4D843F9B">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cs="Times New Roman"/>
          <w:color w:val="auto"/>
          <w:kern w:val="0"/>
          <w:sz w:val="24"/>
          <w:szCs w:val="24"/>
          <w:highlight w:val="none"/>
          <w:u w:val="none"/>
        </w:rPr>
      </w:pPr>
      <w:r>
        <w:rPr>
          <w:rFonts w:hint="eastAsia" w:ascii="宋体" w:hAnsi="宋体" w:cs="宋体"/>
          <w:color w:val="auto"/>
          <w:kern w:val="0"/>
          <w:sz w:val="24"/>
          <w:szCs w:val="24"/>
          <w:highlight w:val="none"/>
          <w:u w:val="none"/>
          <w:lang w:val="en-US" w:eastAsia="zh-CN"/>
        </w:rPr>
        <w:t>3）</w:t>
      </w:r>
      <w:r>
        <w:rPr>
          <w:rFonts w:ascii="Times New Roman" w:hAnsi="Times New Roman" w:cs="Times New Roman"/>
          <w:color w:val="auto"/>
          <w:kern w:val="0"/>
          <w:sz w:val="24"/>
          <w:szCs w:val="24"/>
          <w:highlight w:val="none"/>
          <w:u w:val="none"/>
        </w:rPr>
        <w:t>建设项目环境保护“三同时”验收内容</w:t>
      </w:r>
    </w:p>
    <w:p w14:paraId="3B95ECD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黑体" w:hAnsi="黑体" w:eastAsia="黑体" w:cs="黑体"/>
          <w:b/>
          <w:bCs/>
          <w:color w:val="auto"/>
          <w:kern w:val="0"/>
          <w:sz w:val="21"/>
          <w:szCs w:val="21"/>
          <w:highlight w:val="none"/>
          <w:u w:val="none"/>
        </w:rPr>
      </w:pPr>
      <w:r>
        <w:rPr>
          <w:rFonts w:ascii="Times New Roman" w:hAnsi="Times New Roman" w:cs="Times New Roman"/>
          <w:color w:val="auto"/>
          <w:kern w:val="0"/>
          <w:sz w:val="24"/>
          <w:szCs w:val="24"/>
          <w:highlight w:val="none"/>
          <w:u w:val="none"/>
        </w:rPr>
        <w:t>根据建设项目“三同时”原则，在项目建设过程中，环境污染防治设施与主体工程同时设计、同时施工、同时投入使用，拟建项目建成运行时，应对环保设施进行验收，验收清单</w:t>
      </w:r>
      <w:r>
        <w:rPr>
          <w:rFonts w:hint="eastAsia" w:cs="Times New Roman"/>
          <w:color w:val="auto"/>
          <w:kern w:val="0"/>
          <w:sz w:val="24"/>
          <w:szCs w:val="24"/>
          <w:highlight w:val="none"/>
          <w:u w:val="none"/>
          <w:lang w:eastAsia="zh-CN"/>
        </w:rPr>
        <w:t>，</w:t>
      </w:r>
      <w:r>
        <w:rPr>
          <w:rFonts w:ascii="Times New Roman" w:hAnsi="Times New Roman" w:cs="Times New Roman"/>
          <w:color w:val="auto"/>
          <w:kern w:val="0"/>
          <w:sz w:val="24"/>
          <w:szCs w:val="24"/>
          <w:highlight w:val="none"/>
          <w:u w:val="none"/>
        </w:rPr>
        <w:t>见表</w:t>
      </w:r>
      <w:r>
        <w:rPr>
          <w:rFonts w:hint="eastAsia" w:cs="Times New Roman"/>
          <w:color w:val="auto"/>
          <w:kern w:val="0"/>
          <w:sz w:val="24"/>
          <w:szCs w:val="24"/>
          <w:highlight w:val="none"/>
          <w:u w:val="none"/>
          <w:lang w:val="en-US" w:eastAsia="zh-CN"/>
        </w:rPr>
        <w:t>9.5-1</w:t>
      </w:r>
      <w:r>
        <w:rPr>
          <w:rFonts w:ascii="Times New Roman" w:hAnsi="Times New Roman" w:cs="Times New Roman"/>
          <w:color w:val="auto"/>
          <w:kern w:val="0"/>
          <w:sz w:val="24"/>
          <w:szCs w:val="24"/>
          <w:highlight w:val="none"/>
          <w:u w:val="none"/>
        </w:rPr>
        <w:t>。</w:t>
      </w:r>
    </w:p>
    <w:p w14:paraId="48038F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bCs/>
          <w:color w:val="auto"/>
          <w:kern w:val="0"/>
          <w:sz w:val="21"/>
          <w:szCs w:val="21"/>
          <w:highlight w:val="none"/>
          <w:u w:val="none"/>
        </w:rPr>
      </w:pPr>
      <w:r>
        <w:rPr>
          <w:rFonts w:hint="eastAsia" w:ascii="黑体" w:hAnsi="黑体" w:eastAsia="黑体" w:cs="黑体"/>
          <w:b w:val="0"/>
          <w:bCs/>
          <w:color w:val="auto"/>
          <w:kern w:val="2"/>
          <w:sz w:val="24"/>
          <w:szCs w:val="24"/>
          <w:u w:val="none"/>
          <w:lang w:val="zh-CN" w:eastAsia="zh-CN" w:bidi="ar-SA"/>
        </w:rPr>
        <w:t>表</w:t>
      </w:r>
      <w:r>
        <w:rPr>
          <w:rFonts w:hint="eastAsia" w:ascii="黑体" w:hAnsi="黑体" w:eastAsia="黑体" w:cs="黑体"/>
          <w:b w:val="0"/>
          <w:bCs/>
          <w:color w:val="auto"/>
          <w:kern w:val="2"/>
          <w:sz w:val="24"/>
          <w:szCs w:val="24"/>
          <w:u w:val="none"/>
          <w:lang w:val="en-US" w:eastAsia="zh-CN" w:bidi="ar-SA"/>
        </w:rPr>
        <w:t xml:space="preserve">9.5-1  </w:t>
      </w:r>
      <w:r>
        <w:rPr>
          <w:rFonts w:hint="eastAsia" w:ascii="黑体" w:hAnsi="黑体" w:eastAsia="黑体" w:cs="黑体"/>
          <w:b w:val="0"/>
          <w:bCs/>
          <w:color w:val="auto"/>
          <w:kern w:val="2"/>
          <w:sz w:val="24"/>
          <w:szCs w:val="24"/>
          <w:u w:val="none"/>
          <w:lang w:val="zh-CN" w:eastAsia="zh-CN" w:bidi="ar-SA"/>
        </w:rPr>
        <w:t>环保设施“三同时”验收一览表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39"/>
        <w:gridCol w:w="3"/>
        <w:gridCol w:w="435"/>
        <w:gridCol w:w="1488"/>
        <w:gridCol w:w="3104"/>
        <w:gridCol w:w="725"/>
        <w:gridCol w:w="961"/>
        <w:gridCol w:w="1614"/>
      </w:tblGrid>
      <w:tr w14:paraId="4D2DC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tcBorders>
              <w:tl2br w:val="nil"/>
              <w:tr2bl w:val="nil"/>
            </w:tcBorders>
            <w:noWrap w:val="0"/>
            <w:vAlign w:val="center"/>
          </w:tcPr>
          <w:p w14:paraId="08694B23">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类别</w:t>
            </w:r>
          </w:p>
        </w:tc>
        <w:tc>
          <w:tcPr>
            <w:tcW w:w="250" w:type="pct"/>
            <w:tcBorders>
              <w:tl2br w:val="nil"/>
              <w:tr2bl w:val="nil"/>
            </w:tcBorders>
            <w:noWrap w:val="0"/>
            <w:vAlign w:val="center"/>
          </w:tcPr>
          <w:p w14:paraId="7F3B18F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序号</w:t>
            </w:r>
          </w:p>
        </w:tc>
        <w:tc>
          <w:tcPr>
            <w:tcW w:w="858" w:type="pct"/>
            <w:tcBorders>
              <w:tl2br w:val="nil"/>
              <w:tr2bl w:val="nil"/>
            </w:tcBorders>
            <w:noWrap w:val="0"/>
            <w:vAlign w:val="center"/>
          </w:tcPr>
          <w:p w14:paraId="3B1E668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污染源</w:t>
            </w:r>
          </w:p>
        </w:tc>
        <w:tc>
          <w:tcPr>
            <w:tcW w:w="1790" w:type="pct"/>
            <w:tcBorders>
              <w:tl2br w:val="nil"/>
              <w:tr2bl w:val="nil"/>
            </w:tcBorders>
            <w:noWrap w:val="0"/>
            <w:vAlign w:val="center"/>
          </w:tcPr>
          <w:p w14:paraId="04A3EC5E">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环保措施</w:t>
            </w:r>
          </w:p>
        </w:tc>
        <w:tc>
          <w:tcPr>
            <w:tcW w:w="418" w:type="pct"/>
            <w:tcBorders>
              <w:tl2br w:val="nil"/>
              <w:tr2bl w:val="nil"/>
            </w:tcBorders>
            <w:noWrap w:val="0"/>
            <w:vAlign w:val="center"/>
          </w:tcPr>
          <w:p w14:paraId="3DFF1BE2">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台</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套</w:t>
            </w:r>
            <w:r>
              <w:rPr>
                <w:rFonts w:hint="eastAsia" w:ascii="宋体" w:hAnsi="宋体" w:eastAsia="宋体" w:cs="宋体"/>
                <w:color w:val="auto"/>
                <w:spacing w:val="0"/>
                <w:kern w:val="0"/>
                <w:sz w:val="21"/>
                <w:szCs w:val="21"/>
                <w:highlight w:val="none"/>
                <w:u w:val="none"/>
                <w:lang w:eastAsia="zh-CN"/>
              </w:rPr>
              <w:t>）</w:t>
            </w:r>
          </w:p>
        </w:tc>
        <w:tc>
          <w:tcPr>
            <w:tcW w:w="554" w:type="pct"/>
            <w:tcBorders>
              <w:tl2br w:val="nil"/>
              <w:tr2bl w:val="nil"/>
            </w:tcBorders>
            <w:noWrap w:val="0"/>
            <w:vAlign w:val="center"/>
          </w:tcPr>
          <w:p w14:paraId="0FC8C128">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治理效果</w:t>
            </w:r>
          </w:p>
        </w:tc>
        <w:tc>
          <w:tcPr>
            <w:tcW w:w="929" w:type="pct"/>
            <w:tcBorders>
              <w:tl2br w:val="nil"/>
              <w:tr2bl w:val="nil"/>
            </w:tcBorders>
            <w:noWrap w:val="0"/>
            <w:vAlign w:val="center"/>
          </w:tcPr>
          <w:p w14:paraId="598D11B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验收标准</w:t>
            </w:r>
          </w:p>
        </w:tc>
      </w:tr>
      <w:tr w14:paraId="51789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000" w:type="pct"/>
            <w:gridSpan w:val="8"/>
            <w:tcBorders>
              <w:tl2br w:val="nil"/>
              <w:tr2bl w:val="nil"/>
            </w:tcBorders>
            <w:noWrap w:val="0"/>
            <w:vAlign w:val="center"/>
          </w:tcPr>
          <w:p w14:paraId="47A0C6D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施工期</w:t>
            </w:r>
          </w:p>
        </w:tc>
      </w:tr>
      <w:tr w14:paraId="09BD4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restart"/>
            <w:tcBorders>
              <w:tl2br w:val="nil"/>
              <w:tr2bl w:val="nil"/>
            </w:tcBorders>
            <w:noWrap w:val="0"/>
            <w:vAlign w:val="center"/>
          </w:tcPr>
          <w:p w14:paraId="008971DD">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废气</w:t>
            </w:r>
          </w:p>
        </w:tc>
        <w:tc>
          <w:tcPr>
            <w:tcW w:w="250" w:type="pct"/>
            <w:tcBorders>
              <w:tl2br w:val="nil"/>
              <w:tr2bl w:val="nil"/>
            </w:tcBorders>
            <w:noWrap w:val="0"/>
            <w:vAlign w:val="center"/>
          </w:tcPr>
          <w:p w14:paraId="798060C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2241C6A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施工扬尘</w:t>
            </w:r>
          </w:p>
        </w:tc>
        <w:tc>
          <w:tcPr>
            <w:tcW w:w="1790" w:type="pct"/>
            <w:tcBorders>
              <w:tl2br w:val="nil"/>
              <w:tr2bl w:val="nil"/>
            </w:tcBorders>
            <w:noWrap w:val="0"/>
            <w:vAlign w:val="center"/>
          </w:tcPr>
          <w:p w14:paraId="2B7394B4">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11"/>
                <w:kern w:val="0"/>
                <w:sz w:val="21"/>
                <w:szCs w:val="21"/>
                <w:highlight w:val="none"/>
                <w:u w:val="none"/>
              </w:rPr>
              <w:t>洒水抑尘、车辆减速慢行、物料苫盖</w:t>
            </w:r>
          </w:p>
        </w:tc>
        <w:tc>
          <w:tcPr>
            <w:tcW w:w="418" w:type="pct"/>
            <w:tcBorders>
              <w:tl2br w:val="nil"/>
              <w:tr2bl w:val="nil"/>
            </w:tcBorders>
            <w:noWrap w:val="0"/>
            <w:vAlign w:val="center"/>
          </w:tcPr>
          <w:p w14:paraId="0AF07FA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126F35D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40FD6FC9">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6AD32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34C55F2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5610FE72">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val="en-US" w:eastAsia="zh-CN"/>
              </w:rPr>
              <w:t>2</w:t>
            </w:r>
          </w:p>
        </w:tc>
        <w:tc>
          <w:tcPr>
            <w:tcW w:w="858" w:type="pct"/>
            <w:tcBorders>
              <w:tl2br w:val="nil"/>
              <w:tr2bl w:val="nil"/>
            </w:tcBorders>
            <w:noWrap w:val="0"/>
            <w:vAlign w:val="center"/>
          </w:tcPr>
          <w:p w14:paraId="643B7D18">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val="en-US" w:eastAsia="zh-CN"/>
              </w:rPr>
              <w:t>施工</w:t>
            </w:r>
            <w:r>
              <w:rPr>
                <w:rFonts w:hint="eastAsia" w:ascii="宋体" w:hAnsi="宋体" w:eastAsia="宋体" w:cs="宋体"/>
                <w:color w:val="auto"/>
                <w:spacing w:val="0"/>
                <w:kern w:val="0"/>
                <w:sz w:val="21"/>
                <w:szCs w:val="21"/>
                <w:highlight w:val="none"/>
                <w:u w:val="none"/>
              </w:rPr>
              <w:t>机械</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lang w:val="en-US" w:eastAsia="zh-CN"/>
              </w:rPr>
              <w:t>运输车辆产生的燃油废气</w:t>
            </w:r>
          </w:p>
        </w:tc>
        <w:tc>
          <w:tcPr>
            <w:tcW w:w="1790" w:type="pct"/>
            <w:tcBorders>
              <w:tl2br w:val="nil"/>
              <w:tr2bl w:val="nil"/>
            </w:tcBorders>
            <w:noWrap w:val="0"/>
            <w:vAlign w:val="center"/>
          </w:tcPr>
          <w:p w14:paraId="6DB0E845">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使用合格燃料，加强施工管理</w:t>
            </w:r>
          </w:p>
        </w:tc>
        <w:tc>
          <w:tcPr>
            <w:tcW w:w="418" w:type="pct"/>
            <w:tcBorders>
              <w:tl2br w:val="nil"/>
              <w:tr2bl w:val="nil"/>
            </w:tcBorders>
            <w:noWrap w:val="0"/>
            <w:vAlign w:val="center"/>
          </w:tcPr>
          <w:p w14:paraId="676A856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17465D18">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0890980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r>
      <w:tr w14:paraId="0C3E1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restart"/>
            <w:tcBorders>
              <w:tl2br w:val="nil"/>
              <w:tr2bl w:val="nil"/>
            </w:tcBorders>
            <w:noWrap w:val="0"/>
            <w:vAlign w:val="center"/>
          </w:tcPr>
          <w:p w14:paraId="6D22412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废水</w:t>
            </w:r>
          </w:p>
        </w:tc>
        <w:tc>
          <w:tcPr>
            <w:tcW w:w="250" w:type="pct"/>
            <w:tcBorders>
              <w:tl2br w:val="nil"/>
              <w:tr2bl w:val="nil"/>
            </w:tcBorders>
            <w:noWrap w:val="0"/>
            <w:vAlign w:val="center"/>
          </w:tcPr>
          <w:p w14:paraId="7C967342">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199B3C0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试压废水</w:t>
            </w:r>
          </w:p>
        </w:tc>
        <w:tc>
          <w:tcPr>
            <w:tcW w:w="1790" w:type="pct"/>
            <w:tcBorders>
              <w:tl2br w:val="nil"/>
              <w:tr2bl w:val="nil"/>
            </w:tcBorders>
            <w:noWrap w:val="0"/>
            <w:vAlign w:val="center"/>
          </w:tcPr>
          <w:p w14:paraId="4AD07FD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循环利用</w:t>
            </w:r>
          </w:p>
        </w:tc>
        <w:tc>
          <w:tcPr>
            <w:tcW w:w="418" w:type="pct"/>
            <w:tcBorders>
              <w:tl2br w:val="nil"/>
              <w:tr2bl w:val="nil"/>
            </w:tcBorders>
            <w:noWrap w:val="0"/>
            <w:vAlign w:val="center"/>
          </w:tcPr>
          <w:p w14:paraId="3ADCB09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57059A7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不外排</w:t>
            </w:r>
          </w:p>
        </w:tc>
        <w:tc>
          <w:tcPr>
            <w:tcW w:w="929" w:type="pct"/>
            <w:tcBorders>
              <w:tl2br w:val="nil"/>
              <w:tr2bl w:val="nil"/>
            </w:tcBorders>
            <w:noWrap w:val="0"/>
            <w:vAlign w:val="center"/>
          </w:tcPr>
          <w:p w14:paraId="682EB3B6">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58AA7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1D06CDC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6A8E1B8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2</w:t>
            </w:r>
          </w:p>
        </w:tc>
        <w:tc>
          <w:tcPr>
            <w:tcW w:w="858" w:type="pct"/>
            <w:tcBorders>
              <w:tl2br w:val="nil"/>
              <w:tr2bl w:val="nil"/>
            </w:tcBorders>
            <w:noWrap w:val="0"/>
            <w:vAlign w:val="center"/>
          </w:tcPr>
          <w:p w14:paraId="0F894E11">
            <w:pPr>
              <w:keepNext w:val="0"/>
              <w:keepLines w:val="0"/>
              <w:pageBreakBefore w:val="0"/>
              <w:widowControl/>
              <w:kinsoku/>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钻井废水</w:t>
            </w:r>
          </w:p>
        </w:tc>
        <w:tc>
          <w:tcPr>
            <w:tcW w:w="1790" w:type="pct"/>
            <w:tcBorders>
              <w:tl2br w:val="nil"/>
              <w:tr2bl w:val="nil"/>
            </w:tcBorders>
            <w:noWrap w:val="0"/>
            <w:vAlign w:val="center"/>
          </w:tcPr>
          <w:p w14:paraId="06D8F16D">
            <w:pPr>
              <w:keepNext w:val="0"/>
              <w:keepLines w:val="0"/>
              <w:pageBreakBefore w:val="0"/>
              <w:widowControl/>
              <w:kinsoku/>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采用不落地技术进行固液分离后，液相回用于钻井液配备</w:t>
            </w:r>
          </w:p>
        </w:tc>
        <w:tc>
          <w:tcPr>
            <w:tcW w:w="418" w:type="pct"/>
            <w:tcBorders>
              <w:tl2br w:val="nil"/>
              <w:tr2bl w:val="nil"/>
            </w:tcBorders>
            <w:noWrap w:val="0"/>
            <w:vAlign w:val="center"/>
          </w:tcPr>
          <w:p w14:paraId="6C33B2D6">
            <w:pPr>
              <w:keepNext w:val="0"/>
              <w:keepLines w:val="0"/>
              <w:pageBreakBefore w:val="0"/>
              <w:widowControl/>
              <w:kinsoku/>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36A14229">
            <w:pPr>
              <w:keepNext w:val="0"/>
              <w:keepLines w:val="0"/>
              <w:pageBreakBefore w:val="0"/>
              <w:widowControl/>
              <w:kinsoku/>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不外排</w:t>
            </w:r>
          </w:p>
        </w:tc>
        <w:tc>
          <w:tcPr>
            <w:tcW w:w="929" w:type="pct"/>
            <w:tcBorders>
              <w:tl2br w:val="nil"/>
              <w:tr2bl w:val="nil"/>
            </w:tcBorders>
            <w:noWrap w:val="0"/>
            <w:vAlign w:val="center"/>
          </w:tcPr>
          <w:p w14:paraId="4C6DB04D">
            <w:pPr>
              <w:keepNext w:val="0"/>
              <w:keepLines w:val="0"/>
              <w:pageBreakBefore w:val="0"/>
              <w:widowControl/>
              <w:kinsoku/>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158F0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3476C64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50C8B9A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3</w:t>
            </w:r>
          </w:p>
        </w:tc>
        <w:tc>
          <w:tcPr>
            <w:tcW w:w="858" w:type="pct"/>
            <w:tcBorders>
              <w:tl2br w:val="nil"/>
              <w:tr2bl w:val="nil"/>
            </w:tcBorders>
            <w:noWrap w:val="0"/>
            <w:vAlign w:val="center"/>
          </w:tcPr>
          <w:p w14:paraId="5E563F06">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生活污水</w:t>
            </w:r>
          </w:p>
        </w:tc>
        <w:tc>
          <w:tcPr>
            <w:tcW w:w="1790" w:type="pct"/>
            <w:tcBorders>
              <w:tl2br w:val="nil"/>
              <w:tr2bl w:val="nil"/>
            </w:tcBorders>
            <w:noWrap w:val="0"/>
            <w:vAlign w:val="center"/>
          </w:tcPr>
          <w:p w14:paraId="549E860D">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生活污水排入生活营地内防渗收集池，定期清运至乌尔禾区生活污水处理厂处理。</w:t>
            </w:r>
          </w:p>
        </w:tc>
        <w:tc>
          <w:tcPr>
            <w:tcW w:w="418" w:type="pct"/>
            <w:tcBorders>
              <w:tl2br w:val="nil"/>
              <w:tr2bl w:val="nil"/>
            </w:tcBorders>
            <w:noWrap w:val="0"/>
            <w:vAlign w:val="center"/>
          </w:tcPr>
          <w:p w14:paraId="530E2C0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15440FFD">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w:t>
            </w:r>
          </w:p>
        </w:tc>
        <w:tc>
          <w:tcPr>
            <w:tcW w:w="929" w:type="pct"/>
            <w:tcBorders>
              <w:tl2br w:val="nil"/>
              <w:tr2bl w:val="nil"/>
            </w:tcBorders>
            <w:noWrap w:val="0"/>
            <w:vAlign w:val="center"/>
          </w:tcPr>
          <w:p w14:paraId="60A2C98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5155B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tcBorders>
              <w:tl2br w:val="nil"/>
              <w:tr2bl w:val="nil"/>
            </w:tcBorders>
            <w:noWrap w:val="0"/>
            <w:vAlign w:val="center"/>
          </w:tcPr>
          <w:p w14:paraId="55E6700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噪声</w:t>
            </w:r>
          </w:p>
        </w:tc>
        <w:tc>
          <w:tcPr>
            <w:tcW w:w="250" w:type="pct"/>
            <w:tcBorders>
              <w:tl2br w:val="nil"/>
              <w:tr2bl w:val="nil"/>
            </w:tcBorders>
            <w:noWrap w:val="0"/>
            <w:vAlign w:val="center"/>
          </w:tcPr>
          <w:p w14:paraId="5BF547F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7459274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吊机、装载机、运输车辆</w:t>
            </w:r>
          </w:p>
        </w:tc>
        <w:tc>
          <w:tcPr>
            <w:tcW w:w="1790" w:type="pct"/>
            <w:tcBorders>
              <w:tl2br w:val="nil"/>
              <w:tr2bl w:val="nil"/>
            </w:tcBorders>
            <w:noWrap w:val="0"/>
            <w:vAlign w:val="center"/>
          </w:tcPr>
          <w:p w14:paraId="144CF0F6">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选用低噪声设备、合理安排施工作业时间</w:t>
            </w:r>
            <w:r>
              <w:rPr>
                <w:rFonts w:hint="eastAsia" w:ascii="宋体" w:hAnsi="宋体" w:eastAsia="宋体" w:cs="宋体"/>
                <w:color w:val="auto"/>
                <w:spacing w:val="0"/>
                <w:kern w:val="0"/>
                <w:sz w:val="21"/>
                <w:szCs w:val="21"/>
                <w:highlight w:val="none"/>
                <w:u w:val="none"/>
                <w:lang w:eastAsia="zh-CN"/>
              </w:rPr>
              <w:t>。</w:t>
            </w:r>
          </w:p>
        </w:tc>
        <w:tc>
          <w:tcPr>
            <w:tcW w:w="418" w:type="pct"/>
            <w:tcBorders>
              <w:tl2br w:val="nil"/>
              <w:tr2bl w:val="nil"/>
            </w:tcBorders>
            <w:noWrap w:val="0"/>
            <w:vAlign w:val="center"/>
          </w:tcPr>
          <w:p w14:paraId="6BD4CA3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7D9CA3D3">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3F25D26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52B00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restart"/>
            <w:tcBorders>
              <w:tl2br w:val="nil"/>
              <w:tr2bl w:val="nil"/>
            </w:tcBorders>
            <w:noWrap w:val="0"/>
            <w:vAlign w:val="center"/>
          </w:tcPr>
          <w:p w14:paraId="61F29B02">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固废</w:t>
            </w:r>
          </w:p>
        </w:tc>
        <w:tc>
          <w:tcPr>
            <w:tcW w:w="250" w:type="pct"/>
            <w:tcBorders>
              <w:tl2br w:val="nil"/>
              <w:tr2bl w:val="nil"/>
            </w:tcBorders>
            <w:noWrap w:val="0"/>
            <w:vAlign w:val="center"/>
          </w:tcPr>
          <w:p w14:paraId="3B33FBE6">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2C1D4CC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施工土方</w:t>
            </w:r>
          </w:p>
        </w:tc>
        <w:tc>
          <w:tcPr>
            <w:tcW w:w="1790" w:type="pct"/>
            <w:tcBorders>
              <w:tl2br w:val="nil"/>
              <w:tr2bl w:val="nil"/>
            </w:tcBorders>
            <w:noWrap w:val="0"/>
            <w:vAlign w:val="center"/>
          </w:tcPr>
          <w:p w14:paraId="32BA808F">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bCs/>
                <w:color w:val="auto"/>
                <w:spacing w:val="0"/>
                <w:kern w:val="0"/>
                <w:sz w:val="21"/>
                <w:szCs w:val="21"/>
                <w:highlight w:val="none"/>
                <w:u w:val="none"/>
              </w:rPr>
              <w:t>全部用于管沟和</w:t>
            </w:r>
            <w:r>
              <w:rPr>
                <w:rFonts w:hint="eastAsia" w:ascii="宋体" w:hAnsi="宋体" w:eastAsia="宋体" w:cs="宋体"/>
                <w:bCs/>
                <w:color w:val="auto"/>
                <w:spacing w:val="0"/>
                <w:kern w:val="0"/>
                <w:sz w:val="21"/>
                <w:szCs w:val="21"/>
                <w:highlight w:val="none"/>
                <w:u w:val="none"/>
                <w:lang w:val="en-US" w:eastAsia="zh-CN"/>
              </w:rPr>
              <w:t>站</w:t>
            </w:r>
            <w:r>
              <w:rPr>
                <w:rFonts w:hint="eastAsia" w:ascii="宋体" w:hAnsi="宋体" w:eastAsia="宋体" w:cs="宋体"/>
                <w:bCs/>
                <w:color w:val="auto"/>
                <w:spacing w:val="0"/>
                <w:kern w:val="0"/>
                <w:sz w:val="21"/>
                <w:szCs w:val="21"/>
                <w:highlight w:val="none"/>
                <w:u w:val="none"/>
              </w:rPr>
              <w:t>场回填</w:t>
            </w:r>
            <w:r>
              <w:rPr>
                <w:rFonts w:hint="eastAsia" w:ascii="宋体" w:hAnsi="宋体" w:eastAsia="宋体" w:cs="宋体"/>
                <w:bCs/>
                <w:color w:val="auto"/>
                <w:spacing w:val="0"/>
                <w:kern w:val="0"/>
                <w:sz w:val="21"/>
                <w:szCs w:val="21"/>
                <w:highlight w:val="none"/>
                <w:u w:val="none"/>
                <w:lang w:eastAsia="zh-CN"/>
              </w:rPr>
              <w:t>。</w:t>
            </w:r>
          </w:p>
        </w:tc>
        <w:tc>
          <w:tcPr>
            <w:tcW w:w="418" w:type="pct"/>
            <w:tcBorders>
              <w:tl2br w:val="nil"/>
              <w:tr2bl w:val="nil"/>
            </w:tcBorders>
            <w:noWrap w:val="0"/>
            <w:vAlign w:val="center"/>
          </w:tcPr>
          <w:p w14:paraId="56B7FF6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248FCAA6">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32694F9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r>
      <w:tr w14:paraId="78B4C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10C4510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7A2ABE2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2</w:t>
            </w:r>
          </w:p>
        </w:tc>
        <w:tc>
          <w:tcPr>
            <w:tcW w:w="858" w:type="pct"/>
            <w:tcBorders>
              <w:tl2br w:val="nil"/>
              <w:tr2bl w:val="nil"/>
            </w:tcBorders>
            <w:noWrap w:val="0"/>
            <w:vAlign w:val="center"/>
          </w:tcPr>
          <w:p w14:paraId="7CECD8B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施工废料</w:t>
            </w:r>
          </w:p>
        </w:tc>
        <w:tc>
          <w:tcPr>
            <w:tcW w:w="1790" w:type="pct"/>
            <w:tcBorders>
              <w:tl2br w:val="nil"/>
              <w:tr2bl w:val="nil"/>
            </w:tcBorders>
            <w:noWrap w:val="0"/>
            <w:vAlign w:val="center"/>
          </w:tcPr>
          <w:p w14:paraId="6CE0360F">
            <w:pPr>
              <w:pStyle w:val="26"/>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bCs/>
                <w:color w:val="auto"/>
                <w:spacing w:val="0"/>
                <w:kern w:val="0"/>
                <w:sz w:val="21"/>
                <w:szCs w:val="21"/>
                <w:highlight w:val="none"/>
                <w:u w:val="none"/>
              </w:rPr>
              <w:t>部分回收利用，剩余收集后运至</w:t>
            </w:r>
            <w:r>
              <w:rPr>
                <w:rFonts w:hint="eastAsia" w:ascii="宋体" w:hAnsi="宋体" w:eastAsia="宋体" w:cs="宋体"/>
                <w:color w:val="auto"/>
                <w:spacing w:val="0"/>
                <w:kern w:val="0"/>
                <w:sz w:val="21"/>
                <w:szCs w:val="21"/>
                <w:highlight w:val="none"/>
                <w:u w:val="none"/>
                <w:lang w:val="en-US" w:eastAsia="zh-CN"/>
              </w:rPr>
              <w:t>当地建筑垃圾填埋场填埋处置</w:t>
            </w:r>
            <w:r>
              <w:rPr>
                <w:rFonts w:hint="eastAsia" w:ascii="宋体" w:hAnsi="宋体" w:eastAsia="宋体" w:cs="宋体"/>
                <w:bCs/>
                <w:color w:val="auto"/>
                <w:spacing w:val="0"/>
                <w:kern w:val="0"/>
                <w:sz w:val="21"/>
                <w:szCs w:val="21"/>
                <w:highlight w:val="none"/>
                <w:u w:val="none"/>
                <w:lang w:val="en-US" w:eastAsia="zh-CN"/>
              </w:rPr>
              <w:t>。</w:t>
            </w:r>
          </w:p>
        </w:tc>
        <w:tc>
          <w:tcPr>
            <w:tcW w:w="418" w:type="pct"/>
            <w:tcBorders>
              <w:tl2br w:val="nil"/>
              <w:tr2bl w:val="nil"/>
            </w:tcBorders>
            <w:noWrap w:val="0"/>
            <w:vAlign w:val="center"/>
          </w:tcPr>
          <w:p w14:paraId="2F4C807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2D363EB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0305868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5051A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75FA9FB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79634C4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3</w:t>
            </w:r>
          </w:p>
        </w:tc>
        <w:tc>
          <w:tcPr>
            <w:tcW w:w="858" w:type="pct"/>
            <w:tcBorders>
              <w:tl2br w:val="nil"/>
              <w:tr2bl w:val="nil"/>
            </w:tcBorders>
            <w:noWrap w:val="0"/>
            <w:vAlign w:val="center"/>
          </w:tcPr>
          <w:p w14:paraId="72F54B8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泥浆</w:t>
            </w:r>
          </w:p>
        </w:tc>
        <w:tc>
          <w:tcPr>
            <w:tcW w:w="1790" w:type="pct"/>
            <w:vMerge w:val="restart"/>
            <w:tcBorders>
              <w:tl2br w:val="nil"/>
              <w:tr2bl w:val="nil"/>
            </w:tcBorders>
            <w:noWrap w:val="0"/>
            <w:vAlign w:val="center"/>
          </w:tcPr>
          <w:p w14:paraId="3A252BD9">
            <w:pPr>
              <w:pStyle w:val="26"/>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bCs/>
                <w:color w:val="auto"/>
                <w:spacing w:val="-11"/>
                <w:kern w:val="0"/>
                <w:sz w:val="21"/>
                <w:szCs w:val="21"/>
                <w:highlight w:val="none"/>
                <w:u w:val="none"/>
              </w:rPr>
            </w:pPr>
            <w:r>
              <w:rPr>
                <w:rFonts w:hint="eastAsia" w:ascii="宋体" w:hAnsi="宋体" w:eastAsia="宋体" w:cs="宋体"/>
                <w:color w:val="auto"/>
                <w:sz w:val="21"/>
                <w:szCs w:val="21"/>
                <w:u w:val="none"/>
              </w:rPr>
              <w:t>本项目钻井过程中一开、二开采用水基非磺化钻井液体系，三开采用油基钻井液体系，采用经不落地系统进行处理，在井场进行固液分离，分离后的液相回用于钻井液配备，分离后的水基钻井液产生的岩屑满足《油气田钻井固体废物综合利用污染控制要求》（DB65/T3997-2017）后</w:t>
            </w:r>
            <w:r>
              <w:rPr>
                <w:rFonts w:hint="eastAsia" w:ascii="宋体" w:hAnsi="宋体" w:cs="宋体"/>
                <w:color w:val="auto"/>
                <w:sz w:val="21"/>
                <w:szCs w:val="21"/>
                <w:u w:val="none"/>
                <w:lang w:val="en-US" w:eastAsia="zh-CN"/>
              </w:rPr>
              <w:t>综合利用</w:t>
            </w:r>
            <w:r>
              <w:rPr>
                <w:rFonts w:hint="eastAsia" w:ascii="宋体" w:hAnsi="宋体" w:eastAsia="宋体" w:cs="宋体"/>
                <w:color w:val="auto"/>
                <w:sz w:val="21"/>
                <w:szCs w:val="21"/>
                <w:u w:val="none"/>
              </w:rPr>
              <w:t>；油基钻井液产生的岩屑为HW08含油危废（废物代码：072-001-08），在井场方罐暂存，定期委托具有相应危废处置资质的单位处置。</w:t>
            </w:r>
          </w:p>
        </w:tc>
        <w:tc>
          <w:tcPr>
            <w:tcW w:w="418" w:type="pct"/>
            <w:vMerge w:val="restart"/>
            <w:tcBorders>
              <w:tl2br w:val="nil"/>
              <w:tr2bl w:val="nil"/>
            </w:tcBorders>
            <w:noWrap w:val="0"/>
            <w:vAlign w:val="center"/>
          </w:tcPr>
          <w:p w14:paraId="2409E59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vMerge w:val="restart"/>
            <w:tcBorders>
              <w:tl2br w:val="nil"/>
              <w:tr2bl w:val="nil"/>
            </w:tcBorders>
            <w:noWrap w:val="0"/>
            <w:vAlign w:val="center"/>
          </w:tcPr>
          <w:p w14:paraId="6ACFA79E">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水基岩屑达标后综合利用，油基岩屑委托处置。</w:t>
            </w:r>
          </w:p>
        </w:tc>
        <w:tc>
          <w:tcPr>
            <w:tcW w:w="929" w:type="pct"/>
            <w:vMerge w:val="restart"/>
            <w:tcBorders>
              <w:tl2br w:val="nil"/>
              <w:tr2bl w:val="nil"/>
            </w:tcBorders>
            <w:noWrap w:val="0"/>
            <w:vAlign w:val="center"/>
          </w:tcPr>
          <w:p w14:paraId="540A0FB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3B32C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3AC9823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1127348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4</w:t>
            </w:r>
          </w:p>
        </w:tc>
        <w:tc>
          <w:tcPr>
            <w:tcW w:w="858" w:type="pct"/>
            <w:tcBorders>
              <w:tl2br w:val="nil"/>
              <w:tr2bl w:val="nil"/>
            </w:tcBorders>
            <w:noWrap w:val="0"/>
            <w:vAlign w:val="center"/>
          </w:tcPr>
          <w:p w14:paraId="68A0608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岩屑</w:t>
            </w:r>
          </w:p>
        </w:tc>
        <w:tc>
          <w:tcPr>
            <w:tcW w:w="1790" w:type="pct"/>
            <w:vMerge w:val="continue"/>
            <w:tcBorders>
              <w:tl2br w:val="nil"/>
              <w:tr2bl w:val="nil"/>
            </w:tcBorders>
            <w:noWrap w:val="0"/>
            <w:vAlign w:val="center"/>
          </w:tcPr>
          <w:p w14:paraId="5E3E2DCB">
            <w:pPr>
              <w:pStyle w:val="26"/>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bCs/>
                <w:color w:val="auto"/>
                <w:spacing w:val="-11"/>
                <w:kern w:val="0"/>
                <w:sz w:val="21"/>
                <w:szCs w:val="21"/>
                <w:highlight w:val="none"/>
                <w:u w:val="none"/>
              </w:rPr>
            </w:pPr>
          </w:p>
        </w:tc>
        <w:tc>
          <w:tcPr>
            <w:tcW w:w="418" w:type="pct"/>
            <w:vMerge w:val="continue"/>
            <w:tcBorders>
              <w:tl2br w:val="nil"/>
              <w:tr2bl w:val="nil"/>
            </w:tcBorders>
            <w:noWrap w:val="0"/>
            <w:vAlign w:val="center"/>
          </w:tcPr>
          <w:p w14:paraId="2B309AB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554" w:type="pct"/>
            <w:vMerge w:val="continue"/>
            <w:tcBorders>
              <w:tl2br w:val="nil"/>
              <w:tr2bl w:val="nil"/>
            </w:tcBorders>
            <w:noWrap w:val="0"/>
            <w:vAlign w:val="center"/>
          </w:tcPr>
          <w:p w14:paraId="424BD092">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929" w:type="pct"/>
            <w:vMerge w:val="continue"/>
            <w:tcBorders>
              <w:tl2br w:val="nil"/>
              <w:tr2bl w:val="nil"/>
            </w:tcBorders>
            <w:noWrap w:val="0"/>
            <w:vAlign w:val="center"/>
          </w:tcPr>
          <w:p w14:paraId="5BEEE1A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r>
      <w:tr w14:paraId="02298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006367A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p>
        </w:tc>
        <w:tc>
          <w:tcPr>
            <w:tcW w:w="250" w:type="pct"/>
            <w:tcBorders>
              <w:tl2br w:val="nil"/>
              <w:tr2bl w:val="nil"/>
            </w:tcBorders>
            <w:noWrap w:val="0"/>
            <w:vAlign w:val="center"/>
          </w:tcPr>
          <w:p w14:paraId="31313A8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5</w:t>
            </w:r>
          </w:p>
        </w:tc>
        <w:tc>
          <w:tcPr>
            <w:tcW w:w="858" w:type="pct"/>
            <w:tcBorders>
              <w:tl2br w:val="nil"/>
              <w:tr2bl w:val="nil"/>
            </w:tcBorders>
            <w:noWrap w:val="0"/>
            <w:vAlign w:val="center"/>
          </w:tcPr>
          <w:p w14:paraId="578B31A8">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生活垃圾</w:t>
            </w:r>
          </w:p>
        </w:tc>
        <w:tc>
          <w:tcPr>
            <w:tcW w:w="1790" w:type="pct"/>
            <w:tcBorders>
              <w:tl2br w:val="nil"/>
              <w:tr2bl w:val="nil"/>
            </w:tcBorders>
            <w:noWrap w:val="0"/>
            <w:vAlign w:val="center"/>
          </w:tcPr>
          <w:p w14:paraId="5386B2BE">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生活垃圾集中收集至垃圾箱中，定期拉运至乌尔禾区生活垃圾填埋场</w:t>
            </w:r>
            <w:r>
              <w:rPr>
                <w:rFonts w:hint="eastAsia" w:ascii="宋体" w:hAnsi="宋体" w:eastAsia="宋体" w:cs="宋体"/>
                <w:color w:val="auto"/>
                <w:spacing w:val="0"/>
                <w:kern w:val="0"/>
                <w:sz w:val="21"/>
                <w:szCs w:val="21"/>
                <w:highlight w:val="none"/>
                <w:u w:val="none"/>
                <w:lang w:eastAsia="zh-CN"/>
              </w:rPr>
              <w:t>。</w:t>
            </w:r>
          </w:p>
        </w:tc>
        <w:tc>
          <w:tcPr>
            <w:tcW w:w="418" w:type="pct"/>
            <w:tcBorders>
              <w:tl2br w:val="nil"/>
              <w:tr2bl w:val="nil"/>
            </w:tcBorders>
            <w:noWrap w:val="0"/>
            <w:vAlign w:val="center"/>
          </w:tcPr>
          <w:p w14:paraId="63ECE0A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730AE82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024EBF83">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r>
      <w:tr w14:paraId="70C5E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tcBorders>
              <w:tl2br w:val="nil"/>
              <w:tr2bl w:val="nil"/>
            </w:tcBorders>
            <w:noWrap w:val="0"/>
            <w:vAlign w:val="center"/>
          </w:tcPr>
          <w:p w14:paraId="113CFD6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生态</w:t>
            </w:r>
          </w:p>
        </w:tc>
        <w:tc>
          <w:tcPr>
            <w:tcW w:w="250" w:type="pct"/>
            <w:tcBorders>
              <w:tl2br w:val="nil"/>
              <w:tr2bl w:val="nil"/>
            </w:tcBorders>
            <w:noWrap w:val="0"/>
            <w:vAlign w:val="center"/>
          </w:tcPr>
          <w:p w14:paraId="5E77D6F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1</w:t>
            </w:r>
          </w:p>
        </w:tc>
        <w:tc>
          <w:tcPr>
            <w:tcW w:w="858" w:type="pct"/>
            <w:tcBorders>
              <w:tl2br w:val="nil"/>
              <w:tr2bl w:val="nil"/>
            </w:tcBorders>
            <w:noWrap w:val="0"/>
            <w:vAlign w:val="center"/>
          </w:tcPr>
          <w:p w14:paraId="3E0CA0B3">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生态恢复</w:t>
            </w:r>
          </w:p>
        </w:tc>
        <w:tc>
          <w:tcPr>
            <w:tcW w:w="1790" w:type="pct"/>
            <w:tcBorders>
              <w:tl2br w:val="nil"/>
              <w:tr2bl w:val="nil"/>
            </w:tcBorders>
            <w:noWrap w:val="0"/>
            <w:vAlign w:val="center"/>
          </w:tcPr>
          <w:p w14:paraId="3CD5D770">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检查管道沿线生态恢复及水土保持措施落实情况</w:t>
            </w:r>
          </w:p>
        </w:tc>
        <w:tc>
          <w:tcPr>
            <w:tcW w:w="418" w:type="pct"/>
            <w:tcBorders>
              <w:tl2br w:val="nil"/>
              <w:tr2bl w:val="nil"/>
            </w:tcBorders>
            <w:noWrap w:val="0"/>
            <w:vAlign w:val="center"/>
          </w:tcPr>
          <w:p w14:paraId="665598E9">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w:t>
            </w:r>
          </w:p>
        </w:tc>
        <w:tc>
          <w:tcPr>
            <w:tcW w:w="554" w:type="pct"/>
            <w:tcBorders>
              <w:tl2br w:val="nil"/>
              <w:tr2bl w:val="nil"/>
            </w:tcBorders>
            <w:noWrap w:val="0"/>
            <w:vAlign w:val="center"/>
          </w:tcPr>
          <w:p w14:paraId="386ADDB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w:t>
            </w:r>
          </w:p>
        </w:tc>
        <w:tc>
          <w:tcPr>
            <w:tcW w:w="929" w:type="pct"/>
            <w:tcBorders>
              <w:tl2br w:val="nil"/>
              <w:tr2bl w:val="nil"/>
            </w:tcBorders>
            <w:noWrap w:val="0"/>
            <w:vAlign w:val="center"/>
          </w:tcPr>
          <w:p w14:paraId="01FB05E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w:t>
            </w:r>
          </w:p>
        </w:tc>
      </w:tr>
      <w:tr w14:paraId="303FF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000" w:type="pct"/>
            <w:gridSpan w:val="8"/>
            <w:tcBorders>
              <w:tl2br w:val="nil"/>
              <w:tr2bl w:val="nil"/>
            </w:tcBorders>
            <w:noWrap w:val="0"/>
            <w:vAlign w:val="center"/>
          </w:tcPr>
          <w:p w14:paraId="5D9AE1F2">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lang w:val="en-US" w:eastAsia="zh-CN" w:bidi="ar-SA"/>
              </w:rPr>
              <w:t>运营期</w:t>
            </w:r>
          </w:p>
        </w:tc>
      </w:tr>
      <w:tr w14:paraId="70A88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tcBorders>
              <w:tl2br w:val="nil"/>
              <w:tr2bl w:val="nil"/>
            </w:tcBorders>
            <w:noWrap w:val="0"/>
            <w:vAlign w:val="center"/>
          </w:tcPr>
          <w:p w14:paraId="30555A2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类别</w:t>
            </w:r>
          </w:p>
        </w:tc>
        <w:tc>
          <w:tcPr>
            <w:tcW w:w="250" w:type="pct"/>
            <w:tcBorders>
              <w:tl2br w:val="nil"/>
              <w:tr2bl w:val="nil"/>
            </w:tcBorders>
            <w:noWrap w:val="0"/>
            <w:vAlign w:val="center"/>
          </w:tcPr>
          <w:p w14:paraId="4EE3493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序号</w:t>
            </w:r>
          </w:p>
        </w:tc>
        <w:tc>
          <w:tcPr>
            <w:tcW w:w="858" w:type="pct"/>
            <w:tcBorders>
              <w:tl2br w:val="nil"/>
              <w:tr2bl w:val="nil"/>
            </w:tcBorders>
            <w:noWrap w:val="0"/>
            <w:vAlign w:val="center"/>
          </w:tcPr>
          <w:p w14:paraId="0BB12448">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污染源</w:t>
            </w:r>
          </w:p>
        </w:tc>
        <w:tc>
          <w:tcPr>
            <w:tcW w:w="1790" w:type="pct"/>
            <w:tcBorders>
              <w:tl2br w:val="nil"/>
              <w:tr2bl w:val="nil"/>
            </w:tcBorders>
            <w:noWrap w:val="0"/>
            <w:vAlign w:val="center"/>
          </w:tcPr>
          <w:p w14:paraId="1D5375B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环保措施</w:t>
            </w:r>
          </w:p>
        </w:tc>
        <w:tc>
          <w:tcPr>
            <w:tcW w:w="418" w:type="pct"/>
            <w:tcBorders>
              <w:tl2br w:val="nil"/>
              <w:tr2bl w:val="nil"/>
            </w:tcBorders>
            <w:noWrap w:val="0"/>
            <w:vAlign w:val="center"/>
          </w:tcPr>
          <w:p w14:paraId="67E7582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台</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套</w:t>
            </w:r>
            <w:r>
              <w:rPr>
                <w:rFonts w:hint="eastAsia" w:ascii="宋体" w:hAnsi="宋体" w:eastAsia="宋体" w:cs="宋体"/>
                <w:color w:val="auto"/>
                <w:spacing w:val="0"/>
                <w:kern w:val="0"/>
                <w:sz w:val="21"/>
                <w:szCs w:val="21"/>
                <w:highlight w:val="none"/>
                <w:u w:val="none"/>
                <w:lang w:eastAsia="zh-CN"/>
              </w:rPr>
              <w:t>）</w:t>
            </w:r>
          </w:p>
        </w:tc>
        <w:tc>
          <w:tcPr>
            <w:tcW w:w="554" w:type="pct"/>
            <w:tcBorders>
              <w:tl2br w:val="nil"/>
              <w:tr2bl w:val="nil"/>
            </w:tcBorders>
            <w:noWrap w:val="0"/>
            <w:vAlign w:val="center"/>
          </w:tcPr>
          <w:p w14:paraId="1011729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治理效果</w:t>
            </w:r>
          </w:p>
        </w:tc>
        <w:tc>
          <w:tcPr>
            <w:tcW w:w="929" w:type="pct"/>
            <w:tcBorders>
              <w:tl2br w:val="nil"/>
              <w:tr2bl w:val="nil"/>
            </w:tcBorders>
            <w:noWrap w:val="0"/>
            <w:vAlign w:val="center"/>
          </w:tcPr>
          <w:p w14:paraId="645EF42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验收标准</w:t>
            </w:r>
          </w:p>
        </w:tc>
      </w:tr>
      <w:tr w14:paraId="64C08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restart"/>
            <w:tcBorders>
              <w:tl2br w:val="nil"/>
              <w:tr2bl w:val="nil"/>
            </w:tcBorders>
            <w:noWrap w:val="0"/>
            <w:vAlign w:val="center"/>
          </w:tcPr>
          <w:p w14:paraId="134A291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废气</w:t>
            </w:r>
          </w:p>
        </w:tc>
        <w:tc>
          <w:tcPr>
            <w:tcW w:w="250" w:type="pct"/>
            <w:tcBorders>
              <w:tl2br w:val="nil"/>
              <w:tr2bl w:val="nil"/>
            </w:tcBorders>
            <w:noWrap w:val="0"/>
            <w:vAlign w:val="center"/>
          </w:tcPr>
          <w:p w14:paraId="14EDB07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21E31A92">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val="en-US" w:eastAsia="zh-CN"/>
              </w:rPr>
              <w:t>井场、站场</w:t>
            </w:r>
            <w:r>
              <w:rPr>
                <w:rFonts w:hint="eastAsia" w:ascii="宋体" w:hAnsi="宋体" w:eastAsia="宋体" w:cs="宋体"/>
                <w:color w:val="auto"/>
                <w:spacing w:val="0"/>
                <w:kern w:val="0"/>
                <w:sz w:val="21"/>
                <w:szCs w:val="21"/>
                <w:highlight w:val="none"/>
                <w:u w:val="none"/>
              </w:rPr>
              <w:t>无组织废气</w:t>
            </w:r>
          </w:p>
        </w:tc>
        <w:tc>
          <w:tcPr>
            <w:tcW w:w="1790" w:type="pct"/>
            <w:vMerge w:val="restart"/>
            <w:tcBorders>
              <w:tl2br w:val="nil"/>
              <w:tr2bl w:val="nil"/>
            </w:tcBorders>
            <w:noWrap w:val="0"/>
            <w:vAlign w:val="center"/>
          </w:tcPr>
          <w:p w14:paraId="75A64A36">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密闭管道、阀门的检修和维护</w:t>
            </w:r>
            <w:r>
              <w:rPr>
                <w:rFonts w:hint="eastAsia" w:ascii="宋体" w:hAnsi="宋体" w:eastAsia="宋体" w:cs="宋体"/>
                <w:color w:val="auto"/>
                <w:spacing w:val="0"/>
                <w:kern w:val="0"/>
                <w:sz w:val="21"/>
                <w:szCs w:val="21"/>
                <w:highlight w:val="none"/>
                <w:u w:val="none"/>
                <w:lang w:eastAsia="zh-CN"/>
              </w:rPr>
              <w:t>。</w:t>
            </w:r>
          </w:p>
        </w:tc>
        <w:tc>
          <w:tcPr>
            <w:tcW w:w="418" w:type="pct"/>
            <w:tcBorders>
              <w:tl2br w:val="nil"/>
              <w:tr2bl w:val="nil"/>
            </w:tcBorders>
            <w:noWrap w:val="0"/>
            <w:vAlign w:val="center"/>
          </w:tcPr>
          <w:p w14:paraId="126362B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64859C35">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厂</w:t>
            </w:r>
            <w:r>
              <w:rPr>
                <w:rFonts w:hint="eastAsia" w:ascii="宋体" w:hAnsi="宋体" w:eastAsia="宋体" w:cs="宋体"/>
                <w:color w:val="auto"/>
                <w:spacing w:val="0"/>
                <w:kern w:val="0"/>
                <w:sz w:val="21"/>
                <w:szCs w:val="21"/>
                <w:highlight w:val="none"/>
                <w:u w:val="none"/>
              </w:rPr>
              <w:t>界非甲烷总烃≤4.0mg/m</w:t>
            </w:r>
            <w:r>
              <w:rPr>
                <w:rFonts w:hint="eastAsia" w:ascii="宋体" w:hAnsi="宋体" w:eastAsia="宋体" w:cs="宋体"/>
                <w:color w:val="auto"/>
                <w:spacing w:val="0"/>
                <w:kern w:val="0"/>
                <w:sz w:val="21"/>
                <w:szCs w:val="21"/>
                <w:highlight w:val="none"/>
                <w:u w:val="none"/>
                <w:vertAlign w:val="superscript"/>
              </w:rPr>
              <w:t>3</w:t>
            </w:r>
          </w:p>
        </w:tc>
        <w:tc>
          <w:tcPr>
            <w:tcW w:w="929" w:type="pct"/>
            <w:tcBorders>
              <w:tl2br w:val="nil"/>
              <w:tr2bl w:val="nil"/>
            </w:tcBorders>
            <w:noWrap w:val="0"/>
            <w:vAlign w:val="center"/>
          </w:tcPr>
          <w:p w14:paraId="2AF86F1F">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《陆上石油天然气开采工业大气污染物排放标准》（GB39728-</w:t>
            </w:r>
          </w:p>
          <w:p w14:paraId="60CEA3F5">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2020）</w:t>
            </w:r>
          </w:p>
        </w:tc>
      </w:tr>
      <w:tr w14:paraId="5E283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16D873F2">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0C12E88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cs="宋体"/>
                <w:color w:val="auto"/>
                <w:spacing w:val="0"/>
                <w:kern w:val="0"/>
                <w:sz w:val="21"/>
                <w:szCs w:val="21"/>
                <w:highlight w:val="none"/>
                <w:u w:val="none"/>
                <w:lang w:val="en-US" w:eastAsia="zh-CN"/>
              </w:rPr>
              <w:t>2</w:t>
            </w:r>
          </w:p>
        </w:tc>
        <w:tc>
          <w:tcPr>
            <w:tcW w:w="858" w:type="pct"/>
            <w:tcBorders>
              <w:tl2br w:val="nil"/>
              <w:tr2bl w:val="nil"/>
            </w:tcBorders>
            <w:noWrap w:val="0"/>
            <w:vAlign w:val="center"/>
          </w:tcPr>
          <w:p w14:paraId="6B74B05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无组织硫化氢</w:t>
            </w:r>
          </w:p>
        </w:tc>
        <w:tc>
          <w:tcPr>
            <w:tcW w:w="1790" w:type="pct"/>
            <w:vMerge w:val="continue"/>
            <w:tcBorders>
              <w:tl2br w:val="nil"/>
              <w:tr2bl w:val="nil"/>
            </w:tcBorders>
            <w:noWrap w:val="0"/>
            <w:vAlign w:val="center"/>
          </w:tcPr>
          <w:p w14:paraId="6E87973F">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rPr>
            </w:pPr>
          </w:p>
        </w:tc>
        <w:tc>
          <w:tcPr>
            <w:tcW w:w="418" w:type="pct"/>
            <w:tcBorders>
              <w:tl2br w:val="nil"/>
              <w:tr2bl w:val="nil"/>
            </w:tcBorders>
            <w:noWrap w:val="0"/>
            <w:vAlign w:val="center"/>
          </w:tcPr>
          <w:p w14:paraId="1CCA75E6">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cs="宋体"/>
                <w:color w:val="auto"/>
                <w:spacing w:val="0"/>
                <w:kern w:val="0"/>
                <w:sz w:val="21"/>
                <w:szCs w:val="21"/>
                <w:highlight w:val="none"/>
                <w:u w:val="none"/>
                <w:lang w:val="en-US" w:eastAsia="zh-CN"/>
              </w:rPr>
              <w:t>-</w:t>
            </w:r>
          </w:p>
        </w:tc>
        <w:tc>
          <w:tcPr>
            <w:tcW w:w="554" w:type="pct"/>
            <w:tcBorders>
              <w:tl2br w:val="nil"/>
              <w:tr2bl w:val="nil"/>
            </w:tcBorders>
            <w:noWrap w:val="0"/>
            <w:vAlign w:val="center"/>
          </w:tcPr>
          <w:p w14:paraId="11BC4E9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cs="宋体"/>
                <w:color w:val="auto"/>
                <w:spacing w:val="0"/>
                <w:kern w:val="0"/>
                <w:sz w:val="21"/>
                <w:szCs w:val="21"/>
                <w:highlight w:val="none"/>
                <w:u w:val="none"/>
                <w:lang w:val="en-US" w:eastAsia="zh-CN"/>
              </w:rPr>
              <w:t>0.06</w:t>
            </w:r>
            <w:r>
              <w:rPr>
                <w:rFonts w:hint="eastAsia" w:ascii="宋体" w:hAnsi="宋体" w:eastAsia="宋体" w:cs="宋体"/>
                <w:color w:val="auto"/>
                <w:spacing w:val="0"/>
                <w:kern w:val="0"/>
                <w:sz w:val="21"/>
                <w:szCs w:val="21"/>
                <w:highlight w:val="none"/>
                <w:u w:val="none"/>
              </w:rPr>
              <w:t>mg/m</w:t>
            </w:r>
            <w:r>
              <w:rPr>
                <w:rFonts w:hint="eastAsia" w:ascii="宋体" w:hAnsi="宋体" w:eastAsia="宋体" w:cs="宋体"/>
                <w:color w:val="auto"/>
                <w:spacing w:val="0"/>
                <w:kern w:val="0"/>
                <w:sz w:val="21"/>
                <w:szCs w:val="21"/>
                <w:highlight w:val="none"/>
                <w:u w:val="none"/>
                <w:vertAlign w:val="superscript"/>
              </w:rPr>
              <w:t>3</w:t>
            </w:r>
          </w:p>
        </w:tc>
        <w:tc>
          <w:tcPr>
            <w:tcW w:w="929" w:type="pct"/>
            <w:tcBorders>
              <w:tl2br w:val="nil"/>
              <w:tr2bl w:val="nil"/>
            </w:tcBorders>
            <w:noWrap w:val="0"/>
            <w:vAlign w:val="center"/>
          </w:tcPr>
          <w:p w14:paraId="79570D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b w:val="0"/>
                <w:bCs w:val="0"/>
                <w:color w:val="auto"/>
                <w:spacing w:val="0"/>
                <w:kern w:val="0"/>
                <w:sz w:val="21"/>
                <w:szCs w:val="21"/>
                <w:highlight w:val="none"/>
                <w:u w:val="none"/>
              </w:rPr>
              <w:t>《恶臭污染物排放标准》（GB14554-93）</w:t>
            </w:r>
          </w:p>
        </w:tc>
      </w:tr>
      <w:tr w14:paraId="3089F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restart"/>
            <w:tcBorders>
              <w:tl2br w:val="nil"/>
              <w:tr2bl w:val="nil"/>
            </w:tcBorders>
            <w:noWrap w:val="0"/>
            <w:vAlign w:val="center"/>
          </w:tcPr>
          <w:p w14:paraId="74F8E2B7">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废水</w:t>
            </w:r>
          </w:p>
        </w:tc>
        <w:tc>
          <w:tcPr>
            <w:tcW w:w="250" w:type="pct"/>
            <w:tcBorders>
              <w:tl2br w:val="nil"/>
              <w:tr2bl w:val="nil"/>
            </w:tcBorders>
            <w:noWrap w:val="0"/>
            <w:vAlign w:val="center"/>
          </w:tcPr>
          <w:p w14:paraId="406EBA42">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1</w:t>
            </w:r>
          </w:p>
        </w:tc>
        <w:tc>
          <w:tcPr>
            <w:tcW w:w="858" w:type="pct"/>
            <w:tcBorders>
              <w:tl2br w:val="nil"/>
              <w:tr2bl w:val="nil"/>
            </w:tcBorders>
            <w:noWrap w:val="0"/>
            <w:vAlign w:val="center"/>
          </w:tcPr>
          <w:p w14:paraId="10A9FD98">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采出水</w:t>
            </w:r>
          </w:p>
        </w:tc>
        <w:tc>
          <w:tcPr>
            <w:tcW w:w="1790" w:type="pct"/>
            <w:tcBorders>
              <w:tl2br w:val="nil"/>
              <w:tr2bl w:val="nil"/>
            </w:tcBorders>
            <w:noWrap w:val="0"/>
            <w:vAlign w:val="center"/>
          </w:tcPr>
          <w:p w14:paraId="4D15AD2F">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采出水依托</w:t>
            </w:r>
            <w:r>
              <w:rPr>
                <w:rFonts w:hint="eastAsia" w:ascii="宋体" w:hAnsi="宋体" w:cs="宋体"/>
                <w:color w:val="auto"/>
                <w:spacing w:val="0"/>
                <w:kern w:val="0"/>
                <w:sz w:val="21"/>
                <w:szCs w:val="21"/>
                <w:highlight w:val="none"/>
                <w:u w:val="none"/>
                <w:lang w:val="en-US" w:eastAsia="zh-CN"/>
              </w:rPr>
              <w:t>莫北转油站采出水处理系统</w:t>
            </w:r>
            <w:r>
              <w:rPr>
                <w:rFonts w:hint="eastAsia" w:ascii="宋体" w:hAnsi="宋体" w:eastAsia="宋体" w:cs="宋体"/>
                <w:color w:val="auto"/>
                <w:spacing w:val="0"/>
                <w:kern w:val="0"/>
                <w:sz w:val="21"/>
                <w:szCs w:val="21"/>
                <w:highlight w:val="none"/>
                <w:u w:val="none"/>
              </w:rPr>
              <w:t>处理。</w:t>
            </w:r>
          </w:p>
        </w:tc>
        <w:tc>
          <w:tcPr>
            <w:tcW w:w="418" w:type="pct"/>
            <w:tcBorders>
              <w:tl2br w:val="nil"/>
              <w:tr2bl w:val="nil"/>
            </w:tcBorders>
            <w:noWrap w:val="0"/>
            <w:vAlign w:val="center"/>
          </w:tcPr>
          <w:p w14:paraId="1D6D780A">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0BC5C1D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不外排</w:t>
            </w:r>
          </w:p>
        </w:tc>
        <w:tc>
          <w:tcPr>
            <w:tcW w:w="929" w:type="pct"/>
            <w:vMerge w:val="restart"/>
            <w:tcBorders>
              <w:tl2br w:val="nil"/>
              <w:tr2bl w:val="nil"/>
            </w:tcBorders>
            <w:noWrap w:val="0"/>
            <w:vAlign w:val="center"/>
          </w:tcPr>
          <w:p w14:paraId="7C76BD61">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《碎屑岩油藏注水水质指标技术要求及分析方法》（SY/T5329-2022）</w:t>
            </w:r>
          </w:p>
        </w:tc>
      </w:tr>
      <w:tr w14:paraId="2293D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0FFB2E5E">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p>
        </w:tc>
        <w:tc>
          <w:tcPr>
            <w:tcW w:w="250" w:type="pct"/>
            <w:tcBorders>
              <w:tl2br w:val="nil"/>
              <w:tr2bl w:val="nil"/>
            </w:tcBorders>
            <w:noWrap w:val="0"/>
            <w:vAlign w:val="center"/>
          </w:tcPr>
          <w:p w14:paraId="5809D291">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2</w:t>
            </w:r>
          </w:p>
        </w:tc>
        <w:tc>
          <w:tcPr>
            <w:tcW w:w="858" w:type="pct"/>
            <w:tcBorders>
              <w:tl2br w:val="nil"/>
              <w:tr2bl w:val="nil"/>
            </w:tcBorders>
            <w:noWrap w:val="0"/>
            <w:vAlign w:val="center"/>
          </w:tcPr>
          <w:p w14:paraId="27EAD344">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井下作业废水</w:t>
            </w:r>
          </w:p>
        </w:tc>
        <w:tc>
          <w:tcPr>
            <w:tcW w:w="1790" w:type="pct"/>
            <w:tcBorders>
              <w:tl2br w:val="nil"/>
              <w:tr2bl w:val="nil"/>
            </w:tcBorders>
            <w:noWrap w:val="0"/>
            <w:vAlign w:val="center"/>
          </w:tcPr>
          <w:p w14:paraId="0EA86FE7">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采用专用罐回收作业废水，拉运至石西集中处理站采出水处理系统处理。</w:t>
            </w:r>
          </w:p>
        </w:tc>
        <w:tc>
          <w:tcPr>
            <w:tcW w:w="418" w:type="pct"/>
            <w:tcBorders>
              <w:tl2br w:val="nil"/>
              <w:tr2bl w:val="nil"/>
            </w:tcBorders>
            <w:noWrap w:val="0"/>
            <w:vAlign w:val="center"/>
          </w:tcPr>
          <w:p w14:paraId="1398256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73569B1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不外排</w:t>
            </w:r>
          </w:p>
        </w:tc>
        <w:tc>
          <w:tcPr>
            <w:tcW w:w="929" w:type="pct"/>
            <w:vMerge w:val="continue"/>
            <w:tcBorders>
              <w:tl2br w:val="nil"/>
              <w:tr2bl w:val="nil"/>
            </w:tcBorders>
            <w:noWrap w:val="0"/>
            <w:vAlign w:val="center"/>
          </w:tcPr>
          <w:p w14:paraId="0234EB7C">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0"/>
                <w:sz w:val="21"/>
                <w:szCs w:val="21"/>
                <w:highlight w:val="none"/>
                <w:u w:val="none"/>
              </w:rPr>
            </w:pPr>
          </w:p>
        </w:tc>
      </w:tr>
      <w:tr w14:paraId="21BA9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tcBorders>
              <w:tl2br w:val="nil"/>
              <w:tr2bl w:val="nil"/>
            </w:tcBorders>
            <w:noWrap w:val="0"/>
            <w:vAlign w:val="center"/>
          </w:tcPr>
          <w:p w14:paraId="0B483596">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噪声</w:t>
            </w:r>
          </w:p>
        </w:tc>
        <w:tc>
          <w:tcPr>
            <w:tcW w:w="250" w:type="pct"/>
            <w:tcBorders>
              <w:tl2br w:val="nil"/>
              <w:tr2bl w:val="nil"/>
            </w:tcBorders>
            <w:noWrap w:val="0"/>
            <w:vAlign w:val="center"/>
          </w:tcPr>
          <w:p w14:paraId="1FB34C1A">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531C651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rPr>
              <w:t>井场</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lang w:val="en-US" w:eastAsia="zh-CN"/>
              </w:rPr>
              <w:t>站场</w:t>
            </w:r>
          </w:p>
        </w:tc>
        <w:tc>
          <w:tcPr>
            <w:tcW w:w="1790" w:type="pct"/>
            <w:tcBorders>
              <w:tl2br w:val="nil"/>
              <w:tr2bl w:val="nil"/>
            </w:tcBorders>
            <w:noWrap w:val="0"/>
            <w:vAlign w:val="center"/>
          </w:tcPr>
          <w:p w14:paraId="6ADD4F5F">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基础减震</w:t>
            </w:r>
          </w:p>
        </w:tc>
        <w:tc>
          <w:tcPr>
            <w:tcW w:w="418" w:type="pct"/>
            <w:tcBorders>
              <w:tl2br w:val="nil"/>
              <w:tr2bl w:val="nil"/>
            </w:tcBorders>
            <w:noWrap w:val="0"/>
            <w:vAlign w:val="center"/>
          </w:tcPr>
          <w:p w14:paraId="5D9A2057">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04E7044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昼间≤60dB(A)</w:t>
            </w:r>
          </w:p>
          <w:p w14:paraId="67A04E15">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夜间≤50dB(A)</w:t>
            </w:r>
          </w:p>
        </w:tc>
        <w:tc>
          <w:tcPr>
            <w:tcW w:w="929" w:type="pct"/>
            <w:tcBorders>
              <w:tl2br w:val="nil"/>
              <w:tr2bl w:val="nil"/>
            </w:tcBorders>
            <w:noWrap w:val="0"/>
            <w:vAlign w:val="center"/>
          </w:tcPr>
          <w:p w14:paraId="49234EB8">
            <w:pPr>
              <w:keepNext w:val="0"/>
              <w:keepLines w:val="0"/>
              <w:pageBreakBefore w:val="0"/>
              <w:widowControl w:val="0"/>
              <w:kinsoku/>
              <w:wordWrap w:val="0"/>
              <w:overflowPunct/>
              <w:topLinePunct w:val="0"/>
              <w:autoSpaceDE/>
              <w:autoSpaceDN/>
              <w:bidi w:val="0"/>
              <w:adjustRightInd/>
              <w:snapToGrid/>
              <w:spacing w:line="400" w:lineRule="exact"/>
              <w:ind w:left="-80" w:leftChars="-38" w:right="-88" w:rightChars="-42"/>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《工业企业厂界环境噪声排放标准》(GB12348-2008)</w:t>
            </w:r>
          </w:p>
          <w:p w14:paraId="2E09BADB">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2类区排放限值</w:t>
            </w:r>
          </w:p>
        </w:tc>
      </w:tr>
      <w:tr w14:paraId="2CA9B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restart"/>
            <w:tcBorders>
              <w:tl2br w:val="nil"/>
              <w:tr2bl w:val="nil"/>
            </w:tcBorders>
            <w:noWrap w:val="0"/>
            <w:vAlign w:val="center"/>
          </w:tcPr>
          <w:p w14:paraId="70379C7C">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固废</w:t>
            </w:r>
          </w:p>
        </w:tc>
        <w:tc>
          <w:tcPr>
            <w:tcW w:w="250" w:type="pct"/>
            <w:tcBorders>
              <w:tl2br w:val="nil"/>
              <w:tr2bl w:val="nil"/>
            </w:tcBorders>
            <w:noWrap w:val="0"/>
            <w:vAlign w:val="center"/>
          </w:tcPr>
          <w:p w14:paraId="541D55E6">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1</w:t>
            </w:r>
          </w:p>
        </w:tc>
        <w:tc>
          <w:tcPr>
            <w:tcW w:w="858" w:type="pct"/>
            <w:tcBorders>
              <w:tl2br w:val="nil"/>
              <w:tr2bl w:val="nil"/>
            </w:tcBorders>
            <w:noWrap w:val="0"/>
            <w:vAlign w:val="center"/>
          </w:tcPr>
          <w:p w14:paraId="1D50072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b w:val="0"/>
                <w:bCs w:val="0"/>
                <w:color w:val="auto"/>
                <w:spacing w:val="0"/>
                <w:kern w:val="0"/>
                <w:sz w:val="21"/>
                <w:szCs w:val="21"/>
                <w:highlight w:val="none"/>
                <w:u w:val="none"/>
                <w:lang w:val="en-US" w:eastAsia="zh-CN"/>
              </w:rPr>
              <w:t>油泥（砂）、</w:t>
            </w:r>
            <w:r>
              <w:rPr>
                <w:rFonts w:hint="eastAsia" w:ascii="宋体" w:hAnsi="宋体" w:eastAsia="宋体" w:cs="宋体"/>
                <w:b w:val="0"/>
                <w:bCs w:val="0"/>
                <w:color w:val="auto"/>
                <w:spacing w:val="0"/>
                <w:kern w:val="0"/>
                <w:sz w:val="21"/>
                <w:szCs w:val="21"/>
                <w:highlight w:val="none"/>
                <w:u w:val="none"/>
              </w:rPr>
              <w:t>清管废渣</w:t>
            </w:r>
            <w:r>
              <w:rPr>
                <w:rFonts w:hint="eastAsia" w:ascii="宋体" w:hAnsi="宋体" w:eastAsia="宋体" w:cs="宋体"/>
                <w:b w:val="0"/>
                <w:bCs w:val="0"/>
                <w:color w:val="auto"/>
                <w:spacing w:val="0"/>
                <w:kern w:val="0"/>
                <w:sz w:val="21"/>
                <w:szCs w:val="21"/>
                <w:highlight w:val="none"/>
                <w:u w:val="none"/>
                <w:lang w:eastAsia="zh-CN"/>
              </w:rPr>
              <w:t>、废防渗材料、废弃的含油抹布、劳保用品</w:t>
            </w:r>
          </w:p>
        </w:tc>
        <w:tc>
          <w:tcPr>
            <w:tcW w:w="1790" w:type="pct"/>
            <w:tcBorders>
              <w:tl2br w:val="nil"/>
              <w:tr2bl w:val="nil"/>
            </w:tcBorders>
            <w:noWrap w:val="0"/>
            <w:vAlign w:val="center"/>
          </w:tcPr>
          <w:p w14:paraId="130B48B2">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b w:val="0"/>
                <w:bCs w:val="0"/>
                <w:color w:val="auto"/>
                <w:spacing w:val="0"/>
                <w:kern w:val="0"/>
                <w:sz w:val="21"/>
                <w:szCs w:val="21"/>
                <w:highlight w:val="none"/>
                <w:u w:val="none"/>
              </w:rPr>
              <w:t>委托具有相关危废处置资质的单位处置</w:t>
            </w:r>
            <w:r>
              <w:rPr>
                <w:rFonts w:hint="eastAsia" w:ascii="宋体" w:hAnsi="宋体" w:eastAsia="宋体" w:cs="宋体"/>
                <w:b w:val="0"/>
                <w:bCs w:val="0"/>
                <w:color w:val="auto"/>
                <w:spacing w:val="0"/>
                <w:kern w:val="0"/>
                <w:sz w:val="21"/>
                <w:szCs w:val="21"/>
                <w:highlight w:val="none"/>
                <w:u w:val="none"/>
                <w:lang w:eastAsia="zh-CN"/>
              </w:rPr>
              <w:t>。</w:t>
            </w:r>
          </w:p>
        </w:tc>
        <w:tc>
          <w:tcPr>
            <w:tcW w:w="418" w:type="pct"/>
            <w:tcBorders>
              <w:tl2br w:val="nil"/>
              <w:tr2bl w:val="nil"/>
            </w:tcBorders>
            <w:noWrap w:val="0"/>
            <w:vAlign w:val="center"/>
          </w:tcPr>
          <w:p w14:paraId="344084D5">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51A24C45">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53A1DD4C">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《危险废物贮存污染控制标准》（GB18597-20</w:t>
            </w:r>
            <w:r>
              <w:rPr>
                <w:rFonts w:hint="eastAsia" w:ascii="宋体" w:hAnsi="宋体" w:eastAsia="宋体" w:cs="宋体"/>
                <w:color w:val="auto"/>
                <w:spacing w:val="0"/>
                <w:kern w:val="0"/>
                <w:sz w:val="21"/>
                <w:szCs w:val="21"/>
                <w:highlight w:val="none"/>
                <w:u w:val="none"/>
                <w:lang w:val="en-US" w:eastAsia="zh-CN"/>
              </w:rPr>
              <w:t>23</w:t>
            </w:r>
            <w:r>
              <w:rPr>
                <w:rFonts w:hint="eastAsia" w:ascii="宋体" w:hAnsi="宋体" w:eastAsia="宋体" w:cs="宋体"/>
                <w:color w:val="auto"/>
                <w:spacing w:val="0"/>
                <w:kern w:val="0"/>
                <w:sz w:val="21"/>
                <w:szCs w:val="21"/>
                <w:highlight w:val="none"/>
                <w:u w:val="none"/>
              </w:rPr>
              <w:t>）</w:t>
            </w:r>
          </w:p>
        </w:tc>
      </w:tr>
      <w:tr w14:paraId="56812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5A74863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07A9867D">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2</w:t>
            </w:r>
          </w:p>
        </w:tc>
        <w:tc>
          <w:tcPr>
            <w:tcW w:w="858" w:type="pct"/>
            <w:tcBorders>
              <w:tl2br w:val="nil"/>
              <w:tr2bl w:val="nil"/>
            </w:tcBorders>
            <w:noWrap w:val="0"/>
            <w:vAlign w:val="center"/>
          </w:tcPr>
          <w:p w14:paraId="22D8E3C1">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b w:val="0"/>
                <w:bCs w:val="0"/>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落地油</w:t>
            </w:r>
          </w:p>
        </w:tc>
        <w:tc>
          <w:tcPr>
            <w:tcW w:w="1790" w:type="pct"/>
            <w:tcBorders>
              <w:tl2br w:val="nil"/>
              <w:tr2bl w:val="nil"/>
            </w:tcBorders>
            <w:noWrap w:val="0"/>
            <w:vAlign w:val="center"/>
          </w:tcPr>
          <w:p w14:paraId="074B6E69">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b w:val="0"/>
                <w:bCs w:val="0"/>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eastAsia="zh-CN"/>
              </w:rPr>
              <w:t>落地油100%回收，回收后的落地油运至石西集中处理站原油处理系统进行处理。</w:t>
            </w:r>
          </w:p>
        </w:tc>
        <w:tc>
          <w:tcPr>
            <w:tcW w:w="418" w:type="pct"/>
            <w:tcBorders>
              <w:tl2br w:val="nil"/>
              <w:tr2bl w:val="nil"/>
            </w:tcBorders>
            <w:noWrap w:val="0"/>
            <w:vAlign w:val="center"/>
          </w:tcPr>
          <w:p w14:paraId="3DC6BBC5">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val="en-US" w:eastAsia="zh-CN"/>
              </w:rPr>
              <w:t>-</w:t>
            </w:r>
          </w:p>
        </w:tc>
        <w:tc>
          <w:tcPr>
            <w:tcW w:w="554" w:type="pct"/>
            <w:tcBorders>
              <w:tl2br w:val="nil"/>
              <w:tr2bl w:val="nil"/>
            </w:tcBorders>
            <w:noWrap w:val="0"/>
            <w:vAlign w:val="center"/>
          </w:tcPr>
          <w:p w14:paraId="7DE070C7">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val="en-US" w:eastAsia="zh-CN"/>
              </w:rPr>
              <w:t>-</w:t>
            </w:r>
          </w:p>
        </w:tc>
        <w:tc>
          <w:tcPr>
            <w:tcW w:w="929" w:type="pct"/>
            <w:tcBorders>
              <w:tl2br w:val="nil"/>
              <w:tr2bl w:val="nil"/>
            </w:tcBorders>
            <w:noWrap w:val="0"/>
            <w:vAlign w:val="center"/>
          </w:tcPr>
          <w:p w14:paraId="0D5B7614">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val="en-US" w:eastAsia="zh-CN"/>
              </w:rPr>
              <w:t>-</w:t>
            </w:r>
          </w:p>
        </w:tc>
      </w:tr>
      <w:tr w14:paraId="3939C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restart"/>
            <w:tcBorders>
              <w:tl2br w:val="nil"/>
              <w:tr2bl w:val="nil"/>
            </w:tcBorders>
            <w:noWrap w:val="0"/>
            <w:vAlign w:val="center"/>
          </w:tcPr>
          <w:p w14:paraId="3EF0C4A6">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防渗</w:t>
            </w:r>
          </w:p>
        </w:tc>
        <w:tc>
          <w:tcPr>
            <w:tcW w:w="250" w:type="pct"/>
            <w:tcBorders>
              <w:tl2br w:val="nil"/>
              <w:tr2bl w:val="nil"/>
            </w:tcBorders>
            <w:noWrap w:val="0"/>
            <w:vAlign w:val="center"/>
          </w:tcPr>
          <w:p w14:paraId="4C7111A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6C95E4F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井场、站场</w:t>
            </w:r>
            <w:r>
              <w:rPr>
                <w:rFonts w:hint="eastAsia" w:ascii="宋体" w:hAnsi="宋体" w:eastAsia="宋体" w:cs="宋体"/>
                <w:color w:val="auto"/>
                <w:spacing w:val="0"/>
                <w:kern w:val="0"/>
                <w:sz w:val="21"/>
                <w:szCs w:val="21"/>
                <w:highlight w:val="none"/>
                <w:u w:val="none"/>
              </w:rPr>
              <w:t>永久占地</w:t>
            </w:r>
          </w:p>
        </w:tc>
        <w:tc>
          <w:tcPr>
            <w:tcW w:w="1790" w:type="pct"/>
            <w:tcBorders>
              <w:tl2br w:val="nil"/>
              <w:tr2bl w:val="nil"/>
            </w:tcBorders>
            <w:noWrap w:val="0"/>
            <w:vAlign w:val="center"/>
          </w:tcPr>
          <w:p w14:paraId="6ADA9BE6">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实施地面硬化</w:t>
            </w:r>
          </w:p>
        </w:tc>
        <w:tc>
          <w:tcPr>
            <w:tcW w:w="418" w:type="pct"/>
            <w:tcBorders>
              <w:tl2br w:val="nil"/>
              <w:tr2bl w:val="nil"/>
            </w:tcBorders>
            <w:noWrap w:val="0"/>
            <w:vAlign w:val="center"/>
          </w:tcPr>
          <w:p w14:paraId="1153F167">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w:t>
            </w:r>
          </w:p>
        </w:tc>
        <w:tc>
          <w:tcPr>
            <w:tcW w:w="554" w:type="pct"/>
            <w:tcBorders>
              <w:tl2br w:val="nil"/>
              <w:tr2bl w:val="nil"/>
            </w:tcBorders>
            <w:noWrap w:val="0"/>
            <w:vAlign w:val="center"/>
          </w:tcPr>
          <w:p w14:paraId="1A0E7611">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地面硬化</w:t>
            </w:r>
          </w:p>
        </w:tc>
        <w:tc>
          <w:tcPr>
            <w:tcW w:w="929" w:type="pct"/>
            <w:tcBorders>
              <w:tl2br w:val="nil"/>
              <w:tr2bl w:val="nil"/>
            </w:tcBorders>
            <w:noWrap w:val="0"/>
            <w:vAlign w:val="center"/>
          </w:tcPr>
          <w:p w14:paraId="2016E230">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r>
      <w:tr w14:paraId="3D1F0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08F0601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1E67155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2</w:t>
            </w:r>
          </w:p>
        </w:tc>
        <w:tc>
          <w:tcPr>
            <w:tcW w:w="858" w:type="pct"/>
            <w:tcBorders>
              <w:tl2br w:val="nil"/>
              <w:tr2bl w:val="nil"/>
            </w:tcBorders>
            <w:noWrap w:val="0"/>
            <w:vAlign w:val="center"/>
          </w:tcPr>
          <w:p w14:paraId="49CAA71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管道防腐</w:t>
            </w:r>
          </w:p>
        </w:tc>
        <w:tc>
          <w:tcPr>
            <w:tcW w:w="1790" w:type="pct"/>
            <w:tcBorders>
              <w:tl2br w:val="nil"/>
              <w:tr2bl w:val="nil"/>
            </w:tcBorders>
            <w:noWrap w:val="0"/>
            <w:vAlign w:val="center"/>
          </w:tcPr>
          <w:p w14:paraId="07ED41AA">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管道钢接头部分做好外防腐</w:t>
            </w:r>
          </w:p>
        </w:tc>
        <w:tc>
          <w:tcPr>
            <w:tcW w:w="418" w:type="pct"/>
            <w:tcBorders>
              <w:tl2br w:val="nil"/>
              <w:tr2bl w:val="nil"/>
            </w:tcBorders>
            <w:noWrap w:val="0"/>
            <w:vAlign w:val="center"/>
          </w:tcPr>
          <w:p w14:paraId="57404F6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w:t>
            </w:r>
          </w:p>
        </w:tc>
        <w:tc>
          <w:tcPr>
            <w:tcW w:w="554" w:type="pct"/>
            <w:tcBorders>
              <w:tl2br w:val="nil"/>
              <w:tr2bl w:val="nil"/>
            </w:tcBorders>
            <w:noWrap w:val="0"/>
            <w:vAlign w:val="center"/>
          </w:tcPr>
          <w:p w14:paraId="5E13FBA4">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防腐性能良好</w:t>
            </w:r>
          </w:p>
        </w:tc>
        <w:tc>
          <w:tcPr>
            <w:tcW w:w="929" w:type="pct"/>
            <w:tcBorders>
              <w:tl2br w:val="nil"/>
              <w:tr2bl w:val="nil"/>
            </w:tcBorders>
            <w:noWrap w:val="0"/>
            <w:vAlign w:val="center"/>
          </w:tcPr>
          <w:p w14:paraId="2A38E46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r>
              <w:rPr>
                <w:rFonts w:hint="eastAsia" w:ascii="宋体" w:hAnsi="宋体" w:eastAsia="宋体" w:cs="宋体"/>
                <w:snapToGrid w:val="0"/>
                <w:color w:val="auto"/>
                <w:spacing w:val="0"/>
                <w:kern w:val="0"/>
                <w:sz w:val="21"/>
                <w:szCs w:val="21"/>
                <w:highlight w:val="none"/>
                <w:u w:val="none"/>
              </w:rPr>
              <w:t>-</w:t>
            </w:r>
          </w:p>
        </w:tc>
      </w:tr>
      <w:tr w14:paraId="57485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9" w:type="pct"/>
            <w:gridSpan w:val="3"/>
            <w:tcBorders>
              <w:tl2br w:val="nil"/>
              <w:tr2bl w:val="nil"/>
            </w:tcBorders>
            <w:noWrap w:val="0"/>
            <w:vAlign w:val="center"/>
          </w:tcPr>
          <w:p w14:paraId="4517FF3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风险防范措施</w:t>
            </w:r>
          </w:p>
        </w:tc>
        <w:tc>
          <w:tcPr>
            <w:tcW w:w="858" w:type="pct"/>
            <w:tcBorders>
              <w:tl2br w:val="nil"/>
              <w:tr2bl w:val="nil"/>
            </w:tcBorders>
            <w:noWrap w:val="0"/>
            <w:vAlign w:val="center"/>
          </w:tcPr>
          <w:p w14:paraId="32F8E98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lang w:val="en-US" w:eastAsia="zh-CN"/>
              </w:rPr>
              <w:t>井场、站</w:t>
            </w:r>
            <w:r>
              <w:rPr>
                <w:rFonts w:hint="eastAsia" w:ascii="宋体" w:hAnsi="宋体" w:eastAsia="宋体" w:cs="宋体"/>
                <w:color w:val="auto"/>
                <w:spacing w:val="0"/>
                <w:kern w:val="0"/>
                <w:sz w:val="21"/>
                <w:szCs w:val="21"/>
                <w:highlight w:val="none"/>
                <w:u w:val="none"/>
              </w:rPr>
              <w:t>场</w:t>
            </w:r>
          </w:p>
        </w:tc>
        <w:tc>
          <w:tcPr>
            <w:tcW w:w="1790" w:type="pct"/>
            <w:tcBorders>
              <w:tl2br w:val="nil"/>
              <w:tr2bl w:val="nil"/>
            </w:tcBorders>
            <w:noWrap w:val="0"/>
            <w:vAlign w:val="center"/>
          </w:tcPr>
          <w:p w14:paraId="2E2197D4">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设置可燃</w:t>
            </w:r>
            <w:r>
              <w:rPr>
                <w:rFonts w:hint="eastAsia" w:ascii="宋体" w:hAnsi="宋体" w:eastAsia="宋体" w:cs="宋体"/>
                <w:snapToGrid w:val="0"/>
                <w:color w:val="auto"/>
                <w:spacing w:val="0"/>
                <w:kern w:val="0"/>
                <w:sz w:val="21"/>
                <w:szCs w:val="21"/>
                <w:highlight w:val="none"/>
                <w:u w:val="none"/>
              </w:rPr>
              <w:t>气体检测报警仪、消防器材、警戒标语标牌</w:t>
            </w:r>
            <w:r>
              <w:rPr>
                <w:rFonts w:hint="eastAsia" w:ascii="宋体" w:hAnsi="宋体" w:eastAsia="宋体" w:cs="宋体"/>
                <w:snapToGrid w:val="0"/>
                <w:color w:val="auto"/>
                <w:spacing w:val="0"/>
                <w:kern w:val="0"/>
                <w:sz w:val="21"/>
                <w:szCs w:val="21"/>
                <w:highlight w:val="none"/>
                <w:u w:val="none"/>
                <w:lang w:eastAsia="zh-CN"/>
              </w:rPr>
              <w:t>。</w:t>
            </w:r>
          </w:p>
        </w:tc>
        <w:tc>
          <w:tcPr>
            <w:tcW w:w="418" w:type="pct"/>
            <w:tcBorders>
              <w:tl2br w:val="nil"/>
              <w:tr2bl w:val="nil"/>
            </w:tcBorders>
            <w:noWrap w:val="0"/>
            <w:vAlign w:val="center"/>
          </w:tcPr>
          <w:p w14:paraId="7B45440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5200D63E">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snapToGrid w:val="0"/>
                <w:color w:val="auto"/>
                <w:spacing w:val="0"/>
                <w:kern w:val="0"/>
                <w:sz w:val="21"/>
                <w:szCs w:val="21"/>
                <w:highlight w:val="none"/>
                <w:u w:val="none"/>
              </w:rPr>
              <w:t>风险防范设施数量按照消防、安全等相关要求设置</w:t>
            </w:r>
          </w:p>
        </w:tc>
        <w:tc>
          <w:tcPr>
            <w:tcW w:w="929" w:type="pct"/>
            <w:tcBorders>
              <w:tl2br w:val="nil"/>
              <w:tr2bl w:val="nil"/>
            </w:tcBorders>
            <w:noWrap w:val="0"/>
            <w:vAlign w:val="center"/>
          </w:tcPr>
          <w:p w14:paraId="0FDF3343">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p>
        </w:tc>
      </w:tr>
      <w:tr w14:paraId="7EFAE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98" w:type="pct"/>
            <w:gridSpan w:val="2"/>
            <w:vMerge w:val="restart"/>
            <w:tcBorders>
              <w:tl2br w:val="nil"/>
              <w:tr2bl w:val="nil"/>
            </w:tcBorders>
            <w:noWrap w:val="0"/>
            <w:vAlign w:val="center"/>
          </w:tcPr>
          <w:p w14:paraId="45D32E93">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环境管理与监测</w:t>
            </w:r>
          </w:p>
        </w:tc>
        <w:tc>
          <w:tcPr>
            <w:tcW w:w="250" w:type="pct"/>
            <w:tcBorders>
              <w:tl2br w:val="nil"/>
              <w:tr2bl w:val="nil"/>
            </w:tcBorders>
            <w:noWrap w:val="0"/>
            <w:vAlign w:val="center"/>
          </w:tcPr>
          <w:p w14:paraId="0EB2D029">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634742F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排污口规范化</w:t>
            </w:r>
          </w:p>
        </w:tc>
        <w:tc>
          <w:tcPr>
            <w:tcW w:w="1790" w:type="pct"/>
            <w:tcBorders>
              <w:tl2br w:val="nil"/>
              <w:tr2bl w:val="nil"/>
            </w:tcBorders>
            <w:noWrap w:val="0"/>
            <w:vAlign w:val="center"/>
          </w:tcPr>
          <w:p w14:paraId="2E8B86A2">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按照《排污口规范化整治技术要求</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试行</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环境保护图形标志》及排污许可技术规范等文件规范排污口设置</w:t>
            </w:r>
            <w:r>
              <w:rPr>
                <w:rFonts w:hint="eastAsia" w:ascii="宋体" w:hAnsi="宋体" w:eastAsia="宋体" w:cs="宋体"/>
                <w:color w:val="auto"/>
                <w:spacing w:val="0"/>
                <w:kern w:val="0"/>
                <w:sz w:val="21"/>
                <w:szCs w:val="21"/>
                <w:highlight w:val="none"/>
                <w:u w:val="none"/>
                <w:lang w:eastAsia="zh-CN"/>
              </w:rPr>
              <w:t>。</w:t>
            </w:r>
          </w:p>
        </w:tc>
        <w:tc>
          <w:tcPr>
            <w:tcW w:w="418" w:type="pct"/>
            <w:tcBorders>
              <w:tl2br w:val="nil"/>
              <w:tr2bl w:val="nil"/>
            </w:tcBorders>
            <w:noWrap w:val="0"/>
            <w:vAlign w:val="center"/>
          </w:tcPr>
          <w:p w14:paraId="619307B3">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134371C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37FAE15D">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r>
              <w:rPr>
                <w:rFonts w:hint="eastAsia" w:ascii="宋体" w:hAnsi="宋体" w:eastAsia="宋体" w:cs="宋体"/>
                <w:snapToGrid w:val="0"/>
                <w:color w:val="auto"/>
                <w:spacing w:val="0"/>
                <w:kern w:val="0"/>
                <w:sz w:val="21"/>
                <w:szCs w:val="21"/>
                <w:highlight w:val="none"/>
                <w:u w:val="none"/>
              </w:rPr>
              <w:t>保证实施</w:t>
            </w:r>
          </w:p>
        </w:tc>
      </w:tr>
      <w:tr w14:paraId="13CE6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8" w:type="pct"/>
            <w:gridSpan w:val="2"/>
            <w:vMerge w:val="continue"/>
            <w:tcBorders>
              <w:tl2br w:val="nil"/>
              <w:tr2bl w:val="nil"/>
            </w:tcBorders>
            <w:noWrap w:val="0"/>
            <w:vAlign w:val="center"/>
          </w:tcPr>
          <w:p w14:paraId="350A7F46">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0" w:type="pct"/>
            <w:tcBorders>
              <w:tl2br w:val="nil"/>
              <w:tr2bl w:val="nil"/>
            </w:tcBorders>
            <w:noWrap w:val="0"/>
            <w:vAlign w:val="center"/>
          </w:tcPr>
          <w:p w14:paraId="4E45140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cs="宋体"/>
                <w:color w:val="auto"/>
                <w:spacing w:val="0"/>
                <w:kern w:val="0"/>
                <w:sz w:val="21"/>
                <w:szCs w:val="21"/>
                <w:highlight w:val="none"/>
                <w:u w:val="none"/>
                <w:lang w:val="en-US" w:eastAsia="zh-CN"/>
              </w:rPr>
              <w:t>2</w:t>
            </w:r>
          </w:p>
        </w:tc>
        <w:tc>
          <w:tcPr>
            <w:tcW w:w="858" w:type="pct"/>
            <w:tcBorders>
              <w:tl2br w:val="nil"/>
              <w:tr2bl w:val="nil"/>
            </w:tcBorders>
            <w:noWrap w:val="0"/>
            <w:vAlign w:val="center"/>
          </w:tcPr>
          <w:p w14:paraId="7FE9C36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环境影响</w:t>
            </w:r>
          </w:p>
          <w:p w14:paraId="2F3F643E">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后评价</w:t>
            </w:r>
          </w:p>
        </w:tc>
        <w:tc>
          <w:tcPr>
            <w:tcW w:w="1790" w:type="pct"/>
            <w:tcBorders>
              <w:tl2br w:val="nil"/>
              <w:tr2bl w:val="nil"/>
            </w:tcBorders>
            <w:noWrap w:val="0"/>
            <w:vAlign w:val="center"/>
          </w:tcPr>
          <w:p w14:paraId="2B7F79C4">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根据《建设项目环境影响后评价管理办法</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试行</w:t>
            </w:r>
            <w:r>
              <w:rPr>
                <w:rFonts w:hint="eastAsia" w:ascii="宋体" w:hAnsi="宋体" w:eastAsia="宋体" w:cs="宋体"/>
                <w:color w:val="auto"/>
                <w:spacing w:val="0"/>
                <w:kern w:val="0"/>
                <w:sz w:val="21"/>
                <w:szCs w:val="21"/>
                <w:highlight w:val="none"/>
                <w:u w:val="none"/>
                <w:lang w:eastAsia="zh-CN"/>
              </w:rPr>
              <w:t>）》《</w:t>
            </w:r>
            <w:r>
              <w:rPr>
                <w:rFonts w:hint="eastAsia" w:ascii="宋体" w:hAnsi="宋体" w:eastAsia="宋体" w:cs="宋体"/>
                <w:color w:val="auto"/>
                <w:spacing w:val="0"/>
                <w:kern w:val="0"/>
                <w:sz w:val="21"/>
                <w:szCs w:val="21"/>
                <w:highlight w:val="none"/>
                <w:u w:val="none"/>
              </w:rPr>
              <w:t>关于进一步加强和规范油气田开发项目环境保护管理工作的通知》等文件组织开展环境影响后评价</w:t>
            </w:r>
            <w:r>
              <w:rPr>
                <w:rFonts w:hint="eastAsia" w:ascii="宋体" w:hAnsi="宋体" w:eastAsia="宋体" w:cs="宋体"/>
                <w:color w:val="auto"/>
                <w:spacing w:val="0"/>
                <w:kern w:val="0"/>
                <w:sz w:val="21"/>
                <w:szCs w:val="21"/>
                <w:highlight w:val="none"/>
                <w:u w:val="none"/>
                <w:lang w:eastAsia="zh-CN"/>
              </w:rPr>
              <w:t>。</w:t>
            </w:r>
          </w:p>
        </w:tc>
        <w:tc>
          <w:tcPr>
            <w:tcW w:w="418" w:type="pct"/>
            <w:tcBorders>
              <w:tl2br w:val="nil"/>
              <w:tr2bl w:val="nil"/>
            </w:tcBorders>
            <w:noWrap w:val="0"/>
            <w:vAlign w:val="center"/>
          </w:tcPr>
          <w:p w14:paraId="6C3F27D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3E58B6D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5C6C020D">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r>
              <w:rPr>
                <w:rFonts w:hint="eastAsia" w:ascii="宋体" w:hAnsi="宋体" w:eastAsia="宋体" w:cs="宋体"/>
                <w:snapToGrid w:val="0"/>
                <w:color w:val="auto"/>
                <w:spacing w:val="0"/>
                <w:kern w:val="0"/>
                <w:sz w:val="21"/>
                <w:szCs w:val="21"/>
                <w:highlight w:val="none"/>
                <w:u w:val="none"/>
              </w:rPr>
              <w:t>保证实施</w:t>
            </w:r>
          </w:p>
        </w:tc>
      </w:tr>
      <w:tr w14:paraId="03A58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000" w:type="pct"/>
            <w:gridSpan w:val="8"/>
            <w:tcBorders>
              <w:tl2br w:val="nil"/>
              <w:tr2bl w:val="nil"/>
            </w:tcBorders>
            <w:noWrap w:val="0"/>
            <w:vAlign w:val="center"/>
          </w:tcPr>
          <w:p w14:paraId="5108403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lang w:val="en-US" w:eastAsia="zh-CN"/>
              </w:rPr>
            </w:pPr>
            <w:r>
              <w:rPr>
                <w:rFonts w:hint="eastAsia" w:ascii="宋体" w:hAnsi="宋体" w:eastAsia="宋体" w:cs="宋体"/>
                <w:snapToGrid w:val="0"/>
                <w:color w:val="auto"/>
                <w:spacing w:val="0"/>
                <w:kern w:val="0"/>
                <w:sz w:val="21"/>
                <w:szCs w:val="21"/>
                <w:highlight w:val="none"/>
                <w:u w:val="none"/>
                <w:lang w:val="en-US" w:eastAsia="zh-CN"/>
              </w:rPr>
              <w:t>退役期</w:t>
            </w:r>
          </w:p>
        </w:tc>
      </w:tr>
      <w:tr w14:paraId="6A6D4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6" w:type="pct"/>
            <w:tcBorders>
              <w:tl2br w:val="nil"/>
              <w:tr2bl w:val="nil"/>
            </w:tcBorders>
            <w:noWrap w:val="0"/>
            <w:vAlign w:val="center"/>
          </w:tcPr>
          <w:p w14:paraId="7E4DFB8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废气</w:t>
            </w:r>
          </w:p>
        </w:tc>
        <w:tc>
          <w:tcPr>
            <w:tcW w:w="253" w:type="pct"/>
            <w:gridSpan w:val="2"/>
            <w:tcBorders>
              <w:tl2br w:val="nil"/>
              <w:tr2bl w:val="nil"/>
            </w:tcBorders>
            <w:noWrap w:val="0"/>
            <w:vAlign w:val="center"/>
          </w:tcPr>
          <w:p w14:paraId="2797FD1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78DFEC2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施工扬尘</w:t>
            </w:r>
          </w:p>
        </w:tc>
        <w:tc>
          <w:tcPr>
            <w:tcW w:w="1790" w:type="pct"/>
            <w:tcBorders>
              <w:tl2br w:val="nil"/>
              <w:tr2bl w:val="nil"/>
            </w:tcBorders>
            <w:noWrap w:val="0"/>
            <w:vAlign w:val="center"/>
          </w:tcPr>
          <w:p w14:paraId="624F66C2">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洒水抑尘</w:t>
            </w:r>
          </w:p>
        </w:tc>
        <w:tc>
          <w:tcPr>
            <w:tcW w:w="418" w:type="pct"/>
            <w:tcBorders>
              <w:tl2br w:val="nil"/>
              <w:tr2bl w:val="nil"/>
            </w:tcBorders>
            <w:noWrap w:val="0"/>
            <w:vAlign w:val="center"/>
          </w:tcPr>
          <w:p w14:paraId="4C3A7783">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1059DCE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bidi="ar-SA"/>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2243866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lang w:val="en-US" w:eastAsia="zh-CN" w:bidi="ar-SA"/>
              </w:rPr>
            </w:pPr>
            <w:r>
              <w:rPr>
                <w:rFonts w:hint="eastAsia" w:ascii="宋体" w:hAnsi="宋体" w:eastAsia="宋体" w:cs="宋体"/>
                <w:snapToGrid w:val="0"/>
                <w:color w:val="auto"/>
                <w:spacing w:val="0"/>
                <w:kern w:val="0"/>
                <w:sz w:val="21"/>
                <w:szCs w:val="21"/>
                <w:highlight w:val="none"/>
                <w:u w:val="none"/>
              </w:rPr>
              <w:t>-</w:t>
            </w:r>
          </w:p>
        </w:tc>
      </w:tr>
      <w:tr w14:paraId="54430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6" w:type="pct"/>
            <w:tcBorders>
              <w:tl2br w:val="nil"/>
              <w:tr2bl w:val="nil"/>
            </w:tcBorders>
            <w:noWrap w:val="0"/>
            <w:vAlign w:val="center"/>
          </w:tcPr>
          <w:p w14:paraId="49364AD2">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噪声</w:t>
            </w:r>
          </w:p>
        </w:tc>
        <w:tc>
          <w:tcPr>
            <w:tcW w:w="253" w:type="pct"/>
            <w:gridSpan w:val="2"/>
            <w:tcBorders>
              <w:tl2br w:val="nil"/>
              <w:tr2bl w:val="nil"/>
            </w:tcBorders>
            <w:noWrap w:val="0"/>
            <w:vAlign w:val="center"/>
          </w:tcPr>
          <w:p w14:paraId="4A8A239E">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135A63B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车辆</w:t>
            </w:r>
          </w:p>
        </w:tc>
        <w:tc>
          <w:tcPr>
            <w:tcW w:w="1790" w:type="pct"/>
            <w:tcBorders>
              <w:tl2br w:val="nil"/>
              <w:tr2bl w:val="nil"/>
            </w:tcBorders>
            <w:noWrap w:val="0"/>
            <w:vAlign w:val="center"/>
          </w:tcPr>
          <w:p w14:paraId="42C6FECD">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合理安排作业时间</w:t>
            </w:r>
            <w:r>
              <w:rPr>
                <w:rFonts w:hint="eastAsia" w:ascii="宋体" w:hAnsi="宋体" w:eastAsia="宋体" w:cs="宋体"/>
                <w:color w:val="auto"/>
                <w:spacing w:val="0"/>
                <w:kern w:val="0"/>
                <w:sz w:val="21"/>
                <w:szCs w:val="21"/>
                <w:highlight w:val="none"/>
                <w:u w:val="none"/>
                <w:lang w:eastAsia="zh-CN"/>
              </w:rPr>
              <w:t>。</w:t>
            </w:r>
          </w:p>
        </w:tc>
        <w:tc>
          <w:tcPr>
            <w:tcW w:w="418" w:type="pct"/>
            <w:tcBorders>
              <w:tl2br w:val="nil"/>
              <w:tr2bl w:val="nil"/>
            </w:tcBorders>
            <w:noWrap w:val="0"/>
            <w:vAlign w:val="center"/>
          </w:tcPr>
          <w:p w14:paraId="69FCFBC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12BF8879">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929" w:type="pct"/>
            <w:tcBorders>
              <w:tl2br w:val="nil"/>
              <w:tr2bl w:val="nil"/>
            </w:tcBorders>
            <w:noWrap w:val="0"/>
            <w:vAlign w:val="center"/>
          </w:tcPr>
          <w:p w14:paraId="52E88C8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r>
              <w:rPr>
                <w:rFonts w:hint="eastAsia" w:ascii="宋体" w:hAnsi="宋体" w:eastAsia="宋体" w:cs="宋体"/>
                <w:snapToGrid w:val="0"/>
                <w:color w:val="auto"/>
                <w:spacing w:val="0"/>
                <w:kern w:val="0"/>
                <w:sz w:val="21"/>
                <w:szCs w:val="21"/>
                <w:highlight w:val="none"/>
                <w:u w:val="none"/>
              </w:rPr>
              <w:t>-</w:t>
            </w:r>
          </w:p>
        </w:tc>
      </w:tr>
      <w:tr w14:paraId="698A3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6" w:type="pct"/>
            <w:vMerge w:val="restart"/>
            <w:tcBorders>
              <w:tl2br w:val="nil"/>
              <w:tr2bl w:val="nil"/>
            </w:tcBorders>
            <w:noWrap w:val="0"/>
            <w:vAlign w:val="center"/>
          </w:tcPr>
          <w:p w14:paraId="7CBF2D3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固废</w:t>
            </w:r>
          </w:p>
        </w:tc>
        <w:tc>
          <w:tcPr>
            <w:tcW w:w="253" w:type="pct"/>
            <w:gridSpan w:val="2"/>
            <w:tcBorders>
              <w:tl2br w:val="nil"/>
              <w:tr2bl w:val="nil"/>
            </w:tcBorders>
            <w:noWrap w:val="0"/>
            <w:vAlign w:val="center"/>
          </w:tcPr>
          <w:p w14:paraId="66F8F6C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7AE7E873">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废弃管线、废弃建筑垃圾</w:t>
            </w:r>
          </w:p>
        </w:tc>
        <w:tc>
          <w:tcPr>
            <w:tcW w:w="1790" w:type="pct"/>
            <w:tcBorders>
              <w:tl2br w:val="nil"/>
              <w:tr2bl w:val="nil"/>
            </w:tcBorders>
            <w:noWrap w:val="0"/>
            <w:vAlign w:val="center"/>
          </w:tcPr>
          <w:p w14:paraId="56BD3AB0">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收集后</w:t>
            </w:r>
            <w:r>
              <w:rPr>
                <w:rFonts w:hint="eastAsia" w:ascii="宋体" w:hAnsi="宋体" w:eastAsia="宋体" w:cs="宋体"/>
                <w:color w:val="auto"/>
                <w:spacing w:val="0"/>
                <w:kern w:val="0"/>
                <w:sz w:val="21"/>
                <w:szCs w:val="21"/>
                <w:highlight w:val="none"/>
                <w:u w:val="none"/>
                <w:lang w:val="en-US" w:eastAsia="zh-CN"/>
              </w:rPr>
              <w:t>拉运至当地建筑垃圾填埋场。</w:t>
            </w:r>
          </w:p>
        </w:tc>
        <w:tc>
          <w:tcPr>
            <w:tcW w:w="418" w:type="pct"/>
            <w:tcBorders>
              <w:tl2br w:val="nil"/>
              <w:tr2bl w:val="nil"/>
            </w:tcBorders>
            <w:noWrap w:val="0"/>
            <w:vAlign w:val="center"/>
          </w:tcPr>
          <w:p w14:paraId="103DF058">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3DDF2AD2">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妥善处置</w:t>
            </w:r>
          </w:p>
        </w:tc>
        <w:tc>
          <w:tcPr>
            <w:tcW w:w="929" w:type="pct"/>
            <w:tcBorders>
              <w:tl2br w:val="nil"/>
              <w:tr2bl w:val="nil"/>
            </w:tcBorders>
            <w:noWrap w:val="0"/>
            <w:vAlign w:val="center"/>
          </w:tcPr>
          <w:p w14:paraId="6B6CA2D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r>
              <w:rPr>
                <w:rFonts w:hint="eastAsia" w:ascii="宋体" w:hAnsi="宋体" w:eastAsia="宋体" w:cs="宋体"/>
                <w:snapToGrid w:val="0"/>
                <w:color w:val="auto"/>
                <w:spacing w:val="0"/>
                <w:kern w:val="0"/>
                <w:sz w:val="21"/>
                <w:szCs w:val="21"/>
                <w:highlight w:val="none"/>
                <w:u w:val="none"/>
              </w:rPr>
              <w:t>-</w:t>
            </w:r>
          </w:p>
        </w:tc>
      </w:tr>
      <w:tr w14:paraId="5A3A0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6" w:type="pct"/>
            <w:vMerge w:val="continue"/>
            <w:tcBorders>
              <w:tl2br w:val="nil"/>
              <w:tr2bl w:val="nil"/>
            </w:tcBorders>
            <w:noWrap w:val="0"/>
            <w:vAlign w:val="center"/>
          </w:tcPr>
          <w:p w14:paraId="2E62372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p>
        </w:tc>
        <w:tc>
          <w:tcPr>
            <w:tcW w:w="253" w:type="pct"/>
            <w:gridSpan w:val="2"/>
            <w:tcBorders>
              <w:tl2br w:val="nil"/>
              <w:tr2bl w:val="nil"/>
            </w:tcBorders>
            <w:noWrap w:val="0"/>
            <w:vAlign w:val="center"/>
          </w:tcPr>
          <w:p w14:paraId="0FA2C0DE">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lang w:val="en-US" w:eastAsia="zh-CN"/>
              </w:rPr>
            </w:pPr>
            <w:r>
              <w:rPr>
                <w:rFonts w:hint="eastAsia" w:ascii="宋体" w:hAnsi="宋体" w:eastAsia="宋体" w:cs="宋体"/>
                <w:color w:val="auto"/>
                <w:spacing w:val="0"/>
                <w:kern w:val="0"/>
                <w:sz w:val="21"/>
                <w:szCs w:val="21"/>
                <w:highlight w:val="none"/>
                <w:u w:val="none"/>
                <w:lang w:val="en-US" w:eastAsia="zh-CN"/>
              </w:rPr>
              <w:t>2</w:t>
            </w:r>
          </w:p>
        </w:tc>
        <w:tc>
          <w:tcPr>
            <w:tcW w:w="858" w:type="pct"/>
            <w:tcBorders>
              <w:tl2br w:val="nil"/>
              <w:tr2bl w:val="nil"/>
            </w:tcBorders>
            <w:noWrap w:val="0"/>
            <w:vAlign w:val="center"/>
          </w:tcPr>
          <w:p w14:paraId="62C71DE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设施拆除过程</w:t>
            </w:r>
            <w:r>
              <w:rPr>
                <w:rFonts w:hint="eastAsia" w:ascii="宋体" w:hAnsi="宋体" w:eastAsia="宋体" w:cs="宋体"/>
                <w:color w:val="auto"/>
                <w:spacing w:val="0"/>
                <w:kern w:val="0"/>
                <w:sz w:val="21"/>
                <w:szCs w:val="21"/>
                <w:highlight w:val="none"/>
                <w:u w:val="none"/>
                <w:lang w:val="en-US" w:eastAsia="zh-CN"/>
              </w:rPr>
              <w:t>产生的</w:t>
            </w:r>
            <w:r>
              <w:rPr>
                <w:rFonts w:hint="eastAsia" w:ascii="宋体" w:hAnsi="宋体" w:eastAsia="宋体" w:cs="宋体"/>
                <w:color w:val="auto"/>
                <w:spacing w:val="0"/>
                <w:kern w:val="0"/>
                <w:sz w:val="21"/>
                <w:szCs w:val="21"/>
                <w:highlight w:val="none"/>
                <w:u w:val="none"/>
              </w:rPr>
              <w:t>油泥</w:t>
            </w:r>
          </w:p>
        </w:tc>
        <w:tc>
          <w:tcPr>
            <w:tcW w:w="1790" w:type="pct"/>
            <w:tcBorders>
              <w:tl2br w:val="nil"/>
              <w:tr2bl w:val="nil"/>
            </w:tcBorders>
            <w:noWrap w:val="0"/>
            <w:vAlign w:val="center"/>
          </w:tcPr>
          <w:p w14:paraId="3E9EA48C">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委托具有相关危废处置资质的单位处置</w:t>
            </w:r>
            <w:r>
              <w:rPr>
                <w:rFonts w:hint="eastAsia" w:ascii="宋体" w:hAnsi="宋体" w:cs="宋体"/>
                <w:color w:val="auto"/>
                <w:spacing w:val="0"/>
                <w:kern w:val="0"/>
                <w:sz w:val="21"/>
                <w:szCs w:val="21"/>
                <w:highlight w:val="none"/>
                <w:u w:val="none"/>
                <w:lang w:eastAsia="zh-CN"/>
              </w:rPr>
              <w:t>。</w:t>
            </w:r>
          </w:p>
        </w:tc>
        <w:tc>
          <w:tcPr>
            <w:tcW w:w="418" w:type="pct"/>
            <w:tcBorders>
              <w:tl2br w:val="nil"/>
              <w:tr2bl w:val="nil"/>
            </w:tcBorders>
            <w:noWrap w:val="0"/>
            <w:vAlign w:val="center"/>
          </w:tcPr>
          <w:p w14:paraId="1DDBD02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72FAC666">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妥善处置</w:t>
            </w:r>
          </w:p>
        </w:tc>
        <w:tc>
          <w:tcPr>
            <w:tcW w:w="929" w:type="pct"/>
            <w:tcBorders>
              <w:tl2br w:val="nil"/>
              <w:tr2bl w:val="nil"/>
            </w:tcBorders>
            <w:noWrap w:val="0"/>
            <w:vAlign w:val="center"/>
          </w:tcPr>
          <w:p w14:paraId="0F89DE09">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r>
              <w:rPr>
                <w:rFonts w:hint="eastAsia" w:ascii="宋体" w:hAnsi="宋体" w:eastAsia="宋体" w:cs="宋体"/>
                <w:snapToGrid w:val="0"/>
                <w:color w:val="auto"/>
                <w:spacing w:val="0"/>
                <w:kern w:val="0"/>
                <w:sz w:val="21"/>
                <w:szCs w:val="21"/>
                <w:highlight w:val="none"/>
                <w:u w:val="none"/>
              </w:rPr>
              <w:t>-</w:t>
            </w:r>
          </w:p>
        </w:tc>
      </w:tr>
      <w:tr w14:paraId="26D22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96" w:type="pct"/>
            <w:tcBorders>
              <w:tl2br w:val="nil"/>
              <w:tr2bl w:val="nil"/>
            </w:tcBorders>
            <w:noWrap w:val="0"/>
            <w:vAlign w:val="center"/>
          </w:tcPr>
          <w:p w14:paraId="027F2488">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w:t>
            </w:r>
          </w:p>
        </w:tc>
        <w:tc>
          <w:tcPr>
            <w:tcW w:w="253" w:type="pct"/>
            <w:gridSpan w:val="2"/>
            <w:tcBorders>
              <w:tl2br w:val="nil"/>
              <w:tr2bl w:val="nil"/>
            </w:tcBorders>
            <w:noWrap w:val="0"/>
            <w:vAlign w:val="center"/>
          </w:tcPr>
          <w:p w14:paraId="372533AE">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1</w:t>
            </w:r>
          </w:p>
        </w:tc>
        <w:tc>
          <w:tcPr>
            <w:tcW w:w="858" w:type="pct"/>
            <w:tcBorders>
              <w:tl2br w:val="nil"/>
              <w:tr2bl w:val="nil"/>
            </w:tcBorders>
            <w:noWrap w:val="0"/>
            <w:vAlign w:val="center"/>
          </w:tcPr>
          <w:p w14:paraId="6D7C613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生态恢复</w:t>
            </w:r>
          </w:p>
        </w:tc>
        <w:tc>
          <w:tcPr>
            <w:tcW w:w="1790" w:type="pct"/>
            <w:tcBorders>
              <w:tl2br w:val="nil"/>
              <w:tr2bl w:val="nil"/>
            </w:tcBorders>
            <w:noWrap w:val="0"/>
            <w:vAlign w:val="center"/>
          </w:tcPr>
          <w:p w14:paraId="404F43A0">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spacing w:val="0"/>
                <w:kern w:val="0"/>
                <w:sz w:val="21"/>
                <w:szCs w:val="21"/>
                <w:highlight w:val="none"/>
                <w:u w:val="none"/>
                <w:lang w:eastAsia="zh-CN"/>
              </w:rPr>
            </w:pPr>
            <w:r>
              <w:rPr>
                <w:rFonts w:hint="eastAsia" w:ascii="宋体" w:hAnsi="宋体" w:eastAsia="宋体" w:cs="宋体"/>
                <w:color w:val="auto"/>
                <w:spacing w:val="0"/>
                <w:kern w:val="0"/>
                <w:sz w:val="21"/>
                <w:szCs w:val="21"/>
                <w:highlight w:val="none"/>
                <w:u w:val="none"/>
              </w:rPr>
              <w:t>地面设施拆除、水泥条清理，恢复原有自然状况</w:t>
            </w:r>
            <w:r>
              <w:rPr>
                <w:rFonts w:hint="eastAsia" w:ascii="宋体" w:hAnsi="宋体" w:eastAsia="宋体" w:cs="宋体"/>
                <w:color w:val="auto"/>
                <w:spacing w:val="0"/>
                <w:kern w:val="0"/>
                <w:sz w:val="21"/>
                <w:szCs w:val="21"/>
                <w:highlight w:val="none"/>
                <w:u w:val="none"/>
                <w:lang w:eastAsia="zh-CN"/>
              </w:rPr>
              <w:t>。</w:t>
            </w:r>
          </w:p>
        </w:tc>
        <w:tc>
          <w:tcPr>
            <w:tcW w:w="418" w:type="pct"/>
            <w:tcBorders>
              <w:tl2br w:val="nil"/>
              <w:tr2bl w:val="nil"/>
            </w:tcBorders>
            <w:noWrap w:val="0"/>
            <w:vAlign w:val="center"/>
          </w:tcPr>
          <w:p w14:paraId="2BE9C22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w:t>
            </w:r>
          </w:p>
        </w:tc>
        <w:tc>
          <w:tcPr>
            <w:tcW w:w="554" w:type="pct"/>
            <w:tcBorders>
              <w:tl2br w:val="nil"/>
              <w:tr2bl w:val="nil"/>
            </w:tcBorders>
            <w:noWrap w:val="0"/>
            <w:vAlign w:val="center"/>
          </w:tcPr>
          <w:p w14:paraId="351F74D5">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pacing w:val="0"/>
                <w:kern w:val="0"/>
                <w:sz w:val="21"/>
                <w:szCs w:val="21"/>
                <w:highlight w:val="none"/>
                <w:u w:val="none"/>
              </w:rPr>
            </w:pPr>
            <w:r>
              <w:rPr>
                <w:rFonts w:hint="eastAsia" w:ascii="宋体" w:hAnsi="宋体" w:eastAsia="宋体" w:cs="宋体"/>
                <w:color w:val="auto"/>
                <w:spacing w:val="0"/>
                <w:kern w:val="0"/>
                <w:sz w:val="21"/>
                <w:szCs w:val="21"/>
                <w:highlight w:val="none"/>
                <w:u w:val="none"/>
              </w:rPr>
              <w:t>恢复原貌</w:t>
            </w:r>
          </w:p>
        </w:tc>
        <w:tc>
          <w:tcPr>
            <w:tcW w:w="929" w:type="pct"/>
            <w:tcBorders>
              <w:tl2br w:val="nil"/>
              <w:tr2bl w:val="nil"/>
            </w:tcBorders>
            <w:noWrap w:val="0"/>
            <w:vAlign w:val="center"/>
          </w:tcPr>
          <w:p w14:paraId="4CDA077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snapToGrid w:val="0"/>
                <w:color w:val="auto"/>
                <w:spacing w:val="0"/>
                <w:kern w:val="0"/>
                <w:sz w:val="21"/>
                <w:szCs w:val="21"/>
                <w:highlight w:val="none"/>
                <w:u w:val="none"/>
              </w:rPr>
            </w:pPr>
            <w:r>
              <w:rPr>
                <w:rFonts w:hint="eastAsia" w:ascii="宋体" w:hAnsi="宋体" w:eastAsia="宋体" w:cs="宋体"/>
                <w:color w:val="auto"/>
                <w:spacing w:val="-11"/>
                <w:kern w:val="0"/>
                <w:sz w:val="21"/>
                <w:szCs w:val="21"/>
                <w:highlight w:val="none"/>
                <w:u w:val="none"/>
              </w:rPr>
              <w:t>《废弃井封井回填技术指南（试行）》</w:t>
            </w:r>
          </w:p>
        </w:tc>
      </w:tr>
      <w:bookmarkEnd w:id="596"/>
      <w:bookmarkEnd w:id="597"/>
    </w:tbl>
    <w:p w14:paraId="33D0AEF1">
      <w:pPr>
        <w:pStyle w:val="118"/>
        <w:jc w:val="both"/>
        <w:rPr>
          <w:rFonts w:hint="default" w:ascii="Times New Roman" w:hAnsi="Times New Roman" w:eastAsia="宋体" w:cs="Times New Roman"/>
          <w:color w:val="auto"/>
          <w:sz w:val="21"/>
          <w:szCs w:val="21"/>
          <w:highlight w:val="none"/>
          <w:u w:val="none"/>
        </w:rPr>
        <w:sectPr>
          <w:footerReference r:id="rId16" w:type="default"/>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5CDC8E81">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rPr>
          <w:rFonts w:hint="eastAsia" w:ascii="Times New Roman" w:hAnsi="Times New Roman" w:eastAsia="宋体" w:cs="Times New Roman"/>
          <w:b/>
          <w:color w:val="auto"/>
          <w:kern w:val="44"/>
          <w:sz w:val="36"/>
          <w:szCs w:val="36"/>
          <w:highlight w:val="yellow"/>
          <w:u w:val="none"/>
          <w:lang w:val="en-US" w:eastAsia="zh-CN" w:bidi="ar-SA"/>
        </w:rPr>
      </w:pPr>
      <w:bookmarkStart w:id="658" w:name="_Toc21416"/>
      <w:bookmarkStart w:id="659" w:name="_Toc109382953"/>
      <w:bookmarkStart w:id="660" w:name="_Toc25373"/>
      <w:bookmarkStart w:id="661" w:name="_Toc26314"/>
      <w:bookmarkStart w:id="662" w:name="_Toc119915042"/>
      <w:bookmarkStart w:id="663" w:name="_Toc3920"/>
      <w:bookmarkStart w:id="664" w:name="_Toc18716"/>
      <w:bookmarkStart w:id="665" w:name="_Toc100"/>
      <w:bookmarkStart w:id="666" w:name="_Toc15879"/>
      <w:r>
        <w:rPr>
          <w:rFonts w:hint="eastAsia" w:ascii="黑体" w:hAnsi="黑体" w:eastAsia="黑体" w:cs="黑体"/>
          <w:color w:val="auto"/>
          <w:sz w:val="32"/>
          <w:szCs w:val="32"/>
          <w:u w:val="none"/>
          <w:lang w:val="en-US" w:eastAsia="zh-CN"/>
        </w:rPr>
        <w:t>10 结论与建议</w:t>
      </w:r>
      <w:bookmarkEnd w:id="658"/>
    </w:p>
    <w:p w14:paraId="40423FA1">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67" w:name="_Toc16147"/>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.1</w:t>
      </w:r>
      <w:r>
        <w:rPr>
          <w:rFonts w:hint="eastAsia" w:ascii="黑体" w:hAnsi="黑体" w:eastAsia="黑体" w:cs="黑体"/>
          <w:color w:val="auto"/>
          <w:sz w:val="28"/>
          <w:szCs w:val="28"/>
          <w:u w:val="none"/>
          <w:lang w:val="en-US" w:eastAsia="zh-CN"/>
        </w:rPr>
        <w:t xml:space="preserve"> 建设项目情况</w:t>
      </w:r>
      <w:bookmarkEnd w:id="667"/>
    </w:p>
    <w:p w14:paraId="1DF0E1AA">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auto"/>
          <w:kern w:val="0"/>
          <w:sz w:val="24"/>
          <w:szCs w:val="24"/>
          <w:highlight w:val="none"/>
          <w:u w:val="none"/>
          <w:lang w:eastAsia="zh-CN"/>
        </w:rPr>
      </w:pPr>
      <w:r>
        <w:rPr>
          <w:rFonts w:hint="eastAsia" w:ascii="宋体" w:hAnsi="宋体" w:eastAsia="宋体" w:cs="宋体"/>
          <w:color w:val="auto"/>
          <w:kern w:val="0"/>
          <w:sz w:val="24"/>
          <w:szCs w:val="24"/>
          <w:highlight w:val="none"/>
          <w:u w:val="none"/>
          <w:lang w:eastAsia="zh-CN"/>
        </w:rPr>
        <w:t>本工程位于新疆维吾尔自治区昌吉回族自治州呼图壁县境内，南侧距离呼图壁县城中心约104km，东北侧距离莫北转油站约16km，中心地理坐标为：东经86°37'22.756"，北纬45°6'53.918"（MBHW6009井）。</w:t>
      </w:r>
    </w:p>
    <w:p w14:paraId="7DE3F75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highlight w:val="none"/>
          <w:u w:val="none"/>
        </w:rPr>
        <w:t>工程新钻采气井3口（MBHW6006井、MBHW6008井、MBHW6009井），钻井进尺16830m，新建单井采气管线7.4km，对莫109转油站进行改造，配套建设电气、自控、通信、防腐、消防等工程。</w:t>
      </w:r>
    </w:p>
    <w:p w14:paraId="1B0F53B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2"/>
          <w:highlight w:val="none"/>
          <w:u w:val="none"/>
        </w:rPr>
      </w:pPr>
      <w:r>
        <w:rPr>
          <w:rFonts w:hint="eastAsia" w:ascii="宋体" w:hAnsi="宋体" w:eastAsia="宋体" w:cs="宋体"/>
          <w:color w:val="auto"/>
          <w:kern w:val="0"/>
          <w:sz w:val="24"/>
          <w:szCs w:val="22"/>
          <w:highlight w:val="none"/>
          <w:u w:val="none"/>
          <w:lang w:eastAsia="zh-CN"/>
        </w:rPr>
        <w:t>本工程</w:t>
      </w:r>
      <w:r>
        <w:rPr>
          <w:rFonts w:hint="eastAsia" w:ascii="宋体" w:hAnsi="宋体" w:eastAsia="宋体" w:cs="宋体"/>
          <w:color w:val="auto"/>
          <w:kern w:val="0"/>
          <w:sz w:val="24"/>
          <w:szCs w:val="22"/>
          <w:highlight w:val="none"/>
          <w:u w:val="none"/>
        </w:rPr>
        <w:t>总投资为</w:t>
      </w:r>
      <w:r>
        <w:rPr>
          <w:rFonts w:hint="eastAsia" w:ascii="宋体" w:hAnsi="宋体" w:cs="宋体"/>
          <w:color w:val="auto"/>
          <w:kern w:val="0"/>
          <w:sz w:val="24"/>
          <w:szCs w:val="22"/>
          <w:highlight w:val="none"/>
          <w:u w:val="none"/>
          <w:lang w:val="en-US" w:eastAsia="zh-CN"/>
        </w:rPr>
        <w:t>5600</w:t>
      </w:r>
      <w:r>
        <w:rPr>
          <w:rFonts w:hint="eastAsia" w:ascii="宋体" w:hAnsi="宋体" w:eastAsia="宋体" w:cs="宋体"/>
          <w:color w:val="auto"/>
          <w:kern w:val="0"/>
          <w:sz w:val="24"/>
          <w:szCs w:val="22"/>
          <w:highlight w:val="none"/>
          <w:u w:val="none"/>
        </w:rPr>
        <w:t>万元，其中环保投资</w:t>
      </w:r>
      <w:r>
        <w:rPr>
          <w:rFonts w:hint="eastAsia" w:ascii="宋体" w:hAnsi="宋体" w:cs="宋体"/>
          <w:color w:val="auto"/>
          <w:kern w:val="0"/>
          <w:sz w:val="24"/>
          <w:szCs w:val="22"/>
          <w:highlight w:val="none"/>
          <w:u w:val="none"/>
          <w:lang w:val="en-US" w:eastAsia="zh-CN"/>
        </w:rPr>
        <w:t>277</w:t>
      </w:r>
      <w:r>
        <w:rPr>
          <w:rFonts w:hint="eastAsia" w:ascii="宋体" w:hAnsi="宋体" w:eastAsia="宋体" w:cs="宋体"/>
          <w:color w:val="auto"/>
          <w:kern w:val="0"/>
          <w:sz w:val="24"/>
          <w:szCs w:val="22"/>
          <w:highlight w:val="none"/>
          <w:u w:val="none"/>
          <w:lang w:val="en-US" w:eastAsia="zh-CN"/>
        </w:rPr>
        <w:t>万元</w:t>
      </w:r>
      <w:r>
        <w:rPr>
          <w:rFonts w:hint="eastAsia" w:ascii="宋体" w:hAnsi="宋体" w:eastAsia="宋体" w:cs="宋体"/>
          <w:color w:val="auto"/>
          <w:kern w:val="0"/>
          <w:sz w:val="24"/>
          <w:szCs w:val="22"/>
          <w:highlight w:val="none"/>
          <w:u w:val="none"/>
        </w:rPr>
        <w:t>，占总投资</w:t>
      </w:r>
      <w:r>
        <w:rPr>
          <w:rFonts w:hint="eastAsia" w:ascii="宋体" w:hAnsi="宋体" w:cs="宋体"/>
          <w:color w:val="auto"/>
          <w:kern w:val="0"/>
          <w:sz w:val="24"/>
          <w:szCs w:val="22"/>
          <w:highlight w:val="none"/>
          <w:u w:val="none"/>
          <w:lang w:val="en-US" w:eastAsia="zh-CN"/>
        </w:rPr>
        <w:t>4.95</w:t>
      </w:r>
      <w:r>
        <w:rPr>
          <w:rFonts w:hint="eastAsia" w:ascii="宋体" w:hAnsi="宋体" w:eastAsia="宋体" w:cs="宋体"/>
          <w:color w:val="auto"/>
          <w:kern w:val="0"/>
          <w:sz w:val="24"/>
          <w:szCs w:val="22"/>
          <w:highlight w:val="none"/>
          <w:u w:val="none"/>
          <w:lang w:val="en-US" w:eastAsia="zh-CN"/>
        </w:rPr>
        <w:t>%</w:t>
      </w:r>
      <w:r>
        <w:rPr>
          <w:rFonts w:hint="eastAsia" w:ascii="宋体" w:hAnsi="宋体" w:eastAsia="宋体" w:cs="宋体"/>
          <w:color w:val="auto"/>
          <w:kern w:val="0"/>
          <w:sz w:val="24"/>
          <w:szCs w:val="22"/>
          <w:highlight w:val="none"/>
          <w:u w:val="none"/>
        </w:rPr>
        <w:t>。</w:t>
      </w:r>
    </w:p>
    <w:p w14:paraId="3E603530">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68" w:name="_Toc16016"/>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.2</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产业政策、选址符合性</w:t>
      </w:r>
      <w:bookmarkEnd w:id="668"/>
    </w:p>
    <w:p w14:paraId="79610862">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lang w:val="en-US" w:eastAsia="zh-CN" w:bidi="ar-SA"/>
        </w:rPr>
      </w:pPr>
      <w:r>
        <w:rPr>
          <w:rFonts w:ascii="宋体" w:hAnsi="宋体" w:eastAsia="宋体" w:cs="Times New Roman"/>
          <w:color w:val="auto"/>
          <w:kern w:val="0"/>
          <w:sz w:val="24"/>
          <w:szCs w:val="24"/>
          <w:highlight w:val="none"/>
          <w:u w:val="none"/>
          <w:lang w:val="zh-CN" w:eastAsia="zh-CN" w:bidi="ar-SA"/>
        </w:rPr>
        <w:t>（</w:t>
      </w:r>
      <w:r>
        <w:rPr>
          <w:rFonts w:ascii="宋体" w:hAnsi="宋体" w:eastAsia="宋体" w:cs="Times New Roman"/>
          <w:color w:val="auto"/>
          <w:kern w:val="0"/>
          <w:sz w:val="24"/>
          <w:szCs w:val="24"/>
          <w:highlight w:val="none"/>
          <w:u w:val="none"/>
          <w:lang w:val="en-US" w:eastAsia="zh-CN" w:bidi="ar-SA"/>
        </w:rPr>
        <w:t>1</w:t>
      </w:r>
      <w:r>
        <w:rPr>
          <w:rFonts w:ascii="宋体" w:hAnsi="宋体" w:eastAsia="宋体" w:cs="Times New Roman"/>
          <w:color w:val="auto"/>
          <w:kern w:val="0"/>
          <w:sz w:val="24"/>
          <w:szCs w:val="24"/>
          <w:highlight w:val="none"/>
          <w:u w:val="none"/>
          <w:lang w:val="zh-CN" w:eastAsia="zh-CN" w:bidi="ar-SA"/>
        </w:rPr>
        <w:t>）</w:t>
      </w:r>
      <w:r>
        <w:rPr>
          <w:rFonts w:ascii="宋体" w:hAnsi="宋体" w:eastAsia="宋体" w:cs="Times New Roman"/>
          <w:color w:val="auto"/>
          <w:kern w:val="0"/>
          <w:sz w:val="24"/>
          <w:szCs w:val="24"/>
          <w:highlight w:val="none"/>
          <w:u w:val="none"/>
          <w:lang w:val="en-US" w:eastAsia="zh-CN" w:bidi="ar-SA"/>
        </w:rPr>
        <w:t>产业政策符合分析</w:t>
      </w:r>
    </w:p>
    <w:p w14:paraId="237D203B">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u w:val="none"/>
          <w:lang w:val="zh-CN" w:eastAsia="zh-CN" w:bidi="ar-SA"/>
        </w:rPr>
      </w:pPr>
      <w:r>
        <w:rPr>
          <w:rFonts w:hint="eastAsia" w:ascii="Times New Roman" w:hAnsi="Times New Roman" w:eastAsia="宋体" w:cs="Times New Roman"/>
          <w:color w:val="auto"/>
          <w:kern w:val="0"/>
          <w:sz w:val="24"/>
          <w:szCs w:val="24"/>
          <w:highlight w:val="none"/>
          <w:u w:val="none"/>
          <w:lang w:val="zh-CN" w:eastAsia="zh-CN" w:bidi="ar-SA"/>
        </w:rPr>
        <w:t>本工程属于</w:t>
      </w:r>
      <w:r>
        <w:rPr>
          <w:rFonts w:hint="eastAsia" w:ascii="Times New Roman" w:hAnsi="Times New Roman" w:eastAsia="宋体" w:cs="Times New Roman"/>
          <w:color w:val="auto"/>
          <w:kern w:val="0"/>
          <w:sz w:val="24"/>
          <w:szCs w:val="24"/>
          <w:highlight w:val="none"/>
          <w:u w:val="none"/>
          <w:lang w:val="en-US" w:eastAsia="zh-CN" w:bidi="ar-SA"/>
        </w:rPr>
        <w:t>油气</w:t>
      </w:r>
      <w:r>
        <w:rPr>
          <w:rFonts w:hint="eastAsia" w:ascii="Times New Roman" w:hAnsi="Times New Roman" w:eastAsia="宋体" w:cs="Times New Roman"/>
          <w:color w:val="auto"/>
          <w:kern w:val="0"/>
          <w:sz w:val="24"/>
          <w:szCs w:val="24"/>
          <w:highlight w:val="none"/>
          <w:u w:val="none"/>
          <w:lang w:val="zh-CN" w:eastAsia="zh-CN" w:bidi="ar-SA"/>
        </w:rPr>
        <w:t>开采项目，根据《产业结构调整指导目录（2024年本）》，属于“鼓励类”第七项“石油、天然气”中第1条“常规石油、天然气勘探与开采”项目，本工程的建设符合国家产业政策。</w:t>
      </w:r>
    </w:p>
    <w:p w14:paraId="16387CEE">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zh-CN" w:eastAsia="zh-CN" w:bidi="ar-SA"/>
        </w:rPr>
        <w:t>本工程的建设符合国家产业政策</w:t>
      </w:r>
      <w:r>
        <w:rPr>
          <w:rFonts w:ascii="Times New Roman" w:hAnsi="Times New Roman" w:eastAsia="宋体" w:cs="Times New Roman"/>
          <w:color w:val="auto"/>
          <w:kern w:val="0"/>
          <w:sz w:val="24"/>
          <w:szCs w:val="24"/>
          <w:highlight w:val="none"/>
          <w:u w:val="none"/>
          <w:lang w:val="en-US" w:eastAsia="zh-CN" w:bidi="ar-SA"/>
        </w:rPr>
        <w:t>。</w:t>
      </w:r>
    </w:p>
    <w:p w14:paraId="4102AF3C">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1"/>
          <w:highlight w:val="none"/>
          <w:u w:val="none"/>
          <w:lang w:bidi="en-US"/>
        </w:rPr>
      </w:pPr>
      <w:r>
        <w:rPr>
          <w:rFonts w:ascii="宋体" w:hAnsi="宋体" w:eastAsia="宋体" w:cs="宋体"/>
          <w:color w:val="auto"/>
          <w:kern w:val="0"/>
          <w:sz w:val="24"/>
          <w:szCs w:val="24"/>
          <w:highlight w:val="none"/>
          <w:u w:val="none"/>
          <w:lang w:val="zh-CN"/>
        </w:rPr>
        <w:t>（</w:t>
      </w:r>
      <w:r>
        <w:rPr>
          <w:rFonts w:ascii="宋体" w:hAnsi="宋体" w:eastAsia="宋体" w:cs="宋体"/>
          <w:color w:val="auto"/>
          <w:kern w:val="0"/>
          <w:sz w:val="24"/>
          <w:szCs w:val="24"/>
          <w:highlight w:val="none"/>
          <w:u w:val="none"/>
        </w:rPr>
        <w:t>2</w:t>
      </w:r>
      <w:r>
        <w:rPr>
          <w:rFonts w:ascii="宋体" w:hAnsi="宋体" w:eastAsia="宋体" w:cs="宋体"/>
          <w:color w:val="auto"/>
          <w:kern w:val="0"/>
          <w:sz w:val="24"/>
          <w:szCs w:val="24"/>
          <w:highlight w:val="none"/>
          <w:u w:val="none"/>
          <w:lang w:val="zh-CN"/>
        </w:rPr>
        <w:t>）</w:t>
      </w:r>
      <w:r>
        <w:rPr>
          <w:rFonts w:ascii="宋体" w:hAnsi="宋体" w:eastAsia="宋体" w:cs="宋体"/>
          <w:color w:val="auto"/>
          <w:kern w:val="0"/>
          <w:sz w:val="24"/>
          <w:szCs w:val="24"/>
          <w:highlight w:val="none"/>
          <w:u w:val="none"/>
        </w:rPr>
        <w:t>政策、法规符合性分析</w:t>
      </w:r>
    </w:p>
    <w:p w14:paraId="0E1A2143">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1"/>
          <w:highlight w:val="none"/>
          <w:u w:val="none"/>
          <w:lang w:bidi="en-US"/>
        </w:rPr>
      </w:pPr>
      <w:r>
        <w:rPr>
          <w:rFonts w:hint="eastAsia" w:ascii="Times New Roman" w:hAnsi="Times New Roman" w:eastAsia="宋体" w:cs="Times New Roman"/>
          <w:color w:val="auto"/>
          <w:kern w:val="2"/>
          <w:sz w:val="24"/>
          <w:szCs w:val="24"/>
          <w:highlight w:val="none"/>
          <w:u w:val="none"/>
          <w:lang w:val="zh-CN"/>
        </w:rPr>
        <w:t>本工程属于石油天然气开采项目，选址选线不涉及国家公园、自然保护区、世界自然遗产、重要生境、自然公园、生态保护红线等生态保护区。运营期工艺流程全密闭，废水、固废处置措施得当。符合《石油天然气开采业污染防治技术政策》《新疆维吾尔自治区大气污染防治条例》《关于进一步加强石油天然气行业环境影响评价管理的通知》（环办环评函〔2019〕910号）等相关政策、法律法规相关要求。</w:t>
      </w:r>
    </w:p>
    <w:p w14:paraId="64E7DD2B">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zh-CN" w:eastAsia="zh-CN" w:bidi="ar-SA"/>
        </w:rPr>
        <w:t>（</w:t>
      </w:r>
      <w:r>
        <w:rPr>
          <w:rFonts w:hint="default" w:ascii="Times New Roman" w:hAnsi="Times New Roman" w:eastAsia="宋体" w:cs="Times New Roman"/>
          <w:color w:val="auto"/>
          <w:kern w:val="0"/>
          <w:sz w:val="24"/>
          <w:szCs w:val="24"/>
          <w:highlight w:val="none"/>
          <w:u w:val="none"/>
          <w:lang w:val="en-US" w:eastAsia="zh-CN" w:bidi="ar-SA"/>
        </w:rPr>
        <w:t>3</w:t>
      </w:r>
      <w:r>
        <w:rPr>
          <w:rFonts w:hint="default" w:ascii="Times New Roman" w:hAnsi="Times New Roman" w:eastAsia="宋体" w:cs="Times New Roman"/>
          <w:color w:val="auto"/>
          <w:kern w:val="0"/>
          <w:sz w:val="24"/>
          <w:szCs w:val="24"/>
          <w:highlight w:val="none"/>
          <w:u w:val="none"/>
          <w:lang w:val="zh-CN" w:eastAsia="zh-CN" w:bidi="ar-SA"/>
        </w:rPr>
        <w:t>）</w:t>
      </w:r>
      <w:r>
        <w:rPr>
          <w:rFonts w:hint="default" w:ascii="Times New Roman" w:hAnsi="Times New Roman" w:eastAsia="宋体" w:cs="Times New Roman"/>
          <w:color w:val="auto"/>
          <w:kern w:val="0"/>
          <w:sz w:val="24"/>
          <w:szCs w:val="24"/>
          <w:highlight w:val="none"/>
          <w:u w:val="none"/>
          <w:lang w:val="en-US" w:eastAsia="zh-CN" w:bidi="ar-SA"/>
        </w:rPr>
        <w:t>规划符合性分析</w:t>
      </w:r>
    </w:p>
    <w:p w14:paraId="62567774">
      <w:pPr>
        <w:keepNext w:val="0"/>
        <w:keepLines w:val="0"/>
        <w:pageBreakBefore w:val="0"/>
        <w:kinsoku/>
        <w:wordWrap/>
        <w:overflowPunct/>
        <w:topLinePunct w:val="0"/>
        <w:autoSpaceDN/>
        <w:bidi w:val="0"/>
        <w:adjustRightInd/>
        <w:snapToGrid/>
        <w:spacing w:after="0" w:line="480" w:lineRule="exact"/>
        <w:ind w:firstLine="480" w:firstLineChars="200"/>
        <w:jc w:val="left"/>
        <w:textAlignment w:val="auto"/>
        <w:rPr>
          <w:rFonts w:hint="eastAsia" w:ascii="宋体" w:hAnsi="宋体" w:eastAsia="宋体" w:cs="宋体"/>
          <w:b w:val="0"/>
          <w:bCs w:val="0"/>
          <w:color w:val="auto"/>
          <w:sz w:val="24"/>
          <w:szCs w:val="24"/>
          <w:highlight w:val="none"/>
          <w:u w:val="none"/>
          <w:lang w:val="zh-CN" w:eastAsia="zh-CN" w:bidi="ar-SA"/>
        </w:rPr>
      </w:pPr>
      <w:r>
        <w:rPr>
          <w:rFonts w:hint="eastAsia" w:ascii="宋体" w:hAnsi="宋体" w:eastAsia="宋体" w:cs="宋体"/>
          <w:b w:val="0"/>
          <w:bCs w:val="0"/>
          <w:color w:val="auto"/>
          <w:sz w:val="24"/>
          <w:szCs w:val="24"/>
          <w:highlight w:val="none"/>
          <w:u w:val="none"/>
          <w:lang w:val="zh-CN" w:eastAsia="zh-CN" w:bidi="ar-SA"/>
        </w:rPr>
        <w:t>本工程属于</w:t>
      </w:r>
      <w:r>
        <w:rPr>
          <w:rFonts w:hint="eastAsia" w:ascii="宋体" w:hAnsi="宋体" w:eastAsia="宋体" w:cs="宋体"/>
          <w:color w:val="auto"/>
          <w:sz w:val="24"/>
          <w:szCs w:val="24"/>
          <w:highlight w:val="none"/>
          <w:u w:val="none"/>
          <w:lang w:val="en-US" w:eastAsia="zh-CN" w:bidi="ar-SA"/>
        </w:rPr>
        <w:t>石油天然气</w:t>
      </w:r>
      <w:r>
        <w:rPr>
          <w:rFonts w:hint="eastAsia" w:ascii="宋体" w:hAnsi="宋体" w:eastAsia="宋体" w:cs="宋体"/>
          <w:color w:val="auto"/>
          <w:kern w:val="2"/>
          <w:sz w:val="24"/>
          <w:szCs w:val="24"/>
          <w:highlight w:val="none"/>
          <w:u w:val="none"/>
          <w:lang w:val="en-US" w:eastAsia="zh-CN" w:bidi="ar-SA"/>
        </w:rPr>
        <w:t>开采</w:t>
      </w:r>
      <w:r>
        <w:rPr>
          <w:rFonts w:hint="eastAsia" w:ascii="宋体" w:hAnsi="宋体" w:eastAsia="宋体" w:cs="宋体"/>
          <w:b w:val="0"/>
          <w:bCs w:val="0"/>
          <w:color w:val="auto"/>
          <w:sz w:val="24"/>
          <w:szCs w:val="24"/>
          <w:highlight w:val="none"/>
          <w:u w:val="none"/>
          <w:lang w:val="zh-CN" w:eastAsia="zh-CN" w:bidi="ar-SA"/>
        </w:rPr>
        <w:t>项目，有助于推进</w:t>
      </w:r>
      <w:r>
        <w:rPr>
          <w:rFonts w:hint="eastAsia" w:ascii="宋体" w:hAnsi="宋体" w:eastAsia="宋体" w:cs="宋体"/>
          <w:b w:val="0"/>
          <w:bCs w:val="0"/>
          <w:color w:val="auto"/>
          <w:sz w:val="24"/>
          <w:szCs w:val="24"/>
          <w:highlight w:val="none"/>
          <w:u w:val="none"/>
          <w:lang w:val="en-US" w:eastAsia="zh-CN" w:bidi="ar-SA"/>
        </w:rPr>
        <w:t>莫北油田莫116井区</w:t>
      </w:r>
      <w:r>
        <w:rPr>
          <w:rFonts w:hint="eastAsia" w:ascii="宋体" w:hAnsi="宋体" w:eastAsia="宋体" w:cs="宋体"/>
          <w:b w:val="0"/>
          <w:bCs w:val="0"/>
          <w:color w:val="auto"/>
          <w:sz w:val="24"/>
          <w:szCs w:val="24"/>
          <w:highlight w:val="none"/>
          <w:u w:val="none"/>
          <w:lang w:val="zh-CN" w:eastAsia="zh-CN" w:bidi="ar-SA"/>
        </w:rPr>
        <w:t>的油气开发，加大</w:t>
      </w:r>
      <w:r>
        <w:rPr>
          <w:rFonts w:hint="eastAsia" w:ascii="宋体" w:hAnsi="宋体" w:eastAsia="宋体" w:cs="宋体"/>
          <w:b w:val="0"/>
          <w:bCs w:val="0"/>
          <w:color w:val="auto"/>
          <w:sz w:val="24"/>
          <w:szCs w:val="24"/>
          <w:highlight w:val="none"/>
          <w:u w:val="none"/>
          <w:lang w:val="en-US" w:eastAsia="zh-CN" w:bidi="ar-SA"/>
        </w:rPr>
        <w:t>准噶尔</w:t>
      </w:r>
      <w:r>
        <w:rPr>
          <w:rFonts w:hint="eastAsia" w:ascii="宋体" w:hAnsi="宋体" w:eastAsia="宋体" w:cs="宋体"/>
          <w:b w:val="0"/>
          <w:bCs w:val="0"/>
          <w:color w:val="auto"/>
          <w:sz w:val="24"/>
          <w:szCs w:val="24"/>
          <w:highlight w:val="none"/>
          <w:u w:val="none"/>
          <w:lang w:val="zh-CN" w:eastAsia="zh-CN" w:bidi="ar-SA"/>
        </w:rPr>
        <w:t>盆地油气开发力度。</w:t>
      </w:r>
      <w:r>
        <w:rPr>
          <w:rFonts w:hint="eastAsia" w:ascii="宋体" w:hAnsi="宋体" w:eastAsia="宋体" w:cs="宋体"/>
          <w:b w:val="0"/>
          <w:bCs w:val="0"/>
          <w:color w:val="auto"/>
          <w:sz w:val="24"/>
          <w:szCs w:val="24"/>
          <w:highlight w:val="none"/>
          <w:u w:val="none"/>
          <w:lang w:val="en-US" w:eastAsia="zh-CN" w:bidi="ar-SA"/>
        </w:rPr>
        <w:t>符合《新疆维吾尔自治区国民经济和社会发展第十四个五年规划和2035年远景目标纲要》</w:t>
      </w:r>
      <w:r>
        <w:rPr>
          <w:rFonts w:hint="eastAsia" w:ascii="宋体" w:hAnsi="宋体" w:eastAsia="宋体" w:cs="宋体"/>
          <w:b w:val="0"/>
          <w:bCs w:val="0"/>
          <w:color w:val="auto"/>
          <w:sz w:val="24"/>
          <w:szCs w:val="24"/>
          <w:highlight w:val="none"/>
          <w:u w:val="none"/>
          <w:lang w:val="en-US" w:eastAsia="zh-CN" w:bidi="ar"/>
        </w:rPr>
        <w:t>《新疆油田公司“十四五”发展规划》</w:t>
      </w:r>
      <w:r>
        <w:rPr>
          <w:rFonts w:hint="eastAsia" w:ascii="宋体" w:hAnsi="宋体" w:eastAsia="宋体" w:cs="宋体"/>
          <w:b w:val="0"/>
          <w:bCs w:val="0"/>
          <w:color w:val="auto"/>
          <w:sz w:val="24"/>
          <w:szCs w:val="24"/>
          <w:highlight w:val="none"/>
          <w:u w:val="none"/>
          <w:lang w:val="en-US" w:eastAsia="zh-CN" w:bidi="ar-SA"/>
        </w:rPr>
        <w:t>《新疆生态环境保护“十四五”规划》相关要求。</w:t>
      </w:r>
    </w:p>
    <w:p w14:paraId="29EAF544">
      <w:pPr>
        <w:keepNext w:val="0"/>
        <w:keepLines w:val="0"/>
        <w:pageBreakBefore w:val="0"/>
        <w:kinsoku/>
        <w:wordWrap/>
        <w:overflowPunct/>
        <w:topLinePunct w:val="0"/>
        <w:autoSpaceDN/>
        <w:bidi w:val="0"/>
        <w:adjustRightInd/>
        <w:snapToGrid/>
        <w:spacing w:after="0" w:line="480" w:lineRule="exact"/>
        <w:ind w:firstLine="480" w:firstLineChars="200"/>
        <w:jc w:val="left"/>
        <w:textAlignment w:val="auto"/>
        <w:rPr>
          <w:rFonts w:hint="eastAsia" w:ascii="宋体" w:hAnsi="宋体" w:eastAsia="宋体" w:cs="宋体"/>
          <w:color w:val="auto"/>
          <w:sz w:val="24"/>
          <w:szCs w:val="24"/>
          <w:highlight w:val="none"/>
          <w:u w:val="none"/>
          <w:lang w:val="zh-CN" w:eastAsia="zh-CN" w:bidi="ar-SA"/>
        </w:rPr>
      </w:pPr>
      <w:r>
        <w:rPr>
          <w:rFonts w:hint="eastAsia" w:ascii="宋体" w:hAnsi="宋体" w:eastAsia="宋体" w:cs="宋体"/>
          <w:color w:val="auto"/>
          <w:sz w:val="24"/>
          <w:szCs w:val="24"/>
          <w:highlight w:val="none"/>
          <w:u w:val="none"/>
          <w:lang w:val="zh-CN" w:eastAsia="zh-CN" w:bidi="ar-SA"/>
        </w:rPr>
        <w:t>对照《新疆维吾尔自治区主体功能区规划》，</w:t>
      </w:r>
      <w:r>
        <w:rPr>
          <w:rFonts w:hint="eastAsia" w:ascii="宋体" w:hAnsi="宋体" w:eastAsia="宋体" w:cs="宋体"/>
          <w:color w:val="auto"/>
          <w:sz w:val="24"/>
          <w:szCs w:val="24"/>
          <w:highlight w:val="none"/>
          <w:u w:val="none"/>
          <w:lang w:val="en-US" w:eastAsia="zh-CN" w:bidi="ar-SA"/>
        </w:rPr>
        <w:t>本工程</w:t>
      </w:r>
      <w:r>
        <w:rPr>
          <w:rFonts w:hint="eastAsia" w:ascii="宋体" w:hAnsi="宋体" w:eastAsia="宋体" w:cs="宋体"/>
          <w:color w:val="auto"/>
          <w:sz w:val="24"/>
          <w:szCs w:val="24"/>
          <w:highlight w:val="none"/>
          <w:u w:val="none"/>
          <w:lang w:val="zh-CN" w:eastAsia="zh-CN" w:bidi="ar-SA"/>
        </w:rPr>
        <w:t>不属于主体功能区规划中确定的国家和自治区层面的禁止开发区域，所进行的石油天然气勘探活动符合“全国重要的能源基地”定位。因此本工程的建设符合《新疆维吾尔自治区主体功能区规划》。</w:t>
      </w:r>
    </w:p>
    <w:p w14:paraId="324159FB">
      <w:pPr>
        <w:keepNext w:val="0"/>
        <w:keepLines w:val="0"/>
        <w:pageBreakBefore w:val="0"/>
        <w:widowControl/>
        <w:kinsoku/>
        <w:wordWrap/>
        <w:overflowPunct/>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kern w:val="0"/>
          <w:sz w:val="24"/>
          <w:szCs w:val="24"/>
          <w:highlight w:val="none"/>
          <w:u w:val="none"/>
          <w:lang w:val="zh-CN" w:eastAsia="zh-CN" w:bidi="ar-SA"/>
        </w:rPr>
      </w:pPr>
      <w:r>
        <w:rPr>
          <w:rFonts w:hint="eastAsia" w:ascii="宋体" w:hAnsi="宋体" w:eastAsia="宋体" w:cs="宋体"/>
          <w:color w:val="auto"/>
          <w:sz w:val="24"/>
          <w:szCs w:val="24"/>
          <w:highlight w:val="none"/>
          <w:u w:val="none"/>
          <w:lang w:val="zh-CN" w:eastAsia="zh-CN" w:bidi="ar-SA"/>
        </w:rPr>
        <w:t>对照《新疆生态功能区划》，本项目所在区域属于准噶尔盆地温性荒漠与绿洲农业生态区，准噶尔盆地中部固定、半固定沙漠生态亚区，古尔班通古特沙漠化敏感及植被保护生态功能区。本项目占地面积较小，对于整体的土地利用格局、植被覆盖格局、野生动物活动、土壤不会带来显著影响，项目建设符合区域生态功能定位。</w:t>
      </w:r>
    </w:p>
    <w:p w14:paraId="2010672D">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zh-CN"/>
        </w:rPr>
      </w:pPr>
      <w:r>
        <w:rPr>
          <w:rFonts w:hint="default" w:ascii="Times New Roman" w:hAnsi="Times New Roman" w:eastAsia="宋体" w:cs="Times New Roman"/>
          <w:color w:val="auto"/>
          <w:kern w:val="0"/>
          <w:sz w:val="24"/>
          <w:szCs w:val="24"/>
          <w:highlight w:val="none"/>
          <w:u w:val="none"/>
          <w:lang w:val="zh-CN"/>
        </w:rPr>
        <w:t>（4）选址合理性分析判定结论</w:t>
      </w:r>
    </w:p>
    <w:p w14:paraId="755BAEF7">
      <w:pPr>
        <w:keepNext w:val="0"/>
        <w:keepLines w:val="0"/>
        <w:pageBreakBefore w:val="0"/>
        <w:kinsoku/>
        <w:wordWrap/>
        <w:overflowPunct/>
        <w:topLinePunct w:val="0"/>
        <w:autoSpaceDN/>
        <w:bidi w:val="0"/>
        <w:adjustRightInd/>
        <w:snapToGrid/>
        <w:spacing w:after="0" w:line="480" w:lineRule="exact"/>
        <w:ind w:firstLine="480" w:firstLineChars="200"/>
        <w:jc w:val="left"/>
        <w:textAlignment w:val="auto"/>
        <w:rPr>
          <w:rFonts w:hint="eastAsia" w:ascii="宋体" w:hAnsi="宋体" w:eastAsia="宋体" w:cs="宋体"/>
          <w:snapToGrid w:val="0"/>
          <w:color w:val="auto"/>
          <w:kern w:val="2"/>
          <w:sz w:val="24"/>
          <w:szCs w:val="24"/>
          <w:highlight w:val="none"/>
          <w:u w:val="none"/>
          <w:lang w:val="en-US" w:eastAsia="zh-CN" w:bidi="ar-SA"/>
        </w:rPr>
      </w:pPr>
      <w:r>
        <w:rPr>
          <w:rFonts w:hint="eastAsia" w:ascii="宋体" w:hAnsi="宋体" w:eastAsia="宋体" w:cs="宋体"/>
          <w:snapToGrid w:val="0"/>
          <w:color w:val="auto"/>
          <w:kern w:val="2"/>
          <w:sz w:val="24"/>
          <w:szCs w:val="24"/>
          <w:highlight w:val="none"/>
          <w:u w:val="none"/>
          <w:lang w:val="en-US" w:eastAsia="zh-CN" w:bidi="ar-SA"/>
        </w:rPr>
        <w:t>本工程为</w:t>
      </w:r>
      <w:r>
        <w:rPr>
          <w:rFonts w:hint="eastAsia" w:ascii="宋体" w:hAnsi="宋体" w:eastAsia="宋体" w:cs="宋体"/>
          <w:b w:val="0"/>
          <w:bCs w:val="0"/>
          <w:color w:val="auto"/>
          <w:sz w:val="24"/>
          <w:szCs w:val="24"/>
          <w:highlight w:val="none"/>
          <w:u w:val="none"/>
          <w:lang w:val="en-US" w:eastAsia="zh-CN" w:bidi="ar-SA"/>
        </w:rPr>
        <w:t>莫北油田莫116井区</w:t>
      </w:r>
      <w:r>
        <w:rPr>
          <w:rFonts w:hint="eastAsia" w:ascii="宋体" w:hAnsi="宋体" w:eastAsia="宋体" w:cs="宋体"/>
          <w:snapToGrid w:val="0"/>
          <w:color w:val="auto"/>
          <w:kern w:val="2"/>
          <w:sz w:val="24"/>
          <w:szCs w:val="24"/>
          <w:highlight w:val="none"/>
          <w:u w:val="none"/>
          <w:lang w:val="en-US" w:eastAsia="zh-CN" w:bidi="ar-SA"/>
        </w:rPr>
        <w:t>滚动开发项目，符合《石油天然气开采业污染防治技术政策》中的相关要求，根据现场调查，本工程不涉及水源涵养区、地下水源、饮用水源、自然保护区、风景名胜区、森林公园、重要湿地及人群密集区等生态敏感区域内等重点保护区域内；符合地区经济发展规划、环保规划。本工程土地利用类型为沙地。项目区周边5km范围内无常年地表水体分布，无长期居住人群。</w:t>
      </w:r>
    </w:p>
    <w:p w14:paraId="4349319D">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val="zh-CN"/>
        </w:rPr>
      </w:pPr>
      <w:r>
        <w:rPr>
          <w:rFonts w:hint="eastAsia" w:ascii="宋体" w:hAnsi="宋体" w:eastAsia="宋体" w:cs="宋体"/>
          <w:color w:val="auto"/>
          <w:sz w:val="24"/>
          <w:szCs w:val="24"/>
          <w:highlight w:val="none"/>
          <w:u w:val="none"/>
          <w:lang w:val="en-US" w:eastAsia="zh-CN" w:bidi="ar-SA"/>
        </w:rPr>
        <w:t>本工程在选址、选线过程中注意避让项目区植被，尽量减少对植被的生态扰动；本工程运营期废气主要为油气开采过程中排放的无组织挥发的非甲烷总烃</w:t>
      </w:r>
      <w:r>
        <w:rPr>
          <w:rFonts w:hint="eastAsia" w:ascii="宋体" w:hAnsi="宋体" w:cs="宋体"/>
          <w:color w:val="auto"/>
          <w:sz w:val="24"/>
          <w:szCs w:val="24"/>
          <w:highlight w:val="none"/>
          <w:u w:val="none"/>
          <w:lang w:val="en-US" w:eastAsia="zh-CN" w:bidi="ar-SA"/>
        </w:rPr>
        <w:t>、硫化氢</w:t>
      </w:r>
      <w:r>
        <w:rPr>
          <w:rFonts w:hint="eastAsia" w:ascii="宋体" w:hAnsi="宋体" w:eastAsia="宋体" w:cs="宋体"/>
          <w:color w:val="auto"/>
          <w:sz w:val="24"/>
          <w:szCs w:val="24"/>
          <w:highlight w:val="none"/>
          <w:u w:val="none"/>
          <w:lang w:val="en-US" w:eastAsia="zh-CN" w:bidi="ar-SA"/>
        </w:rPr>
        <w:t>，产生的废气为持续的长期影响，但废气污染物均可以得到较好扩散，对大气污染物浓度贡献值小，且项目区地域空旷，项目实施后不会对周围环境产生明显影响；废水实现零排放，固体废物能够实现妥善处置，综上所述，本工程建成后所在区域的环境功能不会发生改变，对环境的影响属可接受的范围，项目的选址从环保角度认为可行。</w:t>
      </w:r>
    </w:p>
    <w:p w14:paraId="73E6E5D6">
      <w:pPr>
        <w:keepNext w:val="0"/>
        <w:keepLines w:val="0"/>
        <w:pageBreakBefore w:val="0"/>
        <w:widowControl/>
        <w:kinsoku/>
        <w:wordWrap/>
        <w:overflowPunct/>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lang w:bidi="en-US"/>
        </w:rPr>
      </w:pPr>
      <w:r>
        <w:rPr>
          <w:rFonts w:hint="default" w:ascii="Times New Roman" w:hAnsi="Times New Roman" w:eastAsia="宋体" w:cs="Times New Roman"/>
          <w:color w:val="auto"/>
          <w:kern w:val="0"/>
          <w:sz w:val="24"/>
          <w:szCs w:val="24"/>
          <w:highlight w:val="none"/>
          <w:u w:val="none"/>
          <w:lang w:val="zh-CN"/>
        </w:rPr>
        <w:t>（</w:t>
      </w:r>
      <w:r>
        <w:rPr>
          <w:rFonts w:hint="eastAsia" w:ascii="Times New Roman" w:hAnsi="Times New Roman" w:eastAsia="宋体" w:cs="Times New Roman"/>
          <w:color w:val="auto"/>
          <w:kern w:val="0"/>
          <w:sz w:val="24"/>
          <w:szCs w:val="24"/>
          <w:highlight w:val="none"/>
          <w:u w:val="none"/>
          <w:lang w:val="en-US" w:eastAsia="zh-CN"/>
        </w:rPr>
        <w:t>5</w:t>
      </w:r>
      <w:r>
        <w:rPr>
          <w:rFonts w:hint="default" w:ascii="Times New Roman" w:hAnsi="Times New Roman" w:eastAsia="宋体" w:cs="Times New Roman"/>
          <w:color w:val="auto"/>
          <w:kern w:val="0"/>
          <w:sz w:val="24"/>
          <w:szCs w:val="24"/>
          <w:highlight w:val="none"/>
          <w:u w:val="none"/>
          <w:lang w:val="zh-CN"/>
        </w:rPr>
        <w:t>）生态环境分区管控符合性判定</w:t>
      </w:r>
    </w:p>
    <w:p w14:paraId="3F623A47">
      <w:pPr>
        <w:keepNext w:val="0"/>
        <w:keepLines w:val="0"/>
        <w:pageBreakBefore w:val="0"/>
        <w:kinsoku/>
        <w:wordWrap/>
        <w:overflowPunct/>
        <w:topLinePunct w:val="0"/>
        <w:autoSpaceDN/>
        <w:bidi w:val="0"/>
        <w:adjustRightInd/>
        <w:snapToGrid/>
        <w:spacing w:after="0" w:line="480" w:lineRule="exact"/>
        <w:ind w:firstLine="480" w:firstLineChars="200"/>
        <w:jc w:val="left"/>
        <w:textAlignment w:val="auto"/>
        <w:rPr>
          <w:rFonts w:hint="eastAsia" w:ascii="宋体" w:hAnsi="宋体" w:eastAsia="宋体" w:cs="宋体"/>
          <w:color w:val="auto"/>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根据《关于印发＜新疆维吾尔自治区“三线一单”生态环境分区管控方案＞的通知》（新政发〔2021〕18号）</w:t>
      </w:r>
      <w:r>
        <w:rPr>
          <w:rFonts w:hint="eastAsia" w:ascii="宋体" w:hAnsi="宋体" w:cs="宋体"/>
          <w:color w:val="auto"/>
          <w:sz w:val="24"/>
          <w:szCs w:val="24"/>
          <w:highlight w:val="none"/>
          <w:u w:val="none"/>
          <w:lang w:val="en-US" w:eastAsia="zh-CN" w:bidi="ar-SA"/>
        </w:rPr>
        <w:t>、</w:t>
      </w:r>
      <w:r>
        <w:rPr>
          <w:rFonts w:hint="eastAsia" w:ascii="宋体" w:hAnsi="宋体" w:eastAsia="宋体" w:cs="宋体"/>
          <w:color w:val="auto"/>
          <w:sz w:val="24"/>
          <w:szCs w:val="24"/>
          <w:highlight w:val="none"/>
          <w:u w:val="none"/>
          <w:lang w:val="en-US" w:eastAsia="zh-CN" w:bidi="ar-SA"/>
        </w:rPr>
        <w:t>《关于印发＜新疆维吾尔自治区生态环境分区管控动态更新成果＞的通知》（新环环评发〔2024〕157号）、《新疆维吾尔自治区七大片区“三线一单”生态环境分区管控要求》（新环环评发〔2021〕162号）以及《昌吉回族自治州“三线一单”生态环境分区管控方案》《昌吉回族自治州区域空间生态环境评价暨“三线一单”生态环境准入清单动态更新成果》要求，本工程位于呼图壁县一般管控单元内（环境管控单元编码：ZH65232330001），</w:t>
      </w:r>
      <w:r>
        <w:rPr>
          <w:rFonts w:hint="eastAsia" w:ascii="宋体" w:hAnsi="宋体" w:eastAsia="宋体" w:cs="宋体"/>
          <w:color w:val="auto"/>
          <w:spacing w:val="8"/>
          <w:kern w:val="24"/>
          <w:sz w:val="24"/>
          <w:szCs w:val="22"/>
          <w:highlight w:val="none"/>
          <w:u w:val="none"/>
          <w:lang w:val="en-US" w:eastAsia="zh-CN" w:bidi="ar-SA"/>
        </w:rPr>
        <w:t>不涉及拟定的生态保护红线范围内</w:t>
      </w:r>
      <w:r>
        <w:rPr>
          <w:rFonts w:hint="eastAsia" w:ascii="宋体" w:hAnsi="宋体" w:eastAsia="宋体" w:cs="宋体"/>
          <w:color w:val="auto"/>
          <w:sz w:val="24"/>
          <w:szCs w:val="24"/>
          <w:highlight w:val="none"/>
          <w:u w:val="none"/>
          <w:lang w:val="en-US" w:eastAsia="zh-CN" w:bidi="ar-SA"/>
        </w:rPr>
        <w:t>，项目区土壤、噪声环境质量可以达到功能区要求，环境空气质量属于非达标区，超标主要是由于当地气候条件干燥、自然扬尘较多。</w:t>
      </w:r>
    </w:p>
    <w:p w14:paraId="1C93B654">
      <w:pPr>
        <w:keepNext w:val="0"/>
        <w:keepLines w:val="0"/>
        <w:pageBreakBefore w:val="0"/>
        <w:widowControl w:val="0"/>
        <w:kinsoku/>
        <w:wordWrap/>
        <w:overflowPunct/>
        <w:topLinePunct/>
        <w:autoSpaceDE w:val="0"/>
        <w:autoSpaceDN/>
        <w:bidi w:val="0"/>
        <w:adjustRightInd/>
        <w:snapToGrid/>
        <w:spacing w:afterAutospacing="0" w:line="480" w:lineRule="exact"/>
        <w:ind w:left="0" w:leftChars="0" w:firstLine="480" w:firstLineChars="200"/>
        <w:jc w:val="both"/>
        <w:textAlignment w:val="auto"/>
        <w:rPr>
          <w:rFonts w:hint="default" w:ascii="Times New Roman" w:hAnsi="Times New Roman" w:eastAsia="宋体" w:cs="Times New Roman"/>
          <w:color w:val="auto"/>
          <w:spacing w:val="8"/>
          <w:kern w:val="24"/>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bidi="ar-SA"/>
        </w:rPr>
        <w:t>本工程符合管控单元生态环境准入清单一般管控单元的空间布局约束、污染物排放管控、环境风险防控和资源利用效率的要求，符合生态环境分区管控要求。</w:t>
      </w:r>
    </w:p>
    <w:p w14:paraId="3A785FD9">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69" w:name="_Toc14730"/>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.3</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环境质量现状</w:t>
      </w:r>
      <w:bookmarkEnd w:id="669"/>
    </w:p>
    <w:p w14:paraId="423C1D2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lang w:val="en-US" w:eastAsia="zh-CN" w:bidi="ar-SA"/>
        </w:rPr>
      </w:pPr>
      <w:r>
        <w:rPr>
          <w:rFonts w:ascii="Times New Roman" w:hAnsi="Times New Roman" w:eastAsia="宋体" w:cs="Times New Roman"/>
          <w:color w:val="auto"/>
          <w:kern w:val="0"/>
          <w:sz w:val="24"/>
          <w:szCs w:val="24"/>
          <w:highlight w:val="none"/>
          <w:u w:val="none"/>
          <w:lang w:val="en-US" w:eastAsia="zh-CN" w:bidi="ar-SA"/>
        </w:rPr>
        <w:t>（1）生态环境质量现状</w:t>
      </w:r>
    </w:p>
    <w:p w14:paraId="2DFC08AE">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b w:val="0"/>
          <w:bCs w:val="0"/>
          <w:snapToGrid w:val="0"/>
          <w:color w:val="auto"/>
          <w:kern w:val="0"/>
          <w:sz w:val="24"/>
          <w:szCs w:val="24"/>
          <w:highlight w:val="none"/>
          <w:u w:val="none"/>
          <w:lang w:val="en-US" w:eastAsia="zh-CN" w:bidi="ar-SA"/>
        </w:rPr>
        <w:t>本项目区位于准噶尔盆地古尔班通古特沙漠腹地，评价区域无自然保护区、世界文化和自然遗产地等特殊生态敏感区，涉及水土流失预防区，生态系统较为脆弱，经现场调查，评价区域内分布有白梭梭、白皮沙拐枣、羽毛三芒草等原始天然植被，如遭到占用、损失和破坏后将使沙丘活化，但可以通过一定的防风固沙措施加以预防、恢复，属于重要生态敏感区。根据《新疆生态功能区划》，项目区属于《新疆生态功能区划》中的II准噶尔盆地温性荒漠与绿洲农业生态区-II3准噶尔盆地中部固定、半固定沙漠生态亚区-23古尔班通古特沙漠化敏感及植被保护生态功能区。项目区气候干燥，属轻度侵蚀区，类型为风力侵蚀，土壤主要为风沙土，植被类型主要为白梭梭、白皮沙拐枣、羽毛三芒草等，植被覆盖率5%左右，野生动物栖息生境类型属古北界、中亚亚界、蒙新区、西部荒漠亚区、准噶尔盆地小区。由于作业区周边油油田较多，人为活动频繁，项目现状调查和走访中，未发现大型野生动物和受保护野生动物</w:t>
      </w:r>
      <w:r>
        <w:rPr>
          <w:rFonts w:hint="eastAsia" w:ascii="Times New Roman" w:hAnsi="Times New Roman" w:eastAsia="宋体" w:cs="Times New Roman"/>
          <w:color w:val="auto"/>
          <w:kern w:val="0"/>
          <w:sz w:val="24"/>
          <w:szCs w:val="24"/>
          <w:highlight w:val="none"/>
          <w:u w:val="none"/>
          <w:lang w:val="en-US" w:eastAsia="zh-CN" w:bidi="ar-SA"/>
        </w:rPr>
        <w:t>。</w:t>
      </w:r>
    </w:p>
    <w:p w14:paraId="4AED6175">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lang w:val="en-US" w:eastAsia="zh-CN" w:bidi="ar-SA"/>
        </w:rPr>
      </w:pPr>
      <w:r>
        <w:rPr>
          <w:rFonts w:ascii="Times New Roman" w:hAnsi="Times New Roman" w:eastAsia="宋体" w:cs="Times New Roman"/>
          <w:color w:val="auto"/>
          <w:kern w:val="0"/>
          <w:sz w:val="24"/>
          <w:szCs w:val="24"/>
          <w:highlight w:val="none"/>
          <w:u w:val="none"/>
          <w:lang w:val="en-US" w:eastAsia="zh-CN" w:bidi="ar-SA"/>
        </w:rPr>
        <w:t>（2）环境空气质量现状</w:t>
      </w:r>
    </w:p>
    <w:p w14:paraId="28123259">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snapToGrid w:val="0"/>
          <w:color w:val="auto"/>
          <w:kern w:val="0"/>
          <w:sz w:val="24"/>
          <w:szCs w:val="24"/>
          <w:highlight w:val="none"/>
          <w:u w:val="none"/>
          <w:lang w:val="en-US" w:eastAsia="zh-CN" w:bidi="ar-SA"/>
        </w:rPr>
        <w:t>根据生态环境部环境工程评估中心公布的全国环境空气质量达标区判定结果</w:t>
      </w:r>
      <w:r>
        <w:rPr>
          <w:rFonts w:hint="eastAsia" w:ascii="Times New Roman" w:hAnsi="Times New Roman" w:eastAsia="宋体" w:cs="Times New Roman"/>
          <w:snapToGrid w:val="0"/>
          <w:color w:val="auto"/>
          <w:kern w:val="0"/>
          <w:sz w:val="24"/>
          <w:szCs w:val="24"/>
          <w:highlight w:val="none"/>
          <w:u w:val="none"/>
          <w:lang w:val="en-US" w:eastAsia="zh-CN" w:bidi="ar-SA"/>
        </w:rPr>
        <w:t>：</w:t>
      </w:r>
      <w:r>
        <w:rPr>
          <w:rFonts w:hint="default" w:ascii="Times New Roman" w:hAnsi="Times New Roman" w:eastAsia="宋体" w:cs="Times New Roman"/>
          <w:color w:val="auto"/>
          <w:spacing w:val="4"/>
          <w:kern w:val="2"/>
          <w:sz w:val="24"/>
          <w:szCs w:val="24"/>
          <w:highlight w:val="none"/>
          <w:u w:val="none"/>
          <w:lang w:val="en-US" w:eastAsia="zh-CN" w:bidi="ar-SA"/>
        </w:rPr>
        <w:t>202</w:t>
      </w:r>
      <w:r>
        <w:rPr>
          <w:rFonts w:hint="eastAsia" w:cs="Times New Roman"/>
          <w:color w:val="auto"/>
          <w:spacing w:val="4"/>
          <w:kern w:val="2"/>
          <w:sz w:val="24"/>
          <w:szCs w:val="24"/>
          <w:highlight w:val="none"/>
          <w:u w:val="none"/>
          <w:lang w:val="en-US" w:eastAsia="zh-CN" w:bidi="ar-SA"/>
        </w:rPr>
        <w:t>3</w:t>
      </w:r>
      <w:r>
        <w:rPr>
          <w:rFonts w:hint="default" w:ascii="Times New Roman" w:hAnsi="Times New Roman" w:eastAsia="宋体" w:cs="Times New Roman"/>
          <w:color w:val="auto"/>
          <w:spacing w:val="4"/>
          <w:kern w:val="2"/>
          <w:sz w:val="24"/>
          <w:szCs w:val="24"/>
          <w:highlight w:val="none"/>
          <w:u w:val="none"/>
          <w:lang w:val="en-US" w:eastAsia="zh-CN" w:bidi="ar-SA"/>
        </w:rPr>
        <w:t>年项目所在地</w:t>
      </w:r>
      <w:r>
        <w:rPr>
          <w:rFonts w:hint="eastAsia" w:ascii="Times New Roman" w:hAnsi="Times New Roman" w:eastAsia="宋体" w:cs="Times New Roman"/>
          <w:bCs/>
          <w:color w:val="auto"/>
          <w:sz w:val="24"/>
          <w:szCs w:val="24"/>
          <w:highlight w:val="none"/>
          <w:u w:val="none"/>
          <w:lang w:val="en-US" w:eastAsia="zh-CN" w:bidi="ar"/>
        </w:rPr>
        <w:t>昌吉州</w:t>
      </w:r>
      <w:r>
        <w:rPr>
          <w:rFonts w:hint="default" w:ascii="Times New Roman" w:hAnsi="Times New Roman" w:eastAsia="宋体" w:cs="Times New Roman"/>
          <w:color w:val="auto"/>
          <w:spacing w:val="4"/>
          <w:kern w:val="2"/>
          <w:sz w:val="24"/>
          <w:szCs w:val="24"/>
          <w:highlight w:val="none"/>
          <w:u w:val="none"/>
          <w:lang w:val="en-US" w:eastAsia="zh-CN" w:bidi="ar-SA"/>
        </w:rPr>
        <w:t>SO</w:t>
      </w:r>
      <w:r>
        <w:rPr>
          <w:rFonts w:hint="default" w:ascii="Times New Roman" w:hAnsi="Times New Roman" w:eastAsia="宋体" w:cs="Times New Roman"/>
          <w:color w:val="auto"/>
          <w:spacing w:val="4"/>
          <w:kern w:val="2"/>
          <w:sz w:val="24"/>
          <w:szCs w:val="24"/>
          <w:highlight w:val="none"/>
          <w:u w:val="none"/>
          <w:vertAlign w:val="subscript"/>
          <w:lang w:val="en-US" w:eastAsia="zh-CN" w:bidi="ar-SA"/>
        </w:rPr>
        <w:t>2</w:t>
      </w:r>
      <w:r>
        <w:rPr>
          <w:rFonts w:hint="default" w:ascii="Times New Roman" w:hAnsi="Times New Roman" w:eastAsia="宋体" w:cs="Times New Roman"/>
          <w:color w:val="auto"/>
          <w:spacing w:val="4"/>
          <w:kern w:val="2"/>
          <w:sz w:val="24"/>
          <w:szCs w:val="24"/>
          <w:highlight w:val="none"/>
          <w:u w:val="none"/>
          <w:lang w:val="en-US" w:eastAsia="zh-CN" w:bidi="ar-SA"/>
        </w:rPr>
        <w:t>、NO</w:t>
      </w:r>
      <w:r>
        <w:rPr>
          <w:rFonts w:hint="default" w:ascii="Times New Roman" w:hAnsi="Times New Roman" w:eastAsia="宋体" w:cs="Times New Roman"/>
          <w:color w:val="auto"/>
          <w:spacing w:val="4"/>
          <w:kern w:val="2"/>
          <w:sz w:val="24"/>
          <w:szCs w:val="24"/>
          <w:highlight w:val="none"/>
          <w:u w:val="none"/>
          <w:vertAlign w:val="subscript"/>
          <w:lang w:val="en-US" w:eastAsia="zh-CN" w:bidi="ar-SA"/>
        </w:rPr>
        <w:t>2</w:t>
      </w:r>
      <w:r>
        <w:rPr>
          <w:rFonts w:hint="default" w:ascii="Times New Roman" w:hAnsi="Times New Roman" w:eastAsia="宋体" w:cs="Times New Roman"/>
          <w:color w:val="auto"/>
          <w:spacing w:val="4"/>
          <w:kern w:val="2"/>
          <w:sz w:val="24"/>
          <w:szCs w:val="24"/>
          <w:highlight w:val="none"/>
          <w:u w:val="none"/>
          <w:lang w:val="en-US" w:eastAsia="zh-CN" w:bidi="ar-SA"/>
        </w:rPr>
        <w:t>年平均浓度及CO、O</w:t>
      </w:r>
      <w:r>
        <w:rPr>
          <w:rFonts w:hint="default" w:ascii="Times New Roman" w:hAnsi="Times New Roman" w:eastAsia="宋体" w:cs="Times New Roman"/>
          <w:color w:val="auto"/>
          <w:spacing w:val="4"/>
          <w:kern w:val="2"/>
          <w:sz w:val="24"/>
          <w:szCs w:val="24"/>
          <w:highlight w:val="none"/>
          <w:u w:val="none"/>
          <w:vertAlign w:val="subscript"/>
          <w:lang w:val="en-US" w:eastAsia="zh-CN" w:bidi="ar-SA"/>
        </w:rPr>
        <w:t>3</w:t>
      </w:r>
      <w:r>
        <w:rPr>
          <w:rFonts w:hint="default" w:ascii="Times New Roman" w:hAnsi="Times New Roman" w:eastAsia="宋体" w:cs="Times New Roman"/>
          <w:color w:val="auto"/>
          <w:spacing w:val="4"/>
          <w:kern w:val="2"/>
          <w:sz w:val="24"/>
          <w:szCs w:val="24"/>
          <w:highlight w:val="none"/>
          <w:u w:val="none"/>
          <w:lang w:val="en-US" w:eastAsia="zh-CN" w:bidi="ar-SA"/>
        </w:rPr>
        <w:t>日平均浓度均满足《环境空气质量标准》（GB3095-2012）的二级标准要求；</w:t>
      </w:r>
      <w:r>
        <w:rPr>
          <w:rFonts w:hint="default" w:ascii="Times New Roman" w:hAnsi="Times New Roman" w:eastAsia="宋体" w:cs="Times New Roman"/>
          <w:bCs/>
          <w:color w:val="auto"/>
          <w:spacing w:val="4"/>
          <w:kern w:val="24"/>
          <w:sz w:val="24"/>
          <w:szCs w:val="24"/>
          <w:highlight w:val="none"/>
          <w:u w:val="none"/>
          <w:lang w:val="en-US" w:eastAsia="zh-CN" w:bidi="ar"/>
        </w:rPr>
        <w:t>PM</w:t>
      </w:r>
      <w:r>
        <w:rPr>
          <w:rFonts w:hint="default" w:ascii="Times New Roman" w:hAnsi="Times New Roman" w:eastAsia="宋体" w:cs="Times New Roman"/>
          <w:bCs/>
          <w:color w:val="auto"/>
          <w:spacing w:val="4"/>
          <w:kern w:val="24"/>
          <w:sz w:val="24"/>
          <w:szCs w:val="24"/>
          <w:highlight w:val="none"/>
          <w:u w:val="none"/>
          <w:vertAlign w:val="subscript"/>
          <w:lang w:val="en-US" w:eastAsia="zh-CN" w:bidi="ar"/>
        </w:rPr>
        <w:t>10</w:t>
      </w:r>
      <w:r>
        <w:rPr>
          <w:rFonts w:hint="default" w:ascii="Times New Roman" w:hAnsi="Times New Roman" w:eastAsia="宋体" w:cs="Times New Roman"/>
          <w:bCs/>
          <w:color w:val="auto"/>
          <w:spacing w:val="4"/>
          <w:kern w:val="24"/>
          <w:sz w:val="24"/>
          <w:szCs w:val="24"/>
          <w:highlight w:val="none"/>
          <w:u w:val="none"/>
          <w:lang w:val="en-US" w:eastAsia="zh-CN" w:bidi="ar"/>
        </w:rPr>
        <w:t>、PM</w:t>
      </w:r>
      <w:r>
        <w:rPr>
          <w:rFonts w:hint="default" w:ascii="Times New Roman" w:hAnsi="Times New Roman" w:eastAsia="宋体" w:cs="Times New Roman"/>
          <w:bCs/>
          <w:color w:val="auto"/>
          <w:spacing w:val="4"/>
          <w:kern w:val="24"/>
          <w:sz w:val="24"/>
          <w:szCs w:val="24"/>
          <w:highlight w:val="none"/>
          <w:u w:val="none"/>
          <w:vertAlign w:val="subscript"/>
          <w:lang w:val="en-US" w:eastAsia="zh-CN" w:bidi="ar"/>
        </w:rPr>
        <w:t>2.5</w:t>
      </w:r>
      <w:r>
        <w:rPr>
          <w:rFonts w:hint="default" w:ascii="Times New Roman" w:hAnsi="Times New Roman" w:eastAsia="宋体" w:cs="Times New Roman"/>
          <w:color w:val="auto"/>
          <w:spacing w:val="4"/>
          <w:kern w:val="2"/>
          <w:sz w:val="24"/>
          <w:szCs w:val="24"/>
          <w:highlight w:val="none"/>
          <w:u w:val="none"/>
          <w:lang w:val="en-US" w:eastAsia="zh-CN" w:bidi="ar-SA"/>
        </w:rPr>
        <w:t>年浓度超过《环境空气质量标准》（GB3095-2012）中二级标准限值要求</w:t>
      </w:r>
      <w:r>
        <w:rPr>
          <w:rFonts w:hint="eastAsia" w:cs="Times New Roman"/>
          <w:color w:val="auto"/>
          <w:spacing w:val="4"/>
          <w:kern w:val="2"/>
          <w:sz w:val="24"/>
          <w:szCs w:val="24"/>
          <w:highlight w:val="none"/>
          <w:u w:val="none"/>
          <w:lang w:val="en-US" w:eastAsia="zh-CN" w:bidi="ar-SA"/>
        </w:rPr>
        <w:t>，占标率分别为118.57%、137.14%，</w:t>
      </w:r>
      <w:r>
        <w:rPr>
          <w:rFonts w:hint="default" w:ascii="Times New Roman" w:hAnsi="Times New Roman" w:eastAsia="宋体" w:cs="Times New Roman"/>
          <w:color w:val="auto"/>
          <w:kern w:val="2"/>
          <w:sz w:val="24"/>
          <w:szCs w:val="24"/>
          <w:highlight w:val="none"/>
          <w:u w:val="none"/>
          <w:lang w:val="en-US" w:eastAsia="zh-CN" w:bidi="ar-SA"/>
        </w:rPr>
        <w:t>项目区为不达标区，超标主要是由于当地气候条件干燥、自然扬尘较多</w:t>
      </w:r>
      <w:r>
        <w:rPr>
          <w:rFonts w:hint="eastAsia" w:ascii="Times New Roman" w:hAnsi="Times New Roman" w:eastAsia="宋体" w:cs="Times New Roman"/>
          <w:color w:val="auto"/>
          <w:kern w:val="2"/>
          <w:sz w:val="24"/>
          <w:szCs w:val="24"/>
          <w:highlight w:val="none"/>
          <w:u w:val="none"/>
          <w:lang w:val="en-US" w:eastAsia="zh-CN" w:bidi="ar-SA"/>
        </w:rPr>
        <w:t>。</w:t>
      </w:r>
    </w:p>
    <w:p w14:paraId="5497553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ascii="宋体" w:hAnsi="宋体" w:eastAsia="宋体" w:cs="宋体"/>
          <w:color w:val="auto"/>
          <w:kern w:val="0"/>
          <w:sz w:val="24"/>
          <w:szCs w:val="24"/>
          <w:highlight w:val="none"/>
          <w:u w:val="none"/>
          <w:lang w:val="en-US" w:eastAsia="zh-CN" w:bidi="ar-SA"/>
        </w:rPr>
        <w:t>特征因子补充监测结果表明</w:t>
      </w:r>
      <w:r>
        <w:rPr>
          <w:rFonts w:ascii="Times New Roman" w:hAnsi="Times New Roman" w:eastAsia="宋体" w:cs="Times New Roman"/>
          <w:color w:val="auto"/>
          <w:kern w:val="0"/>
          <w:sz w:val="24"/>
          <w:szCs w:val="24"/>
          <w:highlight w:val="none"/>
          <w:u w:val="none"/>
          <w:lang w:val="en-US" w:eastAsia="zh-CN" w:bidi="ar-SA"/>
        </w:rPr>
        <w:t>，</w:t>
      </w:r>
      <w:r>
        <w:rPr>
          <w:rFonts w:hint="eastAsia" w:ascii="Times New Roman" w:hAnsi="Times New Roman" w:eastAsia="宋体" w:cs="Times New Roman"/>
          <w:color w:val="auto"/>
          <w:kern w:val="0"/>
          <w:sz w:val="24"/>
          <w:szCs w:val="24"/>
          <w:highlight w:val="none"/>
          <w:u w:val="none"/>
          <w:lang w:val="en-US" w:eastAsia="zh-CN" w:bidi="ar-SA"/>
        </w:rPr>
        <w:t>监测期间各监测点非甲烷总烃小时值浓度满足《大气污染物综合排放标准》（GB16297-1996）详解中浓度限值2000μg/m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eastAsia" w:ascii="Times New Roman" w:hAnsi="Times New Roman" w:eastAsia="宋体" w:cs="Times New Roman"/>
          <w:color w:val="auto"/>
          <w:kern w:val="0"/>
          <w:sz w:val="24"/>
          <w:szCs w:val="24"/>
          <w:highlight w:val="none"/>
          <w:u w:val="none"/>
          <w:lang w:val="en-US" w:eastAsia="zh-CN" w:bidi="ar-SA"/>
        </w:rPr>
        <w:t>要求；H</w:t>
      </w:r>
      <w:r>
        <w:rPr>
          <w:rFonts w:hint="eastAsia" w:ascii="Times New Roman" w:hAnsi="Times New Roman" w:eastAsia="宋体" w:cs="Times New Roman"/>
          <w:color w:val="auto"/>
          <w:kern w:val="0"/>
          <w:sz w:val="24"/>
          <w:szCs w:val="24"/>
          <w:highlight w:val="none"/>
          <w:u w:val="none"/>
          <w:vertAlign w:val="subscript"/>
          <w:lang w:val="en-US" w:eastAsia="zh-CN" w:bidi="ar-SA"/>
        </w:rPr>
        <w:t>2</w:t>
      </w:r>
      <w:r>
        <w:rPr>
          <w:rFonts w:hint="eastAsia" w:ascii="Times New Roman" w:hAnsi="Times New Roman" w:eastAsia="宋体" w:cs="Times New Roman"/>
          <w:color w:val="auto"/>
          <w:kern w:val="0"/>
          <w:sz w:val="24"/>
          <w:szCs w:val="24"/>
          <w:highlight w:val="none"/>
          <w:u w:val="none"/>
          <w:lang w:val="en-US" w:eastAsia="zh-CN" w:bidi="ar-SA"/>
        </w:rPr>
        <w:t>S小时平均值均未检出，能满足《环境影响评价技术导则大气环境》（HJ2.2-2018）附录D中其他污染物空气质量浓度参考限值（10μg/m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eastAsia" w:ascii="Times New Roman" w:hAnsi="Times New Roman" w:eastAsia="宋体" w:cs="Times New Roman"/>
          <w:color w:val="auto"/>
          <w:kern w:val="0"/>
          <w:sz w:val="24"/>
          <w:szCs w:val="24"/>
          <w:highlight w:val="none"/>
          <w:u w:val="none"/>
          <w:lang w:val="en-US" w:eastAsia="zh-CN" w:bidi="ar-SA"/>
        </w:rPr>
        <w:t>）的浓度限值要求。</w:t>
      </w:r>
    </w:p>
    <w:p w14:paraId="6B51C82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lang w:val="en-US" w:eastAsia="zh-CN" w:bidi="ar-SA"/>
        </w:rPr>
      </w:pPr>
      <w:r>
        <w:rPr>
          <w:rFonts w:ascii="Times New Roman" w:hAnsi="Times New Roman" w:eastAsia="宋体" w:cs="Times New Roman"/>
          <w:color w:val="auto"/>
          <w:kern w:val="0"/>
          <w:sz w:val="24"/>
          <w:szCs w:val="24"/>
          <w:highlight w:val="none"/>
          <w:u w:val="none"/>
          <w:lang w:val="en-US" w:eastAsia="zh-CN" w:bidi="ar-SA"/>
        </w:rPr>
        <w:t>（3）水环境质量现状</w:t>
      </w:r>
    </w:p>
    <w:p w14:paraId="095A6BB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宋体"/>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eastAsia="zh-CN"/>
        </w:rPr>
        <w:t>项目区位于准噶尔盆地腹部古尔班通古特沙漠腹地，周边5km范围内无地表水体。</w:t>
      </w:r>
      <w:r>
        <w:rPr>
          <w:rFonts w:hint="eastAsia" w:ascii="宋体" w:hAnsi="宋体" w:eastAsia="宋体" w:cs="宋体"/>
          <w:color w:val="auto"/>
          <w:kern w:val="0"/>
          <w:sz w:val="24"/>
          <w:szCs w:val="24"/>
          <w:highlight w:val="none"/>
          <w:u w:val="none"/>
          <w:lang w:val="en-US" w:eastAsia="zh-CN"/>
        </w:rPr>
        <w:t>项目区</w:t>
      </w:r>
      <w:r>
        <w:rPr>
          <w:rFonts w:hint="eastAsia" w:ascii="Times New Roman" w:hAnsi="Times New Roman" w:eastAsia="宋体" w:cs="宋体"/>
          <w:color w:val="auto"/>
          <w:kern w:val="0"/>
          <w:sz w:val="24"/>
          <w:szCs w:val="24"/>
          <w:highlight w:val="none"/>
          <w:u w:val="none"/>
        </w:rPr>
        <w:t>地下水环境质量现状监测结果表明：监测期间项目区地下水水质天然背景值较高，溶解性总固体、氯化物、硫酸盐、氟化物均有不同程度超标，其余监测因子可满足《地下水质量标准》（GB/T14848-2017）</w:t>
      </w:r>
      <w:r>
        <w:rPr>
          <w:rFonts w:hint="eastAsia" w:cs="宋体"/>
          <w:color w:val="auto"/>
          <w:kern w:val="0"/>
          <w:sz w:val="24"/>
          <w:szCs w:val="24"/>
          <w:highlight w:val="none"/>
          <w:u w:val="none"/>
          <w:lang w:val="en-US" w:eastAsia="zh-CN"/>
        </w:rPr>
        <w:t>中</w:t>
      </w:r>
      <w:r>
        <w:rPr>
          <w:rFonts w:hint="eastAsia" w:ascii="Times New Roman" w:hAnsi="Times New Roman" w:eastAsia="宋体" w:cs="宋体"/>
          <w:color w:val="auto"/>
          <w:kern w:val="0"/>
          <w:sz w:val="24"/>
          <w:szCs w:val="24"/>
          <w:highlight w:val="none"/>
          <w:u w:val="none"/>
        </w:rPr>
        <w:t>Ⅲ类限值。超标的</w:t>
      </w:r>
      <w:r>
        <w:rPr>
          <w:rFonts w:hint="eastAsia" w:cs="宋体"/>
          <w:color w:val="auto"/>
          <w:kern w:val="0"/>
          <w:sz w:val="24"/>
          <w:szCs w:val="24"/>
          <w:highlight w:val="none"/>
          <w:u w:val="none"/>
          <w:lang w:eastAsia="zh-CN"/>
        </w:rPr>
        <w:t>原因是</w:t>
      </w:r>
      <w:r>
        <w:rPr>
          <w:rFonts w:hint="eastAsia" w:ascii="Times New Roman" w:hAnsi="Times New Roman" w:eastAsia="宋体" w:cs="宋体"/>
          <w:color w:val="auto"/>
          <w:kern w:val="0"/>
          <w:sz w:val="24"/>
          <w:szCs w:val="24"/>
          <w:highlight w:val="none"/>
          <w:u w:val="none"/>
        </w:rPr>
        <w:t>评价区域位于准噶尔盆地腹部，地势较低，是新疆北部地区地下水的排泄区。地下水在流动过程中将地层中的矿物质元素溶解并携带流动到该区域，使得区域浅层地下水矿化度较高，属天然背景值超标。</w:t>
      </w:r>
    </w:p>
    <w:p w14:paraId="580D091A">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lang w:val="en-US" w:eastAsia="zh-CN" w:bidi="ar-SA"/>
        </w:rPr>
      </w:pPr>
      <w:r>
        <w:rPr>
          <w:rFonts w:ascii="Times New Roman" w:hAnsi="Times New Roman" w:eastAsia="宋体" w:cs="Times New Roman"/>
          <w:color w:val="auto"/>
          <w:kern w:val="0"/>
          <w:sz w:val="24"/>
          <w:szCs w:val="24"/>
          <w:highlight w:val="none"/>
          <w:u w:val="none"/>
          <w:lang w:val="en-US" w:eastAsia="zh-CN" w:bidi="ar-SA"/>
        </w:rPr>
        <w:t>（4）声环境质量现状</w:t>
      </w:r>
    </w:p>
    <w:p w14:paraId="02BA856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lang w:val="en-US" w:eastAsia="zh-CN" w:bidi="ar-SA"/>
        </w:rPr>
      </w:pPr>
      <w:r>
        <w:rPr>
          <w:rFonts w:ascii="Times New Roman" w:hAnsi="Times New Roman" w:eastAsia="宋体" w:cs="Times New Roman"/>
          <w:color w:val="auto"/>
          <w:kern w:val="0"/>
          <w:sz w:val="24"/>
          <w:szCs w:val="24"/>
          <w:highlight w:val="none"/>
          <w:u w:val="none"/>
          <w:lang w:val="en-US" w:eastAsia="zh-CN" w:bidi="ar-SA"/>
        </w:rPr>
        <w:t>声环境质量监测结果表明，各监测点位噪声值均未超出标准值，声环境现状满足《声环境质量标准》（GB3096-2008）中2类标准要求。</w:t>
      </w:r>
    </w:p>
    <w:p w14:paraId="2D13AC10">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lang w:val="en-US" w:eastAsia="zh-CN" w:bidi="ar-SA"/>
        </w:rPr>
      </w:pPr>
      <w:r>
        <w:rPr>
          <w:rFonts w:ascii="Times New Roman" w:hAnsi="Times New Roman" w:eastAsia="宋体" w:cs="Times New Roman"/>
          <w:color w:val="auto"/>
          <w:kern w:val="0"/>
          <w:sz w:val="24"/>
          <w:szCs w:val="24"/>
          <w:highlight w:val="none"/>
          <w:u w:val="none"/>
          <w:lang w:val="en-US" w:eastAsia="zh-CN" w:bidi="ar-SA"/>
        </w:rPr>
        <w:t>（5）土壤环境质量现状</w:t>
      </w:r>
    </w:p>
    <w:p w14:paraId="671DCA3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土壤环境质量监测结果表明，</w:t>
      </w:r>
      <w:r>
        <w:rPr>
          <w:rFonts w:hint="eastAsia" w:ascii="Times New Roman" w:hAnsi="Times New Roman" w:eastAsia="宋体" w:cs="Times New Roman"/>
          <w:color w:val="auto"/>
          <w:kern w:val="0"/>
          <w:sz w:val="24"/>
          <w:szCs w:val="24"/>
          <w:highlight w:val="none"/>
          <w:u w:val="none"/>
          <w:lang w:val="en-US" w:eastAsia="zh-CN" w:bidi="ar-SA"/>
        </w:rPr>
        <w:t>项目区占地范围内、外土壤中重金属、无机物及石油烃含量较低，土壤中各项因子监测值均低于《土壤环境质量 建设用地土壤污染风险管控标准（试行）》（GB36600-2018）第二类建设用地筛选值标准。</w:t>
      </w:r>
    </w:p>
    <w:p w14:paraId="5B097542">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70" w:name="_Toc24636"/>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.4</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污染物排放情况</w:t>
      </w:r>
      <w:bookmarkEnd w:id="670"/>
    </w:p>
    <w:p w14:paraId="1AB8EA2C">
      <w:pPr>
        <w:widowControl/>
        <w:spacing w:line="360" w:lineRule="auto"/>
        <w:ind w:firstLine="480" w:firstLineChars="200"/>
        <w:jc w:val="left"/>
        <w:rPr>
          <w:rFonts w:ascii="Times New Roman" w:hAnsi="Times New Roman" w:eastAsia="宋体" w:cs="Times New Roman"/>
          <w:snapToGrid/>
          <w:color w:val="auto"/>
          <w:kern w:val="2"/>
          <w:sz w:val="24"/>
          <w:szCs w:val="20"/>
          <w:highlight w:val="none"/>
          <w:u w:val="none"/>
          <w:lang w:val="en-US" w:eastAsia="zh-CN" w:bidi="ar-SA"/>
        </w:rPr>
      </w:pPr>
      <w:r>
        <w:rPr>
          <w:rFonts w:hint="eastAsia" w:ascii="Times New Roman" w:hAnsi="Times New Roman" w:eastAsia="宋体" w:cs="Times New Roman"/>
          <w:snapToGrid/>
          <w:color w:val="auto"/>
          <w:kern w:val="2"/>
          <w:sz w:val="24"/>
          <w:szCs w:val="20"/>
          <w:highlight w:val="none"/>
          <w:u w:val="none"/>
          <w:lang w:val="en-US" w:eastAsia="zh-CN" w:bidi="ar-SA"/>
        </w:rPr>
        <w:t>本工程运营期</w:t>
      </w:r>
      <w:r>
        <w:rPr>
          <w:rFonts w:ascii="Times New Roman" w:hAnsi="Times New Roman" w:eastAsia="宋体" w:cs="Times New Roman"/>
          <w:snapToGrid/>
          <w:color w:val="auto"/>
          <w:kern w:val="2"/>
          <w:sz w:val="24"/>
          <w:szCs w:val="20"/>
          <w:highlight w:val="none"/>
          <w:u w:val="none"/>
          <w:lang w:val="en-US" w:eastAsia="zh-CN" w:bidi="ar-SA"/>
        </w:rPr>
        <w:t>污染物产生及排放情况</w:t>
      </w:r>
      <w:r>
        <w:rPr>
          <w:rFonts w:hint="eastAsia" w:cs="Times New Roman"/>
          <w:snapToGrid/>
          <w:color w:val="auto"/>
          <w:kern w:val="2"/>
          <w:sz w:val="24"/>
          <w:szCs w:val="20"/>
          <w:highlight w:val="none"/>
          <w:u w:val="none"/>
          <w:lang w:val="en-US" w:eastAsia="zh-CN" w:bidi="ar-SA"/>
        </w:rPr>
        <w:t>，</w:t>
      </w:r>
      <w:r>
        <w:rPr>
          <w:rFonts w:ascii="Times New Roman" w:hAnsi="Times New Roman" w:eastAsia="宋体" w:cs="Times New Roman"/>
          <w:snapToGrid/>
          <w:color w:val="auto"/>
          <w:kern w:val="2"/>
          <w:sz w:val="24"/>
          <w:szCs w:val="20"/>
          <w:highlight w:val="none"/>
          <w:u w:val="none"/>
          <w:lang w:val="en-US" w:eastAsia="zh-CN" w:bidi="ar-SA"/>
        </w:rPr>
        <w:t>见表</w:t>
      </w:r>
      <w:r>
        <w:rPr>
          <w:rFonts w:hint="eastAsia" w:cs="Times New Roman"/>
          <w:snapToGrid/>
          <w:color w:val="auto"/>
          <w:kern w:val="2"/>
          <w:sz w:val="24"/>
          <w:szCs w:val="20"/>
          <w:highlight w:val="none"/>
          <w:u w:val="none"/>
          <w:lang w:val="en-US" w:eastAsia="zh-CN" w:bidi="ar-SA"/>
        </w:rPr>
        <w:t>10</w:t>
      </w:r>
      <w:r>
        <w:rPr>
          <w:rFonts w:ascii="Times New Roman" w:hAnsi="Times New Roman" w:eastAsia="宋体" w:cs="Times New Roman"/>
          <w:snapToGrid/>
          <w:color w:val="auto"/>
          <w:kern w:val="2"/>
          <w:sz w:val="24"/>
          <w:szCs w:val="20"/>
          <w:highlight w:val="none"/>
          <w:u w:val="none"/>
          <w:lang w:val="en-US" w:eastAsia="zh-CN" w:bidi="ar-SA"/>
        </w:rPr>
        <w:t>.</w:t>
      </w:r>
      <w:r>
        <w:rPr>
          <w:rFonts w:hint="eastAsia" w:cs="Times New Roman"/>
          <w:snapToGrid/>
          <w:color w:val="auto"/>
          <w:kern w:val="2"/>
          <w:sz w:val="24"/>
          <w:szCs w:val="20"/>
          <w:highlight w:val="none"/>
          <w:u w:val="none"/>
          <w:lang w:val="en-US" w:eastAsia="zh-CN" w:bidi="ar-SA"/>
        </w:rPr>
        <w:t>4</w:t>
      </w:r>
      <w:r>
        <w:rPr>
          <w:rFonts w:ascii="Times New Roman" w:hAnsi="Times New Roman" w:eastAsia="宋体" w:cs="Times New Roman"/>
          <w:snapToGrid/>
          <w:color w:val="auto"/>
          <w:kern w:val="2"/>
          <w:sz w:val="24"/>
          <w:szCs w:val="20"/>
          <w:highlight w:val="none"/>
          <w:u w:val="none"/>
          <w:lang w:val="en-US" w:eastAsia="zh-CN" w:bidi="ar-SA"/>
        </w:rPr>
        <w:t>-1。</w:t>
      </w:r>
    </w:p>
    <w:p w14:paraId="0228C7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黑体" w:hAnsi="黑体" w:eastAsia="黑体" w:cs="黑体"/>
          <w:b/>
          <w:color w:val="auto"/>
          <w:kern w:val="0"/>
          <w:sz w:val="21"/>
          <w:szCs w:val="21"/>
          <w:highlight w:val="none"/>
          <w:u w:val="none"/>
        </w:rPr>
      </w:pPr>
      <w:r>
        <w:rPr>
          <w:rFonts w:hint="eastAsia" w:ascii="黑体" w:hAnsi="黑体" w:eastAsia="黑体" w:cs="黑体"/>
          <w:b w:val="0"/>
          <w:bCs/>
          <w:color w:val="auto"/>
          <w:kern w:val="2"/>
          <w:sz w:val="24"/>
          <w:szCs w:val="24"/>
          <w:u w:val="none"/>
          <w:lang w:val="zh-CN" w:eastAsia="zh-CN" w:bidi="ar-SA"/>
        </w:rPr>
        <w:t>表</w:t>
      </w:r>
      <w:r>
        <w:rPr>
          <w:rFonts w:hint="eastAsia" w:ascii="黑体" w:hAnsi="黑体" w:eastAsia="黑体" w:cs="黑体"/>
          <w:b w:val="0"/>
          <w:bCs/>
          <w:color w:val="auto"/>
          <w:kern w:val="2"/>
          <w:sz w:val="24"/>
          <w:szCs w:val="24"/>
          <w:u w:val="none"/>
          <w:lang w:val="en-US" w:eastAsia="zh-CN" w:bidi="ar-SA"/>
        </w:rPr>
        <w:t>10</w:t>
      </w:r>
      <w:r>
        <w:rPr>
          <w:rFonts w:hint="eastAsia" w:ascii="黑体" w:hAnsi="黑体" w:eastAsia="黑体" w:cs="黑体"/>
          <w:b w:val="0"/>
          <w:bCs/>
          <w:color w:val="auto"/>
          <w:kern w:val="2"/>
          <w:sz w:val="24"/>
          <w:szCs w:val="24"/>
          <w:u w:val="none"/>
          <w:lang w:val="zh-CN" w:eastAsia="zh-CN" w:bidi="ar-SA"/>
        </w:rPr>
        <w:t>.</w:t>
      </w:r>
      <w:r>
        <w:rPr>
          <w:rFonts w:hint="eastAsia" w:ascii="黑体" w:hAnsi="黑体" w:eastAsia="黑体" w:cs="黑体"/>
          <w:b w:val="0"/>
          <w:bCs/>
          <w:color w:val="auto"/>
          <w:kern w:val="2"/>
          <w:sz w:val="24"/>
          <w:szCs w:val="24"/>
          <w:u w:val="none"/>
          <w:lang w:val="en-US" w:eastAsia="zh-CN" w:bidi="ar-SA"/>
        </w:rPr>
        <w:t>4</w:t>
      </w:r>
      <w:r>
        <w:rPr>
          <w:rFonts w:hint="eastAsia" w:ascii="黑体" w:hAnsi="黑体" w:eastAsia="黑体" w:cs="黑体"/>
          <w:b w:val="0"/>
          <w:bCs/>
          <w:color w:val="auto"/>
          <w:kern w:val="2"/>
          <w:sz w:val="24"/>
          <w:szCs w:val="24"/>
          <w:u w:val="none"/>
          <w:lang w:val="zh-CN" w:eastAsia="zh-CN" w:bidi="ar-SA"/>
        </w:rPr>
        <w:t>-1污染物产排情况一览表</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300"/>
        <w:gridCol w:w="1307"/>
        <w:gridCol w:w="1436"/>
        <w:gridCol w:w="1344"/>
        <w:gridCol w:w="2688"/>
      </w:tblGrid>
      <w:tr w14:paraId="4C603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27" w:type="pct"/>
            <w:tcBorders>
              <w:tl2br w:val="nil"/>
              <w:tr2bl w:val="nil"/>
            </w:tcBorders>
            <w:noWrap w:val="0"/>
            <w:vAlign w:val="center"/>
          </w:tcPr>
          <w:p w14:paraId="2FD5A9D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类别</w:t>
            </w:r>
          </w:p>
        </w:tc>
        <w:tc>
          <w:tcPr>
            <w:tcW w:w="736" w:type="pct"/>
            <w:tcBorders>
              <w:tl2br w:val="nil"/>
              <w:tr2bl w:val="nil"/>
            </w:tcBorders>
            <w:noWrap w:val="0"/>
            <w:vAlign w:val="center"/>
          </w:tcPr>
          <w:p w14:paraId="033CF11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污染源</w:t>
            </w:r>
          </w:p>
        </w:tc>
        <w:tc>
          <w:tcPr>
            <w:tcW w:w="740" w:type="pct"/>
            <w:tcBorders>
              <w:tl2br w:val="nil"/>
              <w:tr2bl w:val="nil"/>
            </w:tcBorders>
            <w:noWrap w:val="0"/>
            <w:vAlign w:val="center"/>
          </w:tcPr>
          <w:p w14:paraId="462B7FCA">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主要污染物</w:t>
            </w:r>
          </w:p>
        </w:tc>
        <w:tc>
          <w:tcPr>
            <w:tcW w:w="813" w:type="pct"/>
            <w:tcBorders>
              <w:tl2br w:val="nil"/>
              <w:tr2bl w:val="nil"/>
            </w:tcBorders>
            <w:noWrap w:val="0"/>
            <w:vAlign w:val="center"/>
          </w:tcPr>
          <w:p w14:paraId="6A6D9A5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产生量</w:t>
            </w:r>
          </w:p>
        </w:tc>
        <w:tc>
          <w:tcPr>
            <w:tcW w:w="761" w:type="pct"/>
            <w:tcBorders>
              <w:tl2br w:val="nil"/>
              <w:tr2bl w:val="nil"/>
            </w:tcBorders>
            <w:noWrap w:val="0"/>
            <w:vAlign w:val="center"/>
          </w:tcPr>
          <w:p w14:paraId="030BAB6B">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排放量</w:t>
            </w:r>
          </w:p>
        </w:tc>
        <w:tc>
          <w:tcPr>
            <w:tcW w:w="1522" w:type="pct"/>
            <w:tcBorders>
              <w:tl2br w:val="nil"/>
              <w:tr2bl w:val="nil"/>
            </w:tcBorders>
            <w:noWrap w:val="0"/>
            <w:vAlign w:val="center"/>
          </w:tcPr>
          <w:p w14:paraId="4826C7A9">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排放去向</w:t>
            </w:r>
          </w:p>
        </w:tc>
      </w:tr>
      <w:tr w14:paraId="5E0A9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27" w:type="pct"/>
            <w:vMerge w:val="restart"/>
            <w:tcBorders>
              <w:tl2br w:val="nil"/>
              <w:tr2bl w:val="nil"/>
            </w:tcBorders>
            <w:noWrap w:val="0"/>
            <w:vAlign w:val="center"/>
          </w:tcPr>
          <w:p w14:paraId="691618B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废气</w:t>
            </w:r>
          </w:p>
        </w:tc>
        <w:tc>
          <w:tcPr>
            <w:tcW w:w="736" w:type="pct"/>
            <w:vMerge w:val="restart"/>
            <w:tcBorders>
              <w:tl2br w:val="nil"/>
              <w:tr2bl w:val="nil"/>
            </w:tcBorders>
            <w:noWrap w:val="0"/>
            <w:vAlign w:val="center"/>
          </w:tcPr>
          <w:p w14:paraId="78EBC3C4">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无组织排放</w:t>
            </w:r>
          </w:p>
        </w:tc>
        <w:tc>
          <w:tcPr>
            <w:tcW w:w="740" w:type="pct"/>
            <w:tcBorders>
              <w:tl2br w:val="nil"/>
              <w:tr2bl w:val="nil"/>
            </w:tcBorders>
            <w:noWrap w:val="0"/>
            <w:vAlign w:val="center"/>
          </w:tcPr>
          <w:p w14:paraId="17006CC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NMHC</w:t>
            </w:r>
          </w:p>
        </w:tc>
        <w:tc>
          <w:tcPr>
            <w:tcW w:w="813" w:type="pct"/>
            <w:tcBorders>
              <w:tl2br w:val="nil"/>
              <w:tr2bl w:val="nil"/>
            </w:tcBorders>
            <w:noWrap w:val="0"/>
            <w:vAlign w:val="center"/>
          </w:tcPr>
          <w:p w14:paraId="2EC41CC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0.582</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6853E9D9">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0.582</w:t>
            </w:r>
            <w:r>
              <w:rPr>
                <w:rFonts w:hint="eastAsia" w:ascii="宋体" w:hAnsi="宋体" w:eastAsia="宋体" w:cs="宋体"/>
                <w:color w:val="auto"/>
                <w:sz w:val="21"/>
                <w:szCs w:val="21"/>
                <w:highlight w:val="none"/>
                <w:u w:val="none"/>
              </w:rPr>
              <w:t>t/a</w:t>
            </w:r>
          </w:p>
        </w:tc>
        <w:tc>
          <w:tcPr>
            <w:tcW w:w="1522" w:type="pct"/>
            <w:vMerge w:val="restart"/>
            <w:tcBorders>
              <w:tl2br w:val="nil"/>
              <w:tr2bl w:val="nil"/>
            </w:tcBorders>
            <w:noWrap w:val="0"/>
            <w:vAlign w:val="center"/>
          </w:tcPr>
          <w:p w14:paraId="7F0BC2E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大气</w:t>
            </w:r>
          </w:p>
        </w:tc>
      </w:tr>
      <w:tr w14:paraId="73A79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27" w:type="pct"/>
            <w:vMerge w:val="continue"/>
            <w:tcBorders>
              <w:tl2br w:val="nil"/>
              <w:tr2bl w:val="nil"/>
            </w:tcBorders>
            <w:noWrap w:val="0"/>
            <w:vAlign w:val="center"/>
          </w:tcPr>
          <w:p w14:paraId="6EC6B8A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vMerge w:val="continue"/>
            <w:tcBorders>
              <w:tl2br w:val="nil"/>
              <w:tr2bl w:val="nil"/>
            </w:tcBorders>
            <w:noWrap w:val="0"/>
            <w:vAlign w:val="center"/>
          </w:tcPr>
          <w:p w14:paraId="3023EB7B">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40" w:type="pct"/>
            <w:tcBorders>
              <w:tl2br w:val="nil"/>
              <w:tr2bl w:val="nil"/>
            </w:tcBorders>
            <w:noWrap w:val="0"/>
            <w:vAlign w:val="center"/>
          </w:tcPr>
          <w:p w14:paraId="389B526A">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H</w:t>
            </w:r>
            <w:r>
              <w:rPr>
                <w:rFonts w:hint="eastAsia" w:ascii="宋体" w:hAnsi="宋体" w:cs="宋体"/>
                <w:color w:val="auto"/>
                <w:sz w:val="21"/>
                <w:szCs w:val="21"/>
                <w:highlight w:val="none"/>
                <w:u w:val="none"/>
                <w:vertAlign w:val="subscript"/>
                <w:lang w:val="en-US" w:eastAsia="zh-CN"/>
              </w:rPr>
              <w:t>2</w:t>
            </w:r>
            <w:r>
              <w:rPr>
                <w:rFonts w:hint="eastAsia" w:ascii="宋体" w:hAnsi="宋体" w:cs="宋体"/>
                <w:color w:val="auto"/>
                <w:sz w:val="21"/>
                <w:szCs w:val="21"/>
                <w:highlight w:val="none"/>
                <w:u w:val="none"/>
                <w:lang w:val="en-US" w:eastAsia="zh-CN"/>
              </w:rPr>
              <w:t>S</w:t>
            </w:r>
          </w:p>
        </w:tc>
        <w:tc>
          <w:tcPr>
            <w:tcW w:w="813" w:type="pct"/>
            <w:tcBorders>
              <w:tl2br w:val="nil"/>
              <w:tr2bl w:val="nil"/>
            </w:tcBorders>
            <w:noWrap w:val="0"/>
            <w:vAlign w:val="center"/>
          </w:tcPr>
          <w:p w14:paraId="0A83168A">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0.00008</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56DFD34A">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0.00008</w:t>
            </w:r>
            <w:r>
              <w:rPr>
                <w:rFonts w:hint="eastAsia" w:ascii="宋体" w:hAnsi="宋体" w:eastAsia="宋体" w:cs="宋体"/>
                <w:color w:val="auto"/>
                <w:sz w:val="21"/>
                <w:szCs w:val="21"/>
                <w:highlight w:val="none"/>
                <w:u w:val="none"/>
              </w:rPr>
              <w:t>t/a</w:t>
            </w:r>
          </w:p>
        </w:tc>
        <w:tc>
          <w:tcPr>
            <w:tcW w:w="1522" w:type="pct"/>
            <w:vMerge w:val="continue"/>
            <w:tcBorders>
              <w:tl2br w:val="nil"/>
              <w:tr2bl w:val="nil"/>
            </w:tcBorders>
            <w:noWrap w:val="0"/>
            <w:vAlign w:val="center"/>
          </w:tcPr>
          <w:p w14:paraId="06D5CDA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58EBA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27" w:type="pct"/>
            <w:vMerge w:val="continue"/>
            <w:tcBorders>
              <w:tl2br w:val="nil"/>
              <w:tr2bl w:val="nil"/>
            </w:tcBorders>
            <w:noWrap w:val="0"/>
            <w:vAlign w:val="center"/>
          </w:tcPr>
          <w:p w14:paraId="3EAF607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tcBorders>
              <w:tl2br w:val="nil"/>
              <w:tr2bl w:val="nil"/>
            </w:tcBorders>
            <w:noWrap w:val="0"/>
            <w:vAlign w:val="center"/>
          </w:tcPr>
          <w:p w14:paraId="4E096AF2">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储层改造废气</w:t>
            </w:r>
          </w:p>
        </w:tc>
        <w:tc>
          <w:tcPr>
            <w:tcW w:w="740" w:type="pct"/>
            <w:tcBorders>
              <w:tl2br w:val="nil"/>
              <w:tr2bl w:val="nil"/>
            </w:tcBorders>
            <w:noWrap w:val="0"/>
            <w:vAlign w:val="center"/>
          </w:tcPr>
          <w:p w14:paraId="2C0A024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非甲烷总烃等</w:t>
            </w:r>
          </w:p>
        </w:tc>
        <w:tc>
          <w:tcPr>
            <w:tcW w:w="813" w:type="pct"/>
            <w:tcBorders>
              <w:tl2br w:val="nil"/>
              <w:tr2bl w:val="nil"/>
            </w:tcBorders>
            <w:noWrap w:val="0"/>
            <w:vAlign w:val="center"/>
          </w:tcPr>
          <w:p w14:paraId="47004436">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pacing w:val="0"/>
                <w:sz w:val="21"/>
                <w:szCs w:val="21"/>
                <w:highlight w:val="none"/>
                <w:u w:val="none"/>
              </w:rPr>
              <w:t>少量</w:t>
            </w:r>
          </w:p>
        </w:tc>
        <w:tc>
          <w:tcPr>
            <w:tcW w:w="761" w:type="pct"/>
            <w:tcBorders>
              <w:tl2br w:val="nil"/>
              <w:tr2bl w:val="nil"/>
            </w:tcBorders>
            <w:noWrap w:val="0"/>
            <w:vAlign w:val="center"/>
          </w:tcPr>
          <w:p w14:paraId="6794142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pacing w:val="0"/>
                <w:sz w:val="21"/>
                <w:szCs w:val="21"/>
                <w:highlight w:val="none"/>
                <w:u w:val="none"/>
              </w:rPr>
              <w:t>少量</w:t>
            </w:r>
          </w:p>
        </w:tc>
        <w:tc>
          <w:tcPr>
            <w:tcW w:w="1522" w:type="pct"/>
            <w:vMerge w:val="continue"/>
            <w:tcBorders>
              <w:tl2br w:val="nil"/>
              <w:tr2bl w:val="nil"/>
            </w:tcBorders>
            <w:noWrap w:val="0"/>
            <w:vAlign w:val="center"/>
          </w:tcPr>
          <w:p w14:paraId="7A7B5AD5">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val="en-US" w:eastAsia="zh-CN"/>
              </w:rPr>
            </w:pPr>
          </w:p>
        </w:tc>
      </w:tr>
      <w:tr w14:paraId="0F1C5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vMerge w:val="restart"/>
            <w:tcBorders>
              <w:tl2br w:val="nil"/>
              <w:tr2bl w:val="nil"/>
            </w:tcBorders>
            <w:noWrap w:val="0"/>
            <w:vAlign w:val="center"/>
          </w:tcPr>
          <w:p w14:paraId="72D4700C">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废水</w:t>
            </w:r>
          </w:p>
        </w:tc>
        <w:tc>
          <w:tcPr>
            <w:tcW w:w="736" w:type="pct"/>
            <w:tcBorders>
              <w:tl2br w:val="nil"/>
              <w:tr2bl w:val="nil"/>
            </w:tcBorders>
            <w:noWrap w:val="0"/>
            <w:vAlign w:val="center"/>
          </w:tcPr>
          <w:p w14:paraId="7A6C0C4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采出水</w:t>
            </w:r>
          </w:p>
        </w:tc>
        <w:tc>
          <w:tcPr>
            <w:tcW w:w="740" w:type="pct"/>
            <w:tcBorders>
              <w:tl2br w:val="nil"/>
              <w:tr2bl w:val="nil"/>
            </w:tcBorders>
            <w:noWrap w:val="0"/>
            <w:vAlign w:val="center"/>
          </w:tcPr>
          <w:p w14:paraId="394695EA">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kern w:val="24"/>
                <w:sz w:val="21"/>
                <w:szCs w:val="21"/>
                <w:highlight w:val="none"/>
                <w:u w:val="none"/>
              </w:rPr>
            </w:pPr>
            <w:r>
              <w:rPr>
                <w:rFonts w:hint="eastAsia" w:ascii="宋体" w:hAnsi="宋体" w:eastAsia="宋体" w:cs="宋体"/>
                <w:color w:val="auto"/>
                <w:kern w:val="24"/>
                <w:sz w:val="21"/>
                <w:szCs w:val="21"/>
                <w:highlight w:val="none"/>
                <w:u w:val="none"/>
              </w:rPr>
              <w:t>SS、COD、</w:t>
            </w:r>
          </w:p>
          <w:p w14:paraId="5A6F40AD">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kern w:val="24"/>
                <w:sz w:val="21"/>
                <w:szCs w:val="21"/>
                <w:highlight w:val="none"/>
                <w:u w:val="none"/>
              </w:rPr>
              <w:t>石油类等</w:t>
            </w:r>
          </w:p>
        </w:tc>
        <w:tc>
          <w:tcPr>
            <w:tcW w:w="813" w:type="pct"/>
            <w:tcBorders>
              <w:tl2br w:val="nil"/>
              <w:tr2bl w:val="nil"/>
            </w:tcBorders>
            <w:noWrap w:val="0"/>
            <w:vAlign w:val="center"/>
          </w:tcPr>
          <w:p w14:paraId="69F6F26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kern w:val="24"/>
                <w:sz w:val="21"/>
                <w:szCs w:val="21"/>
                <w:highlight w:val="none"/>
                <w:u w:val="none"/>
                <w:lang w:val="en-US" w:eastAsia="zh-CN"/>
              </w:rPr>
              <w:t>2.41</w:t>
            </w:r>
            <w:r>
              <w:rPr>
                <w:rFonts w:hint="eastAsia" w:ascii="宋体" w:hAnsi="宋体" w:eastAsia="宋体" w:cs="宋体"/>
                <w:color w:val="auto"/>
                <w:kern w:val="24"/>
                <w:sz w:val="21"/>
                <w:szCs w:val="21"/>
                <w:highlight w:val="none"/>
                <w:u w:val="none"/>
              </w:rPr>
              <w:t>×10</w:t>
            </w:r>
            <w:r>
              <w:rPr>
                <w:rFonts w:hint="eastAsia" w:ascii="宋体" w:hAnsi="宋体" w:eastAsia="宋体" w:cs="宋体"/>
                <w:color w:val="auto"/>
                <w:kern w:val="24"/>
                <w:sz w:val="21"/>
                <w:szCs w:val="21"/>
                <w:highlight w:val="none"/>
                <w:u w:val="none"/>
                <w:vertAlign w:val="superscript"/>
              </w:rPr>
              <w:t>4</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7498CBFD">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522" w:type="pct"/>
            <w:tcBorders>
              <w:tl2br w:val="nil"/>
              <w:tr2bl w:val="nil"/>
            </w:tcBorders>
            <w:noWrap w:val="0"/>
            <w:vAlign w:val="center"/>
          </w:tcPr>
          <w:p w14:paraId="5078351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采出水依托</w:t>
            </w:r>
            <w:r>
              <w:rPr>
                <w:rFonts w:hint="eastAsia" w:ascii="宋体" w:hAnsi="宋体" w:cs="宋体"/>
                <w:color w:val="auto"/>
                <w:sz w:val="21"/>
                <w:szCs w:val="21"/>
                <w:highlight w:val="none"/>
                <w:u w:val="none"/>
                <w:lang w:val="en-US" w:eastAsia="zh-CN"/>
              </w:rPr>
              <w:t>莫北转油站采出水处理系统</w:t>
            </w:r>
            <w:r>
              <w:rPr>
                <w:rFonts w:hint="eastAsia" w:ascii="宋体" w:hAnsi="宋体" w:eastAsia="宋体" w:cs="宋体"/>
                <w:color w:val="auto"/>
                <w:sz w:val="21"/>
                <w:szCs w:val="21"/>
                <w:highlight w:val="none"/>
                <w:u w:val="none"/>
              </w:rPr>
              <w:t>处理</w:t>
            </w:r>
            <w:r>
              <w:rPr>
                <w:rFonts w:hint="eastAsia" w:ascii="宋体" w:hAnsi="宋体" w:eastAsia="宋体" w:cs="宋体"/>
                <w:color w:val="auto"/>
                <w:sz w:val="21"/>
                <w:szCs w:val="21"/>
                <w:highlight w:val="none"/>
                <w:u w:val="none"/>
                <w:lang w:eastAsia="zh-CN"/>
              </w:rPr>
              <w:t>。</w:t>
            </w:r>
          </w:p>
        </w:tc>
      </w:tr>
      <w:tr w14:paraId="7DA2D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27" w:type="pct"/>
            <w:vMerge w:val="continue"/>
            <w:tcBorders>
              <w:tl2br w:val="nil"/>
              <w:tr2bl w:val="nil"/>
            </w:tcBorders>
            <w:noWrap w:val="0"/>
            <w:vAlign w:val="center"/>
          </w:tcPr>
          <w:p w14:paraId="6FC81AD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vMerge w:val="restart"/>
            <w:tcBorders>
              <w:tl2br w:val="nil"/>
              <w:tr2bl w:val="nil"/>
            </w:tcBorders>
            <w:noWrap w:val="0"/>
            <w:vAlign w:val="center"/>
          </w:tcPr>
          <w:p w14:paraId="0DE24AD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井下作业废水</w:t>
            </w:r>
          </w:p>
        </w:tc>
        <w:tc>
          <w:tcPr>
            <w:tcW w:w="740" w:type="pct"/>
            <w:tcBorders>
              <w:tl2br w:val="nil"/>
              <w:tr2bl w:val="nil"/>
            </w:tcBorders>
            <w:noWrap w:val="0"/>
            <w:vAlign w:val="center"/>
          </w:tcPr>
          <w:p w14:paraId="7C1006A0">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压裂液</w:t>
            </w:r>
          </w:p>
        </w:tc>
        <w:tc>
          <w:tcPr>
            <w:tcW w:w="813" w:type="pct"/>
            <w:tcBorders>
              <w:tl2br w:val="nil"/>
              <w:tr2bl w:val="nil"/>
            </w:tcBorders>
            <w:noWrap w:val="0"/>
            <w:vAlign w:val="center"/>
          </w:tcPr>
          <w:p w14:paraId="1CDE9389">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791.94</w:t>
            </w:r>
            <w:r>
              <w:rPr>
                <w:rFonts w:hint="eastAsia" w:ascii="宋体" w:hAnsi="宋体" w:eastAsia="宋体" w:cs="宋体"/>
                <w:color w:val="auto"/>
                <w:sz w:val="21"/>
                <w:szCs w:val="21"/>
                <w:highlight w:val="none"/>
                <w:u w:val="none"/>
              </w:rPr>
              <w:t>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a</w:t>
            </w:r>
          </w:p>
        </w:tc>
        <w:tc>
          <w:tcPr>
            <w:tcW w:w="761" w:type="pct"/>
            <w:tcBorders>
              <w:tl2br w:val="nil"/>
              <w:tr2bl w:val="nil"/>
            </w:tcBorders>
            <w:noWrap w:val="0"/>
            <w:vAlign w:val="center"/>
          </w:tcPr>
          <w:p w14:paraId="390E6327">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522" w:type="pct"/>
            <w:vMerge w:val="restart"/>
            <w:tcBorders>
              <w:tl2br w:val="nil"/>
              <w:tr2bl w:val="nil"/>
            </w:tcBorders>
            <w:noWrap w:val="0"/>
            <w:vAlign w:val="center"/>
          </w:tcPr>
          <w:p w14:paraId="2EFEF3BF">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采用专用罐回收，拉运至</w:t>
            </w:r>
            <w:r>
              <w:rPr>
                <w:rFonts w:hint="eastAsia" w:ascii="宋体" w:hAnsi="宋体" w:eastAsia="宋体" w:cs="宋体"/>
                <w:bCs/>
                <w:color w:val="auto"/>
                <w:sz w:val="21"/>
                <w:szCs w:val="21"/>
                <w:highlight w:val="none"/>
                <w:u w:val="none"/>
                <w:lang w:eastAsia="zh-CN"/>
              </w:rPr>
              <w:t>石西集中处理站采出水处理系统</w:t>
            </w:r>
            <w:r>
              <w:rPr>
                <w:rFonts w:hint="eastAsia" w:ascii="宋体" w:hAnsi="宋体" w:eastAsia="宋体" w:cs="宋体"/>
                <w:color w:val="auto"/>
                <w:sz w:val="21"/>
                <w:szCs w:val="21"/>
                <w:highlight w:val="none"/>
                <w:u w:val="none"/>
              </w:rPr>
              <w:t>处理</w:t>
            </w:r>
            <w:r>
              <w:rPr>
                <w:rFonts w:hint="eastAsia" w:ascii="宋体" w:hAnsi="宋体" w:eastAsia="宋体" w:cs="宋体"/>
                <w:color w:val="auto"/>
                <w:sz w:val="21"/>
                <w:szCs w:val="21"/>
                <w:highlight w:val="none"/>
                <w:u w:val="none"/>
                <w:lang w:eastAsia="zh-CN"/>
              </w:rPr>
              <w:t>。</w:t>
            </w:r>
          </w:p>
        </w:tc>
      </w:tr>
      <w:tr w14:paraId="7BDC6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7" w:type="pct"/>
            <w:vMerge w:val="continue"/>
            <w:tcBorders>
              <w:tl2br w:val="nil"/>
              <w:tr2bl w:val="nil"/>
            </w:tcBorders>
            <w:noWrap w:val="0"/>
            <w:vAlign w:val="center"/>
          </w:tcPr>
          <w:p w14:paraId="24EE0FA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vMerge w:val="continue"/>
            <w:tcBorders>
              <w:tl2br w:val="nil"/>
              <w:tr2bl w:val="nil"/>
            </w:tcBorders>
            <w:noWrap w:val="0"/>
            <w:vAlign w:val="center"/>
          </w:tcPr>
          <w:p w14:paraId="65C7432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40" w:type="pct"/>
            <w:tcBorders>
              <w:tl2br w:val="nil"/>
              <w:tr2bl w:val="nil"/>
            </w:tcBorders>
            <w:noWrap w:val="0"/>
            <w:vAlign w:val="center"/>
          </w:tcPr>
          <w:p w14:paraId="598309E7">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酸化液</w:t>
            </w:r>
          </w:p>
        </w:tc>
        <w:tc>
          <w:tcPr>
            <w:tcW w:w="813" w:type="pct"/>
            <w:tcBorders>
              <w:tl2br w:val="nil"/>
              <w:tr2bl w:val="nil"/>
            </w:tcBorders>
            <w:noWrap w:val="0"/>
            <w:vAlign w:val="center"/>
          </w:tcPr>
          <w:p w14:paraId="72B0FA5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246.9</w:t>
            </w:r>
            <w:r>
              <w:rPr>
                <w:rFonts w:hint="eastAsia" w:ascii="宋体" w:hAnsi="宋体" w:eastAsia="宋体" w:cs="宋体"/>
                <w:color w:val="auto"/>
                <w:sz w:val="21"/>
                <w:szCs w:val="21"/>
                <w:highlight w:val="none"/>
                <w:u w:val="none"/>
              </w:rPr>
              <w:t>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a</w:t>
            </w:r>
          </w:p>
        </w:tc>
        <w:tc>
          <w:tcPr>
            <w:tcW w:w="761" w:type="pct"/>
            <w:tcBorders>
              <w:tl2br w:val="nil"/>
              <w:tr2bl w:val="nil"/>
            </w:tcBorders>
            <w:noWrap w:val="0"/>
            <w:vAlign w:val="center"/>
          </w:tcPr>
          <w:p w14:paraId="2CEA1CE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1522" w:type="pct"/>
            <w:vMerge w:val="continue"/>
            <w:tcBorders>
              <w:tl2br w:val="nil"/>
              <w:tr2bl w:val="nil"/>
            </w:tcBorders>
            <w:noWrap w:val="0"/>
            <w:vAlign w:val="center"/>
          </w:tcPr>
          <w:p w14:paraId="301DD1C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68ECF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427" w:type="pct"/>
            <w:vMerge w:val="continue"/>
            <w:tcBorders>
              <w:tl2br w:val="nil"/>
              <w:tr2bl w:val="nil"/>
            </w:tcBorders>
            <w:noWrap w:val="0"/>
            <w:vAlign w:val="center"/>
          </w:tcPr>
          <w:p w14:paraId="515187A6">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vMerge w:val="continue"/>
            <w:tcBorders>
              <w:tl2br w:val="nil"/>
              <w:tr2bl w:val="nil"/>
            </w:tcBorders>
            <w:noWrap w:val="0"/>
            <w:vAlign w:val="center"/>
          </w:tcPr>
          <w:p w14:paraId="47BCB07C">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40" w:type="pct"/>
            <w:tcBorders>
              <w:tl2br w:val="nil"/>
              <w:tr2bl w:val="nil"/>
            </w:tcBorders>
            <w:noWrap w:val="0"/>
            <w:vAlign w:val="center"/>
          </w:tcPr>
          <w:p w14:paraId="32259152">
            <w:pPr>
              <w:keepNext w:val="0"/>
              <w:keepLines w:val="0"/>
              <w:pageBreakBefore w:val="0"/>
              <w:widowControl w:val="0"/>
              <w:kinsoku/>
              <w:wordWrap/>
              <w:overflowPunct/>
              <w:topLinePunct w:val="0"/>
              <w:autoSpaceDE/>
              <w:autoSpaceDN/>
              <w:bidi w:val="0"/>
              <w:adjustRightInd/>
              <w:snapToGrid/>
              <w:spacing w:line="37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洗井液</w:t>
            </w:r>
          </w:p>
        </w:tc>
        <w:tc>
          <w:tcPr>
            <w:tcW w:w="813" w:type="pct"/>
            <w:tcBorders>
              <w:tl2br w:val="nil"/>
              <w:tr2bl w:val="nil"/>
            </w:tcBorders>
            <w:noWrap w:val="0"/>
            <w:vAlign w:val="center"/>
          </w:tcPr>
          <w:p w14:paraId="5CAB16D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75.87</w:t>
            </w:r>
            <w:r>
              <w:rPr>
                <w:rFonts w:hint="eastAsia" w:ascii="宋体" w:hAnsi="宋体" w:eastAsia="宋体" w:cs="宋体"/>
                <w:color w:val="auto"/>
                <w:sz w:val="21"/>
                <w:szCs w:val="21"/>
                <w:highlight w:val="none"/>
                <w:u w:val="none"/>
              </w:rPr>
              <w:t>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a</w:t>
            </w:r>
          </w:p>
        </w:tc>
        <w:tc>
          <w:tcPr>
            <w:tcW w:w="761" w:type="pct"/>
            <w:tcBorders>
              <w:tl2br w:val="nil"/>
              <w:tr2bl w:val="nil"/>
            </w:tcBorders>
            <w:noWrap w:val="0"/>
            <w:vAlign w:val="center"/>
          </w:tcPr>
          <w:p w14:paraId="498E5849">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0</w:t>
            </w:r>
          </w:p>
        </w:tc>
        <w:tc>
          <w:tcPr>
            <w:tcW w:w="1522" w:type="pct"/>
            <w:vMerge w:val="continue"/>
            <w:tcBorders>
              <w:tl2br w:val="nil"/>
              <w:tr2bl w:val="nil"/>
            </w:tcBorders>
            <w:noWrap w:val="0"/>
            <w:vAlign w:val="center"/>
          </w:tcPr>
          <w:p w14:paraId="2089E98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0B33B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7" w:type="pct"/>
            <w:vMerge w:val="restart"/>
            <w:tcBorders>
              <w:tl2br w:val="nil"/>
              <w:tr2bl w:val="nil"/>
            </w:tcBorders>
            <w:noWrap w:val="0"/>
            <w:vAlign w:val="center"/>
          </w:tcPr>
          <w:p w14:paraId="7D43EFC7">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固体废物</w:t>
            </w:r>
          </w:p>
        </w:tc>
        <w:tc>
          <w:tcPr>
            <w:tcW w:w="736" w:type="pct"/>
            <w:tcBorders>
              <w:tl2br w:val="nil"/>
              <w:tr2bl w:val="nil"/>
            </w:tcBorders>
            <w:noWrap w:val="0"/>
            <w:vAlign w:val="center"/>
          </w:tcPr>
          <w:p w14:paraId="73972327">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油泥（砂）</w:t>
            </w:r>
          </w:p>
        </w:tc>
        <w:tc>
          <w:tcPr>
            <w:tcW w:w="740" w:type="pct"/>
            <w:tcBorders>
              <w:tl2br w:val="nil"/>
              <w:tr2bl w:val="nil"/>
            </w:tcBorders>
            <w:noWrap w:val="0"/>
            <w:vAlign w:val="center"/>
          </w:tcPr>
          <w:p w14:paraId="0A57E89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石油类</w:t>
            </w:r>
          </w:p>
        </w:tc>
        <w:tc>
          <w:tcPr>
            <w:tcW w:w="813" w:type="pct"/>
            <w:tcBorders>
              <w:tl2br w:val="nil"/>
              <w:tr2bl w:val="nil"/>
            </w:tcBorders>
            <w:noWrap w:val="0"/>
            <w:vAlign w:val="center"/>
          </w:tcPr>
          <w:p w14:paraId="4D77B539">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11.9</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6A88A84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522" w:type="pct"/>
            <w:vMerge w:val="restart"/>
            <w:tcBorders>
              <w:tl2br w:val="nil"/>
              <w:tr2bl w:val="nil"/>
            </w:tcBorders>
            <w:noWrap w:val="0"/>
            <w:vAlign w:val="center"/>
          </w:tcPr>
          <w:p w14:paraId="184BB7EB">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val="en-US" w:eastAsia="zh-CN"/>
              </w:rPr>
              <w:t>委托具有相关危废处置资质的单位处置</w:t>
            </w:r>
            <w:r>
              <w:rPr>
                <w:rFonts w:hint="eastAsia" w:ascii="宋体" w:hAnsi="宋体" w:eastAsia="宋体" w:cs="宋体"/>
                <w:color w:val="auto"/>
                <w:sz w:val="21"/>
                <w:szCs w:val="21"/>
                <w:highlight w:val="none"/>
                <w:u w:val="none"/>
                <w:lang w:eastAsia="zh-CN"/>
              </w:rPr>
              <w:t>。</w:t>
            </w:r>
          </w:p>
        </w:tc>
      </w:tr>
      <w:tr w14:paraId="69DFA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27" w:type="pct"/>
            <w:vMerge w:val="continue"/>
            <w:tcBorders>
              <w:tl2br w:val="nil"/>
              <w:tr2bl w:val="nil"/>
            </w:tcBorders>
            <w:noWrap w:val="0"/>
            <w:vAlign w:val="center"/>
          </w:tcPr>
          <w:p w14:paraId="741F43CC">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tcBorders>
              <w:tl2br w:val="nil"/>
              <w:tr2bl w:val="nil"/>
            </w:tcBorders>
            <w:noWrap w:val="0"/>
            <w:vAlign w:val="center"/>
          </w:tcPr>
          <w:p w14:paraId="69DA259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清管废渣</w:t>
            </w:r>
          </w:p>
        </w:tc>
        <w:tc>
          <w:tcPr>
            <w:tcW w:w="740" w:type="pct"/>
            <w:tcBorders>
              <w:tl2br w:val="nil"/>
              <w:tr2bl w:val="nil"/>
            </w:tcBorders>
            <w:noWrap w:val="0"/>
            <w:vAlign w:val="center"/>
          </w:tcPr>
          <w:p w14:paraId="505D7CF4">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石油类、SS和氧化铁等</w:t>
            </w:r>
          </w:p>
        </w:tc>
        <w:tc>
          <w:tcPr>
            <w:tcW w:w="813" w:type="pct"/>
            <w:tcBorders>
              <w:tl2br w:val="nil"/>
              <w:tr2bl w:val="nil"/>
            </w:tcBorders>
            <w:noWrap w:val="0"/>
            <w:vAlign w:val="center"/>
          </w:tcPr>
          <w:p w14:paraId="6A7AFC3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0.009</w:t>
            </w:r>
            <w:r>
              <w:rPr>
                <w:rFonts w:hint="eastAsia" w:ascii="宋体" w:hAnsi="宋体" w:eastAsia="宋体" w:cs="宋体"/>
                <w:color w:val="auto"/>
                <w:sz w:val="21"/>
                <w:szCs w:val="21"/>
                <w:highlight w:val="none"/>
                <w:u w:val="none"/>
              </w:rPr>
              <w:t>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a</w:t>
            </w:r>
          </w:p>
        </w:tc>
        <w:tc>
          <w:tcPr>
            <w:tcW w:w="761" w:type="pct"/>
            <w:tcBorders>
              <w:tl2br w:val="nil"/>
              <w:tr2bl w:val="nil"/>
            </w:tcBorders>
            <w:noWrap w:val="0"/>
            <w:vAlign w:val="center"/>
          </w:tcPr>
          <w:p w14:paraId="041CD39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0</w:t>
            </w:r>
          </w:p>
        </w:tc>
        <w:tc>
          <w:tcPr>
            <w:tcW w:w="1522" w:type="pct"/>
            <w:vMerge w:val="continue"/>
            <w:tcBorders>
              <w:tl2br w:val="nil"/>
              <w:tr2bl w:val="nil"/>
            </w:tcBorders>
            <w:noWrap w:val="0"/>
            <w:vAlign w:val="center"/>
          </w:tcPr>
          <w:p w14:paraId="3669335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1DAF9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7" w:type="pct"/>
            <w:vMerge w:val="continue"/>
            <w:tcBorders>
              <w:tl2br w:val="nil"/>
              <w:tr2bl w:val="nil"/>
            </w:tcBorders>
            <w:noWrap w:val="0"/>
            <w:vAlign w:val="center"/>
          </w:tcPr>
          <w:p w14:paraId="7C06B541">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tcBorders>
              <w:tl2br w:val="nil"/>
              <w:tr2bl w:val="nil"/>
            </w:tcBorders>
            <w:noWrap w:val="0"/>
            <w:vAlign w:val="center"/>
          </w:tcPr>
          <w:p w14:paraId="6B240F3F">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val="en-US" w:eastAsia="zh-CN"/>
              </w:rPr>
              <w:t>废防渗材料</w:t>
            </w:r>
          </w:p>
        </w:tc>
        <w:tc>
          <w:tcPr>
            <w:tcW w:w="740" w:type="pct"/>
            <w:tcBorders>
              <w:tl2br w:val="nil"/>
              <w:tr2bl w:val="nil"/>
            </w:tcBorders>
            <w:noWrap w:val="0"/>
            <w:vAlign w:val="center"/>
          </w:tcPr>
          <w:p w14:paraId="474EFDC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石油类</w:t>
            </w:r>
          </w:p>
        </w:tc>
        <w:tc>
          <w:tcPr>
            <w:tcW w:w="813" w:type="pct"/>
            <w:tcBorders>
              <w:tl2br w:val="nil"/>
              <w:tr2bl w:val="nil"/>
            </w:tcBorders>
            <w:noWrap w:val="0"/>
            <w:vAlign w:val="center"/>
          </w:tcPr>
          <w:p w14:paraId="1F4CDBF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0.75</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700364B5">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0</w:t>
            </w:r>
          </w:p>
        </w:tc>
        <w:tc>
          <w:tcPr>
            <w:tcW w:w="1522" w:type="pct"/>
            <w:vMerge w:val="continue"/>
            <w:tcBorders>
              <w:tl2br w:val="nil"/>
              <w:tr2bl w:val="nil"/>
            </w:tcBorders>
            <w:noWrap w:val="0"/>
            <w:vAlign w:val="center"/>
          </w:tcPr>
          <w:p w14:paraId="333050C9">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p>
        </w:tc>
      </w:tr>
      <w:tr w14:paraId="78D45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7" w:type="pct"/>
            <w:vMerge w:val="continue"/>
            <w:tcBorders>
              <w:tl2br w:val="nil"/>
              <w:tr2bl w:val="nil"/>
            </w:tcBorders>
            <w:noWrap w:val="0"/>
            <w:vAlign w:val="center"/>
          </w:tcPr>
          <w:p w14:paraId="5AAEA08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p>
        </w:tc>
        <w:tc>
          <w:tcPr>
            <w:tcW w:w="736" w:type="pct"/>
            <w:tcBorders>
              <w:tl2br w:val="nil"/>
              <w:tr2bl w:val="nil"/>
            </w:tcBorders>
            <w:noWrap w:val="0"/>
            <w:vAlign w:val="center"/>
          </w:tcPr>
          <w:p w14:paraId="45FFA6F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落地油</w:t>
            </w:r>
          </w:p>
        </w:tc>
        <w:tc>
          <w:tcPr>
            <w:tcW w:w="740" w:type="pct"/>
            <w:tcBorders>
              <w:tl2br w:val="nil"/>
              <w:tr2bl w:val="nil"/>
            </w:tcBorders>
            <w:noWrap w:val="0"/>
            <w:vAlign w:val="center"/>
          </w:tcPr>
          <w:p w14:paraId="15F06225">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石油类</w:t>
            </w:r>
          </w:p>
        </w:tc>
        <w:tc>
          <w:tcPr>
            <w:tcW w:w="813" w:type="pct"/>
            <w:tcBorders>
              <w:tl2br w:val="nil"/>
              <w:tr2bl w:val="nil"/>
            </w:tcBorders>
            <w:noWrap w:val="0"/>
            <w:vAlign w:val="center"/>
          </w:tcPr>
          <w:p w14:paraId="6DB5A5DF">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0.3</w:t>
            </w:r>
            <w:r>
              <w:rPr>
                <w:rFonts w:hint="eastAsia" w:ascii="宋体" w:hAnsi="宋体" w:eastAsia="宋体" w:cs="宋体"/>
                <w:color w:val="auto"/>
                <w:sz w:val="21"/>
                <w:szCs w:val="21"/>
                <w:highlight w:val="none"/>
                <w:u w:val="none"/>
              </w:rPr>
              <w:t>t/a</w:t>
            </w:r>
          </w:p>
        </w:tc>
        <w:tc>
          <w:tcPr>
            <w:tcW w:w="761" w:type="pct"/>
            <w:tcBorders>
              <w:tl2br w:val="nil"/>
              <w:tr2bl w:val="nil"/>
            </w:tcBorders>
            <w:noWrap w:val="0"/>
            <w:vAlign w:val="center"/>
          </w:tcPr>
          <w:p w14:paraId="63677B52">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0</w:t>
            </w:r>
          </w:p>
        </w:tc>
        <w:tc>
          <w:tcPr>
            <w:tcW w:w="1522" w:type="pct"/>
            <w:tcBorders>
              <w:tl2br w:val="nil"/>
              <w:tr2bl w:val="nil"/>
            </w:tcBorders>
            <w:noWrap w:val="0"/>
            <w:vAlign w:val="center"/>
          </w:tcPr>
          <w:p w14:paraId="70692F1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落地油100%回收，回收后的落地原油运至石西集中处理站原油处理系统进行处理。</w:t>
            </w:r>
          </w:p>
        </w:tc>
      </w:tr>
      <w:tr w14:paraId="51F29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427" w:type="pct"/>
            <w:vMerge w:val="continue"/>
            <w:tcBorders>
              <w:tl2br w:val="nil"/>
              <w:tr2bl w:val="nil"/>
            </w:tcBorders>
            <w:noWrap w:val="0"/>
            <w:vAlign w:val="center"/>
          </w:tcPr>
          <w:p w14:paraId="0B00F778">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both"/>
              <w:textAlignment w:val="auto"/>
              <w:rPr>
                <w:rFonts w:hint="eastAsia" w:ascii="宋体" w:hAnsi="宋体" w:eastAsia="宋体" w:cs="宋体"/>
                <w:color w:val="auto"/>
                <w:sz w:val="21"/>
                <w:szCs w:val="21"/>
                <w:highlight w:val="none"/>
                <w:u w:val="none"/>
                <w:lang w:val="en-US" w:eastAsia="zh-CN"/>
              </w:rPr>
            </w:pPr>
          </w:p>
        </w:tc>
        <w:tc>
          <w:tcPr>
            <w:tcW w:w="736" w:type="pct"/>
            <w:tcBorders>
              <w:tl2br w:val="nil"/>
              <w:tr2bl w:val="nil"/>
            </w:tcBorders>
            <w:noWrap w:val="0"/>
            <w:vAlign w:val="center"/>
          </w:tcPr>
          <w:p w14:paraId="47C9E5D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废弃含油抹布、劳保用品</w:t>
            </w:r>
          </w:p>
        </w:tc>
        <w:tc>
          <w:tcPr>
            <w:tcW w:w="740" w:type="pct"/>
            <w:tcBorders>
              <w:tl2br w:val="nil"/>
              <w:tr2bl w:val="nil"/>
            </w:tcBorders>
            <w:noWrap w:val="0"/>
            <w:vAlign w:val="center"/>
          </w:tcPr>
          <w:p w14:paraId="5C53D9EC">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813" w:type="pct"/>
            <w:tcBorders>
              <w:tl2br w:val="nil"/>
              <w:tr2bl w:val="nil"/>
            </w:tcBorders>
            <w:noWrap w:val="0"/>
            <w:vAlign w:val="center"/>
          </w:tcPr>
          <w:p w14:paraId="7FE64F3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761" w:type="pct"/>
            <w:tcBorders>
              <w:tl2br w:val="nil"/>
              <w:tr2bl w:val="nil"/>
            </w:tcBorders>
            <w:noWrap w:val="0"/>
            <w:vAlign w:val="center"/>
          </w:tcPr>
          <w:p w14:paraId="5C43D35D">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w:t>
            </w:r>
          </w:p>
        </w:tc>
        <w:tc>
          <w:tcPr>
            <w:tcW w:w="1522" w:type="pct"/>
            <w:tcBorders>
              <w:tl2br w:val="nil"/>
              <w:tr2bl w:val="nil"/>
            </w:tcBorders>
            <w:noWrap w:val="0"/>
            <w:vAlign w:val="center"/>
          </w:tcPr>
          <w:p w14:paraId="71D22C9B">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具备条件时，应尽可能分类收集，交相应的危废处置单位处置。</w:t>
            </w:r>
          </w:p>
        </w:tc>
      </w:tr>
      <w:tr w14:paraId="2E04B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427" w:type="pct"/>
            <w:tcBorders>
              <w:tl2br w:val="nil"/>
              <w:tr2bl w:val="nil"/>
            </w:tcBorders>
            <w:noWrap w:val="0"/>
            <w:vAlign w:val="center"/>
          </w:tcPr>
          <w:p w14:paraId="61D5276F">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噪声</w:t>
            </w:r>
          </w:p>
        </w:tc>
        <w:tc>
          <w:tcPr>
            <w:tcW w:w="736" w:type="pct"/>
            <w:tcBorders>
              <w:tl2br w:val="nil"/>
              <w:tr2bl w:val="nil"/>
            </w:tcBorders>
            <w:noWrap w:val="0"/>
            <w:vAlign w:val="center"/>
          </w:tcPr>
          <w:p w14:paraId="1D0FAEC0">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机械噪声</w:t>
            </w:r>
          </w:p>
        </w:tc>
        <w:tc>
          <w:tcPr>
            <w:tcW w:w="740" w:type="pct"/>
            <w:tcBorders>
              <w:tl2br w:val="nil"/>
              <w:tr2bl w:val="nil"/>
            </w:tcBorders>
            <w:noWrap w:val="0"/>
            <w:vAlign w:val="center"/>
          </w:tcPr>
          <w:p w14:paraId="3F08D24E">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w:t>
            </w:r>
          </w:p>
        </w:tc>
        <w:tc>
          <w:tcPr>
            <w:tcW w:w="813" w:type="pct"/>
            <w:tcBorders>
              <w:tl2br w:val="nil"/>
              <w:tr2bl w:val="nil"/>
            </w:tcBorders>
            <w:noWrap w:val="0"/>
            <w:vAlign w:val="center"/>
          </w:tcPr>
          <w:p w14:paraId="0459495B">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70</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90</w:t>
            </w:r>
            <w:r>
              <w:rPr>
                <w:rFonts w:hint="eastAsia" w:ascii="宋体" w:hAnsi="宋体" w:eastAsia="宋体" w:cs="宋体"/>
                <w:color w:val="auto"/>
                <w:sz w:val="21"/>
                <w:szCs w:val="21"/>
                <w:highlight w:val="none"/>
                <w:u w:val="none"/>
              </w:rPr>
              <w:t>dB(A)</w:t>
            </w:r>
          </w:p>
        </w:tc>
        <w:tc>
          <w:tcPr>
            <w:tcW w:w="761" w:type="pct"/>
            <w:tcBorders>
              <w:tl2br w:val="nil"/>
              <w:tr2bl w:val="nil"/>
            </w:tcBorders>
            <w:noWrap w:val="0"/>
            <w:vAlign w:val="center"/>
          </w:tcPr>
          <w:p w14:paraId="7B2FD033">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厂界达标</w:t>
            </w:r>
          </w:p>
        </w:tc>
        <w:tc>
          <w:tcPr>
            <w:tcW w:w="1522" w:type="pct"/>
            <w:tcBorders>
              <w:tl2br w:val="nil"/>
              <w:tr2bl w:val="nil"/>
            </w:tcBorders>
            <w:noWrap w:val="0"/>
            <w:vAlign w:val="center"/>
          </w:tcPr>
          <w:p w14:paraId="4DBB5029">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选用低噪声设备，采取减振、隔声、消声等降噪措施</w:t>
            </w:r>
            <w:r>
              <w:rPr>
                <w:rFonts w:hint="eastAsia" w:ascii="宋体" w:hAnsi="宋体" w:eastAsia="宋体" w:cs="宋体"/>
                <w:color w:val="auto"/>
                <w:sz w:val="21"/>
                <w:szCs w:val="21"/>
                <w:highlight w:val="none"/>
                <w:u w:val="none"/>
                <w:lang w:eastAsia="zh-CN"/>
              </w:rPr>
              <w:t>。</w:t>
            </w:r>
          </w:p>
        </w:tc>
      </w:tr>
    </w:tbl>
    <w:p w14:paraId="5E305300">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71" w:name="_Toc22905"/>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.5</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主要环境影响</w:t>
      </w:r>
      <w:bookmarkEnd w:id="671"/>
    </w:p>
    <w:p w14:paraId="17242970">
      <w:pPr>
        <w:keepNext w:val="0"/>
        <w:keepLines w:val="0"/>
        <w:pageBreakBefore w:val="0"/>
        <w:widowControl/>
        <w:kinsoku/>
        <w:overflowPunct/>
        <w:topLinePunct w:val="0"/>
        <w:autoSpaceDE/>
        <w:autoSpaceDN/>
        <w:bidi w:val="0"/>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（1）生态环境影响分析</w:t>
      </w:r>
    </w:p>
    <w:p w14:paraId="08B85B92">
      <w:pPr>
        <w:keepNext w:val="0"/>
        <w:keepLines w:val="0"/>
        <w:pageBreakBefore w:val="0"/>
        <w:kinsoku/>
        <w:overflowPunct/>
        <w:topLinePunct w:val="0"/>
        <w:autoSpaceDE/>
        <w:autoSpaceDN/>
        <w:bidi w:val="0"/>
        <w:snapToGrid/>
        <w:spacing w:line="480" w:lineRule="exact"/>
        <w:ind w:firstLine="480" w:firstLineChars="200"/>
        <w:textAlignment w:val="auto"/>
        <w:rPr>
          <w:rFonts w:ascii="Times New Roman" w:hAnsi="Times New Roman" w:eastAsia="宋体" w:cs="Times New Roman"/>
          <w:snapToGrid w:val="0"/>
          <w:color w:val="auto"/>
          <w:kern w:val="2"/>
          <w:sz w:val="24"/>
          <w:szCs w:val="20"/>
          <w:u w:val="none"/>
          <w:lang w:val="en-US" w:eastAsia="zh-CN" w:bidi="ar-SA"/>
        </w:rPr>
      </w:pPr>
      <w:r>
        <w:rPr>
          <w:rFonts w:hint="eastAsia" w:ascii="Times New Roman" w:hAnsi="Times New Roman" w:eastAsia="宋体" w:cs="Times New Roman"/>
          <w:snapToGrid w:val="0"/>
          <w:color w:val="auto"/>
          <w:kern w:val="2"/>
          <w:sz w:val="24"/>
          <w:szCs w:val="20"/>
          <w:u w:val="none"/>
          <w:lang w:val="en-US" w:eastAsia="zh-CN" w:bidi="ar-SA"/>
        </w:rPr>
        <w:t>本工程所在区域的野生动物种类少，工程位于</w:t>
      </w:r>
      <w:r>
        <w:rPr>
          <w:rFonts w:hint="eastAsia" w:ascii="宋体" w:hAnsi="宋体" w:eastAsia="宋体" w:cs="宋体"/>
          <w:color w:val="auto"/>
          <w:kern w:val="0"/>
          <w:sz w:val="24"/>
          <w:szCs w:val="24"/>
          <w:highlight w:val="none"/>
          <w:u w:val="none"/>
          <w:lang w:eastAsia="zh-CN"/>
        </w:rPr>
        <w:t>油</w:t>
      </w:r>
      <w:r>
        <w:rPr>
          <w:rFonts w:hint="eastAsia" w:ascii="宋体" w:hAnsi="宋体" w:eastAsia="宋体" w:cs="宋体"/>
          <w:color w:val="auto"/>
          <w:kern w:val="0"/>
          <w:sz w:val="24"/>
          <w:szCs w:val="24"/>
          <w:highlight w:val="none"/>
          <w:u w:val="none"/>
          <w:lang w:val="en-US" w:eastAsia="zh-CN"/>
        </w:rPr>
        <w:t>气</w:t>
      </w:r>
      <w:r>
        <w:rPr>
          <w:rFonts w:hint="eastAsia" w:ascii="宋体" w:hAnsi="宋体" w:eastAsia="宋体" w:cs="宋体"/>
          <w:color w:val="auto"/>
          <w:kern w:val="0"/>
          <w:sz w:val="24"/>
          <w:szCs w:val="24"/>
          <w:highlight w:val="none"/>
          <w:u w:val="none"/>
          <w:lang w:eastAsia="zh-CN"/>
        </w:rPr>
        <w:t>田</w:t>
      </w:r>
      <w:r>
        <w:rPr>
          <w:rFonts w:hint="eastAsia" w:ascii="Times New Roman" w:hAnsi="Times New Roman" w:eastAsia="宋体" w:cs="Times New Roman"/>
          <w:snapToGrid w:val="0"/>
          <w:color w:val="auto"/>
          <w:kern w:val="2"/>
          <w:sz w:val="24"/>
          <w:szCs w:val="20"/>
          <w:u w:val="none"/>
          <w:lang w:val="en-US" w:eastAsia="zh-CN" w:bidi="ar-SA"/>
        </w:rPr>
        <w:t>开发区域，因</w:t>
      </w:r>
      <w:r>
        <w:rPr>
          <w:rFonts w:hint="eastAsia" w:ascii="宋体" w:hAnsi="宋体" w:eastAsia="宋体" w:cs="宋体"/>
          <w:color w:val="auto"/>
          <w:kern w:val="0"/>
          <w:sz w:val="24"/>
          <w:szCs w:val="24"/>
          <w:highlight w:val="none"/>
          <w:u w:val="none"/>
          <w:lang w:eastAsia="zh-CN"/>
        </w:rPr>
        <w:t>油</w:t>
      </w:r>
      <w:r>
        <w:rPr>
          <w:rFonts w:hint="eastAsia" w:ascii="宋体" w:hAnsi="宋体" w:eastAsia="宋体" w:cs="宋体"/>
          <w:color w:val="auto"/>
          <w:kern w:val="0"/>
          <w:sz w:val="24"/>
          <w:szCs w:val="24"/>
          <w:highlight w:val="none"/>
          <w:u w:val="none"/>
          <w:lang w:val="en-US" w:eastAsia="zh-CN"/>
        </w:rPr>
        <w:t>气</w:t>
      </w:r>
      <w:r>
        <w:rPr>
          <w:rFonts w:hint="eastAsia" w:ascii="Times New Roman" w:hAnsi="Times New Roman" w:eastAsia="宋体" w:cs="Times New Roman"/>
          <w:snapToGrid w:val="0"/>
          <w:color w:val="auto"/>
          <w:kern w:val="2"/>
          <w:sz w:val="24"/>
          <w:szCs w:val="20"/>
          <w:u w:val="none"/>
          <w:lang w:val="en-US" w:eastAsia="zh-CN" w:bidi="ar-SA"/>
        </w:rPr>
        <w:t>开发建设活动早已开展，人类活动频繁，工程区内对人类活动敏感的野生动物较少，调查期间未见到大中型野生动物，项目对野生动植物影响不大。工程所在区域不涉及天然林，占地区域基本无植被。工程对区域生态的影响主要为施工期的扬尘及相关施工活动，其影响范围同工程临时占地面积相同，这一破坏需经较长时段才能完全恢复。工程区属于水土流失重点预防区，但占地面积较小，采取环评提出的水土流失防治措施后，对环境的影响可以接受。</w:t>
      </w:r>
    </w:p>
    <w:p w14:paraId="6D1B4A69">
      <w:pPr>
        <w:keepNext w:val="0"/>
        <w:keepLines w:val="0"/>
        <w:pageBreakBefore w:val="0"/>
        <w:widowControl/>
        <w:kinsoku/>
        <w:overflowPunct/>
        <w:topLinePunct w:val="0"/>
        <w:autoSpaceDE/>
        <w:autoSpaceDN/>
        <w:bidi w:val="0"/>
        <w:snapToGrid/>
        <w:spacing w:line="480" w:lineRule="exact"/>
        <w:ind w:firstLine="480" w:firstLineChars="200"/>
        <w:jc w:val="left"/>
        <w:textAlignment w:val="auto"/>
        <w:rPr>
          <w:rFonts w:hint="eastAsia" w:ascii="Times New Roman" w:hAnsi="Times New Roman" w:eastAsia="宋体" w:cs="Times New Roman"/>
          <w:snapToGrid w:val="0"/>
          <w:color w:val="auto"/>
          <w:kern w:val="2"/>
          <w:sz w:val="24"/>
          <w:szCs w:val="20"/>
          <w:u w:val="none"/>
          <w:lang w:val="en-US" w:eastAsia="zh-CN" w:bidi="ar-SA"/>
        </w:rPr>
      </w:pPr>
      <w:r>
        <w:rPr>
          <w:rFonts w:hint="eastAsia" w:ascii="Times New Roman" w:hAnsi="Times New Roman" w:eastAsia="宋体" w:cs="Times New Roman"/>
          <w:snapToGrid w:val="0"/>
          <w:color w:val="auto"/>
          <w:kern w:val="2"/>
          <w:sz w:val="24"/>
          <w:szCs w:val="20"/>
          <w:u w:val="none"/>
          <w:lang w:val="en-US" w:eastAsia="zh-CN" w:bidi="ar-SA"/>
        </w:rPr>
        <w:t>因此总体上看本工程建设对生态环境影响可以接受。</w:t>
      </w:r>
    </w:p>
    <w:p w14:paraId="5B5F3DFC">
      <w:pPr>
        <w:keepNext w:val="0"/>
        <w:keepLines w:val="0"/>
        <w:pageBreakBefore w:val="0"/>
        <w:widowControl/>
        <w:kinsoku/>
        <w:overflowPunct/>
        <w:topLinePunct w:val="0"/>
        <w:autoSpaceDE/>
        <w:autoSpaceDN/>
        <w:bidi w:val="0"/>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（2）大气环境影响分析</w:t>
      </w:r>
    </w:p>
    <w:p w14:paraId="52E2B020">
      <w:pPr>
        <w:keepNext w:val="0"/>
        <w:keepLines w:val="0"/>
        <w:pageBreakBefore w:val="0"/>
        <w:widowControl/>
        <w:kinsoku/>
        <w:overflowPunct/>
        <w:topLinePunct w:val="0"/>
        <w:autoSpaceDE/>
        <w:autoSpaceDN/>
        <w:bidi w:val="0"/>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本项目油气开采、集输采用密闭流程，井口密封并设紧急切断阀，可有效减少烃类、硫化氢气体的排放量。根据现状监测结果，区域环境空气中非甲烷总烃、硫化氢满足标准限值要求。根据预测结果可知，本项目各井场无组织排放非甲烷总烃下风向最大落地浓度均远低于《大气污染物综合排放标准详解》2000μg/m</w:t>
      </w:r>
      <w:r>
        <w:rPr>
          <w:rFonts w:hint="default" w:ascii="Times New Roman" w:hAnsi="Times New Roman" w:eastAsia="宋体" w:cs="Times New Roman"/>
          <w:color w:val="auto"/>
          <w:kern w:val="0"/>
          <w:sz w:val="24"/>
          <w:szCs w:val="24"/>
          <w:highlight w:val="none"/>
          <w:u w:val="none"/>
          <w:vertAlign w:val="superscript"/>
        </w:rPr>
        <w:t>3</w:t>
      </w:r>
      <w:r>
        <w:rPr>
          <w:rFonts w:hint="default" w:ascii="Times New Roman" w:hAnsi="Times New Roman" w:eastAsia="宋体" w:cs="Times New Roman"/>
          <w:color w:val="auto"/>
          <w:kern w:val="0"/>
          <w:sz w:val="24"/>
          <w:szCs w:val="24"/>
          <w:highlight w:val="none"/>
          <w:u w:val="none"/>
        </w:rPr>
        <w:t>的标准；硫化氢下风向最大落地浓度均远低于《环境影响评价技术导则 大气环境》（HJ2.2-2018）附录D中的1h平均浓度限值10μg/m</w:t>
      </w:r>
      <w:r>
        <w:rPr>
          <w:rFonts w:hint="default" w:ascii="Times New Roman" w:hAnsi="Times New Roman" w:eastAsia="宋体" w:cs="Times New Roman"/>
          <w:color w:val="auto"/>
          <w:kern w:val="0"/>
          <w:sz w:val="24"/>
          <w:szCs w:val="24"/>
          <w:highlight w:val="none"/>
          <w:u w:val="none"/>
          <w:vertAlign w:val="superscript"/>
        </w:rPr>
        <w:t>3</w:t>
      </w:r>
      <w:r>
        <w:rPr>
          <w:rFonts w:hint="default" w:ascii="Times New Roman" w:hAnsi="Times New Roman" w:eastAsia="宋体" w:cs="Times New Roman"/>
          <w:color w:val="auto"/>
          <w:kern w:val="0"/>
          <w:sz w:val="24"/>
          <w:szCs w:val="24"/>
          <w:highlight w:val="none"/>
          <w:u w:val="none"/>
        </w:rPr>
        <w:t>。</w:t>
      </w:r>
    </w:p>
    <w:p w14:paraId="2AD243A5">
      <w:pPr>
        <w:keepNext w:val="0"/>
        <w:keepLines w:val="0"/>
        <w:pageBreakBefore w:val="0"/>
        <w:widowControl/>
        <w:kinsoku/>
        <w:overflowPunct/>
        <w:topLinePunct w:val="0"/>
        <w:autoSpaceDE/>
        <w:autoSpaceDN/>
        <w:bidi w:val="0"/>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项目区周边5.0km范围内无敏感点，因此本项目正常运行期间无组织排放的非甲烷总烃对周围环境空气影响较小。</w:t>
      </w:r>
    </w:p>
    <w:p w14:paraId="4D066289">
      <w:pPr>
        <w:keepNext w:val="0"/>
        <w:keepLines w:val="0"/>
        <w:pageBreakBefore w:val="0"/>
        <w:widowControl/>
        <w:kinsoku/>
        <w:overflowPunct/>
        <w:topLinePunct w:val="0"/>
        <w:autoSpaceDE/>
        <w:autoSpaceDN/>
        <w:bidi w:val="0"/>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w:t>
      </w:r>
      <w:r>
        <w:rPr>
          <w:rFonts w:hint="eastAsia" w:cs="Times New Roman"/>
          <w:color w:val="auto"/>
          <w:kern w:val="0"/>
          <w:sz w:val="24"/>
          <w:szCs w:val="24"/>
          <w:highlight w:val="none"/>
          <w:u w:val="none"/>
          <w:lang w:val="en-US" w:eastAsia="zh-CN"/>
        </w:rPr>
        <w:t>3</w:t>
      </w:r>
      <w:r>
        <w:rPr>
          <w:rFonts w:ascii="Times New Roman" w:hAnsi="Times New Roman" w:eastAsia="宋体" w:cs="Times New Roman"/>
          <w:color w:val="auto"/>
          <w:kern w:val="0"/>
          <w:sz w:val="24"/>
          <w:szCs w:val="24"/>
          <w:highlight w:val="none"/>
          <w:u w:val="none"/>
        </w:rPr>
        <w:t>）水环境影响分析</w:t>
      </w:r>
    </w:p>
    <w:p w14:paraId="300E12C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宋体"/>
          <w:snapToGrid w:val="0"/>
          <w:color w:val="auto"/>
          <w:kern w:val="0"/>
          <w:sz w:val="24"/>
          <w:szCs w:val="20"/>
          <w:highlight w:val="none"/>
          <w:u w:val="none"/>
          <w:lang w:val="en-US" w:eastAsia="zh-CN"/>
        </w:rPr>
      </w:pPr>
      <w:r>
        <w:rPr>
          <w:rFonts w:hint="eastAsia" w:ascii="Times New Roman" w:hAnsi="Times New Roman" w:eastAsia="宋体" w:cs="宋体"/>
          <w:snapToGrid w:val="0"/>
          <w:color w:val="auto"/>
          <w:kern w:val="0"/>
          <w:sz w:val="24"/>
          <w:szCs w:val="20"/>
          <w:highlight w:val="none"/>
          <w:u w:val="none"/>
          <w:lang w:val="en-US" w:eastAsia="zh-CN"/>
        </w:rPr>
        <w:t>本工程施工期钻井废水与钻井泥浆、岩屑一同进入不落地系统进行分离处理，分离后的液相回用于钻井液配制，不外排，工程结束由钻井队回收；施工人员生活污水排入生活营地内防渗收集池，定期清运至乌尔禾区生活污水处理厂处理。粪便排入环保厕所内；新建管道试压采用洁净水，管道试压废水中主要污染物为SS，试压废水可用作场地降尘用水或区域绿化用水或区域绿化用水。施工期对地下水环境的影响很小。在严格执行环境保护措施的前提下，项目施工期废水不会对周围水环境产生明显影响。</w:t>
      </w:r>
    </w:p>
    <w:p w14:paraId="155D08E7">
      <w:pPr>
        <w:keepNext w:val="0"/>
        <w:keepLines w:val="0"/>
        <w:pageBreakBefore w:val="0"/>
        <w:widowControl/>
        <w:kinsoku/>
        <w:overflowPunct/>
        <w:topLinePunct w:val="0"/>
        <w:autoSpaceDE/>
        <w:autoSpaceDN/>
        <w:bidi w:val="0"/>
        <w:snapToGrid/>
        <w:spacing w:line="480" w:lineRule="exact"/>
        <w:ind w:firstLine="456" w:firstLineChars="200"/>
        <w:jc w:val="left"/>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宋体" w:hAnsi="宋体" w:eastAsia="宋体" w:cs="宋体"/>
          <w:color w:val="auto"/>
          <w:spacing w:val="-6"/>
          <w:sz w:val="24"/>
          <w:szCs w:val="24"/>
          <w:u w:val="none"/>
          <w:lang w:val="en-US" w:eastAsia="zh-CN"/>
        </w:rPr>
        <w:t>运营期</w:t>
      </w:r>
      <w:r>
        <w:rPr>
          <w:rFonts w:hint="eastAsia" w:ascii="宋体" w:hAnsi="宋体" w:eastAsia="宋体" w:cs="宋体"/>
          <w:color w:val="auto"/>
          <w:spacing w:val="-6"/>
          <w:sz w:val="24"/>
          <w:szCs w:val="24"/>
          <w:u w:val="none"/>
        </w:rPr>
        <w:t>正常状况下，污染源从源头上可以得到控制；非正常状况下，通过定期对管线进行检查检修，可将事故发生的概率将至最低。加之风险应急体系完备，发生泄漏后做到及时发现、及时处理，彻底清除泄漏油品及被污染的土壤。因此，发生泄漏后采取相应的措施后不会对地下水环境产生大的影响。</w:t>
      </w:r>
    </w:p>
    <w:p w14:paraId="5AF33926">
      <w:pPr>
        <w:keepNext w:val="0"/>
        <w:keepLines w:val="0"/>
        <w:pageBreakBefore w:val="0"/>
        <w:widowControl/>
        <w:kinsoku/>
        <w:overflowPunct/>
        <w:topLinePunct w:val="0"/>
        <w:autoSpaceDE/>
        <w:autoSpaceDN/>
        <w:bidi w:val="0"/>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w:t>
      </w:r>
      <w:r>
        <w:rPr>
          <w:rFonts w:hint="eastAsia" w:cs="Times New Roman"/>
          <w:color w:val="auto"/>
          <w:kern w:val="0"/>
          <w:sz w:val="24"/>
          <w:szCs w:val="24"/>
          <w:highlight w:val="none"/>
          <w:u w:val="none"/>
          <w:lang w:val="en-US" w:eastAsia="zh-CN"/>
        </w:rPr>
        <w:t>4</w:t>
      </w:r>
      <w:r>
        <w:rPr>
          <w:rFonts w:ascii="Times New Roman" w:hAnsi="Times New Roman" w:eastAsia="宋体" w:cs="Times New Roman"/>
          <w:color w:val="auto"/>
          <w:kern w:val="0"/>
          <w:sz w:val="24"/>
          <w:szCs w:val="24"/>
          <w:highlight w:val="none"/>
          <w:u w:val="none"/>
        </w:rPr>
        <w:t>）声环境影响分析</w:t>
      </w:r>
    </w:p>
    <w:p w14:paraId="129F1B23">
      <w:pPr>
        <w:keepNext w:val="0"/>
        <w:keepLines w:val="0"/>
        <w:pageBreakBefore w:val="0"/>
        <w:widowControl/>
        <w:kinsoku/>
        <w:overflowPunct/>
        <w:topLinePunct w:val="0"/>
        <w:autoSpaceDE/>
        <w:autoSpaceDN/>
        <w:bidi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lang w:eastAsia="zh-CN"/>
        </w:rPr>
      </w:pPr>
      <w:r>
        <w:rPr>
          <w:rFonts w:hint="eastAsia" w:ascii="宋体" w:hAnsi="宋体" w:eastAsia="宋体" w:cs="宋体"/>
          <w:color w:val="auto"/>
          <w:kern w:val="0"/>
          <w:sz w:val="24"/>
          <w:szCs w:val="24"/>
          <w:highlight w:val="none"/>
          <w:u w:val="none"/>
          <w:lang w:eastAsia="zh-CN"/>
        </w:rPr>
        <w:t>通过类比分析可知，本工程施工期昼间施工场50m以外均不超过《建筑施工场界环境噪声排放标准》（昼间75dB（A）），而在夜间则会超标（夜间55dB(A)）。项目区200m范围内无居民，并且施工期噪声源均为暂时性的，只在短时期对局部环境和施工人员造成影响，待施工结束后这种影响也随之消失。施工期噪声对周围环境造成的影响属可接受范围。</w:t>
      </w:r>
    </w:p>
    <w:p w14:paraId="0C1D984E">
      <w:pPr>
        <w:keepNext w:val="0"/>
        <w:keepLines w:val="0"/>
        <w:pageBreakBefore w:val="0"/>
        <w:widowControl/>
        <w:kinsoku/>
        <w:overflowPunct/>
        <w:topLinePunct w:val="0"/>
        <w:autoSpaceDE/>
        <w:autoSpaceDN/>
        <w:bidi w:val="0"/>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rPr>
      </w:pPr>
      <w:r>
        <w:rPr>
          <w:rFonts w:hint="eastAsia" w:ascii="宋体" w:hAnsi="宋体" w:eastAsia="宋体" w:cs="宋体"/>
          <w:color w:val="auto"/>
          <w:kern w:val="0"/>
          <w:sz w:val="24"/>
          <w:szCs w:val="24"/>
          <w:highlight w:val="none"/>
          <w:u w:val="none"/>
          <w:lang w:eastAsia="zh-CN"/>
        </w:rPr>
        <w:t>本工程运营期间的噪声源主要为井场、站场设备的运转噪声，噪声预测结果可知显示：在采取了环评提出的降噪措施后，项目运营期厂界昼、夜间噪声预测值均可满足《工业企业厂界环境噪声排放标准》（GB12348-2008）中2类区标准，不会使项目区声环境质量明显降低。不会对周围声环境产生影响。</w:t>
      </w:r>
    </w:p>
    <w:p w14:paraId="5FA46171">
      <w:pPr>
        <w:keepNext w:val="0"/>
        <w:keepLines w:val="0"/>
        <w:pageBreakBefore w:val="0"/>
        <w:widowControl/>
        <w:kinsoku/>
        <w:overflowPunct/>
        <w:topLinePunct w:val="0"/>
        <w:autoSpaceDE/>
        <w:autoSpaceDN/>
        <w:bidi w:val="0"/>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（5）固体废物影响分析</w:t>
      </w:r>
    </w:p>
    <w:p w14:paraId="4D404A5F">
      <w:pPr>
        <w:keepNext w:val="0"/>
        <w:keepLines w:val="0"/>
        <w:pageBreakBefore w:val="0"/>
        <w:widowControl w:val="0"/>
        <w:kinsoku/>
        <w:wordWrap w:val="0"/>
        <w:overflowPunct/>
        <w:topLinePunct w:val="0"/>
        <w:autoSpaceDE/>
        <w:autoSpaceDN/>
        <w:bidi w:val="0"/>
        <w:snapToGrid/>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zh-CN" w:eastAsia="zh-CN" w:bidi="ar-SA"/>
        </w:rPr>
      </w:pPr>
      <w:r>
        <w:rPr>
          <w:rFonts w:hint="eastAsia" w:ascii="Times New Roman" w:hAnsi="Times New Roman" w:eastAsia="宋体" w:cs="Times New Roman"/>
          <w:bCs/>
          <w:color w:val="auto"/>
          <w:kern w:val="2"/>
          <w:sz w:val="24"/>
          <w:szCs w:val="22"/>
          <w:highlight w:val="none"/>
          <w:u w:val="none"/>
          <w:lang w:val="zh-CN" w:eastAsia="zh-CN" w:bidi="ar-SA"/>
        </w:rPr>
        <w:t>本工程施工期固体废物主要为钻井泥浆、岩屑、施工废料、生活垃圾、施工机械废油、废烧碱包装袋等。钻井过程中一开、二开采用水基非磺化钻井液体系，三开采用油基钻井液体系，采用经不落地系统进行处理，在井场进行固液分离，分离后的液相回用于钻井液配备，分离后的水基钻井液产生的岩屑满足《油气田钻井固体废物综合利用污染控制要求》（DB65/T3997-2017）后</w:t>
      </w:r>
      <w:r>
        <w:rPr>
          <w:rFonts w:hint="eastAsia" w:cs="Times New Roman"/>
          <w:bCs/>
          <w:color w:val="auto"/>
          <w:kern w:val="2"/>
          <w:sz w:val="24"/>
          <w:szCs w:val="22"/>
          <w:highlight w:val="none"/>
          <w:u w:val="none"/>
          <w:lang w:val="en-US" w:eastAsia="zh-CN" w:bidi="ar-SA"/>
        </w:rPr>
        <w:t>综合利用</w:t>
      </w:r>
      <w:r>
        <w:rPr>
          <w:rFonts w:hint="eastAsia" w:ascii="Times New Roman" w:hAnsi="Times New Roman" w:eastAsia="宋体" w:cs="Times New Roman"/>
          <w:bCs/>
          <w:color w:val="auto"/>
          <w:kern w:val="2"/>
          <w:sz w:val="24"/>
          <w:szCs w:val="22"/>
          <w:highlight w:val="none"/>
          <w:u w:val="none"/>
          <w:lang w:val="zh-CN" w:eastAsia="zh-CN" w:bidi="ar-SA"/>
        </w:rPr>
        <w:t>；油基钻井液产生的岩屑为HW08含油危废（废物代码：072-001-08），在井场方罐暂存，定期委托具有相应危废处置资质的单位处置；施工废料首先考虑回收利用，不可回收利用的拉运至</w:t>
      </w:r>
      <w:r>
        <w:rPr>
          <w:rFonts w:hint="eastAsia" w:ascii="Times New Roman" w:hAnsi="Times New Roman" w:eastAsia="宋体" w:cs="Times New Roman"/>
          <w:bCs/>
          <w:color w:val="auto"/>
          <w:kern w:val="2"/>
          <w:sz w:val="24"/>
          <w:szCs w:val="22"/>
          <w:highlight w:val="none"/>
          <w:u w:val="none"/>
          <w:lang w:val="en-US" w:eastAsia="zh-CN" w:bidi="ar-SA"/>
        </w:rPr>
        <w:t>当地建筑垃圾填埋场填埋处置</w:t>
      </w:r>
      <w:r>
        <w:rPr>
          <w:rFonts w:hint="eastAsia" w:ascii="Times New Roman" w:hAnsi="Times New Roman" w:eastAsia="宋体" w:cs="Times New Roman"/>
          <w:bCs/>
          <w:color w:val="auto"/>
          <w:kern w:val="2"/>
          <w:sz w:val="24"/>
          <w:szCs w:val="22"/>
          <w:highlight w:val="none"/>
          <w:u w:val="none"/>
          <w:lang w:val="zh-CN" w:eastAsia="zh-CN" w:bidi="ar-SA"/>
        </w:rPr>
        <w:t>；施工期间施工人员生活垃圾集中收集至垃圾箱中，定期拉运至乌尔禾区生活垃圾填埋场；钻井施工过程中配制钻井泥浆时会产生少量烧碱废包装袋，暂存于危废贮存点，委托具有相关危废处置资质的公司接收处置；机械设备废油和含油废弃物采用专用罐集中收集后暂存于危废贮存点，委托具有相关危废处置资质的单位处置；施工土方在管线施工结束后回填在管堤上，站场施工过程产生的土方回填至挖方处或回填至周边低洼场地，并实施压实平整，无废弃土方及借方。</w:t>
      </w:r>
    </w:p>
    <w:p w14:paraId="7A70847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运营期产生的固体废物主要为油泥（砂）、清管废渣、落地原油、废弃含油抹布、劳保用品、废防渗材料等。</w:t>
      </w:r>
    </w:p>
    <w:p w14:paraId="4ACF454E">
      <w:pPr>
        <w:keepNext w:val="0"/>
        <w:keepLines w:val="0"/>
        <w:pageBreakBefore w:val="0"/>
        <w:widowControl w:val="0"/>
        <w:kinsoku/>
        <w:wordWrap w:val="0"/>
        <w:overflowPunct/>
        <w:topLinePunct w:val="0"/>
        <w:autoSpaceDE/>
        <w:autoSpaceDN/>
        <w:bidi w:val="0"/>
        <w:snapToGrid/>
        <w:spacing w:line="480" w:lineRule="exact"/>
        <w:ind w:firstLine="480" w:firstLineChars="200"/>
        <w:textAlignment w:val="auto"/>
        <w:rPr>
          <w:rFonts w:hint="eastAsia" w:ascii="Times New Roman" w:hAnsi="Times New Roman" w:eastAsia="宋体" w:cs="Times New Roman"/>
          <w:bCs/>
          <w:color w:val="auto"/>
          <w:kern w:val="2"/>
          <w:sz w:val="24"/>
          <w:szCs w:val="22"/>
          <w:highlight w:val="none"/>
          <w:u w:val="none"/>
          <w:lang w:val="en-US" w:eastAsia="zh-CN" w:bidi="ar-SA"/>
        </w:rPr>
      </w:pPr>
      <w:r>
        <w:rPr>
          <w:rFonts w:hint="eastAsia" w:ascii="Times New Roman" w:hAnsi="Times New Roman" w:eastAsia="宋体" w:cs="Times New Roman"/>
          <w:bCs/>
          <w:color w:val="auto"/>
          <w:kern w:val="2"/>
          <w:sz w:val="24"/>
          <w:szCs w:val="22"/>
          <w:highlight w:val="none"/>
          <w:u w:val="none"/>
          <w:lang w:val="en-US" w:eastAsia="zh-CN" w:bidi="ar-SA"/>
        </w:rPr>
        <w:t>油泥（砂）主要为处理厂的采出水处理系统或沉降油罐产生的沉淀物，部分为原油，部分为泥土等杂质，属于危险废物（HW08）（071-001-08）；清管废渣的主要成分为SS和氧化铁等，还含有少量管道中的油，属于危险废物HW08（废物代码：251-001-08）；</w:t>
      </w:r>
      <w:r>
        <w:rPr>
          <w:rFonts w:hint="default" w:ascii="Times New Roman" w:hAnsi="Times New Roman" w:eastAsia="宋体" w:cs="Times New Roman"/>
          <w:bCs/>
          <w:snapToGrid w:val="0"/>
          <w:color w:val="auto"/>
          <w:sz w:val="24"/>
          <w:szCs w:val="24"/>
          <w:highlight w:val="none"/>
          <w:u w:val="none"/>
        </w:rPr>
        <w:t>作业过程中产生的含油废防渗材料</w:t>
      </w:r>
      <w:r>
        <w:rPr>
          <w:rFonts w:hint="eastAsia" w:ascii="Times New Roman" w:hAnsi="Times New Roman" w:eastAsia="宋体" w:cs="Times New Roman"/>
          <w:bCs/>
          <w:snapToGrid w:val="0"/>
          <w:color w:val="auto"/>
          <w:sz w:val="24"/>
          <w:szCs w:val="24"/>
          <w:highlight w:val="none"/>
          <w:u w:val="none"/>
          <w:lang w:eastAsia="zh-CN"/>
        </w:rPr>
        <w:t>，</w:t>
      </w:r>
      <w:r>
        <w:rPr>
          <w:rFonts w:hint="default" w:ascii="Times New Roman" w:hAnsi="Times New Roman" w:eastAsia="宋体" w:cs="Times New Roman"/>
          <w:bCs/>
          <w:snapToGrid w:val="0"/>
          <w:color w:val="auto"/>
          <w:sz w:val="24"/>
          <w:szCs w:val="24"/>
          <w:highlight w:val="none"/>
          <w:u w:val="none"/>
        </w:rPr>
        <w:t>属于危险废物</w:t>
      </w:r>
      <w:r>
        <w:rPr>
          <w:rFonts w:hint="eastAsia" w:ascii="Times New Roman" w:hAnsi="Times New Roman" w:eastAsia="宋体" w:cs="Times New Roman"/>
          <w:bCs/>
          <w:snapToGrid w:val="0"/>
          <w:color w:val="auto"/>
          <w:sz w:val="24"/>
          <w:szCs w:val="24"/>
          <w:highlight w:val="none"/>
          <w:u w:val="none"/>
          <w:lang w:eastAsia="zh-CN"/>
        </w:rPr>
        <w:t>（</w:t>
      </w:r>
      <w:r>
        <w:rPr>
          <w:rFonts w:hint="default" w:ascii="Times New Roman" w:hAnsi="Times New Roman" w:eastAsia="宋体" w:cs="Times New Roman"/>
          <w:bCs/>
          <w:snapToGrid w:val="0"/>
          <w:color w:val="auto"/>
          <w:sz w:val="24"/>
          <w:szCs w:val="24"/>
          <w:highlight w:val="none"/>
          <w:u w:val="none"/>
        </w:rPr>
        <w:t>HW08</w:t>
      </w:r>
      <w:r>
        <w:rPr>
          <w:rFonts w:hint="eastAsia" w:ascii="Times New Roman" w:hAnsi="Times New Roman" w:eastAsia="宋体" w:cs="Times New Roman"/>
          <w:bCs/>
          <w:snapToGrid w:val="0"/>
          <w:color w:val="auto"/>
          <w:sz w:val="24"/>
          <w:szCs w:val="24"/>
          <w:highlight w:val="none"/>
          <w:u w:val="none"/>
          <w:lang w:eastAsia="zh-CN"/>
        </w:rPr>
        <w:t>）</w:t>
      </w:r>
      <w:r>
        <w:rPr>
          <w:rFonts w:hint="default" w:ascii="Times New Roman" w:hAnsi="Times New Roman" w:eastAsia="宋体" w:cs="Times New Roman"/>
          <w:bCs/>
          <w:snapToGrid w:val="0"/>
          <w:color w:val="auto"/>
          <w:sz w:val="24"/>
          <w:szCs w:val="24"/>
          <w:highlight w:val="none"/>
          <w:u w:val="none"/>
        </w:rPr>
        <w:t>（900-249-08</w:t>
      </w:r>
      <w:r>
        <w:rPr>
          <w:rFonts w:hint="eastAsia" w:ascii="Times New Roman" w:hAnsi="Times New Roman" w:eastAsia="宋体" w:cs="Times New Roman"/>
          <w:bCs/>
          <w:snapToGrid w:val="0"/>
          <w:color w:val="auto"/>
          <w:sz w:val="24"/>
          <w:szCs w:val="24"/>
          <w:highlight w:val="none"/>
          <w:u w:val="none"/>
          <w:lang w:eastAsia="zh-CN"/>
        </w:rPr>
        <w:t>），委托具有相关危废处置资质的单位处置。</w:t>
      </w:r>
    </w:p>
    <w:p w14:paraId="3B28AB8D">
      <w:pPr>
        <w:keepNext w:val="0"/>
        <w:keepLines w:val="0"/>
        <w:pageBreakBefore w:val="0"/>
        <w:widowControl w:val="0"/>
        <w:kinsoku/>
        <w:wordWrap w:val="0"/>
        <w:overflowPunct/>
        <w:topLinePunct w:val="0"/>
        <w:autoSpaceDE/>
        <w:autoSpaceDN/>
        <w:bidi w:val="0"/>
        <w:snapToGrid/>
        <w:spacing w:line="480" w:lineRule="exact"/>
        <w:ind w:firstLine="480" w:firstLineChars="200"/>
        <w:textAlignment w:val="auto"/>
        <w:rPr>
          <w:rFonts w:hint="eastAsia" w:ascii="Times New Roman" w:hAnsi="Times New Roman" w:eastAsia="宋体" w:cs="Times New Roman"/>
          <w:color w:val="auto"/>
          <w:sz w:val="24"/>
          <w:szCs w:val="20"/>
          <w:highlight w:val="none"/>
          <w:u w:val="none"/>
          <w:lang w:eastAsia="zh-CN"/>
        </w:rPr>
      </w:pPr>
      <w:r>
        <w:rPr>
          <w:rFonts w:hint="default" w:ascii="Times New Roman" w:hAnsi="Times New Roman" w:eastAsia="宋体" w:cs="Times New Roman"/>
          <w:color w:val="auto"/>
          <w:sz w:val="24"/>
          <w:szCs w:val="20"/>
          <w:highlight w:val="none"/>
          <w:u w:val="none"/>
        </w:rPr>
        <w:t>落地油主要产生于阀门、法兰等处事故状态下的泄漏</w:t>
      </w:r>
      <w:r>
        <w:rPr>
          <w:rFonts w:hint="eastAsia" w:ascii="Times New Roman" w:hAnsi="Times New Roman" w:eastAsia="宋体" w:cs="Times New Roman"/>
          <w:color w:val="auto"/>
          <w:sz w:val="24"/>
          <w:szCs w:val="20"/>
          <w:highlight w:val="none"/>
          <w:u w:val="none"/>
          <w:lang w:val="en-US" w:eastAsia="zh-CN"/>
        </w:rPr>
        <w:t>以及</w:t>
      </w:r>
      <w:r>
        <w:rPr>
          <w:rFonts w:hint="default" w:ascii="Times New Roman" w:hAnsi="Times New Roman" w:eastAsia="宋体" w:cs="Times New Roman"/>
          <w:color w:val="auto"/>
          <w:sz w:val="24"/>
          <w:szCs w:val="20"/>
          <w:highlight w:val="none"/>
          <w:u w:val="none"/>
        </w:rPr>
        <w:t>管线破损</w:t>
      </w:r>
      <w:r>
        <w:rPr>
          <w:rFonts w:hint="eastAsia" w:ascii="Times New Roman" w:hAnsi="Times New Roman" w:eastAsia="宋体" w:cs="Times New Roman"/>
          <w:color w:val="auto"/>
          <w:sz w:val="24"/>
          <w:szCs w:val="20"/>
          <w:highlight w:val="none"/>
          <w:u w:val="none"/>
          <w:lang w:eastAsia="zh-CN"/>
        </w:rPr>
        <w:t>，</w:t>
      </w:r>
      <w:r>
        <w:rPr>
          <w:rFonts w:hint="default" w:ascii="Times New Roman" w:hAnsi="Times New Roman" w:eastAsia="宋体" w:cs="Times New Roman"/>
          <w:color w:val="auto"/>
          <w:sz w:val="24"/>
          <w:szCs w:val="20"/>
          <w:highlight w:val="none"/>
          <w:u w:val="none"/>
        </w:rPr>
        <w:t>属于危险废物HW08（废物代码：071-001-08）</w:t>
      </w:r>
      <w:r>
        <w:rPr>
          <w:rFonts w:hint="eastAsia" w:ascii="Times New Roman" w:hAnsi="Times New Roman" w:eastAsia="宋体" w:cs="Times New Roman"/>
          <w:color w:val="auto"/>
          <w:sz w:val="24"/>
          <w:szCs w:val="20"/>
          <w:highlight w:val="none"/>
          <w:u w:val="none"/>
          <w:lang w:eastAsia="zh-CN"/>
        </w:rPr>
        <w:t>，落地油100%回收，回收后的落地油运至石西集中处理站原油处理系统进行处理。</w:t>
      </w:r>
    </w:p>
    <w:p w14:paraId="7CF122DF">
      <w:pPr>
        <w:keepNext w:val="0"/>
        <w:keepLines w:val="0"/>
        <w:pageBreakBefore w:val="0"/>
        <w:widowControl w:val="0"/>
        <w:kinsoku/>
        <w:wordWrap w:val="0"/>
        <w:overflowPunct/>
        <w:topLinePunct w:val="0"/>
        <w:autoSpaceDE/>
        <w:autoSpaceDN/>
        <w:bidi w:val="0"/>
        <w:snapToGrid/>
        <w:spacing w:line="480" w:lineRule="exact"/>
        <w:ind w:firstLine="480" w:firstLineChars="200"/>
        <w:textAlignment w:val="auto"/>
        <w:rPr>
          <w:rFonts w:hint="default" w:ascii="Times New Roman" w:hAnsi="Times New Roman" w:eastAsia="宋体" w:cs="Times New Roman"/>
          <w:bCs/>
          <w:snapToGrid w:val="0"/>
          <w:color w:val="auto"/>
          <w:sz w:val="24"/>
          <w:szCs w:val="24"/>
          <w:highlight w:val="none"/>
          <w:u w:val="none"/>
        </w:rPr>
      </w:pPr>
      <w:r>
        <w:rPr>
          <w:rFonts w:hint="default" w:ascii="Times New Roman" w:hAnsi="Times New Roman" w:eastAsia="宋体" w:cs="Times New Roman"/>
          <w:bCs/>
          <w:snapToGrid w:val="0"/>
          <w:color w:val="auto"/>
          <w:sz w:val="24"/>
          <w:szCs w:val="24"/>
          <w:highlight w:val="none"/>
          <w:u w:val="none"/>
        </w:rPr>
        <w:t>生产过程中产生的废弃的含油抹布、劳保用品，类别为HW49 其他废物，代码为 900-041-49。根据《危险废物名录》（202</w:t>
      </w:r>
      <w:r>
        <w:rPr>
          <w:rFonts w:hint="eastAsia" w:ascii="Times New Roman" w:hAnsi="Times New Roman" w:eastAsia="宋体" w:cs="Times New Roman"/>
          <w:bCs/>
          <w:snapToGrid w:val="0"/>
          <w:color w:val="auto"/>
          <w:sz w:val="24"/>
          <w:szCs w:val="24"/>
          <w:highlight w:val="none"/>
          <w:u w:val="none"/>
          <w:lang w:val="en-US" w:eastAsia="zh-CN"/>
        </w:rPr>
        <w:t>5年版</w:t>
      </w:r>
      <w:r>
        <w:rPr>
          <w:rFonts w:hint="default" w:ascii="Times New Roman" w:hAnsi="Times New Roman" w:eastAsia="宋体" w:cs="Times New Roman"/>
          <w:bCs/>
          <w:snapToGrid w:val="0"/>
          <w:color w:val="auto"/>
          <w:sz w:val="24"/>
          <w:szCs w:val="24"/>
          <w:highlight w:val="none"/>
          <w:u w:val="none"/>
        </w:rPr>
        <w:t>），本项目生产过程中产生的废弃的含油抹布、劳保用品产生量极少，在未分离收集情况下，收集、储存、运输、处置可以不按照危险废物管理，属于全过程豁免的。</w:t>
      </w:r>
    </w:p>
    <w:p w14:paraId="7FAA43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default" w:ascii="Times New Roman" w:hAnsi="Times New Roman" w:eastAsia="宋体" w:cs="Times New Roman"/>
          <w:bCs/>
          <w:snapToGrid w:val="0"/>
          <w:color w:val="auto"/>
          <w:sz w:val="24"/>
          <w:szCs w:val="24"/>
          <w:highlight w:val="none"/>
          <w:u w:val="none"/>
        </w:rPr>
        <w:t>豁免条件为未分类收可不按危险废物管理，但不得分类收集后混入生活垃圾处理。具备条件时，废含油抹布和劳保用品应尽可能分类收集，交相应的危废处置单位处置。</w:t>
      </w:r>
    </w:p>
    <w:p w14:paraId="20B552A9">
      <w:pPr>
        <w:keepNext w:val="0"/>
        <w:keepLines w:val="0"/>
        <w:pageBreakBefore w:val="0"/>
        <w:widowControl/>
        <w:kinsoku/>
        <w:overflowPunct/>
        <w:topLinePunct w:val="0"/>
        <w:autoSpaceDE/>
        <w:autoSpaceDN/>
        <w:bidi w:val="0"/>
        <w:snapToGrid/>
        <w:spacing w:line="480" w:lineRule="exact"/>
        <w:ind w:firstLine="480" w:firstLineChars="200"/>
        <w:jc w:val="both"/>
        <w:textAlignment w:val="auto"/>
        <w:rPr>
          <w:rFonts w:hint="eastAsia" w:ascii="Times New Roman" w:hAnsi="Times New Roman" w:eastAsia="宋体" w:cs="Times New Roman"/>
          <w:color w:val="auto"/>
          <w:spacing w:val="4"/>
          <w:kern w:val="24"/>
          <w:sz w:val="24"/>
          <w:szCs w:val="24"/>
          <w:highlight w:val="none"/>
          <w:u w:val="none"/>
          <w:lang w:val="en-US" w:eastAsia="zh-CN" w:bidi="ar-SA"/>
        </w:rPr>
      </w:pPr>
      <w:r>
        <w:rPr>
          <w:rFonts w:hint="eastAsia" w:ascii="宋体" w:hAnsi="宋体" w:eastAsia="宋体" w:cs="宋体"/>
          <w:color w:val="auto"/>
          <w:sz w:val="24"/>
          <w:szCs w:val="24"/>
          <w:u w:val="none"/>
          <w:lang w:eastAsia="zh-CN"/>
        </w:rPr>
        <w:t>本工程</w:t>
      </w:r>
      <w:r>
        <w:rPr>
          <w:rFonts w:hint="eastAsia" w:ascii="宋体" w:hAnsi="宋体" w:eastAsia="宋体" w:cs="宋体"/>
          <w:color w:val="auto"/>
          <w:sz w:val="24"/>
          <w:szCs w:val="24"/>
          <w:u w:val="none"/>
        </w:rPr>
        <w:t>对建设期和运营期产生的各种固体废物均采取了妥善的处理、处置措施，只要严格管理，不会对环境产生较大影响。</w:t>
      </w:r>
    </w:p>
    <w:p w14:paraId="293AA760">
      <w:pPr>
        <w:keepNext w:val="0"/>
        <w:keepLines w:val="0"/>
        <w:pageBreakBefore w:val="0"/>
        <w:widowControl/>
        <w:kinsoku/>
        <w:overflowPunct/>
        <w:topLinePunct w:val="0"/>
        <w:autoSpaceDE/>
        <w:autoSpaceDN/>
        <w:bidi w:val="0"/>
        <w:snapToGrid/>
        <w:spacing w:line="480" w:lineRule="exact"/>
        <w:ind w:firstLine="480" w:firstLineChars="200"/>
        <w:jc w:val="both"/>
        <w:textAlignment w:val="auto"/>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（6）土壤影响分析</w:t>
      </w:r>
    </w:p>
    <w:p w14:paraId="365E9D1E">
      <w:pPr>
        <w:keepNext w:val="0"/>
        <w:keepLines w:val="0"/>
        <w:pageBreakBefore w:val="0"/>
        <w:widowControl/>
        <w:kinsoku/>
        <w:overflowPunct/>
        <w:topLinePunct w:val="0"/>
        <w:autoSpaceDE/>
        <w:autoSpaceDN/>
        <w:bidi w:val="0"/>
        <w:adjustRightInd w:val="0"/>
        <w:snapToGrid/>
        <w:spacing w:line="480" w:lineRule="exact"/>
        <w:ind w:firstLine="480" w:firstLineChars="200"/>
        <w:jc w:val="both"/>
        <w:textAlignment w:val="auto"/>
        <w:rPr>
          <w:rFonts w:hint="eastAsia" w:ascii="Times New Roman" w:hAnsi="Times New Roman" w:eastAsia="宋体" w:cs="Times New Roman"/>
          <w:color w:val="auto"/>
          <w:kern w:val="0"/>
          <w:sz w:val="24"/>
          <w:szCs w:val="28"/>
          <w:highlight w:val="none"/>
          <w:u w:val="none"/>
        </w:rPr>
      </w:pPr>
      <w:r>
        <w:rPr>
          <w:rFonts w:hint="eastAsia" w:ascii="Times New Roman" w:hAnsi="Times New Roman" w:eastAsia="宋体" w:cs="Times New Roman"/>
          <w:color w:val="auto"/>
          <w:spacing w:val="0"/>
          <w:kern w:val="24"/>
          <w:sz w:val="24"/>
          <w:szCs w:val="22"/>
          <w:highlight w:val="none"/>
          <w:u w:val="none"/>
          <w:lang w:eastAsia="zh-CN"/>
        </w:rPr>
        <w:t>本工程</w:t>
      </w:r>
      <w:r>
        <w:rPr>
          <w:rFonts w:hint="eastAsia" w:ascii="Times New Roman" w:hAnsi="Times New Roman" w:eastAsia="宋体" w:cs="Times New Roman"/>
          <w:color w:val="auto"/>
          <w:spacing w:val="0"/>
          <w:kern w:val="24"/>
          <w:sz w:val="24"/>
          <w:szCs w:val="22"/>
          <w:highlight w:val="none"/>
          <w:u w:val="none"/>
        </w:rPr>
        <w:t>采用密闭集输的集输方式，正常工况下无废水及固废等污染物外排，不会造成土壤环境污染。如果发生管线泄漏等事故，泄漏的</w:t>
      </w:r>
      <w:r>
        <w:rPr>
          <w:rFonts w:hint="eastAsia" w:ascii="Times New Roman" w:hAnsi="Times New Roman" w:eastAsia="宋体" w:cs="Times New Roman"/>
          <w:color w:val="auto"/>
          <w:spacing w:val="0"/>
          <w:kern w:val="24"/>
          <w:sz w:val="24"/>
          <w:szCs w:val="22"/>
          <w:highlight w:val="none"/>
          <w:u w:val="none"/>
          <w:lang w:val="en-US" w:eastAsia="zh-CN"/>
        </w:rPr>
        <w:t>油品</w:t>
      </w:r>
      <w:r>
        <w:rPr>
          <w:rFonts w:hint="eastAsia" w:ascii="Times New Roman" w:hAnsi="Times New Roman" w:eastAsia="宋体" w:cs="Times New Roman"/>
          <w:color w:val="auto"/>
          <w:spacing w:val="0"/>
          <w:kern w:val="24"/>
          <w:sz w:val="24"/>
          <w:szCs w:val="22"/>
          <w:highlight w:val="none"/>
          <w:u w:val="none"/>
        </w:rPr>
        <w:t>会对土壤环境产生一定的影响，泄漏的油类物质覆盖于地表可使土壤透气性下降、土壤理化性状发生变化。泄漏的油品如果进入土壤，从而使土壤质地、结构发生改变，影响到土地功能，进而影响地表植被的生长。根据环境风险分析可知，</w:t>
      </w:r>
      <w:r>
        <w:rPr>
          <w:rFonts w:hint="eastAsia" w:ascii="Times New Roman" w:hAnsi="Times New Roman" w:eastAsia="宋体" w:cs="Times New Roman"/>
          <w:color w:val="auto"/>
          <w:spacing w:val="0"/>
          <w:kern w:val="24"/>
          <w:sz w:val="24"/>
          <w:szCs w:val="22"/>
          <w:highlight w:val="none"/>
          <w:u w:val="none"/>
          <w:lang w:eastAsia="zh-CN"/>
        </w:rPr>
        <w:t>本工程</w:t>
      </w:r>
      <w:r>
        <w:rPr>
          <w:rFonts w:hint="eastAsia" w:ascii="Times New Roman" w:hAnsi="Times New Roman" w:eastAsia="宋体" w:cs="Times New Roman"/>
          <w:color w:val="auto"/>
          <w:spacing w:val="0"/>
          <w:kern w:val="24"/>
          <w:sz w:val="24"/>
          <w:szCs w:val="22"/>
          <w:highlight w:val="none"/>
          <w:u w:val="none"/>
        </w:rPr>
        <w:t>风险潜势很低，发生泄漏事故的可能性很小，在做好源头控制、过程防控等措施的前提下，可避免工程项目实施对土壤环境产生污染影响。</w:t>
      </w:r>
    </w:p>
    <w:p w14:paraId="58BD8FF1">
      <w:pPr>
        <w:keepNext w:val="0"/>
        <w:keepLines w:val="0"/>
        <w:pageBreakBefore w:val="0"/>
        <w:widowControl/>
        <w:kinsoku/>
        <w:overflowPunct/>
        <w:topLinePunct w:val="0"/>
        <w:autoSpaceDE/>
        <w:autoSpaceDN/>
        <w:bidi w:val="0"/>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ascii="Times New Roman" w:hAnsi="Times New Roman" w:eastAsia="宋体" w:cs="Times New Roman"/>
          <w:color w:val="auto"/>
          <w:kern w:val="0"/>
          <w:sz w:val="24"/>
          <w:szCs w:val="24"/>
          <w:highlight w:val="none"/>
          <w:u w:val="none"/>
        </w:rPr>
        <w:t>（7）环境风险分析</w:t>
      </w:r>
    </w:p>
    <w:p w14:paraId="1C8352FC">
      <w:pPr>
        <w:keepNext w:val="0"/>
        <w:keepLines w:val="0"/>
        <w:pageBreakBefore w:val="0"/>
        <w:widowControl/>
        <w:kinsoku/>
        <w:overflowPunct/>
        <w:topLinePunct w:val="0"/>
        <w:autoSpaceDE/>
        <w:autoSpaceDN/>
        <w:bidi w:val="0"/>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rPr>
        <w:t>本工程所涉及的危险物质包括</w:t>
      </w:r>
      <w:r>
        <w:rPr>
          <w:rFonts w:hint="eastAsia" w:cs="Times New Roman"/>
          <w:color w:val="auto"/>
          <w:kern w:val="0"/>
          <w:sz w:val="24"/>
          <w:szCs w:val="24"/>
          <w:highlight w:val="none"/>
          <w:u w:val="none"/>
          <w:lang w:val="en-US" w:eastAsia="zh-CN"/>
        </w:rPr>
        <w:t>柴油、</w:t>
      </w:r>
      <w:r>
        <w:rPr>
          <w:rFonts w:hint="eastAsia" w:ascii="Times New Roman" w:hAnsi="Times New Roman" w:eastAsia="宋体" w:cs="Times New Roman"/>
          <w:color w:val="auto"/>
          <w:kern w:val="0"/>
          <w:sz w:val="24"/>
          <w:szCs w:val="24"/>
          <w:highlight w:val="none"/>
          <w:u w:val="none"/>
          <w:lang w:eastAsia="zh-CN"/>
        </w:rPr>
        <w:t>凝析油、天然气，</w:t>
      </w:r>
    </w:p>
    <w:p w14:paraId="2FDE3BF2">
      <w:pPr>
        <w:keepNext w:val="0"/>
        <w:keepLines w:val="0"/>
        <w:pageBreakBefore w:val="0"/>
        <w:widowControl/>
        <w:kinsoku/>
        <w:overflowPunct/>
        <w:topLinePunct w:val="0"/>
        <w:autoSpaceDE/>
        <w:autoSpaceDN/>
        <w:bidi w:val="0"/>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u w:val="none"/>
          <w:lang w:eastAsia="zh-CN"/>
        </w:rPr>
      </w:pPr>
      <w:r>
        <w:rPr>
          <w:rFonts w:hint="eastAsia" w:ascii="Times New Roman" w:hAnsi="Times New Roman" w:eastAsia="宋体" w:cs="Times New Roman"/>
          <w:color w:val="auto"/>
          <w:kern w:val="0"/>
          <w:sz w:val="24"/>
          <w:szCs w:val="24"/>
          <w:highlight w:val="none"/>
          <w:u w:val="none"/>
          <w:lang w:eastAsia="zh-CN"/>
        </w:rPr>
        <w:t>可能发生的风险事故包括井场事故、管线泄漏事故。原油发生泄漏时，对土壤、植被、地下水会产生一定的影响，发生事故后，在严格落实本工程提出的风险防范措施的前提下，不会对周围环境产生明显影响；当泄漏事故发生时，及时、彻底清除泄漏油品、被污染的土壤，污染物不会进入地下水中，对地下水水质没有不良影响。做好事故风险防范措施，将事故发生概率减少到最低。</w:t>
      </w:r>
    </w:p>
    <w:p w14:paraId="07F5D213">
      <w:pPr>
        <w:keepNext w:val="0"/>
        <w:keepLines w:val="0"/>
        <w:pageBreakBefore w:val="0"/>
        <w:widowControl/>
        <w:kinsoku/>
        <w:overflowPunct/>
        <w:topLinePunct w:val="0"/>
        <w:autoSpaceDE/>
        <w:autoSpaceDN/>
        <w:bidi w:val="0"/>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u w:val="none"/>
        </w:rPr>
      </w:pPr>
      <w:r>
        <w:rPr>
          <w:rFonts w:hint="eastAsia" w:ascii="Times New Roman" w:hAnsi="Times New Roman" w:eastAsia="宋体" w:cs="Times New Roman"/>
          <w:color w:val="auto"/>
          <w:kern w:val="0"/>
          <w:sz w:val="24"/>
          <w:szCs w:val="24"/>
          <w:highlight w:val="none"/>
          <w:u w:val="none"/>
          <w:lang w:eastAsia="zh-CN"/>
        </w:rPr>
        <w:t>综上所述，本工程环境风险程度属于可以防控的。</w:t>
      </w:r>
    </w:p>
    <w:p w14:paraId="580B3A8C">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72" w:name="_Toc18746"/>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.6</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环境保护措施</w:t>
      </w:r>
      <w:bookmarkEnd w:id="672"/>
    </w:p>
    <w:p w14:paraId="57D1A32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eastAsia="zh-CN"/>
        </w:rPr>
        <w:t>本工程</w:t>
      </w:r>
      <w:r>
        <w:rPr>
          <w:rFonts w:hint="eastAsia" w:ascii="宋体" w:hAnsi="宋体" w:eastAsia="宋体" w:cs="宋体"/>
          <w:color w:val="auto"/>
          <w:sz w:val="24"/>
          <w:szCs w:val="24"/>
          <w:u w:val="none"/>
        </w:rPr>
        <w:t>的主要环境保护措施如下：</w:t>
      </w:r>
    </w:p>
    <w:p w14:paraId="1009163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eastAsia="zh-CN"/>
        </w:rPr>
      </w:pPr>
      <w:r>
        <w:rPr>
          <w:rFonts w:hint="eastAsia" w:ascii="宋体" w:hAnsi="宋体" w:eastAsia="宋体" w:cs="宋体"/>
          <w:color w:val="auto"/>
          <w:sz w:val="24"/>
          <w:szCs w:val="24"/>
          <w:u w:val="none"/>
        </w:rPr>
        <w:t>（1）生态保护措施</w:t>
      </w:r>
      <w:r>
        <w:rPr>
          <w:rFonts w:hint="eastAsia" w:ascii="宋体" w:hAnsi="宋体" w:eastAsia="宋体" w:cs="宋体"/>
          <w:color w:val="auto"/>
          <w:sz w:val="24"/>
          <w:szCs w:val="24"/>
          <w:u w:val="none"/>
          <w:lang w:eastAsia="zh-CN"/>
        </w:rPr>
        <w:t>：</w:t>
      </w:r>
    </w:p>
    <w:p w14:paraId="5D0B28D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优化</w:t>
      </w:r>
      <w:r>
        <w:rPr>
          <w:rFonts w:hint="eastAsia" w:ascii="宋体" w:hAnsi="宋体" w:cs="宋体"/>
          <w:color w:val="auto"/>
          <w:sz w:val="24"/>
          <w:szCs w:val="24"/>
          <w:u w:val="none"/>
          <w:lang w:val="en-US" w:eastAsia="zh-CN"/>
        </w:rPr>
        <w:t>井场</w:t>
      </w:r>
      <w:r>
        <w:rPr>
          <w:rFonts w:hint="eastAsia" w:ascii="宋体" w:hAnsi="宋体" w:eastAsia="宋体" w:cs="宋体"/>
          <w:color w:val="auto"/>
          <w:sz w:val="24"/>
          <w:szCs w:val="24"/>
          <w:u w:val="none"/>
        </w:rPr>
        <w:t>布设，管道和道路选线，减少占地，严格按照有关规定办理建设用地审批手续。严格界定施工活动范围，尽可能缩小施工作业带宽度，管线施工临时占地作业度宽度不得超过</w:t>
      </w:r>
      <w:r>
        <w:rPr>
          <w:rFonts w:hint="eastAsia" w:ascii="宋体" w:hAnsi="宋体" w:cs="宋体"/>
          <w:color w:val="auto"/>
          <w:sz w:val="24"/>
          <w:szCs w:val="24"/>
          <w:u w:val="none"/>
          <w:lang w:val="en-US" w:eastAsia="zh-CN"/>
        </w:rPr>
        <w:t>12</w:t>
      </w:r>
      <w:r>
        <w:rPr>
          <w:rFonts w:hint="eastAsia" w:ascii="宋体" w:hAnsi="宋体" w:eastAsia="宋体" w:cs="宋体"/>
          <w:color w:val="auto"/>
          <w:sz w:val="24"/>
          <w:szCs w:val="24"/>
          <w:u w:val="none"/>
        </w:rPr>
        <w:t>m，减少对地表的碾压。施工期充分利用现有油田道路，尽可能减少道路临时占地，降低对地表和植被的破坏，施工机械在不得在道路以外行驶和作业，保持地表不被扰动，不得随意取弃土。场施工在开挖地表、平整土地时，临时堆土必须进行拦挡，施工完毕，应尽快整理施工现场。对</w:t>
      </w:r>
      <w:r>
        <w:rPr>
          <w:rFonts w:hint="eastAsia" w:ascii="宋体" w:hAnsi="宋体" w:cs="宋体"/>
          <w:color w:val="auto"/>
          <w:sz w:val="24"/>
          <w:szCs w:val="24"/>
          <w:u w:val="none"/>
          <w:lang w:val="en-US" w:eastAsia="zh-CN"/>
        </w:rPr>
        <w:t>井场</w:t>
      </w:r>
      <w:r>
        <w:rPr>
          <w:rFonts w:hint="eastAsia" w:ascii="宋体" w:hAnsi="宋体" w:eastAsia="宋体" w:cs="宋体"/>
          <w:color w:val="auto"/>
          <w:sz w:val="24"/>
          <w:szCs w:val="24"/>
          <w:u w:val="none"/>
        </w:rPr>
        <w:t>地表进行砾石压盖。加强野生动物保护，对施工人员进行宣传教育，禁止捕杀野生动物。在道路边、油田区，设置“保护生态环境、保护野生动植物”等警示牌，并从管理上对作业人员加强宣传教育，切实提高保护生态环境的意识。及时清理施工现场，做到“工完、料净、场地清”。在井场、管线和道路两侧设置草方格防风固沙。</w:t>
      </w:r>
    </w:p>
    <w:p w14:paraId="6D338C0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eastAsia="zh-CN"/>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2</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大气污染防治措施：</w:t>
      </w:r>
      <w:r>
        <w:rPr>
          <w:rFonts w:hint="eastAsia" w:ascii="宋体" w:hAnsi="宋体" w:eastAsia="宋体" w:cs="宋体"/>
          <w:color w:val="auto"/>
          <w:sz w:val="24"/>
          <w:szCs w:val="24"/>
          <w:u w:val="none"/>
          <w:lang w:eastAsia="zh-CN"/>
        </w:rPr>
        <w:t>本工程集输采用密闭流程，采用技术质量可靠的设备、阀门等；定期对井场的设备、阀门等进行定期的检查、检修，以防止跑、冒、滴、漏的发生。定期对集输管线进行巡检，以便及时发现问题，消除事故隐患，防止油气泄漏进入大气环境。</w:t>
      </w:r>
    </w:p>
    <w:p w14:paraId="7C53B0A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3</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噪声防治措施：合理布局噪声源，采用基础减振、隔声等措施，并加强日常维护，减轻设备对外环境和岗位工人的噪声污染。</w:t>
      </w:r>
    </w:p>
    <w:p w14:paraId="0AC482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4</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废水防治措施：运营期采出水依托</w:t>
      </w:r>
      <w:r>
        <w:rPr>
          <w:rFonts w:hint="eastAsia" w:ascii="宋体" w:hAnsi="宋体" w:cs="宋体"/>
          <w:color w:val="auto"/>
          <w:sz w:val="24"/>
          <w:szCs w:val="24"/>
          <w:u w:val="none"/>
          <w:lang w:val="en-US" w:eastAsia="zh-CN"/>
        </w:rPr>
        <w:t>莫北转油站采出水处理系统</w:t>
      </w:r>
      <w:r>
        <w:rPr>
          <w:rFonts w:hint="eastAsia" w:ascii="宋体" w:hAnsi="宋体" w:eastAsia="宋体" w:cs="宋体"/>
          <w:color w:val="auto"/>
          <w:sz w:val="24"/>
          <w:szCs w:val="24"/>
          <w:u w:val="none"/>
        </w:rPr>
        <w:t>处理；井下作业产生的洗井废水和废酸化压裂液用专用罐车拉运至石西集中处理站采出水处理系统进行处置。</w:t>
      </w:r>
    </w:p>
    <w:p w14:paraId="470A543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lang w:eastAsia="zh-CN"/>
        </w:rPr>
      </w:pPr>
      <w:r>
        <w:rPr>
          <w:rFonts w:hint="eastAsia" w:ascii="宋体" w:hAnsi="宋体" w:eastAsia="宋体" w:cs="宋体"/>
          <w:color w:val="auto"/>
          <w:sz w:val="24"/>
          <w:szCs w:val="24"/>
          <w:u w:val="none"/>
        </w:rPr>
        <w:t>地下水环境保护按照“源头控制、分区防控、污染监控、应急响应”原则采取措施。</w:t>
      </w:r>
    </w:p>
    <w:p w14:paraId="6C361B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5</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固体废物防治措施：</w:t>
      </w:r>
      <w:r>
        <w:rPr>
          <w:rFonts w:hint="eastAsia" w:ascii="宋体" w:hAnsi="宋体" w:eastAsia="宋体" w:cs="宋体"/>
          <w:color w:val="auto"/>
          <w:sz w:val="24"/>
          <w:szCs w:val="24"/>
          <w:u w:val="none"/>
          <w:lang w:eastAsia="zh-CN"/>
        </w:rPr>
        <w:t>本工程</w:t>
      </w:r>
      <w:r>
        <w:rPr>
          <w:rFonts w:hint="eastAsia" w:ascii="宋体" w:hAnsi="宋体" w:eastAsia="宋体" w:cs="宋体"/>
          <w:color w:val="auto"/>
          <w:sz w:val="24"/>
          <w:szCs w:val="24"/>
          <w:u w:val="none"/>
        </w:rPr>
        <w:t>运营期产生的油泥（砂）、清管废渣、废防渗材料、废弃的含油抹布、劳保用品收集后</w:t>
      </w:r>
      <w:r>
        <w:rPr>
          <w:rFonts w:hint="eastAsia" w:ascii="宋体" w:hAnsi="宋体" w:eastAsia="宋体" w:cs="宋体"/>
          <w:color w:val="auto"/>
          <w:sz w:val="24"/>
          <w:szCs w:val="24"/>
          <w:u w:val="none"/>
          <w:lang w:val="en-US" w:eastAsia="zh-CN"/>
        </w:rPr>
        <w:t>委托具有相关危废处置资质的单位处置；落地油100%回收，回收后的落地原油运至石西集中处理站原油处理系统进行处理</w:t>
      </w:r>
      <w:r>
        <w:rPr>
          <w:rFonts w:hint="eastAsia" w:ascii="宋体" w:hAnsi="宋体" w:cs="宋体"/>
          <w:color w:val="auto"/>
          <w:sz w:val="24"/>
          <w:szCs w:val="24"/>
          <w:u w:val="none"/>
          <w:lang w:val="en-US" w:eastAsia="zh-CN"/>
        </w:rPr>
        <w:t>。</w:t>
      </w:r>
    </w:p>
    <w:p w14:paraId="3F5BE53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6</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土壤污染防治措施：加强管线内的压力、流量传感器检修维护，发生管线阀门连接处泄漏及时切断阀门，减少泄漏量；加强日常巡检监管工作，出现泄漏情况能及时发现；加强法兰、阀门连接处腐蚀情况记录管理，避免因老化、腐蚀导致泄漏情况发生。严格执行地下水章节分区防控措施要求。制定跟踪监测计划，发生事故</w:t>
      </w:r>
      <w:r>
        <w:rPr>
          <w:rFonts w:hint="eastAsia" w:ascii="宋体" w:hAnsi="宋体" w:cs="宋体"/>
          <w:color w:val="auto"/>
          <w:sz w:val="24"/>
          <w:szCs w:val="24"/>
          <w:u w:val="none"/>
          <w:lang w:eastAsia="zh-CN"/>
        </w:rPr>
        <w:t>泄漏</w:t>
      </w:r>
      <w:r>
        <w:rPr>
          <w:rFonts w:hint="eastAsia" w:ascii="宋体" w:hAnsi="宋体" w:eastAsia="宋体" w:cs="宋体"/>
          <w:color w:val="auto"/>
          <w:sz w:val="24"/>
          <w:szCs w:val="24"/>
          <w:u w:val="none"/>
        </w:rPr>
        <w:t>时对井口区及集输管线铺设范围可能影响区域进行跟踪监测。</w:t>
      </w:r>
    </w:p>
    <w:p w14:paraId="79007AA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color w:val="auto"/>
          <w:kern w:val="0"/>
          <w:sz w:val="24"/>
          <w:szCs w:val="24"/>
          <w:highlight w:val="none"/>
          <w:u w:val="none"/>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7</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风险防治措施：</w:t>
      </w:r>
      <w:r>
        <w:rPr>
          <w:rFonts w:hint="eastAsia" w:ascii="宋体" w:hAnsi="宋体" w:eastAsia="宋体" w:cs="宋体"/>
          <w:color w:val="auto"/>
          <w:sz w:val="24"/>
          <w:szCs w:val="24"/>
          <w:u w:val="none"/>
          <w:lang w:eastAsia="zh-CN"/>
        </w:rPr>
        <w:t>本工程</w:t>
      </w:r>
      <w:r>
        <w:rPr>
          <w:rFonts w:hint="eastAsia" w:ascii="宋体" w:hAnsi="宋体" w:eastAsia="宋体" w:cs="宋体"/>
          <w:color w:val="auto"/>
          <w:sz w:val="24"/>
          <w:szCs w:val="24"/>
          <w:u w:val="none"/>
        </w:rPr>
        <w:t>集输工程中主要风险是管线破坏引起的天然气、原油泄漏，做好风险防范工作，防止对周围环境、工作人员人身安全造成的危害。</w:t>
      </w:r>
      <w:r>
        <w:rPr>
          <w:rFonts w:hint="eastAsia" w:ascii="宋体" w:hAnsi="宋体" w:eastAsia="宋体" w:cs="宋体"/>
          <w:color w:val="auto"/>
          <w:sz w:val="24"/>
          <w:szCs w:val="24"/>
          <w:u w:val="none"/>
          <w:lang w:eastAsia="zh-CN"/>
        </w:rPr>
        <w:t>本工程</w:t>
      </w:r>
      <w:r>
        <w:rPr>
          <w:rFonts w:hint="eastAsia" w:ascii="宋体" w:hAnsi="宋体" w:eastAsia="宋体" w:cs="宋体"/>
          <w:color w:val="auto"/>
          <w:sz w:val="24"/>
          <w:szCs w:val="24"/>
          <w:u w:val="none"/>
        </w:rPr>
        <w:t>的环境风险防范措施及制定的预案切实可行、有效。在落实风险防范措施、应急预案后，其发生事故的概率较低，其环境危害也是较小的，环境风险水平是可接受的，项目建设可行。</w:t>
      </w:r>
    </w:p>
    <w:p w14:paraId="3FC8BBA8">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73" w:name="_Toc15673"/>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.7</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公众意见采纳情况</w:t>
      </w:r>
      <w:bookmarkEnd w:id="673"/>
    </w:p>
    <w:p w14:paraId="55599CF1">
      <w:pPr>
        <w:keepNext w:val="0"/>
        <w:keepLines w:val="0"/>
        <w:pageBreakBefore w:val="0"/>
        <w:widowControl/>
        <w:kinsoku/>
        <w:wordWrap/>
        <w:overflowPunct/>
        <w:topLinePunct w:val="0"/>
        <w:autoSpaceDE/>
        <w:autoSpaceDN/>
        <w:bidi w:val="0"/>
        <w:adjustRightInd/>
        <w:snapToGrid w:val="0"/>
        <w:spacing w:line="480" w:lineRule="exact"/>
        <w:ind w:firstLine="456" w:firstLineChars="200"/>
        <w:jc w:val="both"/>
        <w:textAlignment w:val="auto"/>
        <w:rPr>
          <w:rFonts w:hint="eastAsia" w:ascii="宋体" w:hAnsi="宋体" w:eastAsia="宋体" w:cs="宋体"/>
          <w:color w:val="auto"/>
          <w:spacing w:val="-6"/>
          <w:kern w:val="0"/>
          <w:sz w:val="24"/>
          <w:szCs w:val="24"/>
          <w:highlight w:val="none"/>
          <w:u w:val="none"/>
        </w:rPr>
      </w:pPr>
      <w:r>
        <w:rPr>
          <w:rFonts w:hint="eastAsia" w:ascii="宋体" w:hAnsi="宋体" w:eastAsia="宋体" w:cs="宋体"/>
          <w:color w:val="auto"/>
          <w:spacing w:val="-6"/>
          <w:kern w:val="0"/>
          <w:sz w:val="24"/>
          <w:szCs w:val="24"/>
          <w:highlight w:val="none"/>
          <w:u w:val="none"/>
          <w:lang w:eastAsia="zh-CN"/>
        </w:rPr>
        <w:t>本工程</w:t>
      </w:r>
      <w:r>
        <w:rPr>
          <w:rFonts w:hint="eastAsia" w:ascii="宋体" w:hAnsi="宋体" w:eastAsia="宋体" w:cs="宋体"/>
          <w:color w:val="auto"/>
          <w:spacing w:val="-6"/>
          <w:kern w:val="0"/>
          <w:sz w:val="24"/>
          <w:szCs w:val="24"/>
          <w:highlight w:val="none"/>
          <w:u w:val="none"/>
        </w:rPr>
        <w:t>公众参与由建设单位</w:t>
      </w:r>
      <w:r>
        <w:rPr>
          <w:rFonts w:hint="eastAsia" w:ascii="宋体" w:hAnsi="宋体" w:eastAsia="宋体" w:cs="宋体"/>
          <w:color w:val="auto"/>
          <w:spacing w:val="-6"/>
          <w:kern w:val="0"/>
          <w:sz w:val="24"/>
          <w:szCs w:val="24"/>
          <w:highlight w:val="none"/>
          <w:u w:val="none"/>
          <w:lang w:val="en-US" w:eastAsia="zh-CN"/>
        </w:rPr>
        <w:t>新疆油田</w:t>
      </w:r>
      <w:r>
        <w:rPr>
          <w:rFonts w:hint="eastAsia" w:ascii="宋体" w:hAnsi="宋体" w:eastAsia="宋体" w:cs="宋体"/>
          <w:color w:val="auto"/>
          <w:spacing w:val="-6"/>
          <w:kern w:val="0"/>
          <w:sz w:val="24"/>
          <w:szCs w:val="24"/>
          <w:highlight w:val="none"/>
          <w:u w:val="none"/>
        </w:rPr>
        <w:t>分公司</w:t>
      </w:r>
      <w:r>
        <w:rPr>
          <w:rFonts w:hint="eastAsia" w:ascii="宋体" w:hAnsi="宋体" w:eastAsia="宋体" w:cs="宋体"/>
          <w:color w:val="auto"/>
          <w:spacing w:val="-6"/>
          <w:kern w:val="0"/>
          <w:sz w:val="24"/>
          <w:szCs w:val="24"/>
          <w:highlight w:val="none"/>
          <w:u w:val="none"/>
          <w:lang w:val="en-US" w:eastAsia="zh-CN"/>
        </w:rPr>
        <w:t>开发公司</w:t>
      </w:r>
      <w:r>
        <w:rPr>
          <w:rFonts w:hint="eastAsia" w:ascii="宋体" w:hAnsi="宋体" w:eastAsia="宋体" w:cs="宋体"/>
          <w:color w:val="auto"/>
          <w:spacing w:val="-6"/>
          <w:kern w:val="0"/>
          <w:sz w:val="24"/>
          <w:szCs w:val="24"/>
          <w:highlight w:val="none"/>
          <w:u w:val="none"/>
        </w:rPr>
        <w:t>负责实施，首次环境影响评价公众参与相关信息通过新疆维吾尔自治区生态环境保护产业协会网站（网址</w:t>
      </w:r>
      <w:r>
        <w:rPr>
          <w:rFonts w:hint="eastAsia" w:ascii="宋体" w:hAnsi="宋体" w:eastAsia="宋体" w:cs="宋体"/>
          <w:color w:val="auto"/>
          <w:spacing w:val="-6"/>
          <w:kern w:val="0"/>
          <w:sz w:val="24"/>
          <w:szCs w:val="24"/>
          <w:highlight w:val="none"/>
          <w:u w:val="none"/>
          <w:lang w:eastAsia="zh-CN"/>
        </w:rPr>
        <w:t>：</w:t>
      </w:r>
      <w:r>
        <w:rPr>
          <w:rFonts w:hint="eastAsia" w:ascii="宋体" w:hAnsi="宋体" w:eastAsia="宋体" w:cs="宋体"/>
          <w:color w:val="auto"/>
          <w:spacing w:val="-6"/>
          <w:kern w:val="0"/>
          <w:sz w:val="24"/>
          <w:szCs w:val="24"/>
          <w:highlight w:val="none"/>
          <w:u w:val="none"/>
        </w:rPr>
        <w:t>http://www.xjhbcy.cn/articles/show/15869）公开，时间为2025年7月16日。</w:t>
      </w:r>
    </w:p>
    <w:p w14:paraId="4DAA6ADB">
      <w:pPr>
        <w:keepNext w:val="0"/>
        <w:keepLines w:val="0"/>
        <w:pageBreakBefore w:val="0"/>
        <w:widowControl/>
        <w:kinsoku/>
        <w:wordWrap/>
        <w:overflowPunct/>
        <w:topLinePunct w:val="0"/>
        <w:autoSpaceDE/>
        <w:autoSpaceDN/>
        <w:bidi w:val="0"/>
        <w:adjustRightInd/>
        <w:snapToGrid w:val="0"/>
        <w:spacing w:line="480" w:lineRule="exact"/>
        <w:ind w:firstLine="456" w:firstLineChars="200"/>
        <w:jc w:val="both"/>
        <w:textAlignment w:val="auto"/>
        <w:rPr>
          <w:rFonts w:hint="eastAsia" w:ascii="宋体" w:hAnsi="宋体" w:eastAsia="宋体" w:cs="宋体"/>
          <w:color w:val="auto"/>
          <w:spacing w:val="-6"/>
          <w:kern w:val="0"/>
          <w:sz w:val="24"/>
          <w:szCs w:val="24"/>
          <w:highlight w:val="none"/>
          <w:u w:val="none"/>
        </w:rPr>
      </w:pPr>
      <w:r>
        <w:rPr>
          <w:rFonts w:hint="eastAsia" w:ascii="宋体" w:hAnsi="宋体" w:eastAsia="宋体" w:cs="宋体"/>
          <w:color w:val="auto"/>
          <w:spacing w:val="-6"/>
          <w:kern w:val="0"/>
          <w:sz w:val="24"/>
          <w:szCs w:val="24"/>
          <w:highlight w:val="none"/>
          <w:u w:val="none"/>
        </w:rPr>
        <w:t>征求意见稿公示日期为2025年</w:t>
      </w:r>
      <w:r>
        <w:rPr>
          <w:rFonts w:hint="eastAsia" w:ascii="宋体" w:hAnsi="宋体" w:cs="宋体"/>
          <w:color w:val="auto"/>
          <w:spacing w:val="-6"/>
          <w:kern w:val="0"/>
          <w:sz w:val="24"/>
          <w:szCs w:val="24"/>
          <w:highlight w:val="none"/>
          <w:u w:val="none"/>
          <w:lang w:val="en-US" w:eastAsia="zh-CN"/>
        </w:rPr>
        <w:t>8</w:t>
      </w:r>
      <w:r>
        <w:rPr>
          <w:rFonts w:hint="eastAsia" w:ascii="宋体" w:hAnsi="宋体" w:eastAsia="宋体" w:cs="宋体"/>
          <w:color w:val="auto"/>
          <w:spacing w:val="-6"/>
          <w:kern w:val="0"/>
          <w:sz w:val="24"/>
          <w:szCs w:val="24"/>
          <w:highlight w:val="none"/>
          <w:u w:val="none"/>
        </w:rPr>
        <w:t>月</w:t>
      </w:r>
      <w:r>
        <w:rPr>
          <w:rFonts w:hint="eastAsia" w:ascii="宋体" w:hAnsi="宋体" w:cs="宋体"/>
          <w:color w:val="auto"/>
          <w:spacing w:val="-6"/>
          <w:kern w:val="0"/>
          <w:sz w:val="24"/>
          <w:szCs w:val="24"/>
          <w:highlight w:val="none"/>
          <w:u w:val="none"/>
          <w:lang w:val="en-US" w:eastAsia="zh-CN"/>
        </w:rPr>
        <w:t>11</w:t>
      </w:r>
      <w:r>
        <w:rPr>
          <w:rFonts w:hint="eastAsia" w:ascii="宋体" w:hAnsi="宋体" w:eastAsia="宋体" w:cs="宋体"/>
          <w:color w:val="auto"/>
          <w:spacing w:val="-6"/>
          <w:kern w:val="0"/>
          <w:sz w:val="24"/>
          <w:szCs w:val="24"/>
          <w:highlight w:val="none"/>
          <w:u w:val="none"/>
        </w:rPr>
        <w:t>日（新疆维吾尔自治区生态环境保护产业协会网站，网址为（http://www.xjhbcy.cn/articles/show/16030）；报纸第一次公告日期为2025年</w:t>
      </w:r>
      <w:r>
        <w:rPr>
          <w:rFonts w:hint="eastAsia" w:ascii="宋体" w:hAnsi="宋体" w:cs="宋体"/>
          <w:color w:val="auto"/>
          <w:spacing w:val="-6"/>
          <w:kern w:val="0"/>
          <w:sz w:val="24"/>
          <w:szCs w:val="24"/>
          <w:highlight w:val="none"/>
          <w:u w:val="none"/>
          <w:lang w:val="en-US" w:eastAsia="zh-CN"/>
        </w:rPr>
        <w:t>8</w:t>
      </w:r>
      <w:r>
        <w:rPr>
          <w:rFonts w:hint="eastAsia" w:ascii="宋体" w:hAnsi="宋体" w:eastAsia="宋体" w:cs="宋体"/>
          <w:color w:val="auto"/>
          <w:spacing w:val="-6"/>
          <w:kern w:val="0"/>
          <w:sz w:val="24"/>
          <w:szCs w:val="24"/>
          <w:highlight w:val="none"/>
          <w:u w:val="none"/>
        </w:rPr>
        <w:t>月</w:t>
      </w:r>
      <w:r>
        <w:rPr>
          <w:rFonts w:hint="eastAsia" w:ascii="宋体" w:hAnsi="宋体" w:cs="宋体"/>
          <w:color w:val="auto"/>
          <w:spacing w:val="-6"/>
          <w:kern w:val="0"/>
          <w:sz w:val="24"/>
          <w:szCs w:val="24"/>
          <w:highlight w:val="none"/>
          <w:u w:val="none"/>
          <w:lang w:val="en-US" w:eastAsia="zh-CN"/>
        </w:rPr>
        <w:t>15</w:t>
      </w:r>
      <w:r>
        <w:rPr>
          <w:rFonts w:hint="eastAsia" w:ascii="宋体" w:hAnsi="宋体" w:eastAsia="宋体" w:cs="宋体"/>
          <w:color w:val="auto"/>
          <w:spacing w:val="-6"/>
          <w:kern w:val="0"/>
          <w:sz w:val="24"/>
          <w:szCs w:val="24"/>
          <w:highlight w:val="none"/>
          <w:u w:val="none"/>
        </w:rPr>
        <w:t>日（</w:t>
      </w:r>
      <w:bookmarkStart w:id="674" w:name="OLE_LINK2"/>
      <w:r>
        <w:rPr>
          <w:rFonts w:hint="eastAsia" w:ascii="宋体" w:hAnsi="宋体" w:cs="宋体"/>
          <w:color w:val="auto"/>
          <w:spacing w:val="-6"/>
          <w:kern w:val="0"/>
          <w:sz w:val="24"/>
          <w:szCs w:val="24"/>
          <w:highlight w:val="none"/>
          <w:u w:val="none"/>
          <w:lang w:val="en-US" w:eastAsia="zh-CN"/>
        </w:rPr>
        <w:t>昌吉</w:t>
      </w:r>
      <w:r>
        <w:rPr>
          <w:rFonts w:hint="eastAsia" w:ascii="宋体" w:hAnsi="宋体" w:eastAsia="宋体" w:cs="宋体"/>
          <w:color w:val="auto"/>
          <w:spacing w:val="-6"/>
          <w:kern w:val="0"/>
          <w:sz w:val="24"/>
          <w:szCs w:val="24"/>
          <w:highlight w:val="none"/>
          <w:u w:val="none"/>
        </w:rPr>
        <w:t>日报</w:t>
      </w:r>
      <w:bookmarkEnd w:id="674"/>
      <w:r>
        <w:rPr>
          <w:rFonts w:hint="eastAsia" w:ascii="宋体" w:hAnsi="宋体" w:eastAsia="宋体" w:cs="宋体"/>
          <w:color w:val="auto"/>
          <w:spacing w:val="-6"/>
          <w:kern w:val="0"/>
          <w:sz w:val="24"/>
          <w:szCs w:val="24"/>
          <w:highlight w:val="none"/>
          <w:u w:val="none"/>
        </w:rPr>
        <w:t>），报纸第二次公告日期为2025年</w:t>
      </w:r>
      <w:r>
        <w:rPr>
          <w:rFonts w:hint="eastAsia" w:ascii="宋体" w:hAnsi="宋体" w:cs="宋体"/>
          <w:color w:val="auto"/>
          <w:spacing w:val="-6"/>
          <w:kern w:val="0"/>
          <w:sz w:val="24"/>
          <w:szCs w:val="24"/>
          <w:highlight w:val="none"/>
          <w:u w:val="none"/>
          <w:lang w:val="en-US" w:eastAsia="zh-CN"/>
        </w:rPr>
        <w:t>8</w:t>
      </w:r>
      <w:r>
        <w:rPr>
          <w:rFonts w:hint="eastAsia" w:ascii="宋体" w:hAnsi="宋体" w:eastAsia="宋体" w:cs="宋体"/>
          <w:color w:val="auto"/>
          <w:spacing w:val="-6"/>
          <w:kern w:val="0"/>
          <w:sz w:val="24"/>
          <w:szCs w:val="24"/>
          <w:highlight w:val="none"/>
          <w:u w:val="none"/>
        </w:rPr>
        <w:t>月</w:t>
      </w:r>
      <w:r>
        <w:rPr>
          <w:rFonts w:hint="eastAsia" w:ascii="宋体" w:hAnsi="宋体" w:cs="宋体"/>
          <w:color w:val="auto"/>
          <w:spacing w:val="-6"/>
          <w:kern w:val="0"/>
          <w:sz w:val="24"/>
          <w:szCs w:val="24"/>
          <w:highlight w:val="none"/>
          <w:u w:val="none"/>
          <w:lang w:val="en-US" w:eastAsia="zh-CN"/>
        </w:rPr>
        <w:t>18</w:t>
      </w:r>
      <w:r>
        <w:rPr>
          <w:rFonts w:hint="eastAsia" w:ascii="宋体" w:hAnsi="宋体" w:eastAsia="宋体" w:cs="宋体"/>
          <w:color w:val="auto"/>
          <w:spacing w:val="-6"/>
          <w:kern w:val="0"/>
          <w:sz w:val="24"/>
          <w:szCs w:val="24"/>
          <w:highlight w:val="none"/>
          <w:u w:val="none"/>
        </w:rPr>
        <w:t>日（</w:t>
      </w:r>
      <w:r>
        <w:rPr>
          <w:rFonts w:hint="eastAsia" w:ascii="宋体" w:hAnsi="宋体" w:cs="宋体"/>
          <w:color w:val="auto"/>
          <w:spacing w:val="-6"/>
          <w:kern w:val="0"/>
          <w:sz w:val="24"/>
          <w:szCs w:val="24"/>
          <w:highlight w:val="none"/>
          <w:u w:val="none"/>
          <w:lang w:val="en-US" w:eastAsia="zh-CN"/>
        </w:rPr>
        <w:t>昌吉</w:t>
      </w:r>
      <w:r>
        <w:rPr>
          <w:rFonts w:hint="eastAsia" w:ascii="宋体" w:hAnsi="宋体" w:eastAsia="宋体" w:cs="宋体"/>
          <w:color w:val="auto"/>
          <w:spacing w:val="-6"/>
          <w:kern w:val="0"/>
          <w:sz w:val="24"/>
          <w:szCs w:val="24"/>
          <w:highlight w:val="none"/>
          <w:u w:val="none"/>
        </w:rPr>
        <w:t>日报）。</w:t>
      </w:r>
    </w:p>
    <w:p w14:paraId="7515EC0E">
      <w:pPr>
        <w:keepNext w:val="0"/>
        <w:keepLines w:val="0"/>
        <w:pageBreakBefore w:val="0"/>
        <w:widowControl/>
        <w:kinsoku/>
        <w:wordWrap/>
        <w:overflowPunct/>
        <w:topLinePunct w:val="0"/>
        <w:autoSpaceDE/>
        <w:autoSpaceDN/>
        <w:bidi w:val="0"/>
        <w:adjustRightInd/>
        <w:snapToGrid w:val="0"/>
        <w:spacing w:line="480" w:lineRule="exact"/>
        <w:ind w:firstLine="456" w:firstLineChars="200"/>
        <w:jc w:val="both"/>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spacing w:val="-6"/>
          <w:kern w:val="0"/>
          <w:sz w:val="24"/>
          <w:szCs w:val="24"/>
          <w:highlight w:val="none"/>
          <w:u w:val="none"/>
        </w:rPr>
        <w:t>2025年</w:t>
      </w:r>
      <w:r>
        <w:rPr>
          <w:rFonts w:hint="eastAsia" w:ascii="宋体" w:hAnsi="宋体" w:cs="宋体"/>
          <w:color w:val="auto"/>
          <w:spacing w:val="-6"/>
          <w:kern w:val="0"/>
          <w:sz w:val="24"/>
          <w:szCs w:val="24"/>
          <w:highlight w:val="none"/>
          <w:u w:val="none"/>
          <w:lang w:val="en-US" w:eastAsia="zh-CN"/>
        </w:rPr>
        <w:t>8</w:t>
      </w:r>
      <w:r>
        <w:rPr>
          <w:rFonts w:hint="eastAsia" w:ascii="宋体" w:hAnsi="宋体" w:eastAsia="宋体" w:cs="宋体"/>
          <w:color w:val="auto"/>
          <w:spacing w:val="-6"/>
          <w:kern w:val="0"/>
          <w:sz w:val="24"/>
          <w:szCs w:val="24"/>
          <w:highlight w:val="none"/>
          <w:u w:val="none"/>
        </w:rPr>
        <w:t>月</w:t>
      </w:r>
      <w:r>
        <w:rPr>
          <w:rFonts w:hint="eastAsia" w:ascii="宋体" w:hAnsi="宋体" w:cs="宋体"/>
          <w:color w:val="auto"/>
          <w:spacing w:val="-6"/>
          <w:kern w:val="0"/>
          <w:sz w:val="24"/>
          <w:szCs w:val="24"/>
          <w:highlight w:val="none"/>
          <w:u w:val="none"/>
          <w:lang w:val="en-US" w:eastAsia="zh-CN"/>
        </w:rPr>
        <w:t>25</w:t>
      </w:r>
      <w:r>
        <w:rPr>
          <w:rFonts w:hint="eastAsia" w:ascii="宋体" w:hAnsi="宋体" w:eastAsia="宋体" w:cs="宋体"/>
          <w:color w:val="auto"/>
          <w:spacing w:val="-6"/>
          <w:kern w:val="0"/>
          <w:sz w:val="24"/>
          <w:szCs w:val="24"/>
          <w:highlight w:val="none"/>
          <w:u w:val="none"/>
        </w:rPr>
        <w:t>日，在新疆维吾尔自治区生态环境保护产业协会网站（http://www.xjhbcy.cn/articles/show/16118）公示了拟报批的环境影响报告书全文和公众参与说明。</w:t>
      </w:r>
    </w:p>
    <w:p w14:paraId="0A44C32D">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kern w:val="0"/>
          <w:sz w:val="24"/>
          <w:szCs w:val="24"/>
          <w:highlight w:val="yellow"/>
          <w:u w:val="none"/>
          <w:lang w:eastAsia="zh-CN"/>
        </w:rPr>
      </w:pPr>
      <w:r>
        <w:rPr>
          <w:rFonts w:hint="eastAsia" w:ascii="宋体" w:hAnsi="宋体" w:eastAsia="宋体" w:cs="宋体"/>
          <w:color w:val="auto"/>
          <w:kern w:val="0"/>
          <w:sz w:val="24"/>
          <w:szCs w:val="24"/>
          <w:highlight w:val="none"/>
          <w:u w:val="none"/>
          <w:lang w:eastAsia="zh-CN"/>
        </w:rPr>
        <w:t>至信息公告的截止日期没有收到相关反馈信息。</w:t>
      </w:r>
    </w:p>
    <w:p w14:paraId="59F94263">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75" w:name="_Toc22117"/>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.8</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环境影响经济损益分析</w:t>
      </w:r>
      <w:bookmarkEnd w:id="675"/>
    </w:p>
    <w:p w14:paraId="541EF9D3">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本工程</w:t>
      </w:r>
      <w:r>
        <w:rPr>
          <w:rFonts w:ascii="Times New Roman" w:hAnsi="Times New Roman" w:eastAsia="宋体" w:cs="Times New Roman"/>
          <w:snapToGrid w:val="0"/>
          <w:color w:val="auto"/>
          <w:kern w:val="2"/>
          <w:sz w:val="24"/>
          <w:szCs w:val="20"/>
          <w:highlight w:val="none"/>
          <w:u w:val="none"/>
          <w:lang w:val="en-US" w:eastAsia="zh-CN" w:bidi="ar-SA"/>
        </w:rPr>
        <w:t>具有良好的</w:t>
      </w:r>
      <w:r>
        <w:rPr>
          <w:rFonts w:hint="eastAsia" w:ascii="Times New Roman" w:hAnsi="Times New Roman" w:eastAsia="宋体" w:cs="Times New Roman"/>
          <w:snapToGrid w:val="0"/>
          <w:color w:val="auto"/>
          <w:kern w:val="2"/>
          <w:sz w:val="24"/>
          <w:szCs w:val="20"/>
          <w:highlight w:val="none"/>
          <w:u w:val="none"/>
          <w:lang w:val="en-US" w:eastAsia="zh-CN" w:bidi="ar-SA"/>
        </w:rPr>
        <w:t>环境效益、</w:t>
      </w:r>
      <w:r>
        <w:rPr>
          <w:rFonts w:ascii="Times New Roman" w:hAnsi="Times New Roman" w:eastAsia="宋体" w:cs="Times New Roman"/>
          <w:snapToGrid w:val="0"/>
          <w:color w:val="auto"/>
          <w:kern w:val="2"/>
          <w:sz w:val="24"/>
          <w:szCs w:val="20"/>
          <w:highlight w:val="none"/>
          <w:u w:val="none"/>
          <w:lang w:val="en-US" w:eastAsia="zh-CN" w:bidi="ar-SA"/>
        </w:rPr>
        <w:t>经济效益和社会效益。</w:t>
      </w:r>
    </w:p>
    <w:p w14:paraId="61361E3E">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ascii="Times New Roman" w:hAnsi="Times New Roman" w:eastAsia="宋体" w:cs="Times New Roman"/>
          <w:snapToGrid w:val="0"/>
          <w:color w:val="auto"/>
          <w:kern w:val="2"/>
          <w:sz w:val="24"/>
          <w:szCs w:val="20"/>
          <w:highlight w:val="none"/>
          <w:u w:val="none"/>
          <w:lang w:val="en-US" w:eastAsia="zh-CN" w:bidi="ar-SA"/>
        </w:rPr>
      </w:pPr>
      <w:r>
        <w:rPr>
          <w:rFonts w:hint="eastAsia" w:ascii="Times New Roman" w:hAnsi="Times New Roman" w:eastAsia="宋体" w:cs="Times New Roman"/>
          <w:snapToGrid w:val="0"/>
          <w:color w:val="auto"/>
          <w:kern w:val="2"/>
          <w:sz w:val="24"/>
          <w:szCs w:val="20"/>
          <w:highlight w:val="none"/>
          <w:u w:val="none"/>
          <w:lang w:val="en-US" w:eastAsia="zh-CN" w:bidi="ar-SA"/>
        </w:rPr>
        <w:t>在建设过程中，由于井场设施建设、管线敷设等都需要占用一定量的土地，并因此带来一定的环境损失。因而在油</w:t>
      </w:r>
      <w:r>
        <w:rPr>
          <w:rFonts w:hint="eastAsia" w:cs="Times New Roman"/>
          <w:snapToGrid w:val="0"/>
          <w:color w:val="auto"/>
          <w:kern w:val="2"/>
          <w:sz w:val="24"/>
          <w:szCs w:val="20"/>
          <w:highlight w:val="none"/>
          <w:u w:val="none"/>
          <w:lang w:val="en-US" w:eastAsia="zh-CN" w:bidi="ar-SA"/>
        </w:rPr>
        <w:t>气</w:t>
      </w:r>
      <w:r>
        <w:rPr>
          <w:rFonts w:hint="eastAsia" w:ascii="Times New Roman" w:hAnsi="Times New Roman" w:eastAsia="宋体" w:cs="Times New Roman"/>
          <w:snapToGrid w:val="0"/>
          <w:color w:val="auto"/>
          <w:kern w:val="2"/>
          <w:sz w:val="24"/>
          <w:szCs w:val="20"/>
          <w:highlight w:val="none"/>
          <w:u w:val="none"/>
          <w:lang w:val="en-US" w:eastAsia="zh-CN" w:bidi="ar-SA"/>
        </w:rPr>
        <w:t>田开发过程中，需要投入必要的资金用于污染防治和恢复地貌等，经估算本工程环境保护投资约</w:t>
      </w:r>
      <w:r>
        <w:rPr>
          <w:rFonts w:hint="eastAsia" w:cs="Times New Roman"/>
          <w:snapToGrid w:val="0"/>
          <w:color w:val="auto"/>
          <w:kern w:val="2"/>
          <w:sz w:val="24"/>
          <w:szCs w:val="20"/>
          <w:highlight w:val="none"/>
          <w:u w:val="none"/>
          <w:lang w:val="en-US" w:eastAsia="zh-CN" w:bidi="ar-SA"/>
        </w:rPr>
        <w:t>277</w:t>
      </w:r>
      <w:r>
        <w:rPr>
          <w:rFonts w:hint="eastAsia" w:ascii="Times New Roman" w:hAnsi="Times New Roman" w:eastAsia="宋体" w:cs="Times New Roman"/>
          <w:snapToGrid w:val="0"/>
          <w:color w:val="auto"/>
          <w:kern w:val="2"/>
          <w:sz w:val="24"/>
          <w:szCs w:val="20"/>
          <w:highlight w:val="none"/>
          <w:u w:val="none"/>
          <w:lang w:val="en-US" w:eastAsia="zh-CN" w:bidi="ar-SA"/>
        </w:rPr>
        <w:t>万元，环境保护投资占总投资的</w:t>
      </w:r>
      <w:r>
        <w:rPr>
          <w:rFonts w:hint="eastAsia" w:cs="Times New Roman"/>
          <w:snapToGrid w:val="0"/>
          <w:color w:val="auto"/>
          <w:kern w:val="2"/>
          <w:sz w:val="24"/>
          <w:szCs w:val="20"/>
          <w:highlight w:val="none"/>
          <w:u w:val="none"/>
          <w:lang w:val="en-US" w:eastAsia="zh-CN" w:bidi="ar-SA"/>
        </w:rPr>
        <w:t>4.95</w:t>
      </w:r>
      <w:r>
        <w:rPr>
          <w:rFonts w:hint="eastAsia" w:ascii="Times New Roman" w:hAnsi="Times New Roman" w:eastAsia="宋体" w:cs="Times New Roman"/>
          <w:snapToGrid w:val="0"/>
          <w:color w:val="auto"/>
          <w:kern w:val="2"/>
          <w:sz w:val="24"/>
          <w:szCs w:val="20"/>
          <w:highlight w:val="none"/>
          <w:u w:val="none"/>
          <w:lang w:val="en-US" w:eastAsia="zh-CN" w:bidi="ar-SA"/>
        </w:rPr>
        <w:t>%。实施相应的环保措施后，不但能够起到保护环境的效果，同时节约经济开支，为企业带来经济效益。</w:t>
      </w:r>
    </w:p>
    <w:p w14:paraId="36CE9D47">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76" w:name="_Toc11930"/>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.9</w:t>
      </w:r>
      <w:r>
        <w:rPr>
          <w:rFonts w:hint="eastAsia" w:ascii="黑体" w:hAnsi="黑体" w:eastAsia="黑体" w:cs="黑体"/>
          <w:color w:val="auto"/>
          <w:sz w:val="28"/>
          <w:szCs w:val="28"/>
          <w:u w:val="none"/>
          <w:lang w:val="en-US" w:eastAsia="zh-CN"/>
        </w:rPr>
        <w:t xml:space="preserve"> </w:t>
      </w:r>
      <w:r>
        <w:rPr>
          <w:rFonts w:hint="default" w:ascii="黑体" w:hAnsi="黑体" w:eastAsia="黑体" w:cs="黑体"/>
          <w:color w:val="auto"/>
          <w:sz w:val="28"/>
          <w:szCs w:val="28"/>
          <w:u w:val="none"/>
          <w:lang w:val="en-US" w:eastAsia="zh-CN"/>
        </w:rPr>
        <w:t>环境管理与监测计划</w:t>
      </w:r>
      <w:bookmarkEnd w:id="676"/>
    </w:p>
    <w:p w14:paraId="51FC9AB3">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新疆油田分公司开发公司</w:t>
      </w:r>
      <w:r>
        <w:rPr>
          <w:rFonts w:ascii="Times New Roman" w:hAnsi="Times New Roman" w:eastAsia="宋体" w:cs="Times New Roman"/>
          <w:color w:val="auto"/>
          <w:kern w:val="0"/>
          <w:sz w:val="24"/>
          <w:szCs w:val="24"/>
          <w:highlight w:val="none"/>
          <w:u w:val="none"/>
          <w:lang w:val="en-US" w:eastAsia="zh-CN" w:bidi="ar-SA"/>
        </w:rPr>
        <w:t>环境管理机构设置健全，同时拥有完善的管理体系和管理手段。</w:t>
      </w:r>
      <w:r>
        <w:rPr>
          <w:rFonts w:hint="eastAsia" w:ascii="Times New Roman" w:hAnsi="Times New Roman" w:eastAsia="宋体" w:cs="Times New Roman"/>
          <w:color w:val="auto"/>
          <w:kern w:val="0"/>
          <w:sz w:val="24"/>
          <w:szCs w:val="24"/>
          <w:highlight w:val="none"/>
          <w:u w:val="none"/>
          <w:lang w:val="en-US" w:eastAsia="zh-CN" w:bidi="ar-SA"/>
        </w:rPr>
        <w:t>本工程</w:t>
      </w:r>
      <w:r>
        <w:rPr>
          <w:rFonts w:ascii="Times New Roman" w:hAnsi="Times New Roman" w:eastAsia="宋体" w:cs="Times New Roman"/>
          <w:color w:val="auto"/>
          <w:kern w:val="0"/>
          <w:sz w:val="24"/>
          <w:szCs w:val="24"/>
          <w:highlight w:val="none"/>
          <w:u w:val="none"/>
          <w:lang w:val="en-US" w:eastAsia="zh-CN" w:bidi="ar-SA"/>
        </w:rPr>
        <w:t>制定了施工期环境监理计划、运营期环境监测计划和环保设施竣工验收管理要求，针对工程的不同阶段提出了具体的环境管理要求。</w:t>
      </w:r>
    </w:p>
    <w:p w14:paraId="19388BBD">
      <w:pPr>
        <w:pStyle w:val="50"/>
        <w:keepNext/>
        <w:keepLines/>
        <w:pageBreakBefore w:val="0"/>
        <w:widowControl w:val="0"/>
        <w:kinsoku/>
        <w:wordWrap/>
        <w:overflowPunct/>
        <w:topLinePunct w:val="0"/>
        <w:autoSpaceDE/>
        <w:autoSpaceDN/>
        <w:bidi w:val="0"/>
        <w:adjustRightInd/>
        <w:snapToGrid/>
        <w:spacing w:before="120" w:after="120" w:line="360" w:lineRule="auto"/>
        <w:textAlignment w:val="auto"/>
        <w:outlineLvl w:val="1"/>
        <w:rPr>
          <w:rFonts w:hint="default" w:ascii="黑体" w:hAnsi="黑体" w:eastAsia="黑体" w:cs="黑体"/>
          <w:color w:val="auto"/>
          <w:sz w:val="28"/>
          <w:szCs w:val="28"/>
          <w:u w:val="none"/>
          <w:lang w:val="en-US" w:eastAsia="zh-CN"/>
        </w:rPr>
      </w:pPr>
      <w:bookmarkStart w:id="677" w:name="_Toc28987"/>
      <w:r>
        <w:rPr>
          <w:rFonts w:hint="eastAsia" w:ascii="黑体" w:hAnsi="黑体" w:eastAsia="黑体" w:cs="黑体"/>
          <w:color w:val="auto"/>
          <w:sz w:val="28"/>
          <w:szCs w:val="28"/>
          <w:u w:val="none"/>
          <w:lang w:val="en-US" w:eastAsia="zh-CN"/>
        </w:rPr>
        <w:t>10</w:t>
      </w:r>
      <w:r>
        <w:rPr>
          <w:rFonts w:hint="default" w:ascii="黑体" w:hAnsi="黑体" w:eastAsia="黑体" w:cs="黑体"/>
          <w:color w:val="auto"/>
          <w:sz w:val="28"/>
          <w:szCs w:val="28"/>
          <w:u w:val="none"/>
          <w:lang w:val="en-US" w:eastAsia="zh-CN"/>
        </w:rPr>
        <w:t>.10</w:t>
      </w:r>
      <w:r>
        <w:rPr>
          <w:rFonts w:hint="eastAsia" w:ascii="黑体" w:hAnsi="黑体" w:eastAsia="黑体" w:cs="黑体"/>
          <w:color w:val="auto"/>
          <w:sz w:val="28"/>
          <w:szCs w:val="28"/>
          <w:u w:val="none"/>
          <w:lang w:val="en-US" w:eastAsia="zh-CN"/>
        </w:rPr>
        <w:t xml:space="preserve"> 项目可行性结论</w:t>
      </w:r>
      <w:bookmarkEnd w:id="677"/>
    </w:p>
    <w:p w14:paraId="133FC587">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default" w:ascii="Times New Roman" w:hAnsi="Times New Roman" w:eastAsia="宋体" w:cs="Times New Roman"/>
          <w:color w:val="auto"/>
          <w:spacing w:val="0"/>
          <w:kern w:val="0"/>
          <w:sz w:val="24"/>
          <w:szCs w:val="24"/>
          <w:highlight w:val="none"/>
          <w:u w:val="none"/>
          <w:lang w:val="en-US" w:eastAsia="zh-CN" w:bidi="ar-SA"/>
        </w:rPr>
      </w:pPr>
      <w:r>
        <w:rPr>
          <w:rFonts w:hint="default" w:ascii="Times New Roman" w:hAnsi="Times New Roman" w:eastAsia="宋体" w:cs="Times New Roman"/>
          <w:color w:val="auto"/>
          <w:spacing w:val="0"/>
          <w:kern w:val="0"/>
          <w:sz w:val="24"/>
          <w:szCs w:val="24"/>
          <w:highlight w:val="none"/>
          <w:u w:val="none"/>
          <w:lang w:val="en-US" w:eastAsia="zh-CN" w:bidi="ar-SA"/>
        </w:rPr>
        <w:t>本工程</w:t>
      </w:r>
      <w:r>
        <w:rPr>
          <w:rFonts w:hint="eastAsia" w:cs="Times New Roman"/>
          <w:color w:val="auto"/>
          <w:spacing w:val="0"/>
          <w:kern w:val="0"/>
          <w:sz w:val="24"/>
          <w:szCs w:val="24"/>
          <w:highlight w:val="none"/>
          <w:u w:val="none"/>
          <w:lang w:val="en-US" w:eastAsia="zh-CN" w:bidi="ar-SA"/>
        </w:rPr>
        <w:t>为</w:t>
      </w:r>
      <w:r>
        <w:rPr>
          <w:rFonts w:hint="default" w:ascii="Times New Roman" w:hAnsi="Times New Roman" w:eastAsia="宋体" w:cs="Times New Roman"/>
          <w:color w:val="auto"/>
          <w:spacing w:val="0"/>
          <w:kern w:val="0"/>
          <w:sz w:val="24"/>
          <w:szCs w:val="24"/>
          <w:highlight w:val="none"/>
          <w:u w:val="none"/>
          <w:lang w:val="en-US" w:eastAsia="zh-CN" w:bidi="ar-SA"/>
        </w:rPr>
        <w:t>石油天然气开采项目</w:t>
      </w:r>
      <w:r>
        <w:rPr>
          <w:rFonts w:hint="eastAsia" w:cs="Times New Roman"/>
          <w:color w:val="auto"/>
          <w:spacing w:val="0"/>
          <w:kern w:val="0"/>
          <w:sz w:val="24"/>
          <w:szCs w:val="24"/>
          <w:highlight w:val="none"/>
          <w:u w:val="none"/>
          <w:lang w:val="en-US" w:eastAsia="zh-CN" w:bidi="ar-SA"/>
        </w:rPr>
        <w:t>，</w:t>
      </w:r>
      <w:r>
        <w:rPr>
          <w:rFonts w:hint="default" w:ascii="Times New Roman" w:hAnsi="Times New Roman" w:eastAsia="宋体" w:cs="Times New Roman"/>
          <w:color w:val="auto"/>
          <w:spacing w:val="0"/>
          <w:kern w:val="0"/>
          <w:sz w:val="24"/>
          <w:szCs w:val="24"/>
          <w:highlight w:val="none"/>
          <w:u w:val="none"/>
          <w:lang w:val="en-US" w:eastAsia="zh-CN" w:bidi="ar-SA"/>
        </w:rPr>
        <w:t>属于《产业结构调整指导目录（2024年本）》中鼓励类项目，符合国家产业政策；符合《新疆维吾尔自治区大气污染防治条例》《石油天然气开采也污染防治技术政策等》等法规和政策要求；符合《新疆维吾尔自治区国民经济和社会发展第十四个五年规划和2035年远景目标纲要》《新疆生态环境保护“十四五”规划》《新疆维吾尔自治区主体功能区规划》等要求</w:t>
      </w:r>
      <w:r>
        <w:rPr>
          <w:rFonts w:hint="eastAsia" w:cs="Times New Roman"/>
          <w:color w:val="auto"/>
          <w:spacing w:val="0"/>
          <w:kern w:val="0"/>
          <w:sz w:val="24"/>
          <w:szCs w:val="24"/>
          <w:highlight w:val="none"/>
          <w:u w:val="none"/>
          <w:lang w:val="en-US" w:eastAsia="zh-CN" w:bidi="ar-SA"/>
        </w:rPr>
        <w:t>；新疆油田分公司开发公司按照《环境影响评价公众参与办法》，在本工程环评过程中开展了公众参与调查，至信息公告的截止日期没有收到相关反馈信息。</w:t>
      </w:r>
    </w:p>
    <w:p w14:paraId="69BA87E9">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default" w:ascii="Times New Roman" w:hAnsi="Times New Roman" w:eastAsia="宋体" w:cs="Times New Roman"/>
          <w:color w:val="auto"/>
          <w:spacing w:val="0"/>
          <w:kern w:val="0"/>
          <w:sz w:val="24"/>
          <w:szCs w:val="24"/>
          <w:highlight w:val="none"/>
          <w:u w:val="none"/>
          <w:lang w:val="en-US" w:eastAsia="zh-CN" w:bidi="ar-SA"/>
        </w:rPr>
      </w:pPr>
      <w:r>
        <w:rPr>
          <w:rFonts w:hint="default" w:ascii="Times New Roman" w:hAnsi="Times New Roman" w:eastAsia="宋体" w:cs="Times New Roman"/>
          <w:color w:val="auto"/>
          <w:spacing w:val="0"/>
          <w:kern w:val="0"/>
          <w:sz w:val="24"/>
          <w:szCs w:val="24"/>
          <w:highlight w:val="none"/>
          <w:u w:val="none"/>
          <w:lang w:val="en-US" w:eastAsia="zh-CN" w:bidi="ar-SA"/>
        </w:rPr>
        <w:t>项目</w:t>
      </w:r>
      <w:r>
        <w:rPr>
          <w:rFonts w:hint="eastAsia" w:cs="Times New Roman"/>
          <w:color w:val="auto"/>
          <w:spacing w:val="0"/>
          <w:kern w:val="0"/>
          <w:sz w:val="24"/>
          <w:szCs w:val="24"/>
          <w:highlight w:val="none"/>
          <w:u w:val="none"/>
          <w:lang w:val="en-US" w:eastAsia="zh-CN" w:bidi="ar-SA"/>
        </w:rPr>
        <w:t>区</w:t>
      </w:r>
      <w:r>
        <w:rPr>
          <w:rFonts w:hint="default" w:ascii="Times New Roman" w:hAnsi="Times New Roman" w:eastAsia="宋体" w:cs="Times New Roman"/>
          <w:color w:val="auto"/>
          <w:spacing w:val="0"/>
          <w:kern w:val="0"/>
          <w:sz w:val="24"/>
          <w:szCs w:val="24"/>
          <w:highlight w:val="none"/>
          <w:u w:val="none"/>
          <w:lang w:val="en-US" w:eastAsia="zh-CN" w:bidi="ar-SA"/>
        </w:rPr>
        <w:t>不涉及依法划定的自然保护区、饮用水源保护区、风景名胜区、森林公园等环境敏感区；项目符合生态环境分区管控要求</w:t>
      </w:r>
      <w:r>
        <w:rPr>
          <w:rFonts w:hint="eastAsia" w:cs="Times New Roman"/>
          <w:color w:val="auto"/>
          <w:spacing w:val="0"/>
          <w:kern w:val="0"/>
          <w:sz w:val="24"/>
          <w:szCs w:val="24"/>
          <w:highlight w:val="none"/>
          <w:u w:val="none"/>
          <w:lang w:val="en-US" w:eastAsia="zh-CN" w:bidi="ar-SA"/>
        </w:rPr>
        <w:t>，选址选线合理。</w:t>
      </w:r>
    </w:p>
    <w:p w14:paraId="59F77349">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default" w:ascii="Times New Roman" w:hAnsi="Times New Roman" w:cs="Times New Roman"/>
          <w:color w:val="auto"/>
          <w:u w:val="none"/>
        </w:rPr>
      </w:pPr>
      <w:r>
        <w:rPr>
          <w:rFonts w:hint="default" w:ascii="Times New Roman" w:hAnsi="Times New Roman" w:eastAsia="宋体" w:cs="Times New Roman"/>
          <w:snapToGrid w:val="0"/>
          <w:color w:val="auto"/>
          <w:kern w:val="2"/>
          <w:sz w:val="24"/>
          <w:szCs w:val="20"/>
          <w:highlight w:val="none"/>
          <w:u w:val="none"/>
          <w:lang w:val="en-US" w:eastAsia="zh-CN" w:bidi="ar-SA"/>
        </w:rPr>
        <w:t>只要在建设和运营过程中认真落实各项污染防治措施、生态修复措施、风险防范措施及应急措施，各项污染物均能够做到达标排放，其生态破坏可降至最低，环境风险可以接受，从环境保护角度看，本工程建设是可行的。</w:t>
      </w:r>
      <w:bookmarkEnd w:id="598"/>
      <w:bookmarkEnd w:id="599"/>
      <w:bookmarkEnd w:id="600"/>
      <w:bookmarkEnd w:id="601"/>
      <w:bookmarkEnd w:id="602"/>
      <w:bookmarkEnd w:id="603"/>
      <w:bookmarkEnd w:id="604"/>
      <w:bookmarkEnd w:id="605"/>
      <w:bookmarkEnd w:id="606"/>
      <w:bookmarkEnd w:id="607"/>
      <w:bookmarkEnd w:id="659"/>
      <w:bookmarkEnd w:id="660"/>
      <w:bookmarkEnd w:id="661"/>
      <w:bookmarkEnd w:id="662"/>
      <w:bookmarkEnd w:id="663"/>
      <w:bookmarkEnd w:id="664"/>
      <w:bookmarkEnd w:id="665"/>
      <w:bookmarkEnd w:id="666"/>
    </w:p>
    <w:sectPr>
      <w:pgSz w:w="11906" w:h="16838"/>
      <w:pgMar w:top="1474" w:right="1474" w:bottom="1474" w:left="181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Gothic Medium">
    <w:panose1 w:val="020B0500000000000000"/>
    <w:charset w:val="80"/>
    <w:family w:val="swiss"/>
    <w:pitch w:val="default"/>
    <w:sig w:usb0="E00002FF" w:usb1="2AC7FDFF" w:usb2="00000016" w:usb3="00000000" w:csb0="200200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6A539">
    <w:pPr>
      <w:pStyle w:val="23"/>
      <w:widowControl w:val="0"/>
      <w:pBdr>
        <w:top w:val="none" w:color="622423" w:sz="0" w:space="1"/>
        <w:left w:val="none" w:color="auto" w:sz="0" w:space="4"/>
        <w:bottom w:val="none" w:color="auto" w:sz="0" w:space="1"/>
        <w:right w:val="none" w:color="auto" w:sz="0" w:space="4"/>
        <w:between w:val="none" w:color="auto" w:sz="0" w:space="0"/>
      </w:pBdr>
      <w:tabs>
        <w:tab w:val="right" w:pos="9070"/>
        <w:tab w:val="clear" w:pos="4153"/>
        <w:tab w:val="clear" w:pos="8306"/>
      </w:tabs>
      <w:snapToGrid w:val="0"/>
      <w:spacing w:line="500" w:lineRule="exact"/>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0FA08">
    <w:pPr>
      <w:pStyle w:val="23"/>
      <w:widowControl w:val="0"/>
      <w:pBdr>
        <w:top w:val="thinThickSmallGap" w:color="auto" w:sz="24" w:space="1"/>
        <w:left w:val="none" w:color="auto" w:sz="0" w:space="4"/>
        <w:bottom w:val="none" w:color="auto" w:sz="0" w:space="1"/>
        <w:right w:val="none" w:color="auto" w:sz="0" w:space="4"/>
        <w:between w:val="none" w:color="auto" w:sz="0" w:space="0"/>
      </w:pBdr>
      <w:snapToGrid w:val="0"/>
      <w:spacing w:line="360" w:lineRule="auto"/>
      <w:jc w:val="left"/>
    </w:pPr>
    <w:r>
      <w:rPr>
        <w:rFonts w:hint="eastAsia"/>
      </w:rPr>
      <w:t>新疆天合环境技术咨询有限公司</w:t>
    </w: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56BED">
                          <w:pPr>
                            <w:pStyle w:val="23"/>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A656BED">
                    <w:pPr>
                      <w:pStyle w:val="23"/>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D8635">
    <w:pPr>
      <w:pStyle w:val="23"/>
      <w:keepNext w:val="0"/>
      <w:keepLines w:val="0"/>
      <w:pageBreakBefore w:val="0"/>
      <w:widowControl w:val="0"/>
      <w:pBdr>
        <w:top w:val="thinThickSmallGap" w:color="auto" w:sz="24" w:space="1"/>
        <w:left w:val="none" w:color="auto" w:sz="0" w:space="4"/>
        <w:bottom w:val="none" w:color="auto" w:sz="0" w:space="1"/>
        <w:right w:val="none" w:color="auto" w:sz="0" w:space="4"/>
        <w:between w:val="none" w:color="auto" w:sz="0" w:space="0"/>
      </w:pBdr>
      <w:kinsoku/>
      <w:wordWrap/>
      <w:overflowPunct/>
      <w:topLinePunct w:val="0"/>
      <w:bidi w:val="0"/>
      <w:adjustRightInd/>
      <w:snapToGrid w:val="0"/>
      <w:spacing w:line="360" w:lineRule="auto"/>
      <w:jc w:val="left"/>
      <w:textAlignment w:val="auto"/>
      <w:rPr>
        <w:rFonts w:hint="default"/>
        <w:lang w:val="en-US"/>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DD9E4">
                          <w:pPr>
                            <w:pStyle w:val="23"/>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6DDD9E4">
                    <w:pPr>
                      <w:pStyle w:val="23"/>
                    </w:pPr>
                    <w:r>
                      <w:fldChar w:fldCharType="begin"/>
                    </w:r>
                    <w:r>
                      <w:instrText xml:space="preserve"> PAGE  \* MERGEFORMAT </w:instrText>
                    </w:r>
                    <w:r>
                      <w:fldChar w:fldCharType="separate"/>
                    </w:r>
                    <w:r>
                      <w:t>182</w:t>
                    </w:r>
                    <w:r>
                      <w:fldChar w:fldCharType="end"/>
                    </w:r>
                  </w:p>
                </w:txbxContent>
              </v:textbox>
            </v:shape>
          </w:pict>
        </mc:Fallback>
      </mc:AlternateContent>
    </w:r>
    <w:r>
      <w:rPr>
        <w:rFonts w:hint="eastAsia"/>
        <w:lang w:val="en-US" w:eastAsia="zh-CN"/>
      </w:rPr>
      <w:t>新疆天合环境技术咨询有限公司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E1AE5">
    <w:pPr>
      <w:pStyle w:val="23"/>
      <w:keepNext w:val="0"/>
      <w:keepLines w:val="0"/>
      <w:pageBreakBefore w:val="0"/>
      <w:widowControl w:val="0"/>
      <w:pBdr>
        <w:top w:val="thinThickSmallGap" w:color="auto" w:sz="24" w:space="1"/>
        <w:left w:val="none" w:color="auto" w:sz="0" w:space="4"/>
        <w:bottom w:val="none" w:color="auto" w:sz="0" w:space="1"/>
        <w:right w:val="none" w:color="auto" w:sz="0" w:space="4"/>
        <w:between w:val="none" w:color="auto" w:sz="0" w:space="0"/>
      </w:pBdr>
      <w:kinsoku/>
      <w:wordWrap/>
      <w:overflowPunct/>
      <w:topLinePunct w:val="0"/>
      <w:bidi w:val="0"/>
      <w:adjustRightInd/>
      <w:snapToGrid w:val="0"/>
      <w:spacing w:line="360" w:lineRule="auto"/>
      <w:jc w:val="left"/>
      <w:textAlignment w:val="auto"/>
      <w:rPr>
        <w:rFonts w:hint="default"/>
        <w:lang w:val="en-US"/>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820385">
                          <w:pPr>
                            <w:pStyle w:val="23"/>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820385">
                    <w:pPr>
                      <w:pStyle w:val="23"/>
                    </w:pPr>
                    <w:r>
                      <w:fldChar w:fldCharType="begin"/>
                    </w:r>
                    <w:r>
                      <w:instrText xml:space="preserve"> PAGE  \* MERGEFORMAT </w:instrText>
                    </w:r>
                    <w:r>
                      <w:fldChar w:fldCharType="separate"/>
                    </w:r>
                    <w:r>
                      <w:t>200</w:t>
                    </w:r>
                    <w:r>
                      <w:fldChar w:fldCharType="end"/>
                    </w:r>
                  </w:p>
                </w:txbxContent>
              </v:textbox>
            </v:shape>
          </w:pict>
        </mc:Fallback>
      </mc:AlternateContent>
    </w:r>
    <w:r>
      <w:rPr>
        <w:rFonts w:hint="eastAsia"/>
        <w:lang w:val="en-US" w:eastAsia="zh-CN"/>
      </w:rPr>
      <w:t>新疆天合环境技术咨询有限公司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7AA84">
    <w:pPr>
      <w:pStyle w:val="23"/>
      <w:widowControl w:val="0"/>
      <w:pBdr>
        <w:top w:val="none" w:color="622423" w:sz="0" w:space="1"/>
        <w:left w:val="none" w:color="auto" w:sz="0" w:space="4"/>
        <w:bottom w:val="none" w:color="auto" w:sz="0" w:space="1"/>
        <w:right w:val="none" w:color="auto" w:sz="0" w:space="4"/>
        <w:between w:val="none" w:color="auto" w:sz="0" w:space="0"/>
      </w:pBdr>
      <w:tabs>
        <w:tab w:val="right" w:pos="9070"/>
        <w:tab w:val="clear" w:pos="4153"/>
        <w:tab w:val="clear" w:pos="8306"/>
      </w:tabs>
      <w:snapToGrid w:val="0"/>
      <w:spacing w:line="500" w:lineRule="exact"/>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8C78D">
    <w:pPr>
      <w:pStyle w:val="23"/>
      <w:widowControl w:val="0"/>
      <w:pBdr>
        <w:top w:val="none" w:color="622423" w:sz="0" w:space="1"/>
        <w:left w:val="none" w:color="auto" w:sz="0" w:space="4"/>
        <w:bottom w:val="none" w:color="auto" w:sz="0" w:space="1"/>
        <w:right w:val="none" w:color="auto" w:sz="0" w:space="4"/>
        <w:between w:val="none" w:color="auto" w:sz="0" w:space="0"/>
      </w:pBdr>
      <w:tabs>
        <w:tab w:val="right" w:pos="9070"/>
        <w:tab w:val="clear" w:pos="4153"/>
        <w:tab w:val="clear" w:pos="8306"/>
      </w:tabs>
      <w:snapToGrid w:val="0"/>
      <w:spacing w:line="500" w:lineRule="exact"/>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6A689">
    <w:pPr>
      <w:pStyle w:val="23"/>
      <w:widowControl w:val="0"/>
      <w:pBdr>
        <w:top w:val="none" w:color="622423" w:sz="0" w:space="1"/>
        <w:left w:val="none" w:color="auto" w:sz="0" w:space="4"/>
        <w:bottom w:val="none" w:color="auto" w:sz="0" w:space="1"/>
        <w:right w:val="none" w:color="auto" w:sz="0" w:space="4"/>
        <w:between w:val="none" w:color="auto" w:sz="0" w:space="0"/>
      </w:pBdr>
      <w:tabs>
        <w:tab w:val="right" w:pos="9070"/>
        <w:tab w:val="clear" w:pos="4153"/>
        <w:tab w:val="clear" w:pos="8306"/>
      </w:tabs>
      <w:snapToGrid w:val="0"/>
      <w:spacing w:line="500" w:lineRule="exact"/>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80B48">
    <w:pPr>
      <w:pStyle w:val="23"/>
      <w:widowControl w:val="0"/>
      <w:pBdr>
        <w:top w:val="none" w:color="622423" w:sz="0" w:space="1"/>
        <w:left w:val="none" w:color="auto" w:sz="0" w:space="4"/>
        <w:bottom w:val="none" w:color="auto" w:sz="0" w:space="1"/>
        <w:right w:val="none" w:color="auto" w:sz="0" w:space="4"/>
        <w:between w:val="none" w:color="auto" w:sz="0" w:space="0"/>
      </w:pBdr>
      <w:tabs>
        <w:tab w:val="right" w:pos="9070"/>
        <w:tab w:val="clear" w:pos="4153"/>
        <w:tab w:val="clear" w:pos="8306"/>
      </w:tabs>
      <w:snapToGrid w:val="0"/>
      <w:spacing w:line="500" w:lineRule="exact"/>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0EDFB">
    <w:pPr>
      <w:pStyle w:val="23"/>
      <w:keepNext w:val="0"/>
      <w:keepLines w:val="0"/>
      <w:pageBreakBefore w:val="0"/>
      <w:widowControl w:val="0"/>
      <w:pBdr>
        <w:top w:val="thinThickSmallGap" w:color="auto" w:sz="24" w:space="1"/>
        <w:left w:val="none" w:color="auto" w:sz="0" w:space="4"/>
        <w:bottom w:val="none" w:color="auto" w:sz="0" w:space="2"/>
        <w:right w:val="none" w:color="auto" w:sz="0" w:space="4"/>
        <w:between w:val="none" w:color="auto" w:sz="0" w:space="0"/>
      </w:pBdr>
      <w:tabs>
        <w:tab w:val="center" w:pos="4309"/>
        <w:tab w:val="clear" w:pos="4153"/>
        <w:tab w:val="clear" w:pos="8306"/>
      </w:tabs>
      <w:kinsoku/>
      <w:wordWrap/>
      <w:overflowPunct/>
      <w:topLinePunct w:val="0"/>
      <w:bidi w:val="0"/>
      <w:adjustRightInd/>
      <w:snapToGrid w:val="0"/>
      <w:spacing w:line="360" w:lineRule="auto"/>
      <w:jc w:val="left"/>
      <w:textAlignment w:val="auto"/>
    </w:pPr>
    <w:r>
      <w:rPr>
        <w:rFonts w:hint="eastAsia"/>
        <w:sz w:val="21"/>
        <w:szCs w:val="21"/>
        <w:lang w:val="en-US" w:eastAsia="zh-CN"/>
      </w:rPr>
      <w:t>新疆天合环境技术咨询有限公司</w: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1C4E3">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FE1C4E3">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AEFCE">
    <w:pPr>
      <w:pStyle w:val="23"/>
      <w:keepNext w:val="0"/>
      <w:keepLines w:val="0"/>
      <w:pageBreakBefore w:val="0"/>
      <w:widowControl w:val="0"/>
      <w:pBdr>
        <w:top w:val="thinThickSmallGap" w:color="auto" w:sz="24" w:space="1"/>
        <w:left w:val="none" w:color="auto" w:sz="0" w:space="4"/>
        <w:bottom w:val="none" w:color="auto" w:sz="0" w:space="1"/>
        <w:right w:val="none" w:color="auto" w:sz="0" w:space="4"/>
        <w:between w:val="none" w:color="auto" w:sz="0" w:space="0"/>
      </w:pBdr>
      <w:tabs>
        <w:tab w:val="left" w:pos="499"/>
        <w:tab w:val="clear" w:pos="4153"/>
      </w:tabs>
      <w:kinsoku/>
      <w:wordWrap/>
      <w:overflowPunct/>
      <w:topLinePunct w:val="0"/>
      <w:bidi w:val="0"/>
      <w:adjustRightInd/>
      <w:snapToGrid w:val="0"/>
      <w:spacing w:line="360" w:lineRule="auto"/>
      <w:jc w:val="left"/>
      <w:textAlignment w:val="auto"/>
      <w:rPr>
        <w:rFonts w:hint="default"/>
        <w:sz w:val="21"/>
        <w:szCs w:val="21"/>
        <w:lang w:val="en-US"/>
      </w:rPr>
    </w:pPr>
    <w:r>
      <w:rPr>
        <w:sz w:val="21"/>
        <w:szCs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E3BEF">
                          <w:pPr>
                            <w:pStyle w:val="23"/>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15</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8AE3BEF">
                    <w:pPr>
                      <w:pStyle w:val="23"/>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15</w:t>
                    </w:r>
                    <w:r>
                      <w:rPr>
                        <w:sz w:val="21"/>
                        <w:szCs w:val="21"/>
                      </w:rPr>
                      <w:fldChar w:fldCharType="end"/>
                    </w:r>
                  </w:p>
                </w:txbxContent>
              </v:textbox>
            </v:shape>
          </w:pict>
        </mc:Fallback>
      </mc:AlternateContent>
    </w:r>
    <w:r>
      <w:rPr>
        <w:rFonts w:hint="eastAsia"/>
        <w:sz w:val="21"/>
        <w:szCs w:val="21"/>
        <w:lang w:val="en-US" w:eastAsia="zh-CN"/>
      </w:rPr>
      <w:t>新疆天合环境技术咨询有限公司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F41B8">
    <w:pPr>
      <w:pStyle w:val="23"/>
      <w:keepNext w:val="0"/>
      <w:keepLines w:val="0"/>
      <w:pageBreakBefore w:val="0"/>
      <w:widowControl w:val="0"/>
      <w:pBdr>
        <w:top w:val="thinThickSmallGap" w:color="auto" w:sz="24" w:space="1"/>
        <w:left w:val="none" w:color="auto" w:sz="0" w:space="4"/>
        <w:bottom w:val="none" w:color="auto" w:sz="0" w:space="1"/>
        <w:right w:val="none" w:color="auto" w:sz="0" w:space="4"/>
        <w:between w:val="none" w:color="auto" w:sz="0" w:space="0"/>
      </w:pBdr>
      <w:kinsoku/>
      <w:wordWrap/>
      <w:overflowPunct/>
      <w:topLinePunct w:val="0"/>
      <w:bidi w:val="0"/>
      <w:adjustRightInd/>
      <w:snapToGrid w:val="0"/>
      <w:spacing w:line="360" w:lineRule="auto"/>
      <w:jc w:val="left"/>
      <w:textAlignment w:val="auto"/>
    </w:pPr>
    <w:r>
      <w:rPr>
        <w:rFonts w:hint="eastAsia"/>
      </w:rPr>
      <w:t>新疆天合环境技术咨询有限公司</w: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1786C">
                          <w:pPr>
                            <w:pStyle w:val="23"/>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F41786C">
                    <w:pPr>
                      <w:pStyle w:val="23"/>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0AEA7">
    <w:pPr>
      <w:pStyle w:val="23"/>
      <w:keepNext w:val="0"/>
      <w:keepLines w:val="0"/>
      <w:pageBreakBefore w:val="0"/>
      <w:widowControl w:val="0"/>
      <w:pBdr>
        <w:top w:val="thinThickSmallGap" w:color="auto" w:sz="24" w:space="1"/>
        <w:left w:val="none" w:color="auto" w:sz="0" w:space="4"/>
        <w:bottom w:val="none" w:color="auto" w:sz="0" w:space="1"/>
        <w:right w:val="none" w:color="auto" w:sz="0" w:space="4"/>
        <w:between w:val="none" w:color="auto" w:sz="0" w:space="0"/>
      </w:pBdr>
      <w:kinsoku/>
      <w:wordWrap/>
      <w:overflowPunct/>
      <w:topLinePunct w:val="0"/>
      <w:bidi w:val="0"/>
      <w:adjustRightInd/>
      <w:snapToGrid w:val="0"/>
      <w:spacing w:line="360" w:lineRule="auto"/>
      <w:jc w:val="left"/>
      <w:textAlignment w:val="auto"/>
    </w:pPr>
    <w:r>
      <w:rPr>
        <w:rFonts w:hint="eastAsia"/>
      </w:rPr>
      <w:t>新疆天合环境技术咨询有限公司</w: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4CE6E">
                          <w:pPr>
                            <w:pStyle w:val="23"/>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3A4CE6E">
                    <w:pPr>
                      <w:pStyle w:val="23"/>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7A516">
    <w:pPr>
      <w:pStyle w:val="24"/>
      <w:keepNext w:val="0"/>
      <w:keepLines w:val="0"/>
      <w:pageBreakBefore w:val="0"/>
      <w:widowControl w:val="0"/>
      <w:pBdr>
        <w:bottom w:val="thinThickSmallGap" w:color="auto" w:sz="12" w:space="1"/>
      </w:pBdr>
      <w:kinsoku/>
      <w:wordWrap/>
      <w:overflowPunct/>
      <w:topLinePunct w:val="0"/>
      <w:autoSpaceDE/>
      <w:autoSpaceDN/>
      <w:bidi w:val="0"/>
      <w:adjustRightInd/>
      <w:snapToGrid w:val="0"/>
      <w:spacing w:line="240" w:lineRule="auto"/>
      <w:textAlignment w:val="auto"/>
    </w:pPr>
    <w:r>
      <w:rPr>
        <w:rFonts w:hint="eastAsia" w:ascii="宋体" w:hAnsi="宋体" w:eastAsia="宋体" w:cs="宋体"/>
        <w:sz w:val="21"/>
        <w:szCs w:val="21"/>
      </w:rPr>
      <w:t>莫北油田莫116井区侏罗系三工河组气藏产能建设项目环境影响报告书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238EA">
    <w:pPr>
      <w:widowControl/>
      <w:jc w:val="left"/>
      <w:rPr>
        <w:rFonts w:ascii="宋体" w:hAnsi="宋体" w:cs="宋体"/>
        <w:kern w:val="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8245EF"/>
    <w:multiLevelType w:val="singleLevel"/>
    <w:tmpl w:val="D58245EF"/>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1">
    <w:nsid w:val="16C5960F"/>
    <w:multiLevelType w:val="singleLevel"/>
    <w:tmpl w:val="16C5960F"/>
    <w:lvl w:ilvl="0" w:tentative="0">
      <w:start w:val="2"/>
      <w:numFmt w:val="decimal"/>
      <w:suff w:val="nothing"/>
      <w:lvlText w:val="（%1）"/>
      <w:lvlJc w:val="left"/>
    </w:lvl>
  </w:abstractNum>
  <w:abstractNum w:abstractNumId="2">
    <w:nsid w:val="4CEC45CD"/>
    <w:multiLevelType w:val="multilevel"/>
    <w:tmpl w:val="4CEC45CD"/>
    <w:lvl w:ilvl="0" w:tentative="0">
      <w:start w:val="1"/>
      <w:numFmt w:val="decimal"/>
      <w:suff w:val="nothing"/>
      <w:lvlText w:val="%1"/>
      <w:lvlJc w:val="left"/>
      <w:rPr>
        <w:rFonts w:hint="eastAsia" w:cs="Times New Roman"/>
      </w:rPr>
    </w:lvl>
    <w:lvl w:ilvl="1" w:tentative="0">
      <w:start w:val="1"/>
      <w:numFmt w:val="decimal"/>
      <w:suff w:val="nothing"/>
      <w:lvlText w:val="%1.%2"/>
      <w:lvlJc w:val="left"/>
      <w:rPr>
        <w:rFonts w:hint="eastAsia" w:cs="Times New Roman"/>
      </w:rPr>
    </w:lvl>
    <w:lvl w:ilvl="2" w:tentative="0">
      <w:start w:val="1"/>
      <w:numFmt w:val="decimal"/>
      <w:pStyle w:val="6"/>
      <w:lvlText w:val="%1.%2.%3"/>
      <w:lvlJc w:val="left"/>
      <w:pPr>
        <w:tabs>
          <w:tab w:val="left" w:pos="720"/>
        </w:tabs>
        <w:ind w:left="720" w:hanging="720"/>
      </w:pPr>
      <w:rPr>
        <w:rFonts w:hint="default" w:ascii="Times New Roman" w:hAnsi="Times New Roman" w:cs="Times New Roman"/>
        <w:color w:val="auto"/>
      </w:rPr>
    </w:lvl>
    <w:lvl w:ilvl="3" w:tentative="0">
      <w:start w:val="1"/>
      <w:numFmt w:val="decimal"/>
      <w:pStyle w:val="7"/>
      <w:lvlText w:val="%1.%2.%3.%4"/>
      <w:lvlJc w:val="left"/>
      <w:pPr>
        <w:tabs>
          <w:tab w:val="left" w:pos="864"/>
        </w:tabs>
        <w:ind w:left="864" w:hanging="864"/>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alignBordersAndEdges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3YjY5Zjg1YzA2MmY5YTg0M2MyNDY0MjU1YmM5NjQifQ=="/>
    <w:docVar w:name="KSO_WPS_MARK_KEY" w:val="00653a8d-4aae-4239-bcbb-65a248a4f499"/>
  </w:docVars>
  <w:rsids>
    <w:rsidRoot w:val="2A965BAD"/>
    <w:rsid w:val="00002464"/>
    <w:rsid w:val="0000314A"/>
    <w:rsid w:val="00011F65"/>
    <w:rsid w:val="000163D9"/>
    <w:rsid w:val="00020A2F"/>
    <w:rsid w:val="00032235"/>
    <w:rsid w:val="00032421"/>
    <w:rsid w:val="000329C7"/>
    <w:rsid w:val="000341B9"/>
    <w:rsid w:val="00034868"/>
    <w:rsid w:val="000352FB"/>
    <w:rsid w:val="00040380"/>
    <w:rsid w:val="0004366E"/>
    <w:rsid w:val="00045561"/>
    <w:rsid w:val="0005139A"/>
    <w:rsid w:val="00063036"/>
    <w:rsid w:val="00064178"/>
    <w:rsid w:val="00065534"/>
    <w:rsid w:val="00066282"/>
    <w:rsid w:val="00071C3E"/>
    <w:rsid w:val="000812A8"/>
    <w:rsid w:val="00084883"/>
    <w:rsid w:val="000901A9"/>
    <w:rsid w:val="00091439"/>
    <w:rsid w:val="00092A05"/>
    <w:rsid w:val="00092FA4"/>
    <w:rsid w:val="000949D8"/>
    <w:rsid w:val="00094B0D"/>
    <w:rsid w:val="000A1332"/>
    <w:rsid w:val="000A53B8"/>
    <w:rsid w:val="000B0E25"/>
    <w:rsid w:val="000B1CF8"/>
    <w:rsid w:val="000B6023"/>
    <w:rsid w:val="000B7CC6"/>
    <w:rsid w:val="000C0F70"/>
    <w:rsid w:val="000C3AC1"/>
    <w:rsid w:val="000D45C3"/>
    <w:rsid w:val="000D5D88"/>
    <w:rsid w:val="000E2233"/>
    <w:rsid w:val="000E227B"/>
    <w:rsid w:val="000F26F4"/>
    <w:rsid w:val="000F40E3"/>
    <w:rsid w:val="000F469C"/>
    <w:rsid w:val="000F4B85"/>
    <w:rsid w:val="000F5D56"/>
    <w:rsid w:val="000F7918"/>
    <w:rsid w:val="00100C21"/>
    <w:rsid w:val="00104096"/>
    <w:rsid w:val="00105D3A"/>
    <w:rsid w:val="00106B0E"/>
    <w:rsid w:val="0010798D"/>
    <w:rsid w:val="001235E6"/>
    <w:rsid w:val="001305D2"/>
    <w:rsid w:val="00143E8F"/>
    <w:rsid w:val="00143F3E"/>
    <w:rsid w:val="00145D49"/>
    <w:rsid w:val="001465F6"/>
    <w:rsid w:val="00147580"/>
    <w:rsid w:val="00160216"/>
    <w:rsid w:val="00160EC4"/>
    <w:rsid w:val="00160F75"/>
    <w:rsid w:val="00161E0D"/>
    <w:rsid w:val="00163D39"/>
    <w:rsid w:val="0017675A"/>
    <w:rsid w:val="00180711"/>
    <w:rsid w:val="001819FC"/>
    <w:rsid w:val="00182E11"/>
    <w:rsid w:val="00184BA3"/>
    <w:rsid w:val="00184F56"/>
    <w:rsid w:val="00186DC1"/>
    <w:rsid w:val="00186E5B"/>
    <w:rsid w:val="00190A26"/>
    <w:rsid w:val="001929F2"/>
    <w:rsid w:val="00193993"/>
    <w:rsid w:val="00193F62"/>
    <w:rsid w:val="00196349"/>
    <w:rsid w:val="001A12A3"/>
    <w:rsid w:val="001A5F48"/>
    <w:rsid w:val="001A6A05"/>
    <w:rsid w:val="001B06D7"/>
    <w:rsid w:val="001B7051"/>
    <w:rsid w:val="001C6C2C"/>
    <w:rsid w:val="001C7409"/>
    <w:rsid w:val="001D6109"/>
    <w:rsid w:val="001D6FC9"/>
    <w:rsid w:val="001F52BB"/>
    <w:rsid w:val="001F6D62"/>
    <w:rsid w:val="00200B72"/>
    <w:rsid w:val="00207599"/>
    <w:rsid w:val="0021200F"/>
    <w:rsid w:val="00212EE0"/>
    <w:rsid w:val="00215949"/>
    <w:rsid w:val="002179E0"/>
    <w:rsid w:val="002311B0"/>
    <w:rsid w:val="002347EC"/>
    <w:rsid w:val="00235FB9"/>
    <w:rsid w:val="002403C0"/>
    <w:rsid w:val="002427F6"/>
    <w:rsid w:val="00246A8C"/>
    <w:rsid w:val="002508F8"/>
    <w:rsid w:val="00251E08"/>
    <w:rsid w:val="002572B7"/>
    <w:rsid w:val="00260DCC"/>
    <w:rsid w:val="002678E6"/>
    <w:rsid w:val="00267FEC"/>
    <w:rsid w:val="002703E9"/>
    <w:rsid w:val="00275CD9"/>
    <w:rsid w:val="00276876"/>
    <w:rsid w:val="00276F4C"/>
    <w:rsid w:val="00281DA2"/>
    <w:rsid w:val="00290ED7"/>
    <w:rsid w:val="00292B15"/>
    <w:rsid w:val="002A0382"/>
    <w:rsid w:val="002A43CD"/>
    <w:rsid w:val="002B139F"/>
    <w:rsid w:val="002B412D"/>
    <w:rsid w:val="002C2F55"/>
    <w:rsid w:val="002C351A"/>
    <w:rsid w:val="002C5B86"/>
    <w:rsid w:val="002C5BE9"/>
    <w:rsid w:val="002C703E"/>
    <w:rsid w:val="002D4FD1"/>
    <w:rsid w:val="002E15A3"/>
    <w:rsid w:val="002F1564"/>
    <w:rsid w:val="002F4FA1"/>
    <w:rsid w:val="002F698B"/>
    <w:rsid w:val="002F6E40"/>
    <w:rsid w:val="003035CC"/>
    <w:rsid w:val="00310251"/>
    <w:rsid w:val="00313936"/>
    <w:rsid w:val="00313CE8"/>
    <w:rsid w:val="003150F5"/>
    <w:rsid w:val="00331C6A"/>
    <w:rsid w:val="003402D7"/>
    <w:rsid w:val="00343050"/>
    <w:rsid w:val="0034372C"/>
    <w:rsid w:val="0035118C"/>
    <w:rsid w:val="00352E87"/>
    <w:rsid w:val="00355319"/>
    <w:rsid w:val="00360BCE"/>
    <w:rsid w:val="00371AA8"/>
    <w:rsid w:val="00372604"/>
    <w:rsid w:val="00376E61"/>
    <w:rsid w:val="0038069C"/>
    <w:rsid w:val="00382F41"/>
    <w:rsid w:val="00384856"/>
    <w:rsid w:val="00385FCB"/>
    <w:rsid w:val="0038624A"/>
    <w:rsid w:val="003868BE"/>
    <w:rsid w:val="00392B08"/>
    <w:rsid w:val="00396AE5"/>
    <w:rsid w:val="0039711E"/>
    <w:rsid w:val="00397FFE"/>
    <w:rsid w:val="003A1AF9"/>
    <w:rsid w:val="003B359A"/>
    <w:rsid w:val="003B6090"/>
    <w:rsid w:val="003C1514"/>
    <w:rsid w:val="003C1CD2"/>
    <w:rsid w:val="003C3949"/>
    <w:rsid w:val="003C7DE1"/>
    <w:rsid w:val="003D46EC"/>
    <w:rsid w:val="003D4D35"/>
    <w:rsid w:val="003D73E4"/>
    <w:rsid w:val="003E03A9"/>
    <w:rsid w:val="003E3B23"/>
    <w:rsid w:val="003F1B0C"/>
    <w:rsid w:val="004158B5"/>
    <w:rsid w:val="004252F1"/>
    <w:rsid w:val="00425615"/>
    <w:rsid w:val="00425817"/>
    <w:rsid w:val="0043195C"/>
    <w:rsid w:val="00437FE0"/>
    <w:rsid w:val="004446D4"/>
    <w:rsid w:val="00457AB3"/>
    <w:rsid w:val="00461218"/>
    <w:rsid w:val="00461E7C"/>
    <w:rsid w:val="00463943"/>
    <w:rsid w:val="00467E8A"/>
    <w:rsid w:val="00475B87"/>
    <w:rsid w:val="004770B2"/>
    <w:rsid w:val="00480777"/>
    <w:rsid w:val="00483940"/>
    <w:rsid w:val="00491A05"/>
    <w:rsid w:val="00495476"/>
    <w:rsid w:val="004A1939"/>
    <w:rsid w:val="004A30CC"/>
    <w:rsid w:val="004A4659"/>
    <w:rsid w:val="004B3E29"/>
    <w:rsid w:val="004B42E0"/>
    <w:rsid w:val="004B4F36"/>
    <w:rsid w:val="004B581E"/>
    <w:rsid w:val="004C0371"/>
    <w:rsid w:val="004C11CF"/>
    <w:rsid w:val="004C4214"/>
    <w:rsid w:val="004C54B0"/>
    <w:rsid w:val="004D71DC"/>
    <w:rsid w:val="004E488A"/>
    <w:rsid w:val="004E7E68"/>
    <w:rsid w:val="004F1FB6"/>
    <w:rsid w:val="004F23C6"/>
    <w:rsid w:val="004F782B"/>
    <w:rsid w:val="00502227"/>
    <w:rsid w:val="00502853"/>
    <w:rsid w:val="00502C3D"/>
    <w:rsid w:val="0051496E"/>
    <w:rsid w:val="00515474"/>
    <w:rsid w:val="0052454B"/>
    <w:rsid w:val="00526926"/>
    <w:rsid w:val="00534037"/>
    <w:rsid w:val="0054429C"/>
    <w:rsid w:val="00546BDA"/>
    <w:rsid w:val="00547308"/>
    <w:rsid w:val="005553D8"/>
    <w:rsid w:val="00560CE8"/>
    <w:rsid w:val="00566216"/>
    <w:rsid w:val="005770EA"/>
    <w:rsid w:val="00583EEA"/>
    <w:rsid w:val="00585639"/>
    <w:rsid w:val="00585818"/>
    <w:rsid w:val="00586233"/>
    <w:rsid w:val="00586832"/>
    <w:rsid w:val="005A3CF3"/>
    <w:rsid w:val="005A6390"/>
    <w:rsid w:val="005B1713"/>
    <w:rsid w:val="005B1D61"/>
    <w:rsid w:val="005B37AB"/>
    <w:rsid w:val="005B3E27"/>
    <w:rsid w:val="005C0AE6"/>
    <w:rsid w:val="005C4D7D"/>
    <w:rsid w:val="005C7BBE"/>
    <w:rsid w:val="005D00F2"/>
    <w:rsid w:val="005D407C"/>
    <w:rsid w:val="005E5A95"/>
    <w:rsid w:val="005F55F4"/>
    <w:rsid w:val="00601447"/>
    <w:rsid w:val="00604567"/>
    <w:rsid w:val="006075EB"/>
    <w:rsid w:val="00617CA7"/>
    <w:rsid w:val="00622119"/>
    <w:rsid w:val="00622B81"/>
    <w:rsid w:val="00625199"/>
    <w:rsid w:val="0063028C"/>
    <w:rsid w:val="0063228A"/>
    <w:rsid w:val="0063353B"/>
    <w:rsid w:val="00635F33"/>
    <w:rsid w:val="00636659"/>
    <w:rsid w:val="00636B1F"/>
    <w:rsid w:val="00646DE3"/>
    <w:rsid w:val="00647B4E"/>
    <w:rsid w:val="00651638"/>
    <w:rsid w:val="00651895"/>
    <w:rsid w:val="0065551B"/>
    <w:rsid w:val="00656036"/>
    <w:rsid w:val="00660F7F"/>
    <w:rsid w:val="006625F3"/>
    <w:rsid w:val="00673E90"/>
    <w:rsid w:val="0067506E"/>
    <w:rsid w:val="00675F33"/>
    <w:rsid w:val="00676C60"/>
    <w:rsid w:val="00677355"/>
    <w:rsid w:val="0067777E"/>
    <w:rsid w:val="00684DA0"/>
    <w:rsid w:val="006943B2"/>
    <w:rsid w:val="006A16BE"/>
    <w:rsid w:val="006A39E0"/>
    <w:rsid w:val="006A5325"/>
    <w:rsid w:val="006B01B6"/>
    <w:rsid w:val="006B2539"/>
    <w:rsid w:val="006B28D0"/>
    <w:rsid w:val="006B3FE1"/>
    <w:rsid w:val="006B4D86"/>
    <w:rsid w:val="006C0385"/>
    <w:rsid w:val="006C3F51"/>
    <w:rsid w:val="006C6414"/>
    <w:rsid w:val="006E0B7B"/>
    <w:rsid w:val="006E58D0"/>
    <w:rsid w:val="006E68B5"/>
    <w:rsid w:val="006F4716"/>
    <w:rsid w:val="006F56E1"/>
    <w:rsid w:val="00702F03"/>
    <w:rsid w:val="00703C4A"/>
    <w:rsid w:val="007107FA"/>
    <w:rsid w:val="00713569"/>
    <w:rsid w:val="007200BC"/>
    <w:rsid w:val="0072608B"/>
    <w:rsid w:val="007274A3"/>
    <w:rsid w:val="007328CF"/>
    <w:rsid w:val="00744F03"/>
    <w:rsid w:val="007538CB"/>
    <w:rsid w:val="007558AC"/>
    <w:rsid w:val="007567B9"/>
    <w:rsid w:val="00756C08"/>
    <w:rsid w:val="00760112"/>
    <w:rsid w:val="0076789B"/>
    <w:rsid w:val="007712F8"/>
    <w:rsid w:val="007739CE"/>
    <w:rsid w:val="00774C35"/>
    <w:rsid w:val="0077542C"/>
    <w:rsid w:val="00775F6C"/>
    <w:rsid w:val="00776D7B"/>
    <w:rsid w:val="00784448"/>
    <w:rsid w:val="00785071"/>
    <w:rsid w:val="007876DE"/>
    <w:rsid w:val="007904BE"/>
    <w:rsid w:val="00792BB4"/>
    <w:rsid w:val="007979A4"/>
    <w:rsid w:val="007A17FA"/>
    <w:rsid w:val="007A2BE6"/>
    <w:rsid w:val="007B24A6"/>
    <w:rsid w:val="007B6516"/>
    <w:rsid w:val="007C0C56"/>
    <w:rsid w:val="007C177D"/>
    <w:rsid w:val="007C395C"/>
    <w:rsid w:val="007D5D9A"/>
    <w:rsid w:val="007E209D"/>
    <w:rsid w:val="007E63D9"/>
    <w:rsid w:val="007F30C2"/>
    <w:rsid w:val="00803F6B"/>
    <w:rsid w:val="008041A5"/>
    <w:rsid w:val="008106DC"/>
    <w:rsid w:val="008139A0"/>
    <w:rsid w:val="00813CB6"/>
    <w:rsid w:val="008141B0"/>
    <w:rsid w:val="00817664"/>
    <w:rsid w:val="0082528E"/>
    <w:rsid w:val="008309EA"/>
    <w:rsid w:val="008324AB"/>
    <w:rsid w:val="0083457B"/>
    <w:rsid w:val="00835ECD"/>
    <w:rsid w:val="0084024E"/>
    <w:rsid w:val="00840406"/>
    <w:rsid w:val="00843689"/>
    <w:rsid w:val="008439FC"/>
    <w:rsid w:val="008465FB"/>
    <w:rsid w:val="00854E6F"/>
    <w:rsid w:val="00855CAB"/>
    <w:rsid w:val="00861B3D"/>
    <w:rsid w:val="008641FE"/>
    <w:rsid w:val="00865BEE"/>
    <w:rsid w:val="00865BF1"/>
    <w:rsid w:val="00880978"/>
    <w:rsid w:val="008826F3"/>
    <w:rsid w:val="00886944"/>
    <w:rsid w:val="0089018E"/>
    <w:rsid w:val="008908DF"/>
    <w:rsid w:val="00891D76"/>
    <w:rsid w:val="00893529"/>
    <w:rsid w:val="00894D28"/>
    <w:rsid w:val="00896733"/>
    <w:rsid w:val="00896EC9"/>
    <w:rsid w:val="008A1F79"/>
    <w:rsid w:val="008A2BC5"/>
    <w:rsid w:val="008B19FB"/>
    <w:rsid w:val="008B319F"/>
    <w:rsid w:val="008B3B81"/>
    <w:rsid w:val="008B63E6"/>
    <w:rsid w:val="008C187A"/>
    <w:rsid w:val="008C29C5"/>
    <w:rsid w:val="008C5036"/>
    <w:rsid w:val="008C7C27"/>
    <w:rsid w:val="008D1AE8"/>
    <w:rsid w:val="008D3A71"/>
    <w:rsid w:val="008D7CBA"/>
    <w:rsid w:val="008F1879"/>
    <w:rsid w:val="00903F7D"/>
    <w:rsid w:val="009077CE"/>
    <w:rsid w:val="00907BDD"/>
    <w:rsid w:val="0091117E"/>
    <w:rsid w:val="00913192"/>
    <w:rsid w:val="00917468"/>
    <w:rsid w:val="00925607"/>
    <w:rsid w:val="00931BD6"/>
    <w:rsid w:val="0094376F"/>
    <w:rsid w:val="00956A70"/>
    <w:rsid w:val="00960EE1"/>
    <w:rsid w:val="00961461"/>
    <w:rsid w:val="00964A3D"/>
    <w:rsid w:val="0097571A"/>
    <w:rsid w:val="00982EE5"/>
    <w:rsid w:val="00993652"/>
    <w:rsid w:val="00994890"/>
    <w:rsid w:val="009952B9"/>
    <w:rsid w:val="00995BB7"/>
    <w:rsid w:val="009960A4"/>
    <w:rsid w:val="009A018D"/>
    <w:rsid w:val="009A343E"/>
    <w:rsid w:val="009A39BF"/>
    <w:rsid w:val="009A60DB"/>
    <w:rsid w:val="009B392D"/>
    <w:rsid w:val="009B6450"/>
    <w:rsid w:val="009C1D8F"/>
    <w:rsid w:val="009C2AE1"/>
    <w:rsid w:val="009C372D"/>
    <w:rsid w:val="009C5CA7"/>
    <w:rsid w:val="009C5CC6"/>
    <w:rsid w:val="009C7725"/>
    <w:rsid w:val="009D72D5"/>
    <w:rsid w:val="009E0916"/>
    <w:rsid w:val="009E63E6"/>
    <w:rsid w:val="009F1E0A"/>
    <w:rsid w:val="009F202E"/>
    <w:rsid w:val="009F525E"/>
    <w:rsid w:val="00A063C4"/>
    <w:rsid w:val="00A1290C"/>
    <w:rsid w:val="00A15908"/>
    <w:rsid w:val="00A26718"/>
    <w:rsid w:val="00A2735B"/>
    <w:rsid w:val="00A27CBC"/>
    <w:rsid w:val="00A31006"/>
    <w:rsid w:val="00A40F4A"/>
    <w:rsid w:val="00A441CC"/>
    <w:rsid w:val="00A54B96"/>
    <w:rsid w:val="00A64E84"/>
    <w:rsid w:val="00A65BBA"/>
    <w:rsid w:val="00A669F3"/>
    <w:rsid w:val="00A70E66"/>
    <w:rsid w:val="00A72BBF"/>
    <w:rsid w:val="00A77860"/>
    <w:rsid w:val="00A77DBC"/>
    <w:rsid w:val="00A81AD1"/>
    <w:rsid w:val="00A83CE7"/>
    <w:rsid w:val="00A85EE5"/>
    <w:rsid w:val="00A961C2"/>
    <w:rsid w:val="00A96E42"/>
    <w:rsid w:val="00A9781F"/>
    <w:rsid w:val="00AA3724"/>
    <w:rsid w:val="00AA3DF3"/>
    <w:rsid w:val="00AB309F"/>
    <w:rsid w:val="00AB70B8"/>
    <w:rsid w:val="00AB731E"/>
    <w:rsid w:val="00AC6D31"/>
    <w:rsid w:val="00AD1BF0"/>
    <w:rsid w:val="00AD29CB"/>
    <w:rsid w:val="00AD4846"/>
    <w:rsid w:val="00AD686B"/>
    <w:rsid w:val="00AD79C9"/>
    <w:rsid w:val="00AE04F7"/>
    <w:rsid w:val="00AE1217"/>
    <w:rsid w:val="00AF244D"/>
    <w:rsid w:val="00AF45B9"/>
    <w:rsid w:val="00AF4FD8"/>
    <w:rsid w:val="00AF6767"/>
    <w:rsid w:val="00AF7803"/>
    <w:rsid w:val="00B0030F"/>
    <w:rsid w:val="00B01D5C"/>
    <w:rsid w:val="00B052EE"/>
    <w:rsid w:val="00B05BA6"/>
    <w:rsid w:val="00B07BC7"/>
    <w:rsid w:val="00B101D1"/>
    <w:rsid w:val="00B2173A"/>
    <w:rsid w:val="00B22F3E"/>
    <w:rsid w:val="00B23052"/>
    <w:rsid w:val="00B256B3"/>
    <w:rsid w:val="00B25B90"/>
    <w:rsid w:val="00B26087"/>
    <w:rsid w:val="00B3672C"/>
    <w:rsid w:val="00B3721D"/>
    <w:rsid w:val="00B411AD"/>
    <w:rsid w:val="00B451AF"/>
    <w:rsid w:val="00B45D8E"/>
    <w:rsid w:val="00B45FAC"/>
    <w:rsid w:val="00B4734B"/>
    <w:rsid w:val="00B51E8F"/>
    <w:rsid w:val="00B61563"/>
    <w:rsid w:val="00B65A7B"/>
    <w:rsid w:val="00B7196F"/>
    <w:rsid w:val="00B72417"/>
    <w:rsid w:val="00B74B85"/>
    <w:rsid w:val="00B86C1F"/>
    <w:rsid w:val="00B91000"/>
    <w:rsid w:val="00B91480"/>
    <w:rsid w:val="00B92751"/>
    <w:rsid w:val="00B93EF8"/>
    <w:rsid w:val="00B94FAE"/>
    <w:rsid w:val="00BA087C"/>
    <w:rsid w:val="00BB25FF"/>
    <w:rsid w:val="00BB3B33"/>
    <w:rsid w:val="00BB4F41"/>
    <w:rsid w:val="00BB6E09"/>
    <w:rsid w:val="00BB7143"/>
    <w:rsid w:val="00BB7156"/>
    <w:rsid w:val="00BC264D"/>
    <w:rsid w:val="00BC3BCB"/>
    <w:rsid w:val="00BC4766"/>
    <w:rsid w:val="00BD7D3A"/>
    <w:rsid w:val="00BE073F"/>
    <w:rsid w:val="00BE2966"/>
    <w:rsid w:val="00BE5F85"/>
    <w:rsid w:val="00BF33A8"/>
    <w:rsid w:val="00BF7F34"/>
    <w:rsid w:val="00C05F7B"/>
    <w:rsid w:val="00C12ACA"/>
    <w:rsid w:val="00C13AEF"/>
    <w:rsid w:val="00C32DB8"/>
    <w:rsid w:val="00C369D2"/>
    <w:rsid w:val="00C37C26"/>
    <w:rsid w:val="00C40563"/>
    <w:rsid w:val="00C40FA8"/>
    <w:rsid w:val="00C42ECC"/>
    <w:rsid w:val="00C4313C"/>
    <w:rsid w:val="00C518E4"/>
    <w:rsid w:val="00C53ADA"/>
    <w:rsid w:val="00C60635"/>
    <w:rsid w:val="00C61E1D"/>
    <w:rsid w:val="00C67E53"/>
    <w:rsid w:val="00C75AF4"/>
    <w:rsid w:val="00C75F53"/>
    <w:rsid w:val="00C80396"/>
    <w:rsid w:val="00C809DF"/>
    <w:rsid w:val="00C814EA"/>
    <w:rsid w:val="00C827F4"/>
    <w:rsid w:val="00C838A5"/>
    <w:rsid w:val="00C930DC"/>
    <w:rsid w:val="00C942F8"/>
    <w:rsid w:val="00C960F6"/>
    <w:rsid w:val="00CA03ED"/>
    <w:rsid w:val="00CA216A"/>
    <w:rsid w:val="00CA3F0F"/>
    <w:rsid w:val="00CA57C5"/>
    <w:rsid w:val="00CB1CAB"/>
    <w:rsid w:val="00CB4522"/>
    <w:rsid w:val="00CB5BDB"/>
    <w:rsid w:val="00CC3A37"/>
    <w:rsid w:val="00CC66F6"/>
    <w:rsid w:val="00CD25F6"/>
    <w:rsid w:val="00CD6673"/>
    <w:rsid w:val="00CD75EF"/>
    <w:rsid w:val="00CE1353"/>
    <w:rsid w:val="00CE20CC"/>
    <w:rsid w:val="00CE5457"/>
    <w:rsid w:val="00CF0833"/>
    <w:rsid w:val="00CF24B0"/>
    <w:rsid w:val="00CF6C4A"/>
    <w:rsid w:val="00D01EFE"/>
    <w:rsid w:val="00D040E1"/>
    <w:rsid w:val="00D11D9D"/>
    <w:rsid w:val="00D25C9D"/>
    <w:rsid w:val="00D26CAC"/>
    <w:rsid w:val="00D41261"/>
    <w:rsid w:val="00D46047"/>
    <w:rsid w:val="00D526BE"/>
    <w:rsid w:val="00D57EA7"/>
    <w:rsid w:val="00D62D89"/>
    <w:rsid w:val="00D66EE0"/>
    <w:rsid w:val="00D808DD"/>
    <w:rsid w:val="00D80FDF"/>
    <w:rsid w:val="00D810A0"/>
    <w:rsid w:val="00D9302D"/>
    <w:rsid w:val="00D96FE3"/>
    <w:rsid w:val="00DA5449"/>
    <w:rsid w:val="00DB08B8"/>
    <w:rsid w:val="00DB122B"/>
    <w:rsid w:val="00DB29D5"/>
    <w:rsid w:val="00DB3906"/>
    <w:rsid w:val="00DB4D52"/>
    <w:rsid w:val="00DB4FCE"/>
    <w:rsid w:val="00DB77A1"/>
    <w:rsid w:val="00DC20DB"/>
    <w:rsid w:val="00DC728F"/>
    <w:rsid w:val="00DD4132"/>
    <w:rsid w:val="00DD64CC"/>
    <w:rsid w:val="00DE0095"/>
    <w:rsid w:val="00DE5CE5"/>
    <w:rsid w:val="00DF1CF5"/>
    <w:rsid w:val="00DF2313"/>
    <w:rsid w:val="00DF3E97"/>
    <w:rsid w:val="00DF7E95"/>
    <w:rsid w:val="00E0318A"/>
    <w:rsid w:val="00E0327D"/>
    <w:rsid w:val="00E22D9A"/>
    <w:rsid w:val="00E368A1"/>
    <w:rsid w:val="00E37A62"/>
    <w:rsid w:val="00E47601"/>
    <w:rsid w:val="00E47DDD"/>
    <w:rsid w:val="00E50063"/>
    <w:rsid w:val="00E51AED"/>
    <w:rsid w:val="00E521EE"/>
    <w:rsid w:val="00E53962"/>
    <w:rsid w:val="00E56D00"/>
    <w:rsid w:val="00E60601"/>
    <w:rsid w:val="00E613C2"/>
    <w:rsid w:val="00E61746"/>
    <w:rsid w:val="00E65C47"/>
    <w:rsid w:val="00E65E78"/>
    <w:rsid w:val="00E70601"/>
    <w:rsid w:val="00E710DE"/>
    <w:rsid w:val="00E769C7"/>
    <w:rsid w:val="00E76A04"/>
    <w:rsid w:val="00E803E6"/>
    <w:rsid w:val="00E80D34"/>
    <w:rsid w:val="00E81F4E"/>
    <w:rsid w:val="00E85BA4"/>
    <w:rsid w:val="00E87354"/>
    <w:rsid w:val="00E901E9"/>
    <w:rsid w:val="00E92873"/>
    <w:rsid w:val="00E92923"/>
    <w:rsid w:val="00E9684B"/>
    <w:rsid w:val="00EA0FB0"/>
    <w:rsid w:val="00EA5DE8"/>
    <w:rsid w:val="00EB2BDE"/>
    <w:rsid w:val="00EB500F"/>
    <w:rsid w:val="00EB5031"/>
    <w:rsid w:val="00EC36F1"/>
    <w:rsid w:val="00EC5E05"/>
    <w:rsid w:val="00ED045E"/>
    <w:rsid w:val="00EE01C0"/>
    <w:rsid w:val="00EE3280"/>
    <w:rsid w:val="00EE6D69"/>
    <w:rsid w:val="00EF301F"/>
    <w:rsid w:val="00EF63E6"/>
    <w:rsid w:val="00F03A9F"/>
    <w:rsid w:val="00F13E26"/>
    <w:rsid w:val="00F13E5C"/>
    <w:rsid w:val="00F16C86"/>
    <w:rsid w:val="00F174C7"/>
    <w:rsid w:val="00F2310D"/>
    <w:rsid w:val="00F23DF3"/>
    <w:rsid w:val="00F24A1F"/>
    <w:rsid w:val="00F26B95"/>
    <w:rsid w:val="00F30644"/>
    <w:rsid w:val="00F32F12"/>
    <w:rsid w:val="00F40EC8"/>
    <w:rsid w:val="00F42D09"/>
    <w:rsid w:val="00F4430E"/>
    <w:rsid w:val="00F473CE"/>
    <w:rsid w:val="00F52AEE"/>
    <w:rsid w:val="00F5397A"/>
    <w:rsid w:val="00F54073"/>
    <w:rsid w:val="00F552A3"/>
    <w:rsid w:val="00F6010C"/>
    <w:rsid w:val="00F64517"/>
    <w:rsid w:val="00F65576"/>
    <w:rsid w:val="00F65797"/>
    <w:rsid w:val="00F6653C"/>
    <w:rsid w:val="00F679ED"/>
    <w:rsid w:val="00F67B7E"/>
    <w:rsid w:val="00F71527"/>
    <w:rsid w:val="00F740EB"/>
    <w:rsid w:val="00F75558"/>
    <w:rsid w:val="00F811CC"/>
    <w:rsid w:val="00F85FBF"/>
    <w:rsid w:val="00F91321"/>
    <w:rsid w:val="00F9256C"/>
    <w:rsid w:val="00F95BBA"/>
    <w:rsid w:val="00F96BF0"/>
    <w:rsid w:val="00FC7B0D"/>
    <w:rsid w:val="00FD1EA4"/>
    <w:rsid w:val="00FD3AC7"/>
    <w:rsid w:val="00FD6F57"/>
    <w:rsid w:val="00FD7AE3"/>
    <w:rsid w:val="00FE233C"/>
    <w:rsid w:val="00FF3BEB"/>
    <w:rsid w:val="00FF7A1F"/>
    <w:rsid w:val="01D455E9"/>
    <w:rsid w:val="01FF60F5"/>
    <w:rsid w:val="021667B7"/>
    <w:rsid w:val="021770C2"/>
    <w:rsid w:val="02481A9B"/>
    <w:rsid w:val="028B1B6C"/>
    <w:rsid w:val="02AC3AF6"/>
    <w:rsid w:val="02BA09D4"/>
    <w:rsid w:val="02DE0624"/>
    <w:rsid w:val="033835A6"/>
    <w:rsid w:val="03402552"/>
    <w:rsid w:val="03735124"/>
    <w:rsid w:val="039828A5"/>
    <w:rsid w:val="03A54EBA"/>
    <w:rsid w:val="03B1595B"/>
    <w:rsid w:val="04572A8F"/>
    <w:rsid w:val="0496293E"/>
    <w:rsid w:val="04DA7517"/>
    <w:rsid w:val="04E841F5"/>
    <w:rsid w:val="050B181E"/>
    <w:rsid w:val="053C5E5C"/>
    <w:rsid w:val="05540A73"/>
    <w:rsid w:val="05626FAA"/>
    <w:rsid w:val="056D7F93"/>
    <w:rsid w:val="05DC0DD7"/>
    <w:rsid w:val="06371926"/>
    <w:rsid w:val="06532730"/>
    <w:rsid w:val="06737104"/>
    <w:rsid w:val="0676641E"/>
    <w:rsid w:val="06C16C5E"/>
    <w:rsid w:val="06E47235"/>
    <w:rsid w:val="07034660"/>
    <w:rsid w:val="070C3C79"/>
    <w:rsid w:val="073302AC"/>
    <w:rsid w:val="074759A8"/>
    <w:rsid w:val="07854B6B"/>
    <w:rsid w:val="079906B4"/>
    <w:rsid w:val="079C0651"/>
    <w:rsid w:val="07D614BA"/>
    <w:rsid w:val="07FF6A27"/>
    <w:rsid w:val="08292EBA"/>
    <w:rsid w:val="08D062B9"/>
    <w:rsid w:val="08DD24D2"/>
    <w:rsid w:val="08E80B3C"/>
    <w:rsid w:val="091B2FA3"/>
    <w:rsid w:val="09912DE6"/>
    <w:rsid w:val="0A166E80"/>
    <w:rsid w:val="0A5158A8"/>
    <w:rsid w:val="0A516F86"/>
    <w:rsid w:val="0A5C57E9"/>
    <w:rsid w:val="0AC2661A"/>
    <w:rsid w:val="0B1A1391"/>
    <w:rsid w:val="0BA24BB7"/>
    <w:rsid w:val="0BB2042D"/>
    <w:rsid w:val="0C0A1F07"/>
    <w:rsid w:val="0C0C7A33"/>
    <w:rsid w:val="0C6F6E83"/>
    <w:rsid w:val="0C9B6363"/>
    <w:rsid w:val="0CA5180B"/>
    <w:rsid w:val="0CC166F5"/>
    <w:rsid w:val="0CC51EAD"/>
    <w:rsid w:val="0CD5759E"/>
    <w:rsid w:val="0D576E17"/>
    <w:rsid w:val="0D747A01"/>
    <w:rsid w:val="0D7A41A3"/>
    <w:rsid w:val="0D99207C"/>
    <w:rsid w:val="0DA13D15"/>
    <w:rsid w:val="0DC7607F"/>
    <w:rsid w:val="0E0479B4"/>
    <w:rsid w:val="0E4868F2"/>
    <w:rsid w:val="0E8C636B"/>
    <w:rsid w:val="0E9D33EB"/>
    <w:rsid w:val="0EAE17EC"/>
    <w:rsid w:val="0EB349AC"/>
    <w:rsid w:val="0EC91CFF"/>
    <w:rsid w:val="0ED0335E"/>
    <w:rsid w:val="0EDB625A"/>
    <w:rsid w:val="0EF16692"/>
    <w:rsid w:val="0EFF191C"/>
    <w:rsid w:val="0F186A44"/>
    <w:rsid w:val="0F4A192E"/>
    <w:rsid w:val="0F5255C4"/>
    <w:rsid w:val="0F711E78"/>
    <w:rsid w:val="103D1CA0"/>
    <w:rsid w:val="108770F8"/>
    <w:rsid w:val="10B15DF9"/>
    <w:rsid w:val="10B33AA8"/>
    <w:rsid w:val="10BD40DE"/>
    <w:rsid w:val="114A5CF2"/>
    <w:rsid w:val="118F0E2E"/>
    <w:rsid w:val="122050A0"/>
    <w:rsid w:val="12DA11C4"/>
    <w:rsid w:val="13345D1A"/>
    <w:rsid w:val="136F131A"/>
    <w:rsid w:val="13AB21F3"/>
    <w:rsid w:val="13D65F26"/>
    <w:rsid w:val="13DD2B16"/>
    <w:rsid w:val="14743697"/>
    <w:rsid w:val="148145B2"/>
    <w:rsid w:val="14B60BA1"/>
    <w:rsid w:val="15112E59"/>
    <w:rsid w:val="158D403E"/>
    <w:rsid w:val="166E185F"/>
    <w:rsid w:val="17233A23"/>
    <w:rsid w:val="175643CE"/>
    <w:rsid w:val="17630148"/>
    <w:rsid w:val="177456E3"/>
    <w:rsid w:val="17A67692"/>
    <w:rsid w:val="17D2215E"/>
    <w:rsid w:val="1856031D"/>
    <w:rsid w:val="18DC02E3"/>
    <w:rsid w:val="199C755F"/>
    <w:rsid w:val="19F351AF"/>
    <w:rsid w:val="19F45B80"/>
    <w:rsid w:val="1AE71241"/>
    <w:rsid w:val="1AFF224F"/>
    <w:rsid w:val="1B126513"/>
    <w:rsid w:val="1B6A2F7D"/>
    <w:rsid w:val="1B834903"/>
    <w:rsid w:val="1B9C202B"/>
    <w:rsid w:val="1BC829CE"/>
    <w:rsid w:val="1BF371F6"/>
    <w:rsid w:val="1BFD29D8"/>
    <w:rsid w:val="1BFE05F5"/>
    <w:rsid w:val="1C37683F"/>
    <w:rsid w:val="1C534F2C"/>
    <w:rsid w:val="1C85467A"/>
    <w:rsid w:val="1D5C3357"/>
    <w:rsid w:val="1D821C11"/>
    <w:rsid w:val="1D8D04A9"/>
    <w:rsid w:val="1DA351A9"/>
    <w:rsid w:val="1DA92536"/>
    <w:rsid w:val="1DF74712"/>
    <w:rsid w:val="1DFD71F5"/>
    <w:rsid w:val="1DFE4FB7"/>
    <w:rsid w:val="1E191B5D"/>
    <w:rsid w:val="1E8C0409"/>
    <w:rsid w:val="1EB150F1"/>
    <w:rsid w:val="1EC872DF"/>
    <w:rsid w:val="1EFC46B8"/>
    <w:rsid w:val="1F0A2BD8"/>
    <w:rsid w:val="1F4B5BDC"/>
    <w:rsid w:val="1FF055C0"/>
    <w:rsid w:val="20767B23"/>
    <w:rsid w:val="211C7E96"/>
    <w:rsid w:val="2137706C"/>
    <w:rsid w:val="213D1656"/>
    <w:rsid w:val="215821EA"/>
    <w:rsid w:val="21D16708"/>
    <w:rsid w:val="21E2725F"/>
    <w:rsid w:val="21EE6DD2"/>
    <w:rsid w:val="224D675D"/>
    <w:rsid w:val="229D4001"/>
    <w:rsid w:val="22A60E9B"/>
    <w:rsid w:val="231F143E"/>
    <w:rsid w:val="232A3D47"/>
    <w:rsid w:val="23491482"/>
    <w:rsid w:val="23577365"/>
    <w:rsid w:val="237F3412"/>
    <w:rsid w:val="23A44173"/>
    <w:rsid w:val="23AA04C8"/>
    <w:rsid w:val="23B578D1"/>
    <w:rsid w:val="23B77B29"/>
    <w:rsid w:val="23F46C7D"/>
    <w:rsid w:val="24000D47"/>
    <w:rsid w:val="24707B88"/>
    <w:rsid w:val="24D8777E"/>
    <w:rsid w:val="24EF2F34"/>
    <w:rsid w:val="25065C6D"/>
    <w:rsid w:val="25267A42"/>
    <w:rsid w:val="25490655"/>
    <w:rsid w:val="25A51306"/>
    <w:rsid w:val="25D04709"/>
    <w:rsid w:val="260D2B7E"/>
    <w:rsid w:val="262E640B"/>
    <w:rsid w:val="26621799"/>
    <w:rsid w:val="26727E38"/>
    <w:rsid w:val="26857932"/>
    <w:rsid w:val="268C1CB6"/>
    <w:rsid w:val="26B15393"/>
    <w:rsid w:val="26BB0A17"/>
    <w:rsid w:val="26EE03D2"/>
    <w:rsid w:val="26F75065"/>
    <w:rsid w:val="270D5336"/>
    <w:rsid w:val="27160911"/>
    <w:rsid w:val="272A0C64"/>
    <w:rsid w:val="27C223E1"/>
    <w:rsid w:val="27D97F6F"/>
    <w:rsid w:val="27EF230B"/>
    <w:rsid w:val="284101E2"/>
    <w:rsid w:val="287945F8"/>
    <w:rsid w:val="28BE150E"/>
    <w:rsid w:val="28CF54E9"/>
    <w:rsid w:val="28D44692"/>
    <w:rsid w:val="28D55D70"/>
    <w:rsid w:val="297F109B"/>
    <w:rsid w:val="298C0F82"/>
    <w:rsid w:val="29A46C7B"/>
    <w:rsid w:val="29F77451"/>
    <w:rsid w:val="29FD638B"/>
    <w:rsid w:val="2A333AC3"/>
    <w:rsid w:val="2A4D4AB1"/>
    <w:rsid w:val="2A5A37DD"/>
    <w:rsid w:val="2A6F30CD"/>
    <w:rsid w:val="2A8924A3"/>
    <w:rsid w:val="2A965BAD"/>
    <w:rsid w:val="2AD51990"/>
    <w:rsid w:val="2B255DA9"/>
    <w:rsid w:val="2B2F6A18"/>
    <w:rsid w:val="2B5C71EC"/>
    <w:rsid w:val="2B630944"/>
    <w:rsid w:val="2B9F4649"/>
    <w:rsid w:val="2BB4233F"/>
    <w:rsid w:val="2C005495"/>
    <w:rsid w:val="2C2C324A"/>
    <w:rsid w:val="2C2D0539"/>
    <w:rsid w:val="2C5A4342"/>
    <w:rsid w:val="2C6332D2"/>
    <w:rsid w:val="2D15577A"/>
    <w:rsid w:val="2D5B3AF4"/>
    <w:rsid w:val="2D932D28"/>
    <w:rsid w:val="2DBC2838"/>
    <w:rsid w:val="2DE5421E"/>
    <w:rsid w:val="2DF17B0E"/>
    <w:rsid w:val="2E435A1B"/>
    <w:rsid w:val="2E7342A5"/>
    <w:rsid w:val="2E8A2CBB"/>
    <w:rsid w:val="2F3D2235"/>
    <w:rsid w:val="2F617719"/>
    <w:rsid w:val="2FA17AA8"/>
    <w:rsid w:val="2FD6629E"/>
    <w:rsid w:val="2FEB19CF"/>
    <w:rsid w:val="30086F97"/>
    <w:rsid w:val="31375E30"/>
    <w:rsid w:val="31562A49"/>
    <w:rsid w:val="31A30D74"/>
    <w:rsid w:val="31B8486C"/>
    <w:rsid w:val="31C30589"/>
    <w:rsid w:val="31D82D55"/>
    <w:rsid w:val="32202957"/>
    <w:rsid w:val="32373D51"/>
    <w:rsid w:val="326254C8"/>
    <w:rsid w:val="326765B9"/>
    <w:rsid w:val="32D050B8"/>
    <w:rsid w:val="32D52A33"/>
    <w:rsid w:val="332920E9"/>
    <w:rsid w:val="33422D50"/>
    <w:rsid w:val="3344151D"/>
    <w:rsid w:val="334E4E66"/>
    <w:rsid w:val="337347F9"/>
    <w:rsid w:val="33D44600"/>
    <w:rsid w:val="34062C83"/>
    <w:rsid w:val="34A52A06"/>
    <w:rsid w:val="34C346C5"/>
    <w:rsid w:val="34D5465F"/>
    <w:rsid w:val="3507680A"/>
    <w:rsid w:val="3514611F"/>
    <w:rsid w:val="352D4F50"/>
    <w:rsid w:val="3556260B"/>
    <w:rsid w:val="35854748"/>
    <w:rsid w:val="35B828ED"/>
    <w:rsid w:val="36A22655"/>
    <w:rsid w:val="37044A6A"/>
    <w:rsid w:val="373F0DAC"/>
    <w:rsid w:val="376B2FC0"/>
    <w:rsid w:val="376E5A1F"/>
    <w:rsid w:val="37704D82"/>
    <w:rsid w:val="378D654A"/>
    <w:rsid w:val="379E7F7A"/>
    <w:rsid w:val="37CA64E2"/>
    <w:rsid w:val="37DE77FC"/>
    <w:rsid w:val="383D0026"/>
    <w:rsid w:val="38D429AD"/>
    <w:rsid w:val="390F0465"/>
    <w:rsid w:val="391C0210"/>
    <w:rsid w:val="39270020"/>
    <w:rsid w:val="39383183"/>
    <w:rsid w:val="397C0C5D"/>
    <w:rsid w:val="39E87EB9"/>
    <w:rsid w:val="39EB5F35"/>
    <w:rsid w:val="39F351B3"/>
    <w:rsid w:val="3B2C5A3D"/>
    <w:rsid w:val="3B36387F"/>
    <w:rsid w:val="3B5906B1"/>
    <w:rsid w:val="3B6B58C4"/>
    <w:rsid w:val="3BBD3BCC"/>
    <w:rsid w:val="3BE70039"/>
    <w:rsid w:val="3C396912"/>
    <w:rsid w:val="3C615D12"/>
    <w:rsid w:val="3C737B65"/>
    <w:rsid w:val="3C780AE5"/>
    <w:rsid w:val="3C9A386D"/>
    <w:rsid w:val="3CAF3102"/>
    <w:rsid w:val="3CD81DCD"/>
    <w:rsid w:val="3D1E3F04"/>
    <w:rsid w:val="3D2A43E2"/>
    <w:rsid w:val="3D3A64FC"/>
    <w:rsid w:val="3D460F9F"/>
    <w:rsid w:val="3D7D7F1F"/>
    <w:rsid w:val="3D89160C"/>
    <w:rsid w:val="3DF71388"/>
    <w:rsid w:val="3E02212E"/>
    <w:rsid w:val="3E0F533D"/>
    <w:rsid w:val="3E171CB9"/>
    <w:rsid w:val="3E4E77ED"/>
    <w:rsid w:val="3E562D26"/>
    <w:rsid w:val="3EB509AB"/>
    <w:rsid w:val="3EE66259"/>
    <w:rsid w:val="3EF742B8"/>
    <w:rsid w:val="3F977D30"/>
    <w:rsid w:val="3FC209A5"/>
    <w:rsid w:val="3FDE4097"/>
    <w:rsid w:val="40184D4C"/>
    <w:rsid w:val="41474664"/>
    <w:rsid w:val="416C68B2"/>
    <w:rsid w:val="41857002"/>
    <w:rsid w:val="41914B9C"/>
    <w:rsid w:val="423727AF"/>
    <w:rsid w:val="423C36DA"/>
    <w:rsid w:val="42ED3052"/>
    <w:rsid w:val="430859A4"/>
    <w:rsid w:val="430D40E2"/>
    <w:rsid w:val="43147B2A"/>
    <w:rsid w:val="4322482D"/>
    <w:rsid w:val="4326046E"/>
    <w:rsid w:val="4347602A"/>
    <w:rsid w:val="43500321"/>
    <w:rsid w:val="43907AAB"/>
    <w:rsid w:val="43A713E9"/>
    <w:rsid w:val="43B92AD4"/>
    <w:rsid w:val="43EF3E47"/>
    <w:rsid w:val="44240C8C"/>
    <w:rsid w:val="44942FDA"/>
    <w:rsid w:val="44C8042A"/>
    <w:rsid w:val="45302BD4"/>
    <w:rsid w:val="45B022C1"/>
    <w:rsid w:val="45C074BD"/>
    <w:rsid w:val="465B56CC"/>
    <w:rsid w:val="46670666"/>
    <w:rsid w:val="46B9747D"/>
    <w:rsid w:val="46D80094"/>
    <w:rsid w:val="46E61878"/>
    <w:rsid w:val="46E67759"/>
    <w:rsid w:val="46F712AD"/>
    <w:rsid w:val="472471F5"/>
    <w:rsid w:val="472F1778"/>
    <w:rsid w:val="472F77D1"/>
    <w:rsid w:val="473531B0"/>
    <w:rsid w:val="475058C1"/>
    <w:rsid w:val="475641F2"/>
    <w:rsid w:val="477636B7"/>
    <w:rsid w:val="477938B2"/>
    <w:rsid w:val="479145AE"/>
    <w:rsid w:val="47A46039"/>
    <w:rsid w:val="47AF7BAC"/>
    <w:rsid w:val="47D52A35"/>
    <w:rsid w:val="47E260CB"/>
    <w:rsid w:val="4864598B"/>
    <w:rsid w:val="488064F7"/>
    <w:rsid w:val="48A92A0A"/>
    <w:rsid w:val="48DA25A1"/>
    <w:rsid w:val="48FA2D2E"/>
    <w:rsid w:val="494819CC"/>
    <w:rsid w:val="49543DC1"/>
    <w:rsid w:val="496D6CFF"/>
    <w:rsid w:val="499D7160"/>
    <w:rsid w:val="49B410A0"/>
    <w:rsid w:val="49C62F3E"/>
    <w:rsid w:val="49E43746"/>
    <w:rsid w:val="49E807E5"/>
    <w:rsid w:val="49E92F56"/>
    <w:rsid w:val="4A022A27"/>
    <w:rsid w:val="4A173752"/>
    <w:rsid w:val="4A8872F4"/>
    <w:rsid w:val="4AE23436"/>
    <w:rsid w:val="4AE73740"/>
    <w:rsid w:val="4AEE10EC"/>
    <w:rsid w:val="4B4610A8"/>
    <w:rsid w:val="4B6F7749"/>
    <w:rsid w:val="4B717E32"/>
    <w:rsid w:val="4B8E2E8F"/>
    <w:rsid w:val="4BB34AF1"/>
    <w:rsid w:val="4C2C360A"/>
    <w:rsid w:val="4C4E6CA7"/>
    <w:rsid w:val="4C554C45"/>
    <w:rsid w:val="4CAB4BA1"/>
    <w:rsid w:val="4CD17FB8"/>
    <w:rsid w:val="4CD21ED7"/>
    <w:rsid w:val="4D4447CB"/>
    <w:rsid w:val="4D4A4D53"/>
    <w:rsid w:val="4D891B60"/>
    <w:rsid w:val="4D966681"/>
    <w:rsid w:val="4DFE46E3"/>
    <w:rsid w:val="4E06307E"/>
    <w:rsid w:val="4E0929FA"/>
    <w:rsid w:val="4E3F17A7"/>
    <w:rsid w:val="4E52163B"/>
    <w:rsid w:val="4E9655A4"/>
    <w:rsid w:val="4EF2515B"/>
    <w:rsid w:val="4F087A62"/>
    <w:rsid w:val="4F156405"/>
    <w:rsid w:val="4F2B02D3"/>
    <w:rsid w:val="4F796372"/>
    <w:rsid w:val="4F8565E0"/>
    <w:rsid w:val="4F9E0C1C"/>
    <w:rsid w:val="4FBF6004"/>
    <w:rsid w:val="4FCA74D2"/>
    <w:rsid w:val="4FE42C5E"/>
    <w:rsid w:val="4FE71A64"/>
    <w:rsid w:val="50A6517A"/>
    <w:rsid w:val="50B04857"/>
    <w:rsid w:val="50B85404"/>
    <w:rsid w:val="50CB4FDE"/>
    <w:rsid w:val="510435BD"/>
    <w:rsid w:val="510B2C9A"/>
    <w:rsid w:val="510C60AC"/>
    <w:rsid w:val="512B049F"/>
    <w:rsid w:val="5152745C"/>
    <w:rsid w:val="518A026E"/>
    <w:rsid w:val="51A20611"/>
    <w:rsid w:val="51E952C3"/>
    <w:rsid w:val="52106BFB"/>
    <w:rsid w:val="52271947"/>
    <w:rsid w:val="52AA208A"/>
    <w:rsid w:val="52D3730D"/>
    <w:rsid w:val="53470F5C"/>
    <w:rsid w:val="537B1F4B"/>
    <w:rsid w:val="53863068"/>
    <w:rsid w:val="53E56F6C"/>
    <w:rsid w:val="549C07F6"/>
    <w:rsid w:val="549F555B"/>
    <w:rsid w:val="551B130D"/>
    <w:rsid w:val="55432F3C"/>
    <w:rsid w:val="55754722"/>
    <w:rsid w:val="55B053A6"/>
    <w:rsid w:val="55F53ECB"/>
    <w:rsid w:val="561A009E"/>
    <w:rsid w:val="561F23A5"/>
    <w:rsid w:val="564572FA"/>
    <w:rsid w:val="56AD7ACE"/>
    <w:rsid w:val="56F93C0C"/>
    <w:rsid w:val="576A1A86"/>
    <w:rsid w:val="57E66626"/>
    <w:rsid w:val="58236EF7"/>
    <w:rsid w:val="582F175C"/>
    <w:rsid w:val="583F3D28"/>
    <w:rsid w:val="58DC348C"/>
    <w:rsid w:val="591C65F7"/>
    <w:rsid w:val="59296199"/>
    <w:rsid w:val="599D38F2"/>
    <w:rsid w:val="5A23621C"/>
    <w:rsid w:val="5A8B6F17"/>
    <w:rsid w:val="5AA26734"/>
    <w:rsid w:val="5AA71BB3"/>
    <w:rsid w:val="5AB514B0"/>
    <w:rsid w:val="5AD8500F"/>
    <w:rsid w:val="5B616636"/>
    <w:rsid w:val="5B6330A3"/>
    <w:rsid w:val="5BB10BFF"/>
    <w:rsid w:val="5BDD749C"/>
    <w:rsid w:val="5C3E7378"/>
    <w:rsid w:val="5C580E87"/>
    <w:rsid w:val="5CCB20D8"/>
    <w:rsid w:val="5D3D64C3"/>
    <w:rsid w:val="5D467F0F"/>
    <w:rsid w:val="5DAE75F5"/>
    <w:rsid w:val="5DB2258D"/>
    <w:rsid w:val="5DD04111"/>
    <w:rsid w:val="5DF0323E"/>
    <w:rsid w:val="5E522AB5"/>
    <w:rsid w:val="5E57132E"/>
    <w:rsid w:val="5EAA465A"/>
    <w:rsid w:val="5EB01642"/>
    <w:rsid w:val="5F7F37E6"/>
    <w:rsid w:val="5FAB0540"/>
    <w:rsid w:val="5FCF3D4A"/>
    <w:rsid w:val="5FE92413"/>
    <w:rsid w:val="600B2E99"/>
    <w:rsid w:val="600D5DA2"/>
    <w:rsid w:val="60997609"/>
    <w:rsid w:val="60D92451"/>
    <w:rsid w:val="60F250DA"/>
    <w:rsid w:val="6109328C"/>
    <w:rsid w:val="612A76B7"/>
    <w:rsid w:val="614455B1"/>
    <w:rsid w:val="61652617"/>
    <w:rsid w:val="61DD08E2"/>
    <w:rsid w:val="62422518"/>
    <w:rsid w:val="62537EA6"/>
    <w:rsid w:val="625A7DEB"/>
    <w:rsid w:val="62AC0152"/>
    <w:rsid w:val="63377C6D"/>
    <w:rsid w:val="63524CDC"/>
    <w:rsid w:val="636A070C"/>
    <w:rsid w:val="63D525A8"/>
    <w:rsid w:val="64074834"/>
    <w:rsid w:val="643539BC"/>
    <w:rsid w:val="64414926"/>
    <w:rsid w:val="64422563"/>
    <w:rsid w:val="64941332"/>
    <w:rsid w:val="64D73325"/>
    <w:rsid w:val="650F3C5A"/>
    <w:rsid w:val="6513207F"/>
    <w:rsid w:val="651E57E8"/>
    <w:rsid w:val="651F4134"/>
    <w:rsid w:val="6622787D"/>
    <w:rsid w:val="66605DDB"/>
    <w:rsid w:val="66861A38"/>
    <w:rsid w:val="6728785E"/>
    <w:rsid w:val="679676FD"/>
    <w:rsid w:val="67B17356"/>
    <w:rsid w:val="67C9543B"/>
    <w:rsid w:val="67DD2DCB"/>
    <w:rsid w:val="680E2689"/>
    <w:rsid w:val="68191C32"/>
    <w:rsid w:val="68FE1B83"/>
    <w:rsid w:val="691B2AD6"/>
    <w:rsid w:val="6924783C"/>
    <w:rsid w:val="69343230"/>
    <w:rsid w:val="69373F06"/>
    <w:rsid w:val="69AA0FF1"/>
    <w:rsid w:val="69BF5494"/>
    <w:rsid w:val="6A44443B"/>
    <w:rsid w:val="6A461239"/>
    <w:rsid w:val="6A4E1E7E"/>
    <w:rsid w:val="6A4F3391"/>
    <w:rsid w:val="6AB25751"/>
    <w:rsid w:val="6AB4448A"/>
    <w:rsid w:val="6AE937A6"/>
    <w:rsid w:val="6B633A78"/>
    <w:rsid w:val="6B8D5B71"/>
    <w:rsid w:val="6BB137F4"/>
    <w:rsid w:val="6C2E5548"/>
    <w:rsid w:val="6D0B4529"/>
    <w:rsid w:val="6D102844"/>
    <w:rsid w:val="6D3818B2"/>
    <w:rsid w:val="6D6A650E"/>
    <w:rsid w:val="6D807B87"/>
    <w:rsid w:val="6D921616"/>
    <w:rsid w:val="6DC00719"/>
    <w:rsid w:val="6DEC645A"/>
    <w:rsid w:val="6E1B25FD"/>
    <w:rsid w:val="6E2316F0"/>
    <w:rsid w:val="6E341B07"/>
    <w:rsid w:val="6E4544CB"/>
    <w:rsid w:val="6E58413A"/>
    <w:rsid w:val="6E6A4918"/>
    <w:rsid w:val="6EE4674B"/>
    <w:rsid w:val="6F0D4505"/>
    <w:rsid w:val="6F1B51A3"/>
    <w:rsid w:val="6F67240D"/>
    <w:rsid w:val="6F6B6DCC"/>
    <w:rsid w:val="6FD22E63"/>
    <w:rsid w:val="6FDF6549"/>
    <w:rsid w:val="700A492A"/>
    <w:rsid w:val="70521C46"/>
    <w:rsid w:val="705926AB"/>
    <w:rsid w:val="70751D8D"/>
    <w:rsid w:val="70780A9C"/>
    <w:rsid w:val="708541A7"/>
    <w:rsid w:val="70D87EF2"/>
    <w:rsid w:val="70F80425"/>
    <w:rsid w:val="71985D01"/>
    <w:rsid w:val="71A60683"/>
    <w:rsid w:val="71C034F3"/>
    <w:rsid w:val="71E833EE"/>
    <w:rsid w:val="720C7F9A"/>
    <w:rsid w:val="72441AE6"/>
    <w:rsid w:val="72641A80"/>
    <w:rsid w:val="726750EE"/>
    <w:rsid w:val="727275F5"/>
    <w:rsid w:val="72A6053E"/>
    <w:rsid w:val="731324CB"/>
    <w:rsid w:val="7396115C"/>
    <w:rsid w:val="73991FF9"/>
    <w:rsid w:val="73C517DD"/>
    <w:rsid w:val="749C63CE"/>
    <w:rsid w:val="74A30B79"/>
    <w:rsid w:val="75267B69"/>
    <w:rsid w:val="75362737"/>
    <w:rsid w:val="754E6E0E"/>
    <w:rsid w:val="75620896"/>
    <w:rsid w:val="7565404E"/>
    <w:rsid w:val="75686C16"/>
    <w:rsid w:val="75765ADD"/>
    <w:rsid w:val="7579727D"/>
    <w:rsid w:val="75AF4B45"/>
    <w:rsid w:val="75BF758D"/>
    <w:rsid w:val="75C0215B"/>
    <w:rsid w:val="75FA6FC8"/>
    <w:rsid w:val="760342F6"/>
    <w:rsid w:val="760D5CA9"/>
    <w:rsid w:val="76280407"/>
    <w:rsid w:val="763B6937"/>
    <w:rsid w:val="76F2417D"/>
    <w:rsid w:val="77040D55"/>
    <w:rsid w:val="77065486"/>
    <w:rsid w:val="778A7F38"/>
    <w:rsid w:val="77970481"/>
    <w:rsid w:val="77AB27B9"/>
    <w:rsid w:val="77CE1F28"/>
    <w:rsid w:val="78196F55"/>
    <w:rsid w:val="78484E76"/>
    <w:rsid w:val="786B6D4B"/>
    <w:rsid w:val="786D5A56"/>
    <w:rsid w:val="78707A3E"/>
    <w:rsid w:val="7872374F"/>
    <w:rsid w:val="789A1FC5"/>
    <w:rsid w:val="78B54B5D"/>
    <w:rsid w:val="78F04803"/>
    <w:rsid w:val="79132AA2"/>
    <w:rsid w:val="79212129"/>
    <w:rsid w:val="793737D1"/>
    <w:rsid w:val="794964C4"/>
    <w:rsid w:val="79BD2A0E"/>
    <w:rsid w:val="7A584294"/>
    <w:rsid w:val="7AB020BC"/>
    <w:rsid w:val="7AEC6A96"/>
    <w:rsid w:val="7B054700"/>
    <w:rsid w:val="7B1B08B8"/>
    <w:rsid w:val="7B1B738F"/>
    <w:rsid w:val="7B652ED0"/>
    <w:rsid w:val="7BB20B24"/>
    <w:rsid w:val="7C582D92"/>
    <w:rsid w:val="7C6B5911"/>
    <w:rsid w:val="7CFD0481"/>
    <w:rsid w:val="7D181DBF"/>
    <w:rsid w:val="7D366D5F"/>
    <w:rsid w:val="7D4F6073"/>
    <w:rsid w:val="7D663AB6"/>
    <w:rsid w:val="7DC047D0"/>
    <w:rsid w:val="7DD92907"/>
    <w:rsid w:val="7DE90CD5"/>
    <w:rsid w:val="7E3B19F1"/>
    <w:rsid w:val="7F1457B6"/>
    <w:rsid w:val="7F4441C2"/>
    <w:rsid w:val="7FB018F6"/>
    <w:rsid w:val="7FC46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after="340"/>
      <w:jc w:val="left"/>
      <w:outlineLvl w:val="0"/>
    </w:pPr>
    <w:rPr>
      <w:b/>
      <w:kern w:val="44"/>
      <w:sz w:val="44"/>
    </w:rPr>
  </w:style>
  <w:style w:type="paragraph" w:styleId="5">
    <w:name w:val="heading 2"/>
    <w:basedOn w:val="1"/>
    <w:next w:val="1"/>
    <w:qFormat/>
    <w:uiPriority w:val="0"/>
    <w:pPr>
      <w:keepNext/>
      <w:keepLines/>
      <w:spacing w:before="120" w:after="120" w:line="360" w:lineRule="auto"/>
      <w:outlineLvl w:val="1"/>
    </w:pPr>
    <w:rPr>
      <w:b/>
      <w:color w:val="000000"/>
      <w:kern w:val="44"/>
      <w:sz w:val="30"/>
    </w:rPr>
  </w:style>
  <w:style w:type="paragraph" w:styleId="6">
    <w:name w:val="heading 3"/>
    <w:basedOn w:val="1"/>
    <w:next w:val="1"/>
    <w:link w:val="134"/>
    <w:qFormat/>
    <w:uiPriority w:val="99"/>
    <w:pPr>
      <w:keepNext/>
      <w:keepLines/>
      <w:numPr>
        <w:ilvl w:val="2"/>
        <w:numId w:val="1"/>
      </w:numPr>
      <w:spacing w:line="360" w:lineRule="auto"/>
      <w:outlineLvl w:val="2"/>
    </w:pPr>
    <w:rPr>
      <w:b/>
      <w:bCs/>
      <w:sz w:val="30"/>
      <w:szCs w:val="21"/>
    </w:rPr>
  </w:style>
  <w:style w:type="paragraph" w:styleId="7">
    <w:name w:val="heading 4"/>
    <w:basedOn w:val="1"/>
    <w:next w:val="1"/>
    <w:qFormat/>
    <w:uiPriority w:val="99"/>
    <w:pPr>
      <w:numPr>
        <w:ilvl w:val="3"/>
        <w:numId w:val="1"/>
      </w:numPr>
      <w:adjustRightInd w:val="0"/>
      <w:spacing w:line="360" w:lineRule="auto"/>
      <w:jc w:val="left"/>
      <w:textAlignment w:val="baseline"/>
      <w:outlineLvl w:val="3"/>
    </w:pPr>
    <w:rPr>
      <w:bCs/>
      <w:smallCaps/>
      <w:sz w:val="28"/>
    </w:rPr>
  </w:style>
  <w:style w:type="paragraph" w:styleId="8">
    <w:name w:val="heading 5"/>
    <w:basedOn w:val="1"/>
    <w:next w:val="1"/>
    <w:unhideWhenUsed/>
    <w:qFormat/>
    <w:uiPriority w:val="1"/>
    <w:pPr>
      <w:spacing w:before="139"/>
      <w:ind w:left="597"/>
      <w:outlineLvl w:val="4"/>
    </w:pPr>
    <w:rPr>
      <w:rFonts w:eastAsia="Times New Roman"/>
      <w:b/>
      <w:sz w:val="24"/>
      <w:szCs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默认段落"/>
    <w:basedOn w:val="1"/>
    <w:qFormat/>
    <w:uiPriority w:val="99"/>
    <w:pPr>
      <w:widowControl/>
      <w:spacing w:line="360" w:lineRule="auto"/>
      <w:ind w:firstLine="200" w:firstLineChars="200"/>
      <w:jc w:val="left"/>
    </w:pPr>
    <w:rPr>
      <w:rFonts w:ascii="仿宋_GB2312" w:eastAsia="仿宋_GB2312" w:cs="宋体"/>
      <w:kern w:val="0"/>
      <w:sz w:val="28"/>
      <w:szCs w:val="24"/>
    </w:rPr>
  </w:style>
  <w:style w:type="paragraph" w:styleId="9">
    <w:name w:val="Normal Indent"/>
    <w:basedOn w:val="1"/>
    <w:next w:val="10"/>
    <w:qFormat/>
    <w:uiPriority w:val="0"/>
    <w:pPr>
      <w:ind w:firstLine="420" w:firstLineChars="200"/>
    </w:pPr>
  </w:style>
  <w:style w:type="paragraph" w:customStyle="1" w:styleId="10">
    <w:name w:val="Char Char Char Char Char Char Char Char Char1 Char"/>
    <w:basedOn w:val="1"/>
    <w:next w:val="11"/>
    <w:qFormat/>
    <w:uiPriority w:val="0"/>
    <w:pPr>
      <w:spacing w:line="360" w:lineRule="auto"/>
      <w:ind w:firstLine="200" w:firstLineChars="200"/>
    </w:pPr>
    <w:rPr>
      <w:rFonts w:ascii="宋体" w:hAnsi="宋体" w:cs="宋体"/>
      <w:sz w:val="24"/>
      <w:szCs w:val="24"/>
    </w:rPr>
  </w:style>
  <w:style w:type="paragraph" w:customStyle="1" w:styleId="11">
    <w:name w:val="正文首行缩进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styleId="12">
    <w:name w:val="caption"/>
    <w:basedOn w:val="1"/>
    <w:next w:val="1"/>
    <w:link w:val="172"/>
    <w:qFormat/>
    <w:uiPriority w:val="0"/>
    <w:pPr>
      <w:widowControl/>
      <w:tabs>
        <w:tab w:val="right" w:leader="middleDot" w:pos="8295"/>
      </w:tabs>
      <w:spacing w:line="360" w:lineRule="auto"/>
      <w:ind w:firstLine="480" w:firstLineChars="200"/>
    </w:pPr>
    <w:rPr>
      <w:rFonts w:ascii="Cambria" w:hAnsi="Cambria" w:eastAsia="黑体"/>
      <w:sz w:val="24"/>
    </w:rPr>
  </w:style>
  <w:style w:type="paragraph" w:styleId="13">
    <w:name w:val="Document Map"/>
    <w:basedOn w:val="1"/>
    <w:link w:val="124"/>
    <w:qFormat/>
    <w:uiPriority w:val="0"/>
    <w:pPr>
      <w:shd w:val="clear" w:color="auto" w:fill="000080"/>
    </w:pPr>
    <w:rPr>
      <w:szCs w:val="24"/>
    </w:rPr>
  </w:style>
  <w:style w:type="paragraph" w:styleId="14">
    <w:name w:val="annotation text"/>
    <w:basedOn w:val="1"/>
    <w:qFormat/>
    <w:uiPriority w:val="0"/>
    <w:pPr>
      <w:spacing w:line="360" w:lineRule="auto"/>
      <w:jc w:val="left"/>
    </w:pPr>
  </w:style>
  <w:style w:type="paragraph" w:styleId="15">
    <w:name w:val="Body Text 3"/>
    <w:basedOn w:val="1"/>
    <w:qFormat/>
    <w:uiPriority w:val="0"/>
    <w:pPr>
      <w:spacing w:after="120" w:line="360" w:lineRule="auto"/>
    </w:pPr>
    <w:rPr>
      <w:sz w:val="16"/>
    </w:rPr>
  </w:style>
  <w:style w:type="paragraph" w:styleId="16">
    <w:name w:val="Body Text Indent"/>
    <w:basedOn w:val="1"/>
    <w:qFormat/>
    <w:uiPriority w:val="0"/>
    <w:pPr>
      <w:spacing w:line="440" w:lineRule="exact"/>
      <w:ind w:firstLine="510"/>
    </w:pPr>
    <w:rPr>
      <w:rFonts w:ascii="宋体"/>
      <w:spacing w:val="12"/>
      <w:kern w:val="0"/>
      <w:sz w:val="24"/>
    </w:rPr>
  </w:style>
  <w:style w:type="paragraph" w:styleId="17">
    <w:name w:val="Block Text"/>
    <w:basedOn w:val="1"/>
    <w:next w:val="1"/>
    <w:qFormat/>
    <w:uiPriority w:val="0"/>
    <w:pPr>
      <w:ind w:left="-70" w:leftChars="-33" w:right="-108" w:rightChars="-51"/>
      <w:jc w:val="center"/>
    </w:pPr>
    <w:rPr>
      <w:rFonts w:ascii="Arial" w:hAnsi="Arial"/>
      <w:sz w:val="24"/>
    </w:rPr>
  </w:style>
  <w:style w:type="paragraph" w:styleId="18">
    <w:name w:val="toc 5"/>
    <w:basedOn w:val="1"/>
    <w:next w:val="1"/>
    <w:qFormat/>
    <w:uiPriority w:val="39"/>
    <w:pPr>
      <w:spacing w:line="360" w:lineRule="auto"/>
      <w:ind w:left="1680" w:leftChars="800" w:firstLine="578" w:firstLineChars="200"/>
    </w:pPr>
    <w:rPr>
      <w:kern w:val="0"/>
      <w:sz w:val="24"/>
    </w:rPr>
  </w:style>
  <w:style w:type="paragraph" w:styleId="19">
    <w:name w:val="Plain Text"/>
    <w:basedOn w:val="1"/>
    <w:next w:val="1"/>
    <w:qFormat/>
    <w:uiPriority w:val="0"/>
    <w:rPr>
      <w:rFonts w:hAnsi="Courier New"/>
    </w:rPr>
  </w:style>
  <w:style w:type="paragraph" w:styleId="20">
    <w:name w:val="List Bullet 5"/>
    <w:basedOn w:val="1"/>
    <w:qFormat/>
    <w:uiPriority w:val="0"/>
    <w:pPr>
      <w:numPr>
        <w:ilvl w:val="0"/>
        <w:numId w:val="2"/>
      </w:numPr>
    </w:pPr>
  </w:style>
  <w:style w:type="paragraph" w:styleId="21">
    <w:name w:val="Body Text Indent 2"/>
    <w:basedOn w:val="1"/>
    <w:qFormat/>
    <w:uiPriority w:val="99"/>
    <w:pPr>
      <w:spacing w:after="120" w:line="480" w:lineRule="auto"/>
      <w:ind w:left="420" w:leftChars="200" w:firstLine="200" w:firstLineChars="200"/>
    </w:pPr>
    <w:rPr>
      <w:kern w:val="0"/>
      <w:sz w:val="24"/>
    </w:rPr>
  </w:style>
  <w:style w:type="paragraph" w:styleId="22">
    <w:name w:val="Balloon Text"/>
    <w:basedOn w:val="1"/>
    <w:link w:val="115"/>
    <w:qFormat/>
    <w:uiPriority w:val="0"/>
    <w:rPr>
      <w:sz w:val="18"/>
      <w:szCs w:val="18"/>
    </w:rPr>
  </w:style>
  <w:style w:type="paragraph" w:styleId="23">
    <w:name w:val="footer"/>
    <w:basedOn w:val="1"/>
    <w:link w:val="133"/>
    <w:qFormat/>
    <w:uiPriority w:val="99"/>
    <w:pPr>
      <w:tabs>
        <w:tab w:val="center" w:pos="4153"/>
        <w:tab w:val="right" w:pos="8306"/>
      </w:tabs>
      <w:snapToGrid w:val="0"/>
      <w:spacing w:line="500" w:lineRule="exact"/>
      <w:jc w:val="left"/>
    </w:pPr>
    <w:rPr>
      <w:sz w:val="18"/>
    </w:rPr>
  </w:style>
  <w:style w:type="paragraph" w:styleId="24">
    <w:name w:val="header"/>
    <w:basedOn w:val="1"/>
    <w:next w:val="2"/>
    <w:qFormat/>
    <w:uiPriority w:val="0"/>
    <w:pPr>
      <w:pBdr>
        <w:bottom w:val="single" w:color="auto" w:sz="6" w:space="1"/>
      </w:pBdr>
      <w:tabs>
        <w:tab w:val="center" w:pos="4153"/>
        <w:tab w:val="right" w:pos="8306"/>
      </w:tabs>
      <w:snapToGrid w:val="0"/>
      <w:spacing w:line="500" w:lineRule="exact"/>
      <w:jc w:val="center"/>
    </w:pPr>
    <w:rPr>
      <w:sz w:val="18"/>
    </w:rPr>
  </w:style>
  <w:style w:type="paragraph" w:styleId="25">
    <w:name w:val="toc 1"/>
    <w:basedOn w:val="1"/>
    <w:next w:val="1"/>
    <w:qFormat/>
    <w:uiPriority w:val="39"/>
  </w:style>
  <w:style w:type="paragraph" w:styleId="26">
    <w:name w:val="index heading"/>
    <w:basedOn w:val="1"/>
    <w:next w:val="27"/>
    <w:qFormat/>
    <w:uiPriority w:val="0"/>
  </w:style>
  <w:style w:type="paragraph" w:styleId="27">
    <w:name w:val="index 1"/>
    <w:basedOn w:val="1"/>
    <w:next w:val="1"/>
    <w:qFormat/>
    <w:uiPriority w:val="0"/>
  </w:style>
  <w:style w:type="paragraph" w:styleId="28">
    <w:name w:val="List"/>
    <w:basedOn w:val="1"/>
    <w:next w:val="1"/>
    <w:qFormat/>
    <w:uiPriority w:val="0"/>
    <w:pPr>
      <w:spacing w:line="240" w:lineRule="exact"/>
      <w:ind w:firstLine="200" w:firstLineChars="200"/>
      <w:jc w:val="center"/>
    </w:pPr>
    <w:rPr>
      <w:rFonts w:ascii="Arial" w:hAnsi="Arial"/>
      <w:snapToGrid w:val="0"/>
      <w:kern w:val="0"/>
      <w:sz w:val="24"/>
    </w:rPr>
  </w:style>
  <w:style w:type="paragraph" w:styleId="29">
    <w:name w:val="Body Text Indent 3"/>
    <w:basedOn w:val="1"/>
    <w:qFormat/>
    <w:uiPriority w:val="0"/>
    <w:pPr>
      <w:spacing w:after="120"/>
      <w:ind w:left="420" w:leftChars="200"/>
    </w:pPr>
    <w:rPr>
      <w:sz w:val="16"/>
    </w:rPr>
  </w:style>
  <w:style w:type="paragraph" w:styleId="30">
    <w:name w:val="table of figures"/>
    <w:basedOn w:val="1"/>
    <w:next w:val="1"/>
    <w:qFormat/>
    <w:uiPriority w:val="0"/>
    <w:pPr>
      <w:jc w:val="center"/>
    </w:pPr>
    <w:rPr>
      <w:spacing w:val="-8"/>
      <w:kern w:val="0"/>
    </w:rPr>
  </w:style>
  <w:style w:type="paragraph" w:styleId="31">
    <w:name w:val="toc 2"/>
    <w:basedOn w:val="1"/>
    <w:next w:val="1"/>
    <w:qFormat/>
    <w:uiPriority w:val="39"/>
    <w:pPr>
      <w:ind w:left="420" w:leftChars="200"/>
    </w:pPr>
  </w:style>
  <w:style w:type="paragraph" w:styleId="32">
    <w:name w:val="Body Text 2"/>
    <w:basedOn w:val="1"/>
    <w:qFormat/>
    <w:uiPriority w:val="0"/>
    <w:pPr>
      <w:spacing w:after="120" w:line="480" w:lineRule="auto"/>
      <w:ind w:firstLine="200" w:firstLineChars="200"/>
    </w:pPr>
  </w:style>
  <w:style w:type="paragraph" w:styleId="3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4">
    <w:name w:val="Title"/>
    <w:basedOn w:val="1"/>
    <w:next w:val="1"/>
    <w:qFormat/>
    <w:uiPriority w:val="0"/>
    <w:pPr>
      <w:spacing w:before="240" w:after="60"/>
      <w:jc w:val="center"/>
      <w:outlineLvl w:val="0"/>
    </w:pPr>
    <w:rPr>
      <w:rFonts w:ascii="Cambria" w:hAnsi="Cambria"/>
      <w:b/>
      <w:bCs/>
      <w:sz w:val="32"/>
      <w:szCs w:val="32"/>
    </w:rPr>
  </w:style>
  <w:style w:type="paragraph" w:styleId="35">
    <w:name w:val="Body Text First Indent"/>
    <w:basedOn w:val="2"/>
    <w:qFormat/>
    <w:uiPriority w:val="99"/>
    <w:pPr>
      <w:spacing w:line="360" w:lineRule="auto"/>
      <w:ind w:firstLine="496" w:firstLineChars="200"/>
    </w:pPr>
    <w:rPr>
      <w:rFonts w:ascii="Times New Roman" w:cs="Times New Roman"/>
      <w:spacing w:val="4"/>
      <w:kern w:val="24"/>
      <w:szCs w:val="20"/>
    </w:rPr>
  </w:style>
  <w:style w:type="paragraph" w:styleId="36">
    <w:name w:val="Body Text First Indent 2"/>
    <w:basedOn w:val="16"/>
    <w:next w:val="1"/>
    <w:qFormat/>
    <w:uiPriority w:val="0"/>
    <w:pPr>
      <w:spacing w:after="120"/>
      <w:ind w:left="420" w:leftChars="200" w:firstLine="420"/>
    </w:p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rFonts w:ascii="Times New Roman" w:hAnsi="Times New Roman"/>
      <w:b/>
      <w:sz w:val="21"/>
    </w:rPr>
  </w:style>
  <w:style w:type="character" w:styleId="41">
    <w:name w:val="page number"/>
    <w:qFormat/>
    <w:uiPriority w:val="0"/>
    <w:rPr>
      <w:lang w:val="en-US" w:eastAsia="zh-CN"/>
    </w:rPr>
  </w:style>
  <w:style w:type="character" w:styleId="42">
    <w:name w:val="FollowedHyperlink"/>
    <w:basedOn w:val="39"/>
    <w:qFormat/>
    <w:uiPriority w:val="0"/>
    <w:rPr>
      <w:color w:val="954F72"/>
      <w:u w:val="single"/>
    </w:rPr>
  </w:style>
  <w:style w:type="character" w:styleId="43">
    <w:name w:val="Emphasis"/>
    <w:qFormat/>
    <w:uiPriority w:val="20"/>
    <w:rPr>
      <w:i/>
    </w:rPr>
  </w:style>
  <w:style w:type="character" w:styleId="44">
    <w:name w:val="Hyperlink"/>
    <w:basedOn w:val="39"/>
    <w:qFormat/>
    <w:uiPriority w:val="99"/>
    <w:rPr>
      <w:color w:val="0000FF"/>
      <w:u w:val="single"/>
    </w:rPr>
  </w:style>
  <w:style w:type="character" w:styleId="45">
    <w:name w:val="annotation reference"/>
    <w:qFormat/>
    <w:uiPriority w:val="0"/>
    <w:rPr>
      <w:rFonts w:eastAsia="宋体"/>
      <w:kern w:val="2"/>
      <w:sz w:val="21"/>
      <w:lang w:val="en-US" w:eastAsia="zh-CN"/>
    </w:rPr>
  </w:style>
  <w:style w:type="paragraph" w:customStyle="1" w:styleId="46">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47">
    <w:name w:val="TOC Heading1"/>
    <w:next w:val="1"/>
    <w:qFormat/>
    <w:uiPriority w:val="0"/>
    <w:pPr>
      <w:widowControl/>
      <w:wordWrap w:val="0"/>
      <w:autoSpaceDE/>
      <w:autoSpaceDN/>
      <w:spacing w:before="0" w:after="0" w:line="240" w:lineRule="auto"/>
      <w:ind w:left="0" w:firstLine="0"/>
    </w:pPr>
    <w:rPr>
      <w:rFonts w:ascii="Times New Roman" w:hAnsi="Times New Roman" w:eastAsia="宋体" w:cs="Times New Roman"/>
      <w:sz w:val="32"/>
      <w:szCs w:val="22"/>
    </w:rPr>
  </w:style>
  <w:style w:type="paragraph" w:customStyle="1" w:styleId="48">
    <w:name w:val="正文格式"/>
    <w:basedOn w:val="35"/>
    <w:next w:val="49"/>
    <w:qFormat/>
    <w:uiPriority w:val="0"/>
    <w:pPr>
      <w:adjustRightInd w:val="0"/>
      <w:snapToGrid w:val="0"/>
      <w:spacing w:line="360" w:lineRule="auto"/>
      <w:ind w:firstLine="200" w:firstLineChars="200"/>
    </w:pPr>
    <w:rPr>
      <w:rFonts w:ascii="Times New Roman" w:hAnsi="Times New Roman" w:eastAsia="宋体" w:cs="Times New Roman"/>
      <w:sz w:val="24"/>
      <w:szCs w:val="22"/>
      <w:lang w:val="zh-CN"/>
    </w:rPr>
  </w:style>
  <w:style w:type="paragraph" w:customStyle="1" w:styleId="49">
    <w:name w:val="_Style 5"/>
    <w:basedOn w:val="1"/>
    <w:qFormat/>
    <w:uiPriority w:val="0"/>
    <w:pPr>
      <w:ind w:firstLine="420"/>
    </w:pPr>
    <w:rPr>
      <w:rFonts w:ascii="Calibri" w:hAnsi="Calibri"/>
      <w:szCs w:val="22"/>
    </w:rPr>
  </w:style>
  <w:style w:type="paragraph" w:customStyle="1" w:styleId="50">
    <w:name w:val="报告书一级标题"/>
    <w:basedOn w:val="4"/>
    <w:qFormat/>
    <w:uiPriority w:val="0"/>
    <w:rPr>
      <w:sz w:val="36"/>
    </w:rPr>
  </w:style>
  <w:style w:type="character" w:customStyle="1" w:styleId="51">
    <w:name w:val="表、图名 Char"/>
    <w:qFormat/>
    <w:uiPriority w:val="99"/>
    <w:rPr>
      <w:rFonts w:ascii="宋体" w:hAnsi="宋体" w:cs="宋体"/>
      <w:b/>
      <w:color w:val="000000"/>
      <w:sz w:val="21"/>
      <w:szCs w:val="21"/>
    </w:rPr>
  </w:style>
  <w:style w:type="paragraph" w:customStyle="1" w:styleId="52">
    <w:name w:val="表内容"/>
    <w:basedOn w:val="53"/>
    <w:qFormat/>
    <w:uiPriority w:val="0"/>
    <w:pPr>
      <w:ind w:left="-20" w:leftChars="-20" w:right="-20" w:rightChars="-20"/>
      <w:jc w:val="center"/>
    </w:pPr>
    <w:rPr>
      <w:sz w:val="18"/>
      <w:szCs w:val="24"/>
    </w:rPr>
  </w:style>
  <w:style w:type="paragraph" w:customStyle="1" w:styleId="53">
    <w:name w:val="我的表格"/>
    <w:basedOn w:val="1"/>
    <w:qFormat/>
    <w:uiPriority w:val="0"/>
    <w:pPr>
      <w:adjustRightInd w:val="0"/>
      <w:jc w:val="center"/>
      <w:textAlignment w:val="baseline"/>
    </w:pPr>
  </w:style>
  <w:style w:type="paragraph" w:customStyle="1" w:styleId="54">
    <w:name w:val="正文(首行缩进)"/>
    <w:basedOn w:val="1"/>
    <w:next w:val="1"/>
    <w:link w:val="97"/>
    <w:qFormat/>
    <w:uiPriority w:val="0"/>
    <w:pPr>
      <w:spacing w:line="360" w:lineRule="auto"/>
      <w:ind w:firstLine="540" w:firstLineChars="225"/>
    </w:pPr>
    <w:rPr>
      <w:snapToGrid w:val="0"/>
      <w:color w:val="000000"/>
      <w:sz w:val="24"/>
    </w:rPr>
  </w:style>
  <w:style w:type="paragraph" w:customStyle="1" w:styleId="55">
    <w:name w:val="报告书三级标题"/>
    <w:basedOn w:val="1"/>
    <w:qFormat/>
    <w:uiPriority w:val="0"/>
    <w:pPr>
      <w:keepNext/>
      <w:keepLines/>
      <w:spacing w:before="120" w:after="120" w:line="360" w:lineRule="auto"/>
      <w:outlineLvl w:val="2"/>
    </w:pPr>
    <w:rPr>
      <w:b/>
      <w:sz w:val="28"/>
      <w:szCs w:val="22"/>
    </w:rPr>
  </w:style>
  <w:style w:type="paragraph" w:customStyle="1" w:styleId="56">
    <w:name w:val="报告书四级标题"/>
    <w:basedOn w:val="1"/>
    <w:qFormat/>
    <w:uiPriority w:val="0"/>
    <w:pPr>
      <w:keepLines/>
      <w:adjustRightInd w:val="0"/>
      <w:snapToGrid w:val="0"/>
      <w:spacing w:line="360" w:lineRule="auto"/>
      <w:jc w:val="left"/>
      <w:outlineLvl w:val="3"/>
    </w:pPr>
    <w:rPr>
      <w:b/>
      <w:sz w:val="24"/>
      <w:szCs w:val="22"/>
    </w:rPr>
  </w:style>
  <w:style w:type="paragraph" w:customStyle="1" w:styleId="57">
    <w:name w:val="报告正文 + 首行缩进:  2 字符 Char"/>
    <w:basedOn w:val="1"/>
    <w:qFormat/>
    <w:uiPriority w:val="0"/>
    <w:pPr>
      <w:spacing w:line="360" w:lineRule="auto"/>
      <w:ind w:firstLine="480"/>
    </w:pPr>
    <w:rPr>
      <w:bCs/>
      <w:sz w:val="24"/>
    </w:rPr>
  </w:style>
  <w:style w:type="paragraph" w:customStyle="1" w:styleId="58">
    <w:name w:val="图表标题"/>
    <w:basedOn w:val="1"/>
    <w:link w:val="131"/>
    <w:qFormat/>
    <w:uiPriority w:val="0"/>
    <w:pPr>
      <w:jc w:val="center"/>
    </w:pPr>
    <w:rPr>
      <w:rFonts w:ascii="黑体" w:hAnsi="黑体" w:eastAsia="黑体"/>
      <w:color w:val="000000"/>
      <w:sz w:val="24"/>
      <w:szCs w:val="24"/>
    </w:rPr>
  </w:style>
  <w:style w:type="paragraph" w:customStyle="1" w:styleId="59">
    <w:name w:val="表内容       .."/>
    <w:basedOn w:val="1"/>
    <w:qFormat/>
    <w:uiPriority w:val="0"/>
    <w:pPr>
      <w:adjustRightInd w:val="0"/>
      <w:snapToGrid w:val="0"/>
      <w:spacing w:line="240" w:lineRule="exact"/>
      <w:ind w:left="-31" w:leftChars="-15" w:right="-31" w:rightChars="-15"/>
      <w:jc w:val="center"/>
      <w:textAlignment w:val="baseline"/>
    </w:pPr>
    <w:rPr>
      <w:rFonts w:ascii="Calibri" w:hAnsi="宋体"/>
      <w:sz w:val="18"/>
      <w:szCs w:val="18"/>
    </w:rPr>
  </w:style>
  <w:style w:type="paragraph" w:customStyle="1" w:styleId="60">
    <w:name w:val="正文.."/>
    <w:basedOn w:val="1"/>
    <w:qFormat/>
    <w:uiPriority w:val="0"/>
    <w:pPr>
      <w:wordWrap w:val="0"/>
      <w:spacing w:line="360" w:lineRule="auto"/>
      <w:ind w:firstLine="480" w:firstLineChars="200"/>
      <w:jc w:val="left"/>
    </w:pPr>
    <w:rPr>
      <w:bCs/>
      <w:snapToGrid w:val="0"/>
      <w:sz w:val="24"/>
      <w:szCs w:val="22"/>
      <w:lang w:val="zh-CN"/>
    </w:rPr>
  </w:style>
  <w:style w:type="paragraph" w:customStyle="1" w:styleId="61">
    <w:name w:val="LSJ正文"/>
    <w:basedOn w:val="9"/>
    <w:link w:val="125"/>
    <w:qFormat/>
    <w:uiPriority w:val="0"/>
    <w:pPr>
      <w:widowControl/>
      <w:spacing w:line="360" w:lineRule="auto"/>
      <w:ind w:firstLine="480"/>
      <w:jc w:val="left"/>
    </w:pPr>
    <w:rPr>
      <w:color w:val="000000"/>
      <w:sz w:val="24"/>
      <w:szCs w:val="24"/>
    </w:rPr>
  </w:style>
  <w:style w:type="paragraph" w:customStyle="1" w:styleId="62">
    <w:name w:val="表标题"/>
    <w:basedOn w:val="1"/>
    <w:qFormat/>
    <w:uiPriority w:val="0"/>
    <w:pPr>
      <w:jc w:val="center"/>
    </w:pPr>
    <w:rPr>
      <w:rFonts w:eastAsia="黑体"/>
      <w:b/>
    </w:rPr>
  </w:style>
  <w:style w:type="paragraph" w:customStyle="1" w:styleId="63">
    <w:name w:val="正文-首行缩进"/>
    <w:basedOn w:val="1"/>
    <w:link w:val="127"/>
    <w:qFormat/>
    <w:uiPriority w:val="0"/>
    <w:pPr>
      <w:adjustRightInd w:val="0"/>
      <w:snapToGrid w:val="0"/>
      <w:spacing w:line="360" w:lineRule="auto"/>
      <w:ind w:firstLine="200" w:firstLineChars="200"/>
    </w:pPr>
    <w:rPr>
      <w:rFonts w:ascii="宋体" w:hAnsi="宋体"/>
      <w:bCs/>
      <w:szCs w:val="25"/>
    </w:rPr>
  </w:style>
  <w:style w:type="paragraph" w:customStyle="1" w:styleId="64">
    <w:name w:val="表格2"/>
    <w:qFormat/>
    <w:uiPriority w:val="0"/>
    <w:pPr>
      <w:spacing w:line="400" w:lineRule="exact"/>
      <w:jc w:val="center"/>
    </w:pPr>
    <w:rPr>
      <w:rFonts w:ascii="Times New Roman" w:hAnsi="Times New Roman" w:eastAsia="宋体" w:cs="Times New Roman"/>
      <w:sz w:val="21"/>
      <w:lang w:val="en-US" w:eastAsia="zh-CN" w:bidi="ar-SA"/>
    </w:rPr>
  </w:style>
  <w:style w:type="paragraph" w:customStyle="1" w:styleId="65">
    <w:name w:val="表、图名"/>
    <w:basedOn w:val="1"/>
    <w:qFormat/>
    <w:uiPriority w:val="0"/>
    <w:pPr>
      <w:adjustRightInd w:val="0"/>
      <w:snapToGrid w:val="0"/>
      <w:spacing w:line="520" w:lineRule="exact"/>
      <w:ind w:left="-6" w:firstLine="560"/>
    </w:pPr>
    <w:rPr>
      <w:b/>
    </w:rPr>
  </w:style>
  <w:style w:type="paragraph" w:customStyle="1" w:styleId="66">
    <w:name w:val="表格定"/>
    <w:basedOn w:val="67"/>
    <w:qFormat/>
    <w:uiPriority w:val="0"/>
    <w:pPr>
      <w:keepLines/>
      <w:spacing w:line="320" w:lineRule="exact"/>
      <w:textAlignment w:val="center"/>
    </w:pPr>
    <w:rPr>
      <w:color w:val="000000"/>
      <w:szCs w:val="21"/>
      <w:lang w:bidi="en-US"/>
    </w:rPr>
  </w:style>
  <w:style w:type="paragraph" w:customStyle="1" w:styleId="67">
    <w:name w:val="表格内容"/>
    <w:basedOn w:val="68"/>
    <w:next w:val="1"/>
    <w:link w:val="121"/>
    <w:qFormat/>
    <w:uiPriority w:val="0"/>
    <w:pPr>
      <w:widowControl/>
      <w:autoSpaceDE w:val="0"/>
      <w:autoSpaceDN w:val="0"/>
      <w:adjustRightInd w:val="0"/>
      <w:snapToGrid w:val="0"/>
      <w:jc w:val="center"/>
    </w:pPr>
    <w:rPr>
      <w:rFonts w:cs="宋体"/>
      <w:kern w:val="0"/>
      <w:sz w:val="24"/>
      <w:szCs w:val="24"/>
    </w:rPr>
  </w:style>
  <w:style w:type="paragraph" w:customStyle="1" w:styleId="68">
    <w:name w:val="WW-正文缩进"/>
    <w:basedOn w:val="1"/>
    <w:semiHidden/>
    <w:qFormat/>
    <w:uiPriority w:val="0"/>
    <w:pPr>
      <w:spacing w:line="360" w:lineRule="auto"/>
      <w:ind w:firstLine="420"/>
    </w:pPr>
    <w:rPr>
      <w:sz w:val="28"/>
    </w:rPr>
  </w:style>
  <w:style w:type="paragraph" w:customStyle="1" w:styleId="69">
    <w:name w:val="00.正文格式"/>
    <w:basedOn w:val="9"/>
    <w:qFormat/>
    <w:uiPriority w:val="0"/>
    <w:pPr>
      <w:widowControl/>
      <w:spacing w:line="360" w:lineRule="auto"/>
      <w:ind w:firstLine="480"/>
      <w:jc w:val="left"/>
    </w:pPr>
    <w:rPr>
      <w:color w:val="000000"/>
      <w:sz w:val="24"/>
      <w:szCs w:val="24"/>
    </w:rPr>
  </w:style>
  <w:style w:type="paragraph" w:customStyle="1" w:styleId="70">
    <w:name w:val="五号表内容"/>
    <w:basedOn w:val="1"/>
    <w:next w:val="1"/>
    <w:qFormat/>
    <w:uiPriority w:val="0"/>
    <w:pPr>
      <w:spacing w:line="280" w:lineRule="exact"/>
      <w:jc w:val="center"/>
    </w:pPr>
  </w:style>
  <w:style w:type="paragraph" w:customStyle="1" w:styleId="71">
    <w:name w:val="YJ正文*"/>
    <w:basedOn w:val="1"/>
    <w:link w:val="123"/>
    <w:qFormat/>
    <w:uiPriority w:val="0"/>
    <w:pPr>
      <w:spacing w:line="500" w:lineRule="exact"/>
      <w:ind w:firstLine="200" w:firstLineChars="200"/>
    </w:pPr>
    <w:rPr>
      <w:rFonts w:ascii="宋体" w:hAnsi="宋体"/>
      <w:sz w:val="24"/>
      <w:szCs w:val="24"/>
    </w:rPr>
  </w:style>
  <w:style w:type="paragraph" w:customStyle="1" w:styleId="72">
    <w:name w:val="报告书正文"/>
    <w:link w:val="156"/>
    <w:qFormat/>
    <w:uiPriority w:val="0"/>
    <w:pPr>
      <w:widowControl/>
      <w:jc w:val="left"/>
    </w:pPr>
    <w:rPr>
      <w:rFonts w:ascii="Times New Roman" w:hAnsi="Times New Roman" w:eastAsia="宋体" w:cs="宋体"/>
      <w:kern w:val="0"/>
      <w:szCs w:val="24"/>
    </w:rPr>
  </w:style>
  <w:style w:type="paragraph" w:customStyle="1" w:styleId="73">
    <w:name w:val="图表名"/>
    <w:basedOn w:val="1"/>
    <w:next w:val="1"/>
    <w:link w:val="129"/>
    <w:qFormat/>
    <w:uiPriority w:val="0"/>
    <w:pPr>
      <w:widowControl/>
      <w:adjustRightInd w:val="0"/>
      <w:snapToGrid w:val="0"/>
      <w:spacing w:line="400" w:lineRule="exact"/>
      <w:jc w:val="center"/>
    </w:pPr>
    <w:rPr>
      <w:rFonts w:ascii="宋体" w:hAnsi="宋体" w:eastAsia="黑体"/>
      <w:color w:val="000000"/>
      <w:kern w:val="0"/>
      <w:sz w:val="24"/>
      <w:lang w:val="zh-CN"/>
    </w:rPr>
  </w:style>
  <w:style w:type="paragraph" w:customStyle="1" w:styleId="74">
    <w:name w:val="五号表格内的文字"/>
    <w:basedOn w:val="1"/>
    <w:link w:val="128"/>
    <w:qFormat/>
    <w:uiPriority w:val="99"/>
    <w:pPr>
      <w:adjustRightInd w:val="0"/>
      <w:spacing w:line="360" w:lineRule="exact"/>
      <w:jc w:val="center"/>
      <w:textAlignment w:val="baseline"/>
    </w:pPr>
    <w:rPr>
      <w:szCs w:val="21"/>
    </w:rPr>
  </w:style>
  <w:style w:type="paragraph" w:customStyle="1" w:styleId="75">
    <w:name w:val="表字-书"/>
    <w:basedOn w:val="1"/>
    <w:qFormat/>
    <w:uiPriority w:val="0"/>
    <w:pPr>
      <w:spacing w:line="300" w:lineRule="atLeast"/>
      <w:jc w:val="center"/>
    </w:pPr>
    <w:rPr>
      <w:rFonts w:ascii="宋体" w:hAnsi="宋体"/>
      <w:kern w:val="0"/>
      <w:szCs w:val="21"/>
    </w:rPr>
  </w:style>
  <w:style w:type="paragraph" w:customStyle="1" w:styleId="76">
    <w:name w:val="报告书二级标题"/>
    <w:basedOn w:val="5"/>
    <w:qFormat/>
    <w:uiPriority w:val="0"/>
    <w:rPr>
      <w:color w:val="auto"/>
    </w:rPr>
  </w:style>
  <w:style w:type="paragraph" w:customStyle="1" w:styleId="77">
    <w:name w:val="清洁正文格式"/>
    <w:basedOn w:val="1"/>
    <w:qFormat/>
    <w:uiPriority w:val="0"/>
    <w:pPr>
      <w:autoSpaceDE w:val="0"/>
      <w:autoSpaceDN w:val="0"/>
      <w:spacing w:line="360" w:lineRule="auto"/>
      <w:ind w:firstLine="496" w:firstLineChars="200"/>
    </w:pPr>
    <w:rPr>
      <w:rFonts w:ascii="宋体" w:hAnsi="宋体"/>
      <w:spacing w:val="4"/>
      <w:sz w:val="24"/>
      <w:szCs w:val="24"/>
    </w:rPr>
  </w:style>
  <w:style w:type="paragraph" w:customStyle="1" w:styleId="78">
    <w:name w:val="文本"/>
    <w:basedOn w:val="16"/>
    <w:qFormat/>
    <w:uiPriority w:val="0"/>
    <w:pPr>
      <w:widowControl/>
      <w:spacing w:line="480" w:lineRule="exact"/>
      <w:ind w:firstLine="480" w:firstLineChars="200"/>
      <w:jc w:val="left"/>
    </w:pPr>
    <w:rPr>
      <w:rFonts w:hAnsi="宋体" w:cs="宋体"/>
      <w:szCs w:val="24"/>
    </w:rPr>
  </w:style>
  <w:style w:type="paragraph" w:customStyle="1" w:styleId="79">
    <w:name w:val="表格1"/>
    <w:basedOn w:val="1"/>
    <w:qFormat/>
    <w:uiPriority w:val="0"/>
    <w:pPr>
      <w:jc w:val="left"/>
    </w:pPr>
    <w:rPr>
      <w:szCs w:val="24"/>
    </w:rPr>
  </w:style>
  <w:style w:type="paragraph" w:customStyle="1" w:styleId="80">
    <w:name w:val="正文1"/>
    <w:basedOn w:val="1"/>
    <w:qFormat/>
    <w:uiPriority w:val="0"/>
    <w:pPr>
      <w:spacing w:line="480" w:lineRule="exact"/>
      <w:ind w:firstLine="200" w:firstLineChars="200"/>
    </w:pPr>
    <w:rPr>
      <w:sz w:val="24"/>
      <w:szCs w:val="24"/>
    </w:rPr>
  </w:style>
  <w:style w:type="paragraph" w:customStyle="1" w:styleId="81">
    <w:name w:val="表格内"/>
    <w:basedOn w:val="1"/>
    <w:qFormat/>
    <w:uiPriority w:val="0"/>
    <w:pPr>
      <w:spacing w:line="300" w:lineRule="exact"/>
      <w:jc w:val="center"/>
      <w:textAlignment w:val="center"/>
    </w:pPr>
    <w:rPr>
      <w:szCs w:val="22"/>
    </w:rPr>
  </w:style>
  <w:style w:type="paragraph" w:customStyle="1" w:styleId="82">
    <w:name w:val="表中内容"/>
    <w:basedOn w:val="1"/>
    <w:qFormat/>
    <w:uiPriority w:val="0"/>
    <w:pPr>
      <w:widowControl/>
      <w:shd w:val="clear" w:color="auto" w:fill="FFFFFF"/>
      <w:overflowPunct w:val="0"/>
      <w:autoSpaceDE w:val="0"/>
      <w:autoSpaceDN w:val="0"/>
      <w:adjustRightInd w:val="0"/>
      <w:snapToGrid w:val="0"/>
      <w:jc w:val="center"/>
      <w:textAlignment w:val="baseline"/>
    </w:pPr>
    <w:rPr>
      <w:szCs w:val="24"/>
    </w:rPr>
  </w:style>
  <w:style w:type="paragraph" w:customStyle="1" w:styleId="83">
    <w:name w:val="表格"/>
    <w:basedOn w:val="28"/>
    <w:next w:val="1"/>
    <w:qFormat/>
    <w:uiPriority w:val="0"/>
    <w:pPr>
      <w:adjustRightInd w:val="0"/>
      <w:spacing w:line="400" w:lineRule="atLeast"/>
      <w:textAlignment w:val="baseline"/>
    </w:pPr>
  </w:style>
  <w:style w:type="paragraph" w:customStyle="1" w:styleId="84">
    <w:name w:val="图片"/>
    <w:basedOn w:val="1"/>
    <w:qFormat/>
    <w:uiPriority w:val="0"/>
    <w:pPr>
      <w:widowControl w:val="0"/>
      <w:snapToGrid w:val="0"/>
      <w:spacing w:line="360" w:lineRule="atLeast"/>
      <w:jc w:val="both"/>
    </w:pPr>
    <w:rPr>
      <w:rFonts w:ascii="Times New Roman" w:hAnsi="Times New Roman" w:cs="Times New Roman"/>
      <w:kern w:val="2"/>
      <w:szCs w:val="20"/>
    </w:rPr>
  </w:style>
  <w:style w:type="paragraph" w:customStyle="1" w:styleId="85">
    <w:name w:val="报告表正文"/>
    <w:basedOn w:val="1"/>
    <w:qFormat/>
    <w:uiPriority w:val="0"/>
    <w:pPr>
      <w:spacing w:line="520" w:lineRule="exact"/>
      <w:ind w:firstLine="456"/>
    </w:pPr>
    <w:rPr>
      <w:kern w:val="0"/>
      <w:sz w:val="24"/>
      <w:szCs w:val="30"/>
    </w:rPr>
  </w:style>
  <w:style w:type="paragraph" w:customStyle="1" w:styleId="86">
    <w:name w:val="无间隔1"/>
    <w:qFormat/>
    <w:uiPriority w:val="0"/>
    <w:pPr>
      <w:jc w:val="center"/>
    </w:pPr>
    <w:rPr>
      <w:rFonts w:ascii="宋体" w:hAnsi="宋体" w:eastAsia="宋体" w:cs="宋体"/>
      <w:sz w:val="21"/>
      <w:szCs w:val="24"/>
      <w:lang w:val="en-US" w:eastAsia="zh-CN" w:bidi="ar-SA"/>
    </w:rPr>
  </w:style>
  <w:style w:type="paragraph" w:customStyle="1" w:styleId="87">
    <w:name w:val="Table Paragraph"/>
    <w:basedOn w:val="1"/>
    <w:unhideWhenUsed/>
    <w:qFormat/>
    <w:uiPriority w:val="1"/>
    <w:rPr>
      <w:sz w:val="24"/>
      <w:szCs w:val="24"/>
    </w:rPr>
  </w:style>
  <w:style w:type="paragraph" w:customStyle="1" w:styleId="88">
    <w:name w:val="表内文字"/>
    <w:basedOn w:val="1"/>
    <w:qFormat/>
    <w:uiPriority w:val="0"/>
    <w:pPr>
      <w:adjustRightInd w:val="0"/>
      <w:jc w:val="center"/>
    </w:pPr>
    <w:rPr>
      <w:rFonts w:ascii="宋体" w:cs="宋体"/>
      <w:szCs w:val="24"/>
    </w:rPr>
  </w:style>
  <w:style w:type="paragraph" w:customStyle="1" w:styleId="89">
    <w:name w:val="Default"/>
    <w:next w:val="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0">
    <w:name w:val="Date1"/>
    <w:basedOn w:val="1"/>
    <w:next w:val="1"/>
    <w:qFormat/>
    <w:uiPriority w:val="0"/>
    <w:pPr>
      <w:adjustRightInd w:val="0"/>
      <w:jc w:val="left"/>
      <w:textAlignment w:val="baseline"/>
    </w:pPr>
    <w:rPr>
      <w:rFonts w:ascii="宋体" w:hAnsi="宋体"/>
      <w:sz w:val="28"/>
    </w:rPr>
  </w:style>
  <w:style w:type="paragraph" w:customStyle="1" w:styleId="91">
    <w:name w:val="表头"/>
    <w:basedOn w:val="9"/>
    <w:next w:val="1"/>
    <w:qFormat/>
    <w:uiPriority w:val="99"/>
    <w:pPr>
      <w:adjustRightInd w:val="0"/>
      <w:snapToGrid w:val="0"/>
      <w:jc w:val="left"/>
    </w:pPr>
    <w:rPr>
      <w:rFonts w:ascii="黑体" w:eastAsia="黑体"/>
      <w:sz w:val="24"/>
    </w:rPr>
  </w:style>
  <w:style w:type="paragraph" w:customStyle="1" w:styleId="92">
    <w:name w:val="S表格标题"/>
    <w:basedOn w:val="1"/>
    <w:next w:val="1"/>
    <w:qFormat/>
    <w:uiPriority w:val="0"/>
    <w:pPr>
      <w:adjustRightInd w:val="0"/>
      <w:snapToGrid w:val="0"/>
      <w:jc w:val="center"/>
    </w:pPr>
    <w:rPr>
      <w:b/>
      <w:snapToGrid w:val="0"/>
      <w:sz w:val="22"/>
    </w:rPr>
  </w:style>
  <w:style w:type="paragraph" w:customStyle="1" w:styleId="93">
    <w:name w:val="A表格"/>
    <w:qFormat/>
    <w:uiPriority w:val="0"/>
    <w:pPr>
      <w:adjustRightInd w:val="0"/>
      <w:jc w:val="center"/>
      <w:textAlignment w:val="baseline"/>
    </w:pPr>
    <w:rPr>
      <w:rFonts w:cs="宋体" w:asciiTheme="minorHAnsi" w:hAnsiTheme="minorHAnsi" w:eastAsiaTheme="minorEastAsia"/>
      <w:kern w:val="28"/>
      <w:sz w:val="21"/>
      <w:szCs w:val="21"/>
      <w:lang w:val="en-US" w:eastAsia="zh-CN" w:bidi="ar-SA"/>
    </w:rPr>
  </w:style>
  <w:style w:type="paragraph" w:styleId="94">
    <w:name w:val="List Paragraph"/>
    <w:basedOn w:val="1"/>
    <w:qFormat/>
    <w:uiPriority w:val="1"/>
    <w:pPr>
      <w:jc w:val="center"/>
    </w:pPr>
    <w:rPr>
      <w:rFonts w:hAnsi="宋体" w:cs="宋体"/>
      <w:color w:val="000000"/>
      <w:kern w:val="0"/>
    </w:rPr>
  </w:style>
  <w:style w:type="paragraph" w:customStyle="1" w:styleId="95">
    <w:name w:val="正文文本2"/>
    <w:basedOn w:val="1"/>
    <w:qFormat/>
    <w:uiPriority w:val="0"/>
    <w:pPr>
      <w:autoSpaceDE w:val="0"/>
      <w:autoSpaceDN w:val="0"/>
      <w:adjustRightInd w:val="0"/>
      <w:snapToGrid w:val="0"/>
      <w:ind w:firstLine="200" w:firstLineChars="200"/>
    </w:pPr>
    <w:rPr>
      <w:rFonts w:cs="宋体"/>
      <w:kern w:val="0"/>
    </w:rPr>
  </w:style>
  <w:style w:type="paragraph" w:customStyle="1" w:styleId="96">
    <w:name w:val="表格内部"/>
    <w:basedOn w:val="1"/>
    <w:qFormat/>
    <w:uiPriority w:val="99"/>
    <w:pPr>
      <w:adjustRightInd w:val="0"/>
      <w:snapToGrid w:val="0"/>
      <w:spacing w:line="300" w:lineRule="auto"/>
      <w:jc w:val="center"/>
    </w:pPr>
    <w:rPr>
      <w:rFonts w:ascii="Arial" w:hAnsi="Arial" w:eastAsia="仿宋_GB2312" w:cs="宋体"/>
      <w:snapToGrid w:val="0"/>
      <w:kern w:val="0"/>
      <w:sz w:val="28"/>
      <w:szCs w:val="24"/>
    </w:rPr>
  </w:style>
  <w:style w:type="character" w:customStyle="1" w:styleId="97">
    <w:name w:val="正文(首行缩进) Char Char"/>
    <w:link w:val="54"/>
    <w:qFormat/>
    <w:uiPriority w:val="0"/>
    <w:rPr>
      <w:snapToGrid w:val="0"/>
      <w:color w:val="000000"/>
      <w:sz w:val="24"/>
    </w:rPr>
  </w:style>
  <w:style w:type="paragraph" w:customStyle="1" w:styleId="98">
    <w:name w:val="标题 3新"/>
    <w:basedOn w:val="6"/>
    <w:qFormat/>
    <w:uiPriority w:val="0"/>
    <w:pPr>
      <w:spacing w:before="120" w:after="120" w:line="240" w:lineRule="auto"/>
    </w:pPr>
    <w:rPr>
      <w:sz w:val="28"/>
    </w:rPr>
  </w:style>
  <w:style w:type="paragraph" w:customStyle="1" w:styleId="99">
    <w:name w:val="p0"/>
    <w:basedOn w:val="1"/>
    <w:qFormat/>
    <w:uiPriority w:val="0"/>
    <w:pPr>
      <w:widowControl/>
      <w:spacing w:line="360" w:lineRule="auto"/>
      <w:ind w:firstLine="420"/>
    </w:pPr>
    <w:rPr>
      <w:kern w:val="0"/>
      <w:sz w:val="24"/>
    </w:rPr>
  </w:style>
  <w:style w:type="paragraph" w:customStyle="1" w:styleId="100">
    <w:name w:val="样式 行距: 1.5 倍行距 首行缩进:  2 字符"/>
    <w:basedOn w:val="1"/>
    <w:qFormat/>
    <w:uiPriority w:val="0"/>
    <w:pPr>
      <w:spacing w:line="360" w:lineRule="auto"/>
      <w:ind w:firstLine="420" w:firstLineChars="200"/>
    </w:pPr>
    <w:rPr>
      <w:rFonts w:cs="宋体"/>
      <w:sz w:val="24"/>
    </w:rPr>
  </w:style>
  <w:style w:type="paragraph" w:customStyle="1" w:styleId="101">
    <w:name w:val="STC 正文"/>
    <w:qFormat/>
    <w:uiPriority w:val="0"/>
    <w:pPr>
      <w:widowControl w:val="0"/>
      <w:adjustRightInd w:val="0"/>
      <w:snapToGrid w:val="0"/>
      <w:spacing w:line="331" w:lineRule="auto"/>
      <w:ind w:firstLine="200" w:firstLineChars="200"/>
      <w:jc w:val="both"/>
    </w:pPr>
    <w:rPr>
      <w:rFonts w:ascii="宋体" w:hAnsi="宋体" w:eastAsia="宋体" w:cs="Times New Roman"/>
      <w:kern w:val="2"/>
      <w:sz w:val="24"/>
      <w:lang w:val="en-US" w:eastAsia="zh-CN" w:bidi="ar-SA"/>
    </w:rPr>
  </w:style>
  <w:style w:type="paragraph" w:customStyle="1" w:styleId="102">
    <w:name w:val="正文首行缩进 Char Char Char Char Char Char"/>
    <w:basedOn w:val="1"/>
    <w:qFormat/>
    <w:uiPriority w:val="39"/>
    <w:pPr>
      <w:spacing w:line="360" w:lineRule="auto"/>
      <w:ind w:firstLine="496" w:firstLineChars="200"/>
    </w:pPr>
    <w:rPr>
      <w:rFonts w:hAnsi="宋体"/>
      <w:spacing w:val="4"/>
      <w:kern w:val="24"/>
      <w:sz w:val="24"/>
    </w:rPr>
  </w:style>
  <w:style w:type="paragraph" w:customStyle="1" w:styleId="103">
    <w:name w:val="！正文"/>
    <w:basedOn w:val="16"/>
    <w:qFormat/>
    <w:uiPriority w:val="0"/>
    <w:pPr>
      <w:widowControl/>
      <w:tabs>
        <w:tab w:val="left" w:leader="dot" w:pos="8820"/>
      </w:tabs>
      <w:snapToGrid w:val="0"/>
      <w:spacing w:line="500" w:lineRule="exact"/>
      <w:ind w:firstLine="200" w:firstLineChars="200"/>
      <w:jc w:val="left"/>
    </w:pPr>
    <w:rPr>
      <w:rFonts w:ascii="宋体" w:hAnsi="宋体"/>
      <w:kern w:val="0"/>
      <w:sz w:val="28"/>
      <w:szCs w:val="28"/>
      <w:lang w:val="zh-CN"/>
    </w:rPr>
  </w:style>
  <w:style w:type="paragraph" w:customStyle="1" w:styleId="104">
    <w:name w:val="tittle5"/>
    <w:basedOn w:val="105"/>
    <w:qFormat/>
    <w:uiPriority w:val="0"/>
    <w:pPr>
      <w:jc w:val="center"/>
      <w:outlineLvl w:val="4"/>
    </w:pPr>
    <w:rPr>
      <w:rFonts w:eastAsia="黑体"/>
      <w:b/>
    </w:rPr>
  </w:style>
  <w:style w:type="paragraph" w:customStyle="1" w:styleId="105">
    <w:name w:val="tittle4"/>
    <w:basedOn w:val="106"/>
    <w:qFormat/>
    <w:uiPriority w:val="0"/>
    <w:pPr>
      <w:outlineLvl w:val="3"/>
    </w:pPr>
    <w:rPr>
      <w:sz w:val="24"/>
    </w:rPr>
  </w:style>
  <w:style w:type="paragraph" w:customStyle="1" w:styleId="106">
    <w:name w:val="tittle3"/>
    <w:basedOn w:val="107"/>
    <w:qFormat/>
    <w:uiPriority w:val="0"/>
    <w:pPr>
      <w:widowControl/>
      <w:outlineLvl w:val="2"/>
    </w:pPr>
    <w:rPr>
      <w:rFonts w:cs="宋体"/>
      <w:b w:val="0"/>
      <w:kern w:val="0"/>
      <w:sz w:val="28"/>
    </w:rPr>
  </w:style>
  <w:style w:type="paragraph" w:customStyle="1" w:styleId="107">
    <w:name w:val="tittle2"/>
    <w:basedOn w:val="108"/>
    <w:qFormat/>
    <w:uiPriority w:val="0"/>
    <w:pPr>
      <w:spacing w:line="360" w:lineRule="auto"/>
      <w:jc w:val="both"/>
      <w:outlineLvl w:val="1"/>
    </w:pPr>
    <w:rPr>
      <w:sz w:val="30"/>
    </w:rPr>
  </w:style>
  <w:style w:type="paragraph" w:customStyle="1" w:styleId="108">
    <w:name w:val="tittle1"/>
    <w:basedOn w:val="1"/>
    <w:qFormat/>
    <w:uiPriority w:val="0"/>
    <w:pPr>
      <w:jc w:val="center"/>
      <w:outlineLvl w:val="0"/>
    </w:pPr>
    <w:rPr>
      <w:b/>
      <w:sz w:val="36"/>
    </w:rPr>
  </w:style>
  <w:style w:type="paragraph" w:customStyle="1" w:styleId="109">
    <w:name w:val="YJ题注"/>
    <w:basedOn w:val="12"/>
    <w:qFormat/>
    <w:uiPriority w:val="0"/>
    <w:pPr>
      <w:widowControl w:val="0"/>
      <w:spacing w:line="500" w:lineRule="exact"/>
      <w:ind w:firstLine="0" w:firstLineChars="0"/>
      <w:jc w:val="center"/>
    </w:pPr>
    <w:rPr>
      <w:rFonts w:ascii="宋体" w:hAnsi="宋体" w:eastAsia="宋体"/>
      <w:b/>
      <w:kern w:val="0"/>
      <w:sz w:val="21"/>
    </w:rPr>
  </w:style>
  <w:style w:type="paragraph" w:customStyle="1" w:styleId="110">
    <w:name w:val="缩进"/>
    <w:basedOn w:val="1"/>
    <w:qFormat/>
    <w:uiPriority w:val="0"/>
    <w:pPr>
      <w:spacing w:line="360" w:lineRule="auto"/>
      <w:ind w:firstLine="200" w:firstLineChars="200"/>
    </w:pPr>
  </w:style>
  <w:style w:type="paragraph" w:customStyle="1" w:styleId="111">
    <w:name w:val="表格注"/>
    <w:basedOn w:val="1"/>
    <w:next w:val="1"/>
    <w:qFormat/>
    <w:uiPriority w:val="99"/>
    <w:pPr>
      <w:widowControl/>
      <w:spacing w:line="240" w:lineRule="exact"/>
      <w:jc w:val="left"/>
    </w:pPr>
    <w:rPr>
      <w:rFonts w:cs="宋体"/>
      <w:kern w:val="0"/>
      <w:sz w:val="18"/>
      <w:szCs w:val="24"/>
    </w:rPr>
  </w:style>
  <w:style w:type="character" w:customStyle="1" w:styleId="112">
    <w:name w:val="表格标题 Char Char"/>
    <w:link w:val="113"/>
    <w:qFormat/>
    <w:uiPriority w:val="0"/>
    <w:rPr>
      <w:b/>
    </w:rPr>
  </w:style>
  <w:style w:type="paragraph" w:customStyle="1" w:styleId="113">
    <w:name w:val="表格标题"/>
    <w:basedOn w:val="1"/>
    <w:next w:val="1"/>
    <w:link w:val="112"/>
    <w:qFormat/>
    <w:uiPriority w:val="0"/>
    <w:pPr>
      <w:ind w:firstLine="514" w:firstLineChars="244"/>
      <w:jc w:val="center"/>
    </w:pPr>
    <w:rPr>
      <w:b/>
    </w:rPr>
  </w:style>
  <w:style w:type="paragraph" w:customStyle="1" w:styleId="114">
    <w:name w:val="@表格"/>
    <w:basedOn w:val="14"/>
    <w:qFormat/>
    <w:uiPriority w:val="0"/>
    <w:pPr>
      <w:adjustRightInd w:val="0"/>
      <w:snapToGrid w:val="0"/>
      <w:jc w:val="center"/>
    </w:pPr>
  </w:style>
  <w:style w:type="character" w:customStyle="1" w:styleId="115">
    <w:name w:val="批注框文本 字符"/>
    <w:basedOn w:val="39"/>
    <w:link w:val="22"/>
    <w:qFormat/>
    <w:uiPriority w:val="0"/>
    <w:rPr>
      <w:kern w:val="2"/>
      <w:sz w:val="18"/>
      <w:szCs w:val="18"/>
    </w:rPr>
  </w:style>
  <w:style w:type="paragraph" w:customStyle="1" w:styleId="116">
    <w:name w:val="16"/>
    <w:qFormat/>
    <w:uiPriority w:val="0"/>
    <w:rPr>
      <w:rFonts w:ascii="Calibri" w:hAnsi="Calibri" w:eastAsia="宋体" w:cs="Times New Roman"/>
      <w:kern w:val="2"/>
      <w:sz w:val="24"/>
      <w:lang w:val="en-US" w:eastAsia="zh-CN" w:bidi="ar-SA"/>
    </w:rPr>
  </w:style>
  <w:style w:type="paragraph" w:customStyle="1" w:styleId="117">
    <w:name w:val="3 级样式"/>
    <w:basedOn w:val="6"/>
    <w:semiHidden/>
    <w:qFormat/>
    <w:uiPriority w:val="0"/>
    <w:pPr>
      <w:tabs>
        <w:tab w:val="left" w:pos="2160"/>
      </w:tabs>
    </w:pPr>
    <w:rPr>
      <w:rFonts w:ascii="Calibri" w:hAnsi="Calibri" w:eastAsia="黑体"/>
      <w:b w:val="0"/>
      <w:bCs w:val="0"/>
      <w:kern w:val="28"/>
      <w:sz w:val="21"/>
      <w:szCs w:val="22"/>
    </w:rPr>
  </w:style>
  <w:style w:type="paragraph" w:customStyle="1" w:styleId="118">
    <w:name w:val="表头A"/>
    <w:basedOn w:val="1"/>
    <w:qFormat/>
    <w:uiPriority w:val="0"/>
    <w:pPr>
      <w:spacing w:line="400" w:lineRule="exact"/>
      <w:jc w:val="center"/>
    </w:pPr>
    <w:rPr>
      <w:rFonts w:ascii="华文仿宋" w:hAnsi="华文仿宋" w:eastAsia="华文仿宋"/>
      <w:b/>
      <w:kern w:val="0"/>
      <w:sz w:val="24"/>
      <w:szCs w:val="24"/>
    </w:rPr>
  </w:style>
  <w:style w:type="paragraph" w:customStyle="1" w:styleId="119">
    <w:name w:val="正文 楷体"/>
    <w:basedOn w:val="1"/>
    <w:qFormat/>
    <w:uiPriority w:val="0"/>
    <w:pPr>
      <w:spacing w:line="500" w:lineRule="exact"/>
      <w:ind w:firstLine="200" w:firstLineChars="200"/>
      <w:jc w:val="left"/>
    </w:pPr>
    <w:rPr>
      <w:rFonts w:ascii="华文仿宋" w:hAnsi="华文仿宋" w:eastAsia="华文仿宋" w:cs="华文仿宋"/>
      <w:kern w:val="0"/>
      <w:sz w:val="24"/>
      <w:szCs w:val="24"/>
    </w:rPr>
  </w:style>
  <w:style w:type="paragraph" w:customStyle="1" w:styleId="120">
    <w:name w:val="标准"/>
    <w:basedOn w:val="1"/>
    <w:qFormat/>
    <w:uiPriority w:val="0"/>
    <w:pPr>
      <w:adjustRightInd w:val="0"/>
      <w:spacing w:before="120" w:line="336" w:lineRule="auto"/>
      <w:jc w:val="center"/>
      <w:textAlignment w:val="baseline"/>
    </w:pPr>
    <w:rPr>
      <w:rFonts w:ascii="黑体" w:eastAsia="黑体"/>
      <w:snapToGrid w:val="0"/>
      <w:kern w:val="0"/>
    </w:rPr>
  </w:style>
  <w:style w:type="character" w:customStyle="1" w:styleId="121">
    <w:name w:val="纯文本 字符"/>
    <w:link w:val="67"/>
    <w:qFormat/>
    <w:uiPriority w:val="0"/>
    <w:rPr>
      <w:rFonts w:cs="宋体"/>
      <w:sz w:val="24"/>
      <w:szCs w:val="24"/>
    </w:rPr>
  </w:style>
  <w:style w:type="character" w:customStyle="1" w:styleId="122">
    <w:name w:val="正文(首行缩进) Char"/>
    <w:qFormat/>
    <w:uiPriority w:val="0"/>
    <w:rPr>
      <w:color w:val="000000"/>
      <w:sz w:val="24"/>
      <w:szCs w:val="24"/>
    </w:rPr>
  </w:style>
  <w:style w:type="character" w:customStyle="1" w:styleId="123">
    <w:name w:val="YJ正文* 字符"/>
    <w:link w:val="71"/>
    <w:qFormat/>
    <w:locked/>
    <w:uiPriority w:val="0"/>
    <w:rPr>
      <w:rFonts w:ascii="宋体" w:hAnsi="宋体"/>
      <w:kern w:val="2"/>
      <w:sz w:val="24"/>
      <w:szCs w:val="24"/>
    </w:rPr>
  </w:style>
  <w:style w:type="character" w:customStyle="1" w:styleId="124">
    <w:name w:val="文档结构图 字符"/>
    <w:basedOn w:val="39"/>
    <w:link w:val="13"/>
    <w:qFormat/>
    <w:uiPriority w:val="0"/>
    <w:rPr>
      <w:kern w:val="2"/>
      <w:sz w:val="21"/>
      <w:szCs w:val="24"/>
      <w:shd w:val="clear" w:color="auto" w:fill="000080"/>
    </w:rPr>
  </w:style>
  <w:style w:type="character" w:customStyle="1" w:styleId="125">
    <w:name w:val="LSJ正文 字符"/>
    <w:link w:val="61"/>
    <w:qFormat/>
    <w:uiPriority w:val="0"/>
    <w:rPr>
      <w:color w:val="000000"/>
      <w:kern w:val="2"/>
      <w:sz w:val="24"/>
      <w:szCs w:val="24"/>
    </w:rPr>
  </w:style>
  <w:style w:type="paragraph" w:customStyle="1" w:styleId="126">
    <w:name w:val="MEL表字-书"/>
    <w:basedOn w:val="1"/>
    <w:qFormat/>
    <w:uiPriority w:val="0"/>
    <w:pPr>
      <w:spacing w:line="300" w:lineRule="exact"/>
      <w:ind w:firstLine="578" w:firstLineChars="200"/>
      <w:contextualSpacing/>
      <w:jc w:val="center"/>
    </w:pPr>
    <w:rPr>
      <w:rFonts w:ascii="宋体" w:hAnsi="宋体"/>
      <w:kern w:val="0"/>
      <w:sz w:val="24"/>
      <w:szCs w:val="21"/>
    </w:rPr>
  </w:style>
  <w:style w:type="character" w:customStyle="1" w:styleId="127">
    <w:name w:val="正文-首行缩进 Char"/>
    <w:link w:val="63"/>
    <w:qFormat/>
    <w:uiPriority w:val="0"/>
    <w:rPr>
      <w:rFonts w:ascii="宋体" w:hAnsi="宋体"/>
      <w:bCs/>
      <w:kern w:val="2"/>
      <w:sz w:val="21"/>
      <w:szCs w:val="25"/>
    </w:rPr>
  </w:style>
  <w:style w:type="character" w:customStyle="1" w:styleId="128">
    <w:name w:val="五号表格内的文字 Char"/>
    <w:link w:val="74"/>
    <w:qFormat/>
    <w:uiPriority w:val="99"/>
    <w:rPr>
      <w:kern w:val="2"/>
      <w:sz w:val="21"/>
      <w:szCs w:val="21"/>
    </w:rPr>
  </w:style>
  <w:style w:type="character" w:customStyle="1" w:styleId="129">
    <w:name w:val="图表名 Char"/>
    <w:link w:val="73"/>
    <w:qFormat/>
    <w:uiPriority w:val="0"/>
    <w:rPr>
      <w:rFonts w:ascii="宋体" w:hAnsi="宋体" w:eastAsia="黑体"/>
      <w:color w:val="000000"/>
      <w:sz w:val="24"/>
      <w:lang w:val="zh-CN"/>
    </w:rPr>
  </w:style>
  <w:style w:type="table" w:customStyle="1" w:styleId="130">
    <w:name w:val="网格型1"/>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1">
    <w:name w:val="图表标题 字符"/>
    <w:link w:val="58"/>
    <w:qFormat/>
    <w:uiPriority w:val="0"/>
    <w:rPr>
      <w:rFonts w:ascii="黑体" w:hAnsi="黑体" w:eastAsia="黑体"/>
      <w:color w:val="000000"/>
      <w:kern w:val="2"/>
      <w:sz w:val="24"/>
      <w:szCs w:val="24"/>
    </w:rPr>
  </w:style>
  <w:style w:type="table" w:customStyle="1" w:styleId="132">
    <w:name w:val="Table Normal"/>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133">
    <w:name w:val="页脚 字符"/>
    <w:basedOn w:val="39"/>
    <w:link w:val="23"/>
    <w:qFormat/>
    <w:uiPriority w:val="99"/>
    <w:rPr>
      <w:kern w:val="2"/>
      <w:sz w:val="18"/>
    </w:rPr>
  </w:style>
  <w:style w:type="character" w:customStyle="1" w:styleId="134">
    <w:name w:val="标题 3 字符"/>
    <w:basedOn w:val="39"/>
    <w:link w:val="6"/>
    <w:qFormat/>
    <w:uiPriority w:val="99"/>
    <w:rPr>
      <w:b/>
      <w:bCs/>
      <w:kern w:val="2"/>
      <w:sz w:val="30"/>
      <w:szCs w:val="21"/>
    </w:rPr>
  </w:style>
  <w:style w:type="paragraph" w:customStyle="1" w:styleId="135">
    <w:name w:val="邵正文"/>
    <w:basedOn w:val="35"/>
    <w:qFormat/>
    <w:uiPriority w:val="0"/>
    <w:pPr>
      <w:widowControl/>
      <w:ind w:firstLine="200"/>
    </w:pPr>
    <w:rPr>
      <w:rFonts w:ascii="Times New Roman" w:hAnsi="Times New Roman" w:eastAsia="宋体" w:cs="宋体"/>
      <w:spacing w:val="0"/>
      <w:kern w:val="0"/>
      <w:szCs w:val="24"/>
    </w:rPr>
  </w:style>
  <w:style w:type="paragraph" w:customStyle="1" w:styleId="136">
    <w:name w:val="邵插图"/>
    <w:basedOn w:val="135"/>
    <w:next w:val="135"/>
    <w:qFormat/>
    <w:uiPriority w:val="0"/>
    <w:pPr>
      <w:ind w:firstLine="0" w:firstLineChars="0"/>
      <w:jc w:val="center"/>
    </w:pPr>
    <w:rPr>
      <w:rFonts w:eastAsia="黑体"/>
      <w:b/>
    </w:rPr>
  </w:style>
  <w:style w:type="paragraph" w:customStyle="1" w:styleId="137">
    <w:name w:val="表格文字"/>
    <w:basedOn w:val="2"/>
    <w:qFormat/>
    <w:uiPriority w:val="0"/>
    <w:pPr>
      <w:tabs>
        <w:tab w:val="left" w:pos="1119"/>
      </w:tabs>
      <w:spacing w:after="0"/>
      <w:jc w:val="center"/>
    </w:pPr>
    <w:rPr>
      <w:snapToGrid w:val="0"/>
      <w:color w:val="000000"/>
      <w:kern w:val="0"/>
      <w:szCs w:val="18"/>
    </w:rPr>
  </w:style>
  <w:style w:type="paragraph" w:customStyle="1" w:styleId="138">
    <w:name w:val="邵表头"/>
    <w:basedOn w:val="135"/>
    <w:next w:val="135"/>
    <w:qFormat/>
    <w:uiPriority w:val="0"/>
    <w:pPr>
      <w:spacing w:line="240" w:lineRule="auto"/>
      <w:ind w:firstLine="0" w:firstLineChars="0"/>
      <w:jc w:val="center"/>
    </w:pPr>
    <w:rPr>
      <w:rFonts w:hAnsi="Times New Roman" w:eastAsia="黑体"/>
      <w:b/>
      <w:sz w:val="21"/>
      <w:szCs w:val="22"/>
    </w:rPr>
  </w:style>
  <w:style w:type="paragraph" w:customStyle="1" w:styleId="139">
    <w:name w:val="样式 首行缩进:  2 字符1"/>
    <w:basedOn w:val="1"/>
    <w:qFormat/>
    <w:uiPriority w:val="0"/>
    <w:pPr>
      <w:spacing w:before="120" w:line="400" w:lineRule="exact"/>
      <w:ind w:firstLine="200" w:firstLineChars="200"/>
    </w:pPr>
    <w:rPr>
      <w:szCs w:val="20"/>
    </w:rPr>
  </w:style>
  <w:style w:type="paragraph" w:customStyle="1" w:styleId="140">
    <w:name w:val="邵三级标题"/>
    <w:basedOn w:val="6"/>
    <w:next w:val="135"/>
    <w:link w:val="147"/>
    <w:qFormat/>
    <w:uiPriority w:val="0"/>
    <w:rPr>
      <w:sz w:val="28"/>
      <w:szCs w:val="22"/>
    </w:rPr>
  </w:style>
  <w:style w:type="paragraph" w:customStyle="1" w:styleId="141">
    <w:name w:val="邵四级标题"/>
    <w:basedOn w:val="34"/>
    <w:next w:val="135"/>
    <w:qFormat/>
    <w:uiPriority w:val="0"/>
    <w:pPr>
      <w:keepLines/>
      <w:spacing w:before="60" w:line="360" w:lineRule="auto"/>
      <w:jc w:val="left"/>
      <w:outlineLvl w:val="3"/>
    </w:pPr>
    <w:rPr>
      <w:rFonts w:ascii="Times New Roman" w:hAnsi="Times New Roman"/>
      <w:sz w:val="24"/>
      <w:szCs w:val="22"/>
    </w:rPr>
  </w:style>
  <w:style w:type="character" w:customStyle="1" w:styleId="142">
    <w:name w:val="font31"/>
    <w:basedOn w:val="39"/>
    <w:qFormat/>
    <w:uiPriority w:val="0"/>
    <w:rPr>
      <w:rFonts w:hint="default" w:ascii="Times New Roman" w:hAnsi="Times New Roman" w:cs="Times New Roman"/>
      <w:color w:val="FF0000"/>
      <w:sz w:val="18"/>
      <w:szCs w:val="18"/>
      <w:u w:val="none"/>
    </w:rPr>
  </w:style>
  <w:style w:type="character" w:customStyle="1" w:styleId="143">
    <w:name w:val="font41"/>
    <w:basedOn w:val="39"/>
    <w:qFormat/>
    <w:uiPriority w:val="0"/>
    <w:rPr>
      <w:rFonts w:hint="default" w:ascii="Times New Roman" w:hAnsi="Times New Roman" w:cs="Times New Roman"/>
      <w:color w:val="000000"/>
      <w:sz w:val="21"/>
      <w:szCs w:val="21"/>
      <w:u w:val="none"/>
    </w:rPr>
  </w:style>
  <w:style w:type="character" w:customStyle="1" w:styleId="144">
    <w:name w:val="font81"/>
    <w:basedOn w:val="39"/>
    <w:qFormat/>
    <w:uiPriority w:val="0"/>
    <w:rPr>
      <w:rFonts w:hint="default" w:ascii="Times New Roman" w:hAnsi="Times New Roman" w:cs="Times New Roman"/>
      <w:color w:val="000000"/>
      <w:sz w:val="24"/>
      <w:szCs w:val="24"/>
      <w:u w:val="none"/>
      <w:vertAlign w:val="superscript"/>
    </w:rPr>
  </w:style>
  <w:style w:type="character" w:customStyle="1" w:styleId="145">
    <w:name w:val="font51"/>
    <w:basedOn w:val="39"/>
    <w:qFormat/>
    <w:uiPriority w:val="0"/>
    <w:rPr>
      <w:rFonts w:hint="eastAsia" w:ascii="宋体" w:hAnsi="宋体" w:eastAsia="宋体"/>
      <w:color w:val="000000"/>
      <w:sz w:val="21"/>
      <w:szCs w:val="21"/>
      <w:u w:val="none"/>
    </w:rPr>
  </w:style>
  <w:style w:type="paragraph" w:customStyle="1" w:styleId="146">
    <w:name w:val="邵表内容"/>
    <w:basedOn w:val="135"/>
    <w:qFormat/>
    <w:uiPriority w:val="0"/>
    <w:pPr>
      <w:spacing w:line="240" w:lineRule="auto"/>
      <w:ind w:firstLine="0" w:firstLineChars="0"/>
      <w:jc w:val="center"/>
    </w:pPr>
    <w:rPr>
      <w:sz w:val="21"/>
    </w:rPr>
  </w:style>
  <w:style w:type="character" w:customStyle="1" w:styleId="147">
    <w:name w:val="邵三级标题 Char"/>
    <w:link w:val="140"/>
    <w:qFormat/>
    <w:uiPriority w:val="0"/>
    <w:rPr>
      <w:sz w:val="28"/>
      <w:szCs w:val="22"/>
    </w:rPr>
  </w:style>
  <w:style w:type="paragraph" w:customStyle="1" w:styleId="148">
    <w:name w:val="00表"/>
    <w:qFormat/>
    <w:uiPriority w:val="0"/>
    <w:pPr>
      <w:jc w:val="center"/>
    </w:pPr>
    <w:rPr>
      <w:rFonts w:ascii="Times New Roman" w:hAnsi="Times New Roman" w:eastAsia="宋体" w:cs="Times New Roman"/>
      <w:kern w:val="2"/>
      <w:sz w:val="21"/>
      <w:szCs w:val="21"/>
      <w:lang w:val="en-US" w:eastAsia="zh-CN" w:bidi="ar-SA"/>
    </w:rPr>
  </w:style>
  <w:style w:type="paragraph" w:customStyle="1" w:styleId="149">
    <w:name w:val="邵二级标题"/>
    <w:basedOn w:val="5"/>
    <w:next w:val="135"/>
    <w:qFormat/>
    <w:uiPriority w:val="0"/>
    <w:rPr>
      <w:color w:val="auto"/>
    </w:rPr>
  </w:style>
  <w:style w:type="paragraph" w:customStyle="1" w:styleId="150">
    <w:name w:val="YJ-正文"/>
    <w:basedOn w:val="1"/>
    <w:qFormat/>
    <w:uiPriority w:val="0"/>
    <w:pPr>
      <w:widowControl/>
      <w:spacing w:line="520" w:lineRule="exact"/>
      <w:ind w:firstLine="200" w:firstLineChars="200"/>
    </w:pPr>
    <w:rPr>
      <w:kern w:val="0"/>
      <w:sz w:val="24"/>
      <w:szCs w:val="22"/>
    </w:rPr>
  </w:style>
  <w:style w:type="paragraph" w:customStyle="1" w:styleId="151">
    <w:name w:val="title4"/>
    <w:basedOn w:val="1"/>
    <w:qFormat/>
    <w:uiPriority w:val="0"/>
    <w:pPr>
      <w:widowControl/>
      <w:outlineLvl w:val="3"/>
    </w:pPr>
    <w:rPr>
      <w:rFonts w:cs="宋体"/>
      <w:b/>
      <w:kern w:val="0"/>
    </w:rPr>
  </w:style>
  <w:style w:type="paragraph" w:customStyle="1" w:styleId="152">
    <w:name w:val="WPSOffice手动目录 1"/>
    <w:qFormat/>
    <w:uiPriority w:val="0"/>
    <w:pPr>
      <w:ind w:leftChars="0"/>
    </w:pPr>
    <w:rPr>
      <w:rFonts w:ascii="Times New Roman" w:hAnsi="Times New Roman" w:eastAsia="宋体" w:cs="Times New Roman"/>
      <w:sz w:val="20"/>
      <w:szCs w:val="20"/>
    </w:rPr>
  </w:style>
  <w:style w:type="paragraph" w:customStyle="1" w:styleId="153">
    <w:name w:val="WPSOffice手动目录 2"/>
    <w:qFormat/>
    <w:uiPriority w:val="0"/>
    <w:pPr>
      <w:ind w:leftChars="200"/>
    </w:pPr>
    <w:rPr>
      <w:rFonts w:ascii="Times New Roman" w:hAnsi="Times New Roman" w:eastAsia="宋体" w:cs="Times New Roman"/>
      <w:sz w:val="20"/>
      <w:szCs w:val="20"/>
    </w:rPr>
  </w:style>
  <w:style w:type="character" w:customStyle="1" w:styleId="154">
    <w:name w:val="font11"/>
    <w:basedOn w:val="39"/>
    <w:qFormat/>
    <w:uiPriority w:val="0"/>
    <w:rPr>
      <w:rFonts w:hint="default" w:ascii="Times New Roman" w:hAnsi="Times New Roman" w:cs="Times New Roman"/>
      <w:color w:val="000000"/>
      <w:sz w:val="15"/>
      <w:szCs w:val="15"/>
      <w:u w:val="none"/>
    </w:rPr>
  </w:style>
  <w:style w:type="paragraph" w:customStyle="1" w:styleId="155">
    <w:name w:val="样式 样式 (中文) 楷体_GB2312 四号 行距: 固定值 26 磅 +"/>
    <w:basedOn w:val="1"/>
    <w:qFormat/>
    <w:uiPriority w:val="0"/>
    <w:pPr>
      <w:spacing w:line="360" w:lineRule="auto"/>
      <w:ind w:firstLine="480" w:firstLineChars="200"/>
    </w:pPr>
    <w:rPr>
      <w:kern w:val="0"/>
      <w:sz w:val="24"/>
    </w:rPr>
  </w:style>
  <w:style w:type="character" w:customStyle="1" w:styleId="156">
    <w:name w:val="报告书正文 Char"/>
    <w:link w:val="72"/>
    <w:qFormat/>
    <w:uiPriority w:val="0"/>
    <w:rPr>
      <w:rFonts w:cs="宋体"/>
      <w:kern w:val="0"/>
      <w:szCs w:val="24"/>
    </w:rPr>
  </w:style>
  <w:style w:type="paragraph" w:customStyle="1" w:styleId="157">
    <w:name w:val="表头标题格式"/>
    <w:basedOn w:val="1"/>
    <w:qFormat/>
    <w:uiPriority w:val="0"/>
    <w:pPr>
      <w:tabs>
        <w:tab w:val="left" w:pos="360"/>
        <w:tab w:val="left" w:pos="1620"/>
      </w:tabs>
      <w:jc w:val="center"/>
    </w:pPr>
    <w:rPr>
      <w:rFonts w:ascii="黑体" w:hAnsi="黑体" w:eastAsia="黑体" w:cs="Times New Roman"/>
      <w:b/>
      <w:bCs/>
      <w:kern w:val="0"/>
      <w:sz w:val="24"/>
      <w:szCs w:val="20"/>
    </w:rPr>
  </w:style>
  <w:style w:type="paragraph" w:customStyle="1" w:styleId="158">
    <w:name w:val="任表格文字"/>
    <w:next w:val="1"/>
    <w:qFormat/>
    <w:uiPriority w:val="0"/>
    <w:pPr>
      <w:tabs>
        <w:tab w:val="left" w:pos="1119"/>
      </w:tabs>
      <w:spacing w:line="360" w:lineRule="exact"/>
      <w:ind w:left="0" w:leftChars="0" w:firstLine="0" w:firstLineChars="0"/>
      <w:jc w:val="center"/>
    </w:pPr>
    <w:rPr>
      <w:rFonts w:ascii="Times New Roman" w:hAnsi="Times New Roman" w:eastAsia="宋体" w:cs="Times New Roman"/>
      <w:snapToGrid w:val="0"/>
      <w:color w:val="000000"/>
      <w:sz w:val="21"/>
      <w:szCs w:val="18"/>
    </w:rPr>
  </w:style>
  <w:style w:type="paragraph" w:customStyle="1" w:styleId="159">
    <w:name w:val="表格内的文字"/>
    <w:basedOn w:val="160"/>
    <w:qFormat/>
    <w:uiPriority w:val="99"/>
    <w:pPr>
      <w:adjustRightInd w:val="0"/>
      <w:spacing w:line="360" w:lineRule="exact"/>
      <w:ind w:firstLine="0" w:firstLineChars="0"/>
      <w:jc w:val="center"/>
      <w:textAlignment w:val="baseline"/>
    </w:pPr>
    <w:rPr>
      <w:kern w:val="0"/>
      <w:sz w:val="21"/>
      <w:szCs w:val="21"/>
    </w:rPr>
  </w:style>
  <w:style w:type="paragraph" w:customStyle="1" w:styleId="160">
    <w:name w:val="说明书正文"/>
    <w:basedOn w:val="1"/>
    <w:qFormat/>
    <w:uiPriority w:val="0"/>
    <w:pPr>
      <w:adjustRightInd w:val="0"/>
      <w:spacing w:line="440" w:lineRule="exact"/>
      <w:textAlignment w:val="baseline"/>
    </w:pPr>
    <w:rPr>
      <w:kern w:val="0"/>
    </w:rPr>
  </w:style>
  <w:style w:type="paragraph" w:customStyle="1" w:styleId="161">
    <w:name w:val="报告正文"/>
    <w:qFormat/>
    <w:uiPriority w:val="0"/>
    <w:pPr>
      <w:widowControl w:val="0"/>
      <w:autoSpaceDE w:val="0"/>
      <w:autoSpaceDN w:val="0"/>
      <w:adjustRightInd w:val="0"/>
      <w:snapToGrid w:val="0"/>
      <w:spacing w:line="360" w:lineRule="auto"/>
      <w:ind w:firstLine="480" w:firstLineChars="200"/>
      <w:jc w:val="both"/>
    </w:pPr>
    <w:rPr>
      <w:rFonts w:ascii="宋体" w:hAnsi="宋体" w:eastAsia="宋体" w:cs="Times New Roman"/>
      <w:sz w:val="24"/>
      <w:szCs w:val="20"/>
      <w:lang w:val="en-US" w:eastAsia="zh-CN" w:bidi="ar-SA"/>
    </w:rPr>
  </w:style>
  <w:style w:type="paragraph" w:customStyle="1" w:styleId="162">
    <w:name w:val="AAP-正文"/>
    <w:qFormat/>
    <w:uiPriority w:val="0"/>
    <w:pPr>
      <w:widowControl w:val="0"/>
      <w:snapToGrid/>
      <w:spacing w:line="360" w:lineRule="auto"/>
      <w:ind w:firstLine="480" w:firstLineChars="200"/>
      <w:jc w:val="both"/>
    </w:pPr>
    <w:rPr>
      <w:rFonts w:ascii="Times New Roman" w:hAnsi="Times New Roman" w:eastAsia="宋体" w:cs="Times New Roman"/>
      <w:color w:val="auto"/>
      <w:kern w:val="2"/>
      <w:sz w:val="24"/>
      <w:szCs w:val="24"/>
      <w:lang w:val="en-US" w:eastAsia="zh-CN" w:bidi="ar-SA"/>
    </w:rPr>
  </w:style>
  <w:style w:type="paragraph" w:customStyle="1" w:styleId="163">
    <w:name w:val="样式30"/>
    <w:qFormat/>
    <w:uiPriority w:val="0"/>
    <w:pPr>
      <w:widowControl/>
      <w:snapToGrid w:val="0"/>
      <w:spacing w:line="400" w:lineRule="exact"/>
      <w:ind w:firstLine="480" w:firstLineChars="200"/>
    </w:pPr>
    <w:rPr>
      <w:rFonts w:ascii="宋体" w:hAnsi="宋体" w:eastAsia="宋体" w:cs="宋体"/>
      <w:color w:val="000000"/>
      <w:kern w:val="0"/>
      <w:sz w:val="24"/>
      <w:szCs w:val="24"/>
      <w:lang w:val="en-US" w:eastAsia="zh-CN" w:bidi="ar-SA"/>
    </w:rPr>
  </w:style>
  <w:style w:type="character" w:customStyle="1" w:styleId="164">
    <w:name w:val="！正文 Char Char"/>
    <w:qFormat/>
    <w:uiPriority w:val="0"/>
    <w:rPr>
      <w:kern w:val="2"/>
      <w:sz w:val="24"/>
    </w:rPr>
  </w:style>
  <w:style w:type="paragraph" w:customStyle="1" w:styleId="165">
    <w:name w:val="00正文"/>
    <w:qFormat/>
    <w:uiPriority w:val="0"/>
    <w:pPr>
      <w:spacing w:line="360" w:lineRule="auto"/>
      <w:ind w:firstLine="480" w:firstLineChars="200"/>
      <w:jc w:val="both"/>
    </w:pPr>
    <w:rPr>
      <w:rFonts w:ascii="Arial" w:hAnsi="宋体" w:eastAsia="Arial" w:cs="Arial"/>
      <w:bCs/>
      <w:sz w:val="24"/>
      <w:szCs w:val="24"/>
      <w:lang w:val="en-US" w:eastAsia="zh-CN" w:bidi="ar-SA"/>
    </w:rPr>
  </w:style>
  <w:style w:type="paragraph" w:customStyle="1" w:styleId="166">
    <w:name w:val="MEL正文*"/>
    <w:qFormat/>
    <w:uiPriority w:val="0"/>
    <w:pPr>
      <w:spacing w:line="500" w:lineRule="exact"/>
      <w:ind w:firstLine="200" w:firstLineChars="200"/>
    </w:pPr>
    <w:rPr>
      <w:rFonts w:ascii="宋体" w:hAnsi="宋体" w:eastAsia="宋体" w:cs="宋体"/>
      <w:kern w:val="0"/>
      <w:sz w:val="24"/>
      <w:szCs w:val="24"/>
      <w:lang w:val="en-US" w:eastAsia="zh-CN" w:bidi="ar-SA"/>
    </w:rPr>
  </w:style>
  <w:style w:type="paragraph" w:customStyle="1" w:styleId="167">
    <w:name w:val="SSEC 表字居中"/>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character" w:customStyle="1" w:styleId="168">
    <w:name w:val="font01"/>
    <w:qFormat/>
    <w:uiPriority w:val="0"/>
    <w:rPr>
      <w:rFonts w:hint="eastAsia" w:ascii="微软雅黑" w:hAnsi="微软雅黑" w:eastAsia="微软雅黑" w:cs="微软雅黑"/>
      <w:b/>
      <w:color w:val="FF0000"/>
      <w:sz w:val="20"/>
      <w:szCs w:val="20"/>
      <w:u w:val="none"/>
    </w:rPr>
  </w:style>
  <w:style w:type="paragraph" w:customStyle="1" w:styleId="169">
    <w:name w:val="图名（居中）"/>
    <w:qFormat/>
    <w:uiPriority w:val="99"/>
    <w:pPr>
      <w:spacing w:line="360" w:lineRule="auto"/>
      <w:ind w:firstLine="482"/>
      <w:jc w:val="center"/>
    </w:pPr>
    <w:rPr>
      <w:rFonts w:ascii="Times New Roman" w:hAnsi="Times New Roman" w:eastAsia="宋体" w:cs="宋体"/>
      <w:b/>
      <w:kern w:val="24"/>
      <w:sz w:val="24"/>
      <w:szCs w:val="24"/>
      <w:lang w:val="en-US" w:eastAsia="zh-CN" w:bidi="ar-SA"/>
    </w:rPr>
  </w:style>
  <w:style w:type="paragraph" w:customStyle="1" w:styleId="170">
    <w:name w:val="表格内容1"/>
    <w:qFormat/>
    <w:uiPriority w:val="0"/>
    <w:pPr>
      <w:tabs>
        <w:tab w:val="left" w:pos="1535"/>
        <w:tab w:val="left" w:pos="3105"/>
        <w:tab w:val="left" w:pos="4676"/>
        <w:tab w:val="left" w:pos="6247"/>
        <w:tab w:val="left" w:pos="7740"/>
        <w:tab w:val="left" w:pos="9288"/>
      </w:tabs>
      <w:adjustRightInd w:val="0"/>
      <w:snapToGrid w:val="0"/>
      <w:spacing w:line="300" w:lineRule="atLeast"/>
      <w:jc w:val="center"/>
      <w:textAlignment w:val="baseline"/>
    </w:pPr>
    <w:rPr>
      <w:rFonts w:ascii="Times New Roman" w:hAnsi="Times New Roman" w:eastAsia="宋体" w:cs="宋体"/>
      <w:sz w:val="24"/>
      <w:szCs w:val="24"/>
      <w:lang w:val="en-US" w:eastAsia="zh-CN" w:bidi="ar-SA"/>
    </w:rPr>
  </w:style>
  <w:style w:type="paragraph" w:customStyle="1" w:styleId="171">
    <w:name w:val="A-表格文字"/>
    <w:next w:val="1"/>
    <w:qFormat/>
    <w:uiPriority w:val="0"/>
    <w:pPr>
      <w:widowControl w:val="0"/>
      <w:autoSpaceDE w:val="0"/>
      <w:autoSpaceDN w:val="0"/>
      <w:adjustRightInd w:val="0"/>
      <w:jc w:val="center"/>
      <w:textAlignment w:val="center"/>
    </w:pPr>
    <w:rPr>
      <w:rFonts w:ascii="Times New Roman" w:hAnsi="Times New Roman" w:eastAsia="宋体" w:cs="Times New Roman"/>
      <w:kern w:val="0"/>
      <w:sz w:val="21"/>
      <w:szCs w:val="21"/>
      <w:lang w:val="en-US" w:eastAsia="zh-CN" w:bidi="ar-SA"/>
    </w:rPr>
  </w:style>
  <w:style w:type="character" w:customStyle="1" w:styleId="172">
    <w:name w:val="题注 字符"/>
    <w:link w:val="12"/>
    <w:qFormat/>
    <w:uiPriority w:val="0"/>
    <w:rPr>
      <w:rFonts w:ascii="Cambria" w:hAnsi="Cambria" w:eastAsia="黑体"/>
      <w:sz w:val="24"/>
    </w:rPr>
  </w:style>
  <w:style w:type="table" w:customStyle="1" w:styleId="173">
    <w:name w:val="验收"/>
    <w:basedOn w:val="37"/>
    <w:qFormat/>
    <w:uiPriority w:val="99"/>
    <w:pPr>
      <w:widowControl w:val="0"/>
      <w:jc w:val="center"/>
    </w:pPr>
    <w:rPr>
      <w:rFonts w:cstheme="minorBidi"/>
      <w:kern w:val="2"/>
      <w:sz w:val="21"/>
      <w:szCs w:val="22"/>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74">
    <w:name w:val="lsj正文"/>
    <w:basedOn w:val="1"/>
    <w:qFormat/>
    <w:uiPriority w:val="0"/>
    <w:pPr>
      <w:widowControl/>
      <w:spacing w:line="480" w:lineRule="exact"/>
      <w:ind w:firstLine="480" w:firstLineChars="200"/>
      <w:jc w:val="left"/>
    </w:pPr>
    <w:rPr>
      <w:rFonts w:ascii="Times New Roman" w:hAnsi="Times New Roman"/>
      <w:color w:val="auto"/>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footer" Target="footer5.xml"/><Relationship Id="rId79" Type="http://schemas.openxmlformats.org/officeDocument/2006/relationships/customXml" Target="../customXml/item1.xml"/><Relationship Id="rId78" Type="http://schemas.openxmlformats.org/officeDocument/2006/relationships/image" Target="media/image60.png"/><Relationship Id="rId77" Type="http://schemas.openxmlformats.org/officeDocument/2006/relationships/image" Target="media/image59.wmf"/><Relationship Id="rId76" Type="http://schemas.openxmlformats.org/officeDocument/2006/relationships/image" Target="media/image58.wmf"/><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footer" Target="footer4.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media/image44.wmf"/><Relationship Id="rId61" Type="http://schemas.openxmlformats.org/officeDocument/2006/relationships/oleObject" Target="embeddings/oleObject1.bin"/><Relationship Id="rId60" Type="http://schemas.openxmlformats.org/officeDocument/2006/relationships/image" Target="media/image43.png"/><Relationship Id="rId6" Type="http://schemas.openxmlformats.org/officeDocument/2006/relationships/footer" Target="footer3.xml"/><Relationship Id="rId59" Type="http://schemas.openxmlformats.org/officeDocument/2006/relationships/image" Target="media/image42.jpe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footer" Target="footer2.xml"/><Relationship Id="rId49" Type="http://schemas.openxmlformats.org/officeDocument/2006/relationships/image" Target="media/image32.jpeg"/><Relationship Id="rId48" Type="http://schemas.openxmlformats.org/officeDocument/2006/relationships/image" Target="media/image31.png"/><Relationship Id="rId47" Type="http://schemas.openxmlformats.org/officeDocument/2006/relationships/image" Target="media/image30.wmf"/><Relationship Id="rId46" Type="http://schemas.openxmlformats.org/officeDocument/2006/relationships/image" Target="media/image29.jpe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jpe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png"/><Relationship Id="rId26" Type="http://schemas.openxmlformats.org/officeDocument/2006/relationships/image" Target="media/image9.wmf"/><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6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E73ACE-34C6-49BA-A99F-F0A2C538A19C}">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295</Pages>
  <Words>5230</Words>
  <Characters>5896</Characters>
  <Lines>389</Lines>
  <Paragraphs>372</Paragraphs>
  <TotalTime>30</TotalTime>
  <ScaleCrop>false</ScaleCrop>
  <LinksUpToDate>false</LinksUpToDate>
  <CharactersWithSpaces>6062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2022-06-07T03:59:00Z</dcterms:created>
  <dc:creator>Admin</dc:creator>
  <cp:lastModifiedBy>小麦啾</cp:lastModifiedBy>
  <cp:lastPrinted>2022-09-01T11:32:00Z</cp:lastPrinted>
  <dcterms:modified xsi:type="dcterms:W3CDTF">2025-11-13T04:00:21Z</dcterms:modified>
  <cp:revision>279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336C4A86B78D4FEBB96FC1A2DCF35E72_13</vt:lpwstr>
  </property>
  <property fmtid="{D5CDD505-2E9C-101B-9397-08002B2CF9AE}" pid="4" name="KSOTemplateDocerSaveRecord">
    <vt:lpwstr>eyJoZGlkIjoiM2Q5NDlmNDc3N2ZkYzk3ZGJmOTUwNTM0Mzc5MTVlNDMiLCJ1c2VySWQiOiIzMjQ5NjUzODcifQ==</vt:lpwstr>
  </property>
</Properties>
</file>